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551815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577215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83"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7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3" w:lineRule="exact"/>
        <w:rPr>
          <w:sz w:val="24"/>
          <w:szCs w:val="24"/>
          <w:color w:val="auto"/>
        </w:rPr>
      </w:pPr>
    </w:p>
    <w:p>
      <w:pPr>
        <w:sectPr>
          <w:pgSz w:w="11900" w:h="16838" w:orient="portrait"/>
          <w:cols w:equalWidth="0" w:num="2">
            <w:col w:w="180" w:space="680"/>
            <w:col w:w="10380"/>
          </w:cols>
          <w:pgMar w:left="320" w:top="983" w:right="339" w:bottom="1440" w:gutter="0" w:footer="0" w:header="0"/>
          <w:type w:val="continuous"/>
        </w:sect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OF 1934</w:t>
      </w:r>
    </w:p>
    <w:p>
      <w:pPr>
        <w:spacing w:after="0" w:line="66"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09" w:lineRule="exact"/>
        <w:rPr>
          <w:sz w:val="24"/>
          <w:szCs w:val="24"/>
          <w:color w:val="auto"/>
        </w:rPr>
      </w:pPr>
    </w:p>
    <w:p>
      <w:pPr>
        <w:ind w:left="178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26" w:lineRule="exact"/>
        <w:rPr>
          <w:sz w:val="24"/>
          <w:szCs w:val="24"/>
          <w:color w:val="auto"/>
        </w:rPr>
      </w:pPr>
    </w:p>
    <w:p>
      <w:pPr>
        <w:ind w:left="124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20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ind w:left="28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7"/>
          <w:szCs w:val="17"/>
          <w:b w:val="1"/>
          <w:bCs w:val="1"/>
          <w:color w:val="auto"/>
        </w:rPr>
        <w:t>22102</w:t>
      </w:r>
    </w:p>
    <w:p>
      <w:pPr>
        <w:spacing w:after="0" w:line="31" w:lineRule="exact"/>
        <w:rPr>
          <w:sz w:val="24"/>
          <w:szCs w:val="24"/>
          <w:color w:val="auto"/>
        </w:rPr>
      </w:pPr>
    </w:p>
    <w:p>
      <w:pPr>
        <w:ind w:left="96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89"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spacing w:after="0"/>
              <w:rPr>
                <w:sz w:val="13"/>
                <w:szCs w:val="13"/>
                <w:color w:val="auto"/>
              </w:rPr>
            </w:pP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64"/>
        </w:trPr>
        <w:tc>
          <w:tcPr>
            <w:tcW w:w="32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BAH</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Layout w:type="fixed"/>
        <w:tblInd w:w="20" w:type="dxa"/>
        <w:tblCellMar>
          <w:top w:w="0" w:type="dxa"/>
          <w:left w:w="0" w:type="dxa"/>
          <w:bottom w:w="0" w:type="dxa"/>
          <w:right w:w="0" w:type="dxa"/>
        </w:tblCellMar>
      </w:tblPr>
      <w:tr>
        <w:trPr>
          <w:trHeight w:val="3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160"/>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560" w:type="dxa"/>
            <w:vAlign w:val="bottom"/>
            <w:gridSpan w:val="2"/>
          </w:tcPr>
          <w:p>
            <w:pPr>
              <w:jc w:val="center"/>
              <w:ind w:right="360"/>
              <w:spacing w:after="0" w:line="203" w:lineRule="exact"/>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41"/>
        </w:trPr>
        <w:tc>
          <w:tcPr>
            <w:tcW w:w="8680" w:type="dxa"/>
            <w:vAlign w:val="bottom"/>
          </w:tcPr>
          <w:p>
            <w:pPr>
              <w:spacing w:after="0"/>
              <w:rPr>
                <w:sz w:val="20"/>
                <w:szCs w:val="20"/>
                <w:color w:val="auto"/>
              </w:rPr>
            </w:pPr>
          </w:p>
        </w:tc>
        <w:tc>
          <w:tcPr>
            <w:tcW w:w="2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 of 7/22/2024</w:t>
            </w:r>
          </w:p>
        </w:tc>
      </w:tr>
      <w:tr>
        <w:trPr>
          <w:trHeight w:val="225"/>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129,190,782</w:t>
            </w:r>
          </w:p>
        </w:tc>
        <w:tc>
          <w:tcPr>
            <w:tcW w:w="360" w:type="dxa"/>
            <w:vAlign w:val="bottom"/>
          </w:tcPr>
          <w:p>
            <w:pPr>
              <w:spacing w:after="0"/>
              <w:rPr>
                <w:sz w:val="19"/>
                <w:szCs w:val="19"/>
                <w:color w:val="auto"/>
              </w:rPr>
            </w:pPr>
          </w:p>
        </w:tc>
      </w:tr>
      <w:tr>
        <w:trPr>
          <w:trHeight w:val="776"/>
        </w:trPr>
        <w:tc>
          <w:tcPr>
            <w:tcW w:w="86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920" w:type="dxa"/>
            <w:vAlign w:val="bottom"/>
            <w:gridSpan w:val="9"/>
            <w:vMerge w:val="restart"/>
          </w:tcPr>
          <w:p>
            <w:pPr>
              <w:spacing w:after="0"/>
              <w:rPr>
                <w:sz w:val="24"/>
                <w:szCs w:val="24"/>
                <w:color w:val="auto"/>
              </w:rPr>
            </w:pPr>
          </w:p>
        </w:tc>
        <w:tc>
          <w:tcPr>
            <w:tcW w:w="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0000FF"/>
            </w:tcBorders>
            <w:gridSpan w:val="4"/>
            <w:vMerge w:val="continue"/>
          </w:tcPr>
          <w:p>
            <w:pPr>
              <w:spacing w:after="0"/>
              <w:rPr>
                <w:sz w:val="15"/>
                <w:szCs w:val="15"/>
                <w:color w:val="auto"/>
              </w:rPr>
            </w:pPr>
          </w:p>
        </w:tc>
        <w:tc>
          <w:tcPr>
            <w:tcW w:w="7920" w:type="dxa"/>
            <w:vAlign w:val="bottom"/>
            <w:gridSpan w:val="9"/>
            <w:vMerge w:val="continue"/>
          </w:tcPr>
          <w:p>
            <w:pPr>
              <w:spacing w:after="0"/>
              <w:rPr>
                <w:sz w:val="15"/>
                <w:szCs w:val="15"/>
                <w:color w:val="auto"/>
              </w:rPr>
            </w:pPr>
          </w:p>
        </w:tc>
        <w:tc>
          <w:tcPr>
            <w:tcW w:w="62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7280" w:type="dxa"/>
            <w:vAlign w:val="bottom"/>
            <w:gridSpan w:val="6"/>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0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2"/>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60" w:type="dxa"/>
            <w:vAlign w:val="bottom"/>
            <w:gridSpan w:val="11"/>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7500" w:type="dxa"/>
            <w:vAlign w:val="bottom"/>
            <w:gridSpan w:val="8"/>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18"/>
                <w:szCs w:val="18"/>
                <w:color w:val="auto"/>
              </w:rPr>
            </w:pPr>
          </w:p>
        </w:tc>
        <w:tc>
          <w:tcPr>
            <w:tcW w:w="7500" w:type="dxa"/>
            <w:vAlign w:val="bottom"/>
            <w:gridSpan w:val="8"/>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Defaults Upon Senior Securities</w:t>
            </w:r>
          </w:p>
        </w:tc>
        <w:tc>
          <w:tcPr>
            <w:tcW w:w="4340" w:type="dxa"/>
            <w:vAlign w:val="bottom"/>
            <w:gridSpan w:val="3"/>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Mine Safety Disclosures</w:t>
            </w:r>
          </w:p>
        </w:tc>
        <w:tc>
          <w:tcPr>
            <w:tcW w:w="600" w:type="dxa"/>
            <w:vAlign w:val="bottom"/>
          </w:tcPr>
          <w:p>
            <w:pPr>
              <w:spacing w:after="0"/>
              <w:rPr>
                <w:sz w:val="18"/>
                <w:szCs w:val="18"/>
                <w:color w:val="auto"/>
              </w:rPr>
            </w:pPr>
          </w:p>
        </w:tc>
        <w:tc>
          <w:tcPr>
            <w:tcW w:w="6460" w:type="dxa"/>
            <w:vAlign w:val="bottom"/>
            <w:gridSpan w:val="4"/>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60" w:type="dxa"/>
            <w:vAlign w:val="bottom"/>
            <w:gridSpan w:val="5"/>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460" w:type="dxa"/>
            <w:vAlign w:val="bottom"/>
            <w:gridSpan w:val="7"/>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ab/>
        <w:t>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6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THE UNAUDITED CONDENSED CONSOLIDATED FINANCIAL STATEMENTS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1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0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Condensed Consolidated Balance Sheets</w:t>
            </w:r>
          </w:p>
        </w:tc>
        <w:tc>
          <w:tcPr>
            <w:tcW w:w="660" w:type="dxa"/>
            <w:vAlign w:val="bottom"/>
            <w:tcBorders>
              <w:top w:val="single" w:sz="8" w:color="auto"/>
            </w:tcBorders>
            <w:gridSpan w:val="2"/>
          </w:tcPr>
          <w:p>
            <w:pPr>
              <w:jc w:val="center"/>
              <w:ind w:left="470"/>
              <w:spacing w:after="0" w:line="182" w:lineRule="exact"/>
              <w:rPr>
                <w:sz w:val="20"/>
                <w:szCs w:val="20"/>
                <w:color w:val="auto"/>
              </w:rPr>
            </w:pPr>
            <w:r>
              <w:rPr>
                <w:rFonts w:ascii="Times New Roman" w:cs="Times New Roman" w:eastAsia="Times New Roman" w:hAnsi="Times New Roman"/>
                <w:sz w:val="18"/>
                <w:szCs w:val="18"/>
                <w:b w:val="1"/>
                <w:bCs w:val="1"/>
                <w:color w:val="0000FF"/>
              </w:rPr>
              <w:t>1</w:t>
            </w:r>
          </w:p>
        </w:tc>
        <w:tc>
          <w:tcPr>
            <w:tcW w:w="54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Operations</w:t>
            </w:r>
          </w:p>
        </w:tc>
        <w:tc>
          <w:tcPr>
            <w:tcW w:w="6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0000FF"/>
              </w:rPr>
              <w:t>2</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Comprehensive Income</w:t>
            </w:r>
          </w:p>
        </w:tc>
        <w:tc>
          <w:tcPr>
            <w:tcW w:w="41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w:t>
            </w:r>
          </w:p>
        </w:tc>
        <w:tc>
          <w:tcPr>
            <w:tcW w:w="6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0000FF"/>
              </w:rPr>
              <w:t>4</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Stockholders' Equity</w:t>
            </w:r>
          </w:p>
        </w:tc>
        <w:tc>
          <w:tcPr>
            <w:tcW w:w="438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5</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Notes to Unaudited Condensed Consolidated Financial Statements</w:t>
            </w: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1.</w:t>
            </w:r>
          </w:p>
        </w:tc>
        <w:tc>
          <w:tcPr>
            <w:tcW w:w="14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Business Overview</w:t>
            </w:r>
          </w:p>
        </w:tc>
        <w:tc>
          <w:tcPr>
            <w:tcW w:w="7080" w:type="dxa"/>
            <w:vAlign w:val="bottom"/>
            <w:gridSpan w:val="15"/>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2.</w:t>
            </w:r>
          </w:p>
        </w:tc>
        <w:tc>
          <w:tcPr>
            <w:tcW w:w="16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Basis of Presentation</w:t>
            </w:r>
          </w:p>
        </w:tc>
        <w:tc>
          <w:tcPr>
            <w:tcW w:w="692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3.</w:t>
            </w:r>
          </w:p>
        </w:tc>
        <w:tc>
          <w:tcPr>
            <w:tcW w:w="856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0000FF"/>
              </w:rPr>
              <w:t>Revenue</w:t>
            </w:r>
          </w:p>
        </w:tc>
        <w:tc>
          <w:tcPr>
            <w:tcW w:w="6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0000FF"/>
              </w:rPr>
              <w:t>7</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4.</w:t>
            </w:r>
          </w:p>
        </w:tc>
        <w:tc>
          <w:tcPr>
            <w:tcW w:w="15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Earnings Per Share</w:t>
            </w:r>
          </w:p>
        </w:tc>
        <w:tc>
          <w:tcPr>
            <w:tcW w:w="702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9</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5.</w:t>
            </w:r>
          </w:p>
        </w:tc>
        <w:tc>
          <w:tcPr>
            <w:tcW w:w="340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Acquisition, Goodwill and Intangible Assets</w:t>
            </w:r>
          </w:p>
        </w:tc>
        <w:tc>
          <w:tcPr>
            <w:tcW w:w="5160" w:type="dxa"/>
            <w:vAlign w:val="bottom"/>
            <w:gridSpan w:val="6"/>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6.</w:t>
            </w:r>
          </w:p>
        </w:tc>
        <w:tc>
          <w:tcPr>
            <w:tcW w:w="856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0000FF"/>
              </w:rPr>
              <w:t>Accounts Payable and Other Accrued Expenses</w:t>
            </w:r>
          </w:p>
        </w:tc>
        <w:tc>
          <w:tcPr>
            <w:tcW w:w="6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0000FF"/>
                <w:w w:val="99"/>
              </w:rPr>
              <w:t>11</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7.</w:t>
            </w:r>
          </w:p>
        </w:tc>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Accrued Compensation and Benefits</w:t>
            </w:r>
          </w:p>
        </w:tc>
        <w:tc>
          <w:tcPr>
            <w:tcW w:w="840" w:type="dxa"/>
            <w:vAlign w:val="bottom"/>
            <w:gridSpan w:val="3"/>
          </w:tcPr>
          <w:p>
            <w:pPr>
              <w:spacing w:after="0"/>
              <w:rPr>
                <w:sz w:val="18"/>
                <w:szCs w:val="18"/>
                <w:color w:val="auto"/>
              </w:rPr>
            </w:pPr>
          </w:p>
        </w:tc>
        <w:tc>
          <w:tcPr>
            <w:tcW w:w="4880" w:type="dxa"/>
            <w:vAlign w:val="bottom"/>
            <w:gridSpan w:val="4"/>
          </w:tcPr>
          <w:p>
            <w:pPr>
              <w:spacing w:after="0"/>
              <w:rPr>
                <w:sz w:val="18"/>
                <w:szCs w:val="18"/>
                <w:color w:val="auto"/>
              </w:rPr>
            </w:pPr>
          </w:p>
        </w:tc>
        <w:tc>
          <w:tcPr>
            <w:tcW w:w="6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0000FF"/>
                <w:w w:val="99"/>
              </w:rPr>
              <w:t>11</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8.</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Debt</w:t>
            </w:r>
          </w:p>
        </w:tc>
        <w:tc>
          <w:tcPr>
            <w:tcW w:w="2440" w:type="dxa"/>
            <w:vAlign w:val="bottom"/>
            <w:gridSpan w:val="12"/>
          </w:tcPr>
          <w:p>
            <w:pPr>
              <w:spacing w:after="0"/>
              <w:rPr>
                <w:sz w:val="18"/>
                <w:szCs w:val="18"/>
                <w:color w:val="auto"/>
              </w:rPr>
            </w:pPr>
          </w:p>
        </w:tc>
        <w:tc>
          <w:tcPr>
            <w:tcW w:w="5720" w:type="dxa"/>
            <w:vAlign w:val="bottom"/>
            <w:gridSpan w:val="7"/>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12</w:t>
            </w: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9.</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Derivatives</w:t>
            </w:r>
          </w:p>
        </w:tc>
        <w:tc>
          <w:tcPr>
            <w:tcW w:w="7660" w:type="dxa"/>
            <w:vAlign w:val="bottom"/>
            <w:gridSpan w:val="17"/>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14</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10. Income Taxes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15</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11. Employee Benefit Plans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15</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12. Accumulated Other Comprehensive Income</w:t>
            </w:r>
          </w:p>
        </w:tc>
        <w:tc>
          <w:tcPr>
            <w:tcW w:w="5060" w:type="dxa"/>
            <w:vAlign w:val="bottom"/>
            <w:gridSpan w:val="5"/>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16</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rPr>
              <w:t>13. Stock-Based Compensation</w:t>
            </w:r>
          </w:p>
        </w:tc>
        <w:tc>
          <w:tcPr>
            <w:tcW w:w="5060" w:type="dxa"/>
            <w:vAlign w:val="bottom"/>
            <w:gridSpan w:val="5"/>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17</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14. Fair Value Measurements</w:t>
            </w:r>
          </w:p>
        </w:tc>
        <w:tc>
          <w:tcPr>
            <w:tcW w:w="120" w:type="dxa"/>
            <w:vAlign w:val="bottom"/>
          </w:tcPr>
          <w:p>
            <w:pPr>
              <w:spacing w:after="0"/>
              <w:rPr>
                <w:sz w:val="18"/>
                <w:szCs w:val="18"/>
                <w:color w:val="auto"/>
              </w:rPr>
            </w:pPr>
          </w:p>
        </w:tc>
        <w:tc>
          <w:tcPr>
            <w:tcW w:w="6340" w:type="dxa"/>
            <w:vAlign w:val="bottom"/>
            <w:gridSpan w:val="10"/>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17</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10"/>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15. Commitments and Contingencies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19</w:t>
            </w:r>
          </w:p>
        </w:tc>
        <w:tc>
          <w:tcPr>
            <w:tcW w:w="980" w:type="dxa"/>
            <w:vAlign w:val="bottom"/>
          </w:tcPr>
          <w:p>
            <w:pPr>
              <w:spacing w:after="0"/>
              <w:rPr>
                <w:sz w:val="18"/>
                <w:szCs w:val="18"/>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460" w:type="dxa"/>
            <w:vAlign w:val="bottom"/>
            <w:tcBorders>
              <w:top w:val="single" w:sz="8" w:color="0000FF"/>
            </w:tcBorders>
          </w:tcPr>
          <w:p>
            <w:pPr>
              <w:spacing w:after="0"/>
              <w:rPr>
                <w:sz w:val="24"/>
                <w:szCs w:val="24"/>
                <w:color w:val="auto"/>
              </w:rPr>
            </w:pPr>
          </w:p>
        </w:tc>
        <w:tc>
          <w:tcPr>
            <w:tcW w:w="67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7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7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data)</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6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554,257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2,047,342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137,310</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2,738,909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601,043</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2,343,789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290,152</w:t>
            </w:r>
          </w:p>
        </w:tc>
        <w:tc>
          <w:tcPr>
            <w:tcW w:w="0" w:type="dxa"/>
            <w:vAlign w:val="bottom"/>
          </w:tcPr>
          <w:p>
            <w:pPr>
              <w:spacing w:after="0"/>
              <w:rPr>
                <w:sz w:val="1"/>
                <w:szCs w:val="1"/>
                <w:color w:val="auto"/>
              </w:rPr>
            </w:pPr>
          </w:p>
        </w:tc>
      </w:tr>
      <w:tr>
        <w:trPr>
          <w:trHeight w:val="223"/>
        </w:trPr>
        <w:tc>
          <w:tcPr>
            <w:tcW w:w="8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6,640,787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6,563,688</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1,050,670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506,130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30,328</w:t>
            </w:r>
          </w:p>
        </w:tc>
        <w:tc>
          <w:tcPr>
            <w:tcW w:w="0" w:type="dxa"/>
            <w:vAlign w:val="bottom"/>
          </w:tcPr>
          <w:p>
            <w:pPr>
              <w:spacing w:after="0"/>
              <w:rPr>
                <w:sz w:val="1"/>
                <w:szCs w:val="1"/>
                <w:color w:val="auto"/>
              </w:rPr>
            </w:pPr>
          </w:p>
        </w:tc>
      </w:tr>
      <w:tr>
        <w:trPr>
          <w:trHeight w:val="223"/>
        </w:trPr>
        <w:tc>
          <w:tcPr>
            <w:tcW w:w="8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1,692,190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3,349,941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reserves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172,624</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5,517,126</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Class A - $0.01 par value - authorized: 600,000,000 shares;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issued: 167,705,104 and 167,402,268 shares at June 30, 2024 and March 31, 2024, respectively;</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129,350,374 and 129,643,123 shares at June 30, 2024 and March 31, 2024, respectively</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- 38,354,730 and 37,759,145 shares at June 30, 2024 and March 31, 2024</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(2,277,546)</w:t>
            </w:r>
          </w:p>
        </w:tc>
        <w:tc>
          <w:tcPr>
            <w:tcW w:w="0" w:type="dxa"/>
            <w:vAlign w:val="bottom"/>
          </w:tcPr>
          <w:p>
            <w:pPr>
              <w:spacing w:after="0"/>
              <w:rPr>
                <w:sz w:val="1"/>
                <w:szCs w:val="1"/>
                <w:color w:val="auto"/>
              </w:rPr>
            </w:pPr>
          </w:p>
        </w:tc>
      </w:tr>
      <w:tr>
        <w:trPr>
          <w:trHeight w:val="23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908,837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2,404,065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1,046,562</w:t>
            </w:r>
          </w:p>
        </w:tc>
        <w:tc>
          <w:tcPr>
            <w:tcW w:w="0" w:type="dxa"/>
            <w:vAlign w:val="bottom"/>
          </w:tcPr>
          <w:p>
            <w:pPr>
              <w:spacing w:after="0"/>
              <w:rPr>
                <w:sz w:val="1"/>
                <w:szCs w:val="1"/>
                <w:color w:val="auto"/>
              </w:rPr>
            </w:pPr>
          </w:p>
        </w:tc>
      </w:tr>
      <w:tr>
        <w:trPr>
          <w:trHeight w:val="223"/>
        </w:trPr>
        <w:tc>
          <w:tcPr>
            <w:tcW w:w="8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6,640,787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6,563,688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98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5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5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per share data)</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2,654,486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1,251,916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Billable expenses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812,304</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314,001</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41,847</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2,420,068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234,418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8"/>
                <w:szCs w:val="18"/>
                <w:color w:val="auto"/>
              </w:rPr>
            </w:pPr>
          </w:p>
        </w:tc>
        <w:tc>
          <w:tcPr>
            <w:tcW w:w="78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165,233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161,388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(Note 4):</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78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800" w:type="dxa"/>
            <w:vAlign w:val="bottom"/>
            <w:gridSpan w:val="2"/>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51"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1"/>
        </w:trPr>
        <w:tc>
          <w:tcPr>
            <w:tcW w:w="3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66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1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7"/>
        </w:trPr>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3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80" w:type="dxa"/>
            <w:vAlign w:val="bottom"/>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161,388</w:t>
            </w:r>
          </w:p>
        </w:tc>
      </w:tr>
      <w:tr>
        <w:trPr>
          <w:trHeight w:val="229"/>
        </w:trPr>
        <w:tc>
          <w:tcPr>
            <w:tcW w:w="38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unrealized gain (loss) on derivatives designated as cash flow hedges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29"/>
        </w:trPr>
        <w:tc>
          <w:tcPr>
            <w:tcW w:w="380" w:type="dxa"/>
            <w:vAlign w:val="bottom"/>
          </w:tcPr>
          <w:p>
            <w:pPr>
              <w:spacing w:after="0"/>
              <w:rPr>
                <w:sz w:val="19"/>
                <w:szCs w:val="19"/>
                <w:color w:val="auto"/>
              </w:rPr>
            </w:pPr>
          </w:p>
        </w:tc>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380" w:type="dxa"/>
            <w:vAlign w:val="bottom"/>
          </w:tcPr>
          <w:p>
            <w:pPr>
              <w:spacing w:after="0"/>
              <w:rPr>
                <w:sz w:val="19"/>
                <w:szCs w:val="19"/>
                <w:color w:val="auto"/>
              </w:rPr>
            </w:pPr>
          </w:p>
        </w:tc>
        <w:tc>
          <w:tcPr>
            <w:tcW w:w="7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23"/>
        </w:trPr>
        <w:tc>
          <w:tcPr>
            <w:tcW w:w="38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164,746</w:t>
            </w:r>
          </w:p>
        </w:tc>
      </w:tr>
      <w:tr>
        <w:trPr>
          <w:trHeight w:val="21"/>
        </w:trPr>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51" w:right="6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67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0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7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360" w:type="dxa"/>
            <w:vAlign w:val="bottom"/>
          </w:tcPr>
          <w:p>
            <w:pPr>
              <w:spacing w:after="0"/>
              <w:rPr>
                <w:sz w:val="22"/>
                <w:szCs w:val="22"/>
                <w:color w:val="auto"/>
              </w:rPr>
            </w:pPr>
          </w:p>
        </w:tc>
        <w:tc>
          <w:tcPr>
            <w:tcW w:w="26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losses on dispositions, and other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 and income taxes receivable / payable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for business acquisitions and dispositions, net of cash acquired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Payments for cost method investments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Stock option exercises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Repayments on revolving credit facility, term loans, and Senior Notes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Unpaid property, equipment and software purchases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3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5860" w:type="dxa"/>
            <w:vAlign w:val="bottom"/>
            <w:gridSpan w:val="1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340" w:type="dxa"/>
            <w:vAlign w:val="bottom"/>
            <w:gridSpan w:val="18"/>
          </w:tcPr>
          <w:p>
            <w:pPr>
              <w:jc w:val="center"/>
              <w:ind w:right="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2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940" w:type="dxa"/>
            <w:vAlign w:val="bottom"/>
            <w:gridSpan w:val="3"/>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9"/>
                <w:szCs w:val="9"/>
                <w:color w:val="auto"/>
              </w:rPr>
            </w:pPr>
          </w:p>
        </w:tc>
        <w:tc>
          <w:tcPr>
            <w:tcW w:w="920" w:type="dxa"/>
            <w:vAlign w:val="bottom"/>
            <w:vMerge w:val="restart"/>
          </w:tcPr>
          <w:p>
            <w:pPr>
              <w:jc w:val="right"/>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except share data)</w:t>
            </w:r>
          </w:p>
        </w:tc>
        <w:tc>
          <w:tcPr>
            <w:tcW w:w="1740" w:type="dxa"/>
            <w:vAlign w:val="bottom"/>
            <w:gridSpan w:val="4"/>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5"/>
                <w:szCs w:val="5"/>
                <w:color w:val="auto"/>
              </w:rPr>
            </w:pPr>
          </w:p>
        </w:tc>
        <w:tc>
          <w:tcPr>
            <w:tcW w:w="2040" w:type="dxa"/>
            <w:vAlign w:val="bottom"/>
            <w:gridSpan w:val="3"/>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vMerge w:val="restart"/>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Paid-In</w:t>
            </w:r>
          </w:p>
        </w:tc>
        <w:tc>
          <w:tcPr>
            <w:tcW w:w="9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167,402,268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(37,759,145)</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(2,277,546)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908,837</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2,404,065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stock </w:t>
            </w:r>
            <w:r>
              <w:rPr>
                <w:rFonts w:ascii="Times New Roman" w:cs="Times New Roman" w:eastAsia="Times New Roman" w:hAnsi="Times New Roman"/>
                <w:sz w:val="23"/>
                <w:szCs w:val="23"/>
                <w:color w:val="auto"/>
                <w:vertAlign w:val="superscript"/>
              </w:rPr>
              <w:t>(1)</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(595,585)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165,233</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2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Dividends paid of $0.51 per</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common stock</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(67,389)</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167,705,104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(38,354,730)</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(2,367,452)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940,404</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2,501,909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1,083,941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165,872,332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(34,234,744)</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(1,859,905)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769,460</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2,051,455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992,002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stock </w:t>
            </w:r>
            <w:r>
              <w:rPr>
                <w:rFonts w:ascii="Times New Roman" w:cs="Times New Roman" w:eastAsia="Times New Roman" w:hAnsi="Times New Roman"/>
                <w:sz w:val="23"/>
                <w:szCs w:val="23"/>
                <w:color w:val="auto"/>
                <w:vertAlign w:val="superscript"/>
              </w:rPr>
              <w:t>(2)</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(1,170,169)</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161,388</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net of tax</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2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Dividends paid of $0.47 per</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common stock</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(62,482)</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166,521,283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(35,404,913)</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(1,972,886)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805,240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2,150,361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1,017,071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166"/>
        <w:spacing w:after="0" w:line="235" w:lineRule="auto"/>
        <w:tabs>
          <w:tab w:leader="none" w:pos="679"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June 30, 2024, the Company purchased 0.5 million shares of the Company’s Class A Common Stock in a series of open market transactions for $78.3 million. Additionally, the Company repurchased shares for $11.6 million during the three months ended June 30, 2024 to cover the minimum statutory taxes on repurchases and restricted stock units that vested on various dates during the period.</w:t>
      </w:r>
    </w:p>
    <w:p>
      <w:pPr>
        <w:spacing w:after="0" w:line="91" w:lineRule="exact"/>
        <w:rPr>
          <w:rFonts w:ascii="Times New Roman" w:cs="Times New Roman" w:eastAsia="Times New Roman" w:hAnsi="Times New Roman"/>
          <w:sz w:val="23"/>
          <w:szCs w:val="23"/>
          <w:color w:val="auto"/>
          <w:vertAlign w:val="superscript"/>
        </w:rPr>
      </w:pPr>
    </w:p>
    <w:p>
      <w:pPr>
        <w:ind w:left="660" w:hanging="166"/>
        <w:spacing w:after="0" w:line="235" w:lineRule="auto"/>
        <w:tabs>
          <w:tab w:leader="none" w:pos="679"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June 30, 2023, the Company purchased 1.0 million shares of the Company’s Class A Common Stock in a series of open market transactions for $100.1 million. Additionally, the Company repurchased shares for $12.9 million during the three months ended June 30, 2023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6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2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cyber services and artificial intelligence to U.S. and international governments, major corporations, and not-for-profit organizations. The Company reports operating results and financial data in one reportable segment. The Company is headquartered in McLean, Virginia, with approximately 35,100 employees as of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(“GAAP”) and the rules and regulations of the U.S. Securities and Exchange Commission (the “SEC”) and should be read in conjunction with the information contained in the Company's Annual Report on Form 10-K for the year ended March 31, 2024.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months ended June 30, 2024 are not necessarily indicative of results to be expected for the full fiscal year.</w:t>
      </w:r>
    </w:p>
    <w:p>
      <w:pPr>
        <w:spacing w:after="0" w:line="8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other entities over which the Company has a controlling financial interest or where the Company is a primary beneficiary.</w:t>
      </w:r>
    </w:p>
    <w:p>
      <w:pPr>
        <w:spacing w:after="0" w:line="5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Certain amounts reported in the Company's prior fiscal year condensed consolidated financial statements have been reclassified to conform to the current fiscal year presentation.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Variable Interest Entities and Other Investments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invests in certain companies that advance or develop new technologies applicable to its business. Each investment is evaluated for consolidation under the variable interest entities model and/or the voting interest model. The results of these investments are not material to the unaudited condensed and consolidated financial statements for the periods presented.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accounted for under the measurement alternative. As of June 30, 2024 and March 31, 2024, respectively, the total of equity and other investments related to unconsolidated entities included in other long term assets of the Company’s condensed consolidated balance sheet were $44.4 million and $42.0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expected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6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which enhances reportable segment disclosure requirements, including significant segment expenses and interim disclosures (“Topic 280”). The guidance allows for disclosure of multiple measures of a segment’s profit or loss, and it requires that public entities with a single reportable segment provide all disclosures required by the ASU and all existing disclosures in Topic 280. ASU 2023-07 is effective for annual periods beginning after December 15, 2023 and interim periods within fiscal years beginning after December 15, 2024. The amendments are to be applied retrospectively, and early adoption is permitted. The Company is currently assessing the impact of this update and does not expect this update to have a material impact on its present or historical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revenues from contracts with customers (clients) are derived from offerings that include management and technology consulting services, analytics, digital solutions, engineering, mission operations, cyber services and artificial intelligence, substantially all with the U.S. government and its agencies and, to a lesser extent, subcontractors. The Company also serves foreign governments, as well as domestic and international commercial clients. The Company performs and generates revenue under three basic types of contracts, which include cost-reimbursable contracts, time-and-materials contracts, and fixed-price contracts.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months ended June 30, 2024 and 2023, the aggregate impact of adjustments in contract estimates was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Contract Type: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performs and generates revenue under the following three basic types of contracts:</w:t>
      </w:r>
    </w:p>
    <w:p>
      <w:pPr>
        <w:spacing w:after="0" w:line="117" w:lineRule="exact"/>
        <w:rPr>
          <w:sz w:val="20"/>
          <w:szCs w:val="20"/>
          <w:color w:val="auto"/>
        </w:rPr>
      </w:pPr>
    </w:p>
    <w:p>
      <w:pPr>
        <w:ind w:left="660" w:right="620" w:hanging="247"/>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53" w:lineRule="exact"/>
        <w:rPr>
          <w:rFonts w:ascii="Times New Roman" w:cs="Times New Roman" w:eastAsia="Times New Roman" w:hAnsi="Times New Roman"/>
          <w:sz w:val="18"/>
          <w:szCs w:val="18"/>
          <w:color w:val="auto"/>
        </w:rPr>
      </w:pPr>
    </w:p>
    <w:p>
      <w:pPr>
        <w:jc w:val="both"/>
        <w:ind w:left="660" w:right="240" w:hanging="247"/>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67" w:lineRule="exact"/>
        <w:rPr>
          <w:rFonts w:ascii="Times New Roman" w:cs="Times New Roman" w:eastAsia="Times New Roman" w:hAnsi="Times New Roman"/>
          <w:sz w:val="18"/>
          <w:szCs w:val="18"/>
          <w:color w:val="auto"/>
        </w:rPr>
      </w:pPr>
    </w:p>
    <w:p>
      <w:pPr>
        <w:ind w:left="660" w:right="280" w:hanging="247"/>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4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total revenue for each type of contract:</w:t>
      </w:r>
    </w:p>
    <w:p>
      <w:pPr>
        <w:spacing w:after="0" w:line="14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57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1,659,923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1,450,184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32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670,568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635,733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611,306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568,569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2,941,797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2,654,486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 by Customer Type:</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20" w:type="dxa"/>
            <w:vAlign w:val="bottom"/>
            <w:gridSpan w:val="4"/>
          </w:tcPr>
          <w:p>
            <w:pPr>
              <w:jc w:val="right"/>
              <w:ind w:right="85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Defense Clients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1,416,870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1,224,317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Intelligence Clients</w:t>
            </w:r>
          </w:p>
        </w:tc>
        <w:tc>
          <w:tcPr>
            <w:tcW w:w="32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461,039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476,497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Civil Clients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1,063,888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953,672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2,941,797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2,654,486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8"/>
        <w:spacing w:after="0" w:line="287" w:lineRule="auto"/>
        <w:tabs>
          <w:tab w:leader="none" w:pos="165"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As of the first quarter of fiscal 2025, Civil Clients includes revenue from Global Commercial Clients, which was previously separately reported. Prior periods’ revenues have been recast to reflect the change.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Whether the Company Acts as a Prime Contractor or a Subcontractor:</w:t>
      </w:r>
    </w:p>
    <w:p>
      <w:pPr>
        <w:spacing w:after="0" w:line="4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57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top w:val="single" w:sz="8" w:color="auto"/>
              <w:bottom w:val="single" w:sz="8" w:color="auto"/>
            </w:tcBorders>
          </w:tcPr>
          <w:p>
            <w:pPr>
              <w:spacing w:after="0"/>
              <w:rPr>
                <w:sz w:val="19"/>
                <w:szCs w:val="19"/>
                <w:color w:val="auto"/>
              </w:rPr>
            </w:pPr>
          </w:p>
        </w:tc>
      </w:tr>
      <w:tr>
        <w:trPr>
          <w:trHeight w:val="22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 Contractor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2,807,685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2,517,558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Subcontractor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134,112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136,928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8"/>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2,941,797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2,654,486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7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and March 31, 2024, the Company had $9.6 billion and $8.7 billion of remaining performance obligations, respectively. We expect to recognize approximately 70% of the remaining performance obligations at June 30, 2024 as revenue over the next 12 months, and approximately 80% over the next 24 months. The remainder is expected to be recognized thereafter.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40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each of the three months ended June 30, 2024 and 2023.</w:t>
      </w:r>
    </w:p>
    <w:p>
      <w:pPr>
        <w:spacing w:after="0" w:line="84"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160"/>
              <w:spacing w:after="0" w:line="185"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c>
          <w:tcPr>
            <w:tcW w:w="1300" w:type="dxa"/>
            <w:vAlign w:val="bottom"/>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7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847,174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700,066</w:t>
            </w: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1,434,759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1,347,577</w:t>
            </w:r>
          </w:p>
        </w:tc>
      </w:tr>
      <w:tr>
        <w:trPr>
          <w:trHeight w:val="229"/>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2,281,581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2,047,342</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57,355</w:t>
            </w:r>
          </w:p>
        </w:tc>
      </w:tr>
      <w:tr>
        <w:trPr>
          <w:trHeight w:val="223"/>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2,339,254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2,104,697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billings in excess of costs incurred and deferred revenue (contract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21,966</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w:t>
            </w:r>
          </w:p>
        </w:tc>
      </w:tr>
    </w:tbl>
    <w:p>
      <w:pPr>
        <w:spacing w:after="0" w:line="125" w:lineRule="exact"/>
        <w:rPr>
          <w:sz w:val="20"/>
          <w:szCs w:val="20"/>
          <w:color w:val="auto"/>
        </w:rPr>
      </w:pPr>
    </w:p>
    <w:p>
      <w:pPr>
        <w:jc w:val="both"/>
        <w:ind w:right="340" w:firstLine="405"/>
        <w:spacing w:after="0" w:line="258"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the three months ended June 30, 2024 and 2023, we recognized revenue of $8.4 million and $14.4 million, respectively, related to our contract liabilities on April 1, 2024 and 2023,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6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earnings per share amounts based on net income for the periods presented. The Company uses the weighted average number of shares of common stock outstanding during the period to calculate basic earnings per share, or EPS. Diluted EPS adjusts the weighted average number of shares outstanding to include the dilutive effect of outstanding common stock options and other stock-based awards.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Holders of certain unvested Class A Restricted Common Stock are entitled to participate in non-forfeitable dividends or other distributions (“participating securities”). These unvested restricted shares participated in the Company's dividends declared and paid in the first quarter of fiscal 2025 and 2024.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6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62"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77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Numerator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Earnings for basic computations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164,433</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Earnings for diluted computations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stock shares outstanding, basic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129,387,052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131,031,979</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530,211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498,654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Weighted-average common stock shares outstanding, diluted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129,917,263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131,530,633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0" w:hanging="171"/>
        <w:spacing w:after="0" w:line="221" w:lineRule="auto"/>
        <w:tabs>
          <w:tab w:leader="none" w:pos="411" w:val="left"/>
        </w:tabs>
        <w:numPr>
          <w:ilvl w:val="1"/>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0.6 million and 1.0 million shares of participating securities for the three months ended June 30, 2024 and 2023, respectively.</w:t>
      </w:r>
    </w:p>
    <w:p>
      <w:pPr>
        <w:spacing w:after="0" w:line="1" w:lineRule="exact"/>
        <w:rPr>
          <w:rFonts w:ascii="Times New Roman" w:cs="Times New Roman" w:eastAsia="Times New Roman" w:hAnsi="Times New Roman"/>
          <w:sz w:val="23"/>
          <w:szCs w:val="23"/>
          <w:color w:val="auto"/>
          <w:vertAlign w:val="superscript"/>
        </w:rPr>
      </w:pPr>
    </w:p>
    <w:p>
      <w:pPr>
        <w:ind w:left="340" w:hanging="251"/>
        <w:spacing w:after="0" w:line="220" w:lineRule="auto"/>
        <w:tabs>
          <w:tab w:leader="none" w:pos="340" w:val="left"/>
        </w:tabs>
        <w:numPr>
          <w:ilvl w:val="1"/>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anti-dilutive options excluded from the calculation of EPS was not material during the periods presented.</w:t>
      </w:r>
    </w:p>
    <w:p>
      <w:pPr>
        <w:spacing w:after="0" w:line="86"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21"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On June 7, 2024, the Company completed the acquisition of PAR Government Systems Corporation (“PGSC”), a wholly owned subsidiary of PAR Technology Corporation, for approximately $94.8 million, net of post-closing adjustments and incurred transaction costs as part of the acquisition. PGSC was founded in 1985 and headquartered in Rome, New York, and delivers differentiated services and solutions in strategic mission areas, including the provision of real-time communications and mobile situational awareness to maintain battlespace dominance for a range of government customers. The acquisition was funded with cash on hand. As a result of the transaction, PGSC became a wholly owned subsidiary of Booz Allen Hamilton Inc.</w:t>
      </w:r>
    </w:p>
    <w:p>
      <w:pPr>
        <w:spacing w:after="0" w:line="6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purchase agreement, the purchase price is subject to post-closing working capital and other customary adjustments. The final purchase price allocations will be completed after the underlying information has been finalized and agreed upon by the seller and the Company.</w:t>
      </w:r>
    </w:p>
    <w:p>
      <w:pPr>
        <w:spacing w:after="0" w:line="40" w:lineRule="exact"/>
        <w:rPr>
          <w:sz w:val="20"/>
          <w:szCs w:val="20"/>
          <w:color w:val="auto"/>
        </w:rPr>
      </w:pPr>
    </w:p>
    <w:p>
      <w:pPr>
        <w:ind w:right="140" w:firstLine="405"/>
        <w:spacing w:after="0" w:line="245" w:lineRule="auto"/>
        <w:rPr>
          <w:sz w:val="20"/>
          <w:szCs w:val="20"/>
          <w:color w:val="auto"/>
        </w:rPr>
      </w:pPr>
      <w:r>
        <w:rPr>
          <w:rFonts w:ascii="Times New Roman" w:cs="Times New Roman" w:eastAsia="Times New Roman" w:hAnsi="Times New Roman"/>
          <w:sz w:val="18"/>
          <w:szCs w:val="18"/>
          <w:color w:val="auto"/>
        </w:rPr>
        <w:t>The acquisition is accounted for under the acquisition method of accounting, which requires the total acquisition consideration to be allocated to the assets acquired and liabilities assumed based on an estimate of the acquisition date fair value, with the difference reflected in goodwill. The preliminary goodwill of $50.3 million is primarily attributable to the expected synergies between the Company and PGSC and PGSC’s specialized workforce and is deductible for tax purposes.</w:t>
      </w:r>
    </w:p>
    <w:p>
      <w:pPr>
        <w:spacing w:after="0" w:line="5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preliminarily recognized $33.7 million of intangible assets which consists primarily of contract assets and are being amortized over the estimated useful life of twelve years.</w:t>
      </w:r>
    </w:p>
    <w:p>
      <w:pPr>
        <w:spacing w:after="0" w:line="6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valuation of PGSC’s assets acquired and liabilities assumed are preliminary and based on valuation estimates and assumptions.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and March 31, 2024, goodwill was $2,394.1 million and $2,343.8 million, respectively. The $50.3 million increase in the carrying amount of goodwill was attributable the Company's acquisition of PGSC.</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Programs and contract assets, channel</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relationships, and other amortizable intangible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237,764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354,131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327,336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410,843</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$43.9 million increase in the gross carrying amount of intangible assets was primarily attributable the Company's acquisition of PGSC, with the remainder resulting from increases in the Company’s internally developed software.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Other Accrued Expenses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7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Accounts payable and other accrued expenses consisted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46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22"/>
                <w:szCs w:val="22"/>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460" w:type="dxa"/>
            <w:vAlign w:val="bottom"/>
          </w:tcPr>
          <w:p>
            <w:pPr>
              <w:spacing w:after="0"/>
              <w:rPr>
                <w:sz w:val="20"/>
                <w:szCs w:val="20"/>
                <w:color w:val="auto"/>
              </w:rPr>
            </w:pPr>
          </w:p>
        </w:tc>
        <w:tc>
          <w:tcPr>
            <w:tcW w:w="7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46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653,131</w:t>
            </w:r>
          </w:p>
        </w:tc>
      </w:tr>
      <w:tr>
        <w:trPr>
          <w:trHeight w:val="230"/>
        </w:trPr>
        <w:tc>
          <w:tcPr>
            <w:tcW w:w="46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397,539</w:t>
            </w:r>
          </w:p>
        </w:tc>
      </w:tr>
      <w:tr>
        <w:trPr>
          <w:trHeight w:val="248"/>
        </w:trPr>
        <w:tc>
          <w:tcPr>
            <w:tcW w:w="46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1,050,670</w:t>
            </w:r>
          </w:p>
        </w:tc>
      </w:tr>
      <w:tr>
        <w:trPr>
          <w:trHeight w:val="20"/>
        </w:trPr>
        <w:tc>
          <w:tcPr>
            <w:tcW w:w="46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Accrued expenses consisted primarily of the Company’s provision for claimed indirect costs (approximately $374.8 million and $363.7 million as of June 30, 2024 and March 31, 2024, respectively). See Note 15, “Commitments and Contingencies,” to the condensed consolidated financial statements for further discussion of this item.</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2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consisted of the following on the dates below:</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440" w:type="dxa"/>
            <w:vAlign w:val="bottom"/>
          </w:tcPr>
          <w:p>
            <w:pPr>
              <w:spacing w:after="0"/>
              <w:rPr>
                <w:sz w:val="23"/>
                <w:szCs w:val="23"/>
                <w:color w:val="auto"/>
              </w:rPr>
            </w:pPr>
          </w:p>
        </w:tc>
        <w:tc>
          <w:tcPr>
            <w:tcW w:w="27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3"/>
                <w:szCs w:val="23"/>
                <w:color w:val="auto"/>
              </w:rPr>
            </w:pPr>
          </w:p>
        </w:tc>
        <w:tc>
          <w:tcPr>
            <w:tcW w:w="27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169"/>
        </w:trPr>
        <w:tc>
          <w:tcPr>
            <w:tcW w:w="5440" w:type="dxa"/>
            <w:vAlign w:val="bottom"/>
          </w:tcPr>
          <w:p>
            <w:pPr>
              <w:spacing w:after="0"/>
              <w:rPr>
                <w:sz w:val="14"/>
                <w:szCs w:val="14"/>
                <w:color w:val="auto"/>
              </w:rPr>
            </w:pPr>
          </w:p>
        </w:tc>
        <w:tc>
          <w:tcPr>
            <w:tcW w:w="14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4"/>
                <w:szCs w:val="14"/>
                <w:color w:val="auto"/>
              </w:rPr>
            </w:pPr>
          </w:p>
        </w:tc>
        <w:tc>
          <w:tcPr>
            <w:tcW w:w="12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4"/>
                <w:szCs w:val="14"/>
                <w:color w:val="auto"/>
              </w:rPr>
            </w:pPr>
          </w:p>
        </w:tc>
        <w:tc>
          <w:tcPr>
            <w:tcW w:w="1560" w:type="dxa"/>
            <w:vAlign w:val="bottom"/>
            <w:gridSpan w:val="3"/>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2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41"/>
        </w:trPr>
        <w:tc>
          <w:tcPr>
            <w:tcW w:w="544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5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5"/>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1,577,813</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1,588,125</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due 2033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r>
      <w:tr>
        <w:trPr>
          <w:trHeight w:val="22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3,402,539</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3,411,816</w:t>
            </w:r>
          </w:p>
        </w:tc>
      </w:tr>
      <w:tr>
        <w:trPr>
          <w:trHeight w:val="229"/>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r>
      <w:tr>
        <w:trPr>
          <w:trHeight w:val="223"/>
        </w:trPr>
        <w:tc>
          <w:tcPr>
            <w:tcW w:w="5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3,330,351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3,349,941</w:t>
            </w:r>
          </w:p>
        </w:tc>
      </w:tr>
      <w:tr>
        <w:trPr>
          <w:trHeight w:val="20"/>
        </w:trPr>
        <w:tc>
          <w:tcPr>
            <w:tcW w:w="5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June 30, 2024, the Credit Agreement provided Booz Allen Hamilton with a $1,577.8 million Term Loan A (“Term Loan A”) and a $1.0 billion revolving credit facility (the “Revolving Credit Facility”), with a sub-limit for letters of credit of $200.0 million. As of June 30, 2024, the maturity date of Term Loan A and the Revolving Commitments is September 7, 2027. Voluntary prepayments of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8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86"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7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400"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80"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Company occasionally borrows under the Revolving Credit Facility for our working capital needs. During the first quarter of fiscal 2024, we borrowed $75.0 million on our Revolving Credit Facility for working capital needs, which was subsequently repaid in the second quarter of fiscal 2024. There were no borrowings during the first quarter of fiscal 2025 and as of June 30, 2024 and March 31, 2024, respectively, there was no outstanding balance on the Revolving Credit Facility.</w:t>
      </w:r>
    </w:p>
    <w:p>
      <w:pPr>
        <w:spacing w:after="0" w:line="7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Borrowings under Term Loan A, and if used, the Revolving Credit Facility, incur interest at a variable rate. As of June 30, 2024, The Company had interest rate swaps with an aggregate notional amount of $550.0 million. These instruments hedge the variability of cash outflows for interest payments on a portion of the Company’s floating rate borrowings under the Credit Agreement. The Company's objectives in using cash flow hedges are to reduce volatility due to interest rate movements and to add stability to interest expense (See Note 9, “Derivatives,” to our condensed consolidated financial statements).</w:t>
      </w:r>
    </w:p>
    <w:p>
      <w:pPr>
        <w:spacing w:after="0" w:line="75"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Interest payments made on the Company’s term loan during the quarter ended June 30, 2024 and 2023, respectively, were $26.8 million and $26.1 million.</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specifically the consolidated net total leverage ratio. As of June 30, 2024 and March 31, 2024, Booz Allen Hamilton was in compliance with all financial covenants associated with its debt and debt-like instruments.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material terms of the Company’s Senior Notes as of June 30, 2024:</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8"/>
        </w:trPr>
        <w:tc>
          <w:tcPr>
            <w:tcW w:w="1800" w:type="dxa"/>
            <w:vAlign w:val="bottom"/>
          </w:tcPr>
          <w:p>
            <w:pPr>
              <w:spacing w:after="0"/>
              <w:rPr>
                <w:sz w:val="20"/>
                <w:szCs w:val="20"/>
                <w:color w:val="auto"/>
              </w:rPr>
            </w:pPr>
          </w:p>
        </w:tc>
        <w:tc>
          <w:tcPr>
            <w:tcW w:w="1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Indenture Date</w:t>
            </w: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Payable</w:t>
            </w:r>
          </w:p>
        </w:tc>
        <w:tc>
          <w:tcPr>
            <w:tcW w:w="16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Issuance Costs</w:t>
            </w:r>
          </w:p>
        </w:tc>
      </w:tr>
      <w:tr>
        <w:trPr>
          <w:trHeight w:val="27"/>
        </w:trPr>
        <w:tc>
          <w:tcPr>
            <w:tcW w:w="18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4"/>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176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8/4/2023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5.950%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8/4/2033</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and August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r>
      <w:tr>
        <w:trPr>
          <w:trHeight w:val="28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6/17/2021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and January 1</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7"/>
        </w:trPr>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11"/>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76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8/24/2020</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9/1/2028</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and September 1</w:t>
            </w: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28"/>
        </w:trPr>
        <w:tc>
          <w:tcPr>
            <w:tcW w:w="1800" w:type="dxa"/>
            <w:vAlign w:val="bottom"/>
          </w:tcPr>
          <w:p>
            <w:pPr>
              <w:spacing w:after="0"/>
              <w:rPr>
                <w:sz w:val="19"/>
                <w:szCs w:val="19"/>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w:t>
            </w:r>
          </w:p>
        </w:tc>
      </w:tr>
      <w:tr>
        <w:trPr>
          <w:trHeight w:val="22"/>
        </w:trPr>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Interest is payable semi-annually in cash in arrears, with the principal due at maturity. Issuance Costs were recorded as an offset against the carrying value of respective debt and are being amortized to interest expense over the term of the respective debt. For further information on the Senior Notes, including terms, conditions, restrictions and redemption options, see Note 10, “Debt,” of the Company’s consolidated financial statements included in the fiscal 2024 Annual Report on Form 10-K.</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All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 The Senior Notes due 2033 are fully and unconditionally guaranteed on an unsecured and unsubordinated basis by Booz Allen Hamilton Holding Corporation, pursuant to the relevant indenture.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consisted of the following:</w:t>
      </w:r>
    </w:p>
    <w:p>
      <w:pPr>
        <w:spacing w:after="0" w:line="3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840" w:type="dxa"/>
        <w:tblCellMar>
          <w:top w:w="0" w:type="dxa"/>
          <w:left w:w="0" w:type="dxa"/>
          <w:bottom w:w="0" w:type="dxa"/>
          <w:right w:w="0" w:type="dxa"/>
        </w:tblCellMar>
      </w:tblPr>
      <w:tr>
        <w:trPr>
          <w:trHeight w:val="236"/>
        </w:trPr>
        <w:tc>
          <w:tcPr>
            <w:tcW w:w="7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6"/>
        </w:trPr>
        <w:tc>
          <w:tcPr>
            <w:tcW w:w="7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shd w:val="clear" w:color="auto" w:fill="CCEEFF"/>
          </w:tcPr>
          <w:p>
            <w:pPr>
              <w:spacing w:after="0"/>
              <w:rPr>
                <w:sz w:val="17"/>
                <w:szCs w:val="17"/>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26,103</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r>
      <w:tr>
        <w:trPr>
          <w:trHeight w:val="230"/>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Issuance Cost (DIC) and Original Issue Discount (OID)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35,474</w:t>
            </w: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20" w:right="80" w:hanging="164"/>
        <w:spacing w:after="0" w:line="272" w:lineRule="auto"/>
        <w:tabs>
          <w:tab w:leader="none" w:pos="823" w:val="left"/>
        </w:tabs>
        <w:numPr>
          <w:ilvl w:val="1"/>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Company’s Revolving Credit Facility is recorded as a long-term asset on the condensed consolidated balance sheet and amortized ratably over the term of the Revolving Credit Facility.</w:t>
      </w:r>
    </w:p>
    <w:p>
      <w:pPr>
        <w:spacing w:after="0" w:line="61"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material terms of the Company’s outstanding interest rate swap derivative contracts as of June 30, 2024:</w:t>
      </w:r>
    </w:p>
    <w:p>
      <w:pPr>
        <w:spacing w:after="0" w:line="46" w:lineRule="exact"/>
        <w:rPr>
          <w:sz w:val="20"/>
          <w:szCs w:val="20"/>
          <w:color w:val="auto"/>
        </w:rPr>
      </w:pPr>
    </w:p>
    <w:tbl>
      <w:tblPr>
        <w:tblLayout w:type="fixed"/>
        <w:tblInd w:w="2420" w:type="dxa"/>
        <w:tblCellMar>
          <w:top w:w="0" w:type="dxa"/>
          <w:left w:w="0" w:type="dxa"/>
          <w:bottom w:w="0" w:type="dxa"/>
          <w:right w:w="0" w:type="dxa"/>
        </w:tblCellMar>
      </w:tblPr>
      <w:tr>
        <w:trPr>
          <w:trHeight w:val="238"/>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5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223"/>
        </w:trPr>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28, 2023</w:t>
            </w:r>
          </w:p>
        </w:tc>
        <w:tc>
          <w:tcPr>
            <w:tcW w:w="1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30, 2025</w:t>
            </w:r>
          </w:p>
        </w:tc>
        <w:tc>
          <w:tcPr>
            <w:tcW w:w="15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Variable to Fixed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30, 2026</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Variable to Fixed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1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30, 2027</w:t>
            </w:r>
          </w:p>
        </w:tc>
        <w:tc>
          <w:tcPr>
            <w:tcW w:w="15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Variable to Fixed</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8"/>
        </w:trPr>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bl>
    <w:p>
      <w:pPr>
        <w:spacing w:after="0" w:line="16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6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Derivative instruments are recorded in the condensed consolidated balance sheet on a gross basis at estimated fair value. As of June 30, 2024, $8.3 million, $0.6 million and $1.7 million were classified as other current assets, other long-term assets and other long-term liabilities, respectively, on the condensed consolidated balance sheet. As of March 31, 2024, $8.7 million and $1.6 million were classified as other current assets and other long-term assets, respectively, on the condensed consolidated balance sheet.</w:t>
      </w:r>
    </w:p>
    <w:p>
      <w:pPr>
        <w:spacing w:after="0" w:line="7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For interest rate swaps designated as cash flow hedges, the changes in the fair value of derivatives are recorded in Accumulated Other Comprehensive Income (“AOCI”), net of taxes, and are subsequently reclassified into interest expense, net in the period that the hedged forecasted interest payments are made on the Company's variable-rate debt. The effect of derivative instruments on the accompanying condensed consolidated financial statements for the periods presented is as follows: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Pre-Tax Gain Recognized in AOCI</w:t>
            </w:r>
          </w:p>
        </w:tc>
        <w:tc>
          <w:tcPr>
            <w:tcW w:w="29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Pre-Tax Gain Reclassified from AOCI</w:t>
            </w:r>
          </w:p>
        </w:tc>
        <w:tc>
          <w:tcPr>
            <w:tcW w:w="0" w:type="dxa"/>
            <w:vAlign w:val="bottom"/>
          </w:tcPr>
          <w:p>
            <w:pPr>
              <w:spacing w:after="0"/>
              <w:rPr>
                <w:sz w:val="1"/>
                <w:szCs w:val="1"/>
                <w:color w:val="auto"/>
              </w:rPr>
            </w:pPr>
          </w:p>
        </w:tc>
      </w:tr>
      <w:tr>
        <w:trPr>
          <w:trHeight w:val="241"/>
        </w:trPr>
        <w:tc>
          <w:tcPr>
            <w:tcW w:w="1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on Derivatives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into Income</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Derivatives in Cash</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 or (Loss)</w:t>
            </w:r>
          </w:p>
        </w:tc>
        <w:tc>
          <w:tcPr>
            <w:tcW w:w="340" w:type="dxa"/>
            <w:vAlign w:val="bottom"/>
          </w:tcPr>
          <w:p>
            <w:pPr>
              <w:spacing w:after="0"/>
              <w:rPr>
                <w:sz w:val="24"/>
                <w:szCs w:val="24"/>
                <w:color w:val="auto"/>
              </w:rPr>
            </w:pPr>
          </w:p>
        </w:tc>
        <w:tc>
          <w:tcPr>
            <w:tcW w:w="26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24"/>
                <w:szCs w:val="24"/>
                <w:color w:val="auto"/>
              </w:rPr>
            </w:pPr>
          </w:p>
        </w:tc>
        <w:tc>
          <w:tcPr>
            <w:tcW w:w="26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8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8"/>
              </w:rPr>
              <w:t>Flow Hedging</w:t>
            </w:r>
          </w:p>
        </w:tc>
        <w:tc>
          <w:tcPr>
            <w:tcW w:w="24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Recognized in Income on</w:t>
            </w: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739 $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3,760 $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estimates that $8.3 million will be reclassified as a decrease to interest expense. Cash flows associated with periodic settlements of interest rate swaps will be classified as operating activities in the condensed consolidated statement of cash flows.</w:t>
      </w:r>
    </w:p>
    <w:p>
      <w:pPr>
        <w:spacing w:after="0" w:line="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diversifying across multiple counterparties, and regularly reviewing credit exposure and the creditworthiness of each counterparty.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22.9% and 19.7% for the three months ended June 30, 2024 and 2023,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and March 31, 2024 the Company recorded $120.0 million and $115.4 million, respectively, of reserves for uncertain tax positions primarily related to research and development tax credits.</w:t>
      </w:r>
    </w:p>
    <w:p>
      <w:pPr>
        <w:spacing w:after="0" w:line="54" w:lineRule="exact"/>
        <w:rPr>
          <w:sz w:val="20"/>
          <w:szCs w:val="20"/>
          <w:color w:val="auto"/>
        </w:rPr>
      </w:pPr>
    </w:p>
    <w:p>
      <w:pPr>
        <w:ind w:right="220" w:firstLine="405"/>
        <w:spacing w:after="0" w:line="273" w:lineRule="auto"/>
        <w:rPr>
          <w:sz w:val="20"/>
          <w:szCs w:val="20"/>
          <w:color w:val="auto"/>
        </w:rPr>
      </w:pPr>
      <w:r>
        <w:rPr>
          <w:rFonts w:ascii="Times New Roman" w:cs="Times New Roman" w:eastAsia="Times New Roman" w:hAnsi="Times New Roman"/>
          <w:sz w:val="18"/>
          <w:szCs w:val="18"/>
          <w:color w:val="auto"/>
        </w:rPr>
        <w:t>As of June 30, 2024 and March 31, 2024, the Company has recorded both a current income tax receivable (classified as prepaid expenses and other current assets) and a current income tax payable (classified as other current liabilities) on its condensed consolidated balance sheet. These amounts are</w:t>
      </w:r>
    </w:p>
    <w:p>
      <w:pPr>
        <w:spacing w:after="0" w:line="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reflective of fiscal 2024 and 2025 tax accruals in each U.S. Federal, state, and foreign jurisdiction, as adjusted for estimated payments made to date. In addition, as of both June 30, 2024 and March 31, 2024, the Company has recorded a long-term income tax receivable of $152.5 million, which represents the amended U.S. federal return refund claims for research and development tax credits and the carryback claim for the fiscal 2021 net operating loss which is classified as other long-term assets on the condensed consolidated balance sheet. The Company is currently under federal audit by the IRS for fiscal years 2016, 2017 and 2019-2021 and the receipt of our U.S federal return refund claims is contingent upon the completion of the ongoing IRS audits.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sponsors the Employees’ Capital Accumulation Plan (the “ECAP”) which is a qualified defined contribution plan that covers eligible U.S. and certain international employees. The ECAP provides for distributions to participants by reason of retirement, death, disability, or termination of employment. The Company provides an annual matching contribution of up to 6% of eligible annual compensation. Total expense recognized for matching contributions under the ECAP were $61.7 million and $54.3 million for the three months ended June 30, 2024 and 2023, respectively.</w:t>
      </w:r>
    </w:p>
    <w:p>
      <w:pPr>
        <w:spacing w:after="0" w:line="7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also provides post-retirement healthcare benefits to former officers under a medical indemnity insurance plan, with premiums paid by the Company. As of June 30, 2024 and March 31, 2024, the unfunded status of the post-retirement medical plan was $127.5 million and $127.0 million, respectively, which is included in other long-term liabilities in the accompanying condensed consolidated balance sheets. Balance sheet and income statement impacts of any remaining benefit plans are immaterial for all periods presented in these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amounts recorded in other comprehensive income are related to the Company's post-retirement plans and interest rate swaps designated as cash flow hedges. The following table shows the changes in accumulated other comprehensive income, net of tax:</w:t>
      </w:r>
    </w:p>
    <w:p>
      <w:pPr>
        <w:spacing w:after="0" w:line="2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88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retirement</w:t>
            </w:r>
          </w:p>
        </w:tc>
        <w:tc>
          <w:tcPr>
            <w:tcW w:w="140" w:type="dxa"/>
            <w:vAlign w:val="bottom"/>
          </w:tcPr>
          <w:p>
            <w:pPr>
              <w:spacing w:after="0"/>
              <w:rPr>
                <w:sz w:val="16"/>
                <w:szCs w:val="16"/>
                <w:color w:val="auto"/>
              </w:rPr>
            </w:pPr>
          </w:p>
        </w:tc>
        <w:tc>
          <w:tcPr>
            <w:tcW w:w="114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6"/>
                <w:szCs w:val="16"/>
                <w:color w:val="auto"/>
              </w:rPr>
            </w:pP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comprehensive income before reclassifications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from accumulated other comprehensive income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60" w:right="140" w:hanging="166"/>
        <w:spacing w:after="0" w:line="235" w:lineRule="auto"/>
        <w:tabs>
          <w:tab w:leader="none" w:pos="679"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Changes in other comprehensive income before reclassification for derivatives designated as cash flow hedges are recorded net of tax expense of $0.2 million for the three months ended June 30, 2024. The tax impact of other comprehensive income before reclassification for post-retirement plans for the three months ended June 30, 2024 was immaterial.</w:t>
      </w:r>
    </w:p>
    <w:p>
      <w:pPr>
        <w:spacing w:after="0" w:line="91" w:lineRule="exact"/>
        <w:rPr>
          <w:rFonts w:ascii="Times New Roman" w:cs="Times New Roman" w:eastAsia="Times New Roman" w:hAnsi="Times New Roman"/>
          <w:sz w:val="23"/>
          <w:szCs w:val="23"/>
          <w:color w:val="auto"/>
          <w:vertAlign w:val="superscript"/>
        </w:rPr>
      </w:pPr>
    </w:p>
    <w:p>
      <w:pPr>
        <w:ind w:left="660" w:right="20" w:hanging="166"/>
        <w:spacing w:after="0" w:line="272" w:lineRule="auto"/>
        <w:tabs>
          <w:tab w:leader="none" w:pos="66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reclassifications from accumulated other comprehensive income to net income for derivatives designated as cash flow hedges are recorded net of tax expense of $1.0 million for the three months ended June 30, 2024. The tax impact of reclassifications from accumulated other comprehensive income to net income for post-retirement plans for the three months ended June 30, 2024 was immaterial.</w:t>
      </w:r>
    </w:p>
    <w:p>
      <w:pPr>
        <w:spacing w:after="0" w:line="391"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8860"/>
        <w:spacing w:after="0"/>
        <w:rPr>
          <w:sz w:val="20"/>
          <w:szCs w:val="20"/>
          <w:color w:val="auto"/>
        </w:rPr>
      </w:pPr>
      <w:r>
        <w:rPr>
          <w:rFonts w:ascii="Times New Roman" w:cs="Times New Roman" w:eastAsia="Times New Roman" w:hAnsi="Times New Roman"/>
          <w:sz w:val="18"/>
          <w:szCs w:val="18"/>
          <w:b w:val="1"/>
          <w:bCs w:val="1"/>
          <w:color w:val="auto"/>
        </w:rPr>
        <w:t>June 30,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0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40" w:type="dxa"/>
            <w:vAlign w:val="bottom"/>
          </w:tcPr>
          <w:p>
            <w:pPr>
              <w:spacing w:after="0"/>
              <w:rPr>
                <w:sz w:val="15"/>
                <w:szCs w:val="15"/>
                <w:color w:val="auto"/>
              </w:rPr>
            </w:pPr>
          </w:p>
        </w:tc>
        <w:tc>
          <w:tcPr>
            <w:tcW w:w="10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comprehensive income before reclassifications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660" w:right="140" w:hanging="166"/>
        <w:spacing w:after="0" w:line="272" w:lineRule="auto"/>
        <w:tabs>
          <w:tab w:leader="none" w:pos="66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Changes in other comprehensive income before reclassification for derivatives designated as cash flow hedges are recorded net of tax expense of $2.2 million for the three months ended June 30, 2023. The tax impact of other comprehensive income before reclassification for post-retirement plans for the three months ended June 30, 2023 was immaterial.</w:t>
      </w:r>
    </w:p>
    <w:p>
      <w:pPr>
        <w:spacing w:after="0" w:line="65" w:lineRule="exact"/>
        <w:rPr>
          <w:rFonts w:ascii="Times New Roman" w:cs="Times New Roman" w:eastAsia="Times New Roman" w:hAnsi="Times New Roman"/>
          <w:sz w:val="21"/>
          <w:szCs w:val="21"/>
          <w:color w:val="auto"/>
          <w:vertAlign w:val="superscript"/>
        </w:rPr>
      </w:pPr>
    </w:p>
    <w:p>
      <w:pPr>
        <w:ind w:left="660" w:right="20" w:hanging="166"/>
        <w:spacing w:after="0" w:line="272" w:lineRule="auto"/>
        <w:tabs>
          <w:tab w:leader="none" w:pos="66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reclassifications from accumulated other comprehensive income to net income for derivatives designated as cash flow hedges are recorded net of tax expense of $0.9 million for the three months ended June 30, 2023. The tax impact of reclassifications from accumulated other comprehensive income to net income for post-retirement plans for the three months ended June 30, 2023 was immaterial.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38"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76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29"/>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48"/>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47"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76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Restricted Stock and other awards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17,365</w:t>
            </w:r>
          </w:p>
        </w:tc>
      </w:tr>
      <w:tr>
        <w:trPr>
          <w:trHeight w:val="248"/>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00" w:firstLine="405"/>
        <w:spacing w:after="0" w:line="264" w:lineRule="auto"/>
        <w:rPr>
          <w:sz w:val="20"/>
          <w:szCs w:val="20"/>
          <w:color w:val="auto"/>
        </w:rPr>
      </w:pPr>
      <w:r>
        <w:rPr>
          <w:rFonts w:ascii="Times New Roman" w:cs="Times New Roman" w:eastAsia="Times New Roman" w:hAnsi="Times New Roman"/>
          <w:sz w:val="18"/>
          <w:szCs w:val="18"/>
          <w:color w:val="auto"/>
        </w:rPr>
        <w:t>As of June 30, 2024, there was $123.1 million of total unrecognized compensation cost related to unvested stock-based compensation agreements. Absent the effect of forfeiture or acceleration of stock compensation cost for any departures of employees, the following table summarizes the unrecognized compensation cost and the weighted-average period the cost is expected to be amortized (excludes any future award):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55"/>
        </w:trPr>
        <w:tc>
          <w:tcPr>
            <w:tcW w:w="7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to be Recognized (in</w:t>
            </w:r>
          </w:p>
        </w:tc>
        <w:tc>
          <w:tcPr>
            <w:tcW w:w="0" w:type="dxa"/>
            <w:vAlign w:val="bottom"/>
          </w:tcPr>
          <w:p>
            <w:pPr>
              <w:spacing w:after="0"/>
              <w:rPr>
                <w:sz w:val="1"/>
                <w:szCs w:val="1"/>
                <w:color w:val="auto"/>
              </w:rPr>
            </w:pPr>
          </w:p>
        </w:tc>
      </w:tr>
      <w:tr>
        <w:trPr>
          <w:trHeight w:val="214"/>
        </w:trPr>
        <w:tc>
          <w:tcPr>
            <w:tcW w:w="7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Compensation Cost</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2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120,884</w:t>
            </w:r>
          </w:p>
        </w:tc>
        <w:tc>
          <w:tcPr>
            <w:tcW w:w="2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Board of Directors granted 0.5 million time-based and performance-based restricted stock units to certain employees of the Company. The aggregate value of these awards was $82.5 million based on the grant date fair value. The performance-based awards granted during the three months ended June 30, 2024 included additional market conditions related to the Company’s total shareholder return relative to its peer group over the three-year performance period. The Company recognizes compensation expense for these performance-based awards with market conditions based on the grant-date fair value calculated using a Monte Carlo model.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Recurring Fair Value Measurements</w:t>
            </w:r>
          </w:p>
        </w:tc>
        <w:tc>
          <w:tcPr>
            <w:tcW w:w="920" w:type="dxa"/>
            <w:vAlign w:val="bottom"/>
          </w:tcPr>
          <w:p>
            <w:pPr>
              <w:spacing w:after="0"/>
              <w:rPr>
                <w:sz w:val="17"/>
                <w:szCs w:val="17"/>
                <w:color w:val="auto"/>
              </w:rPr>
            </w:pPr>
          </w:p>
        </w:tc>
      </w:tr>
      <w:tr>
        <w:trPr>
          <w:trHeight w:val="241"/>
        </w:trPr>
        <w:tc>
          <w:tcPr>
            <w:tcW w:w="6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5"/>
        </w:trPr>
        <w:tc>
          <w:tcPr>
            <w:tcW w:w="6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r>
      <w:tr>
        <w:trPr>
          <w:trHeight w:val="230"/>
        </w:trPr>
        <w:tc>
          <w:tcPr>
            <w:tcW w:w="6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derivative instruments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9"/>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37,163</w:t>
            </w:r>
          </w:p>
        </w:tc>
      </w:tr>
      <w:tr>
        <w:trPr>
          <w:trHeight w:val="22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46,097</w:t>
            </w: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derivative instruments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30"/>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37,163</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38,849</w:t>
            </w: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Recurring Fair Value Measurements</w:t>
            </w:r>
          </w:p>
        </w:tc>
        <w:tc>
          <w:tcPr>
            <w:tcW w:w="920" w:type="dxa"/>
            <w:vAlign w:val="bottom"/>
          </w:tcPr>
          <w:p>
            <w:pPr>
              <w:spacing w:after="0"/>
              <w:rPr>
                <w:sz w:val="17"/>
                <w:szCs w:val="17"/>
                <w:color w:val="auto"/>
              </w:rPr>
            </w:pPr>
          </w:p>
        </w:tc>
      </w:tr>
      <w:tr>
        <w:trPr>
          <w:trHeight w:val="241"/>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5"/>
        </w:trPr>
        <w:tc>
          <w:tcPr>
            <w:tcW w:w="6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6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r>
      <w:tr>
        <w:trPr>
          <w:trHeight w:val="229"/>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derivative instruments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29"/>
        </w:trPr>
        <w:tc>
          <w:tcPr>
            <w:tcW w:w="6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w:t>
            </w: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28,957</w:t>
            </w:r>
          </w:p>
        </w:tc>
      </w:tr>
    </w:tbl>
    <w:p>
      <w:pPr>
        <w:spacing w:after="0" w:line="117" w:lineRule="exact"/>
        <w:rPr>
          <w:sz w:val="20"/>
          <w:szCs w:val="20"/>
          <w:color w:val="auto"/>
        </w:rPr>
      </w:pPr>
    </w:p>
    <w:p>
      <w:pPr>
        <w:ind w:left="660" w:right="40" w:hanging="247"/>
        <w:spacing w:after="0" w:line="272" w:lineRule="auto"/>
        <w:tabs>
          <w:tab w:leader="none" w:pos="582"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“Derivatives,” to the condensed consolidated financial statements for further discussion on the Company’s derivative instruments designated as cash flow hedges.</w:t>
      </w:r>
    </w:p>
    <w:p>
      <w:pPr>
        <w:spacing w:after="0" w:line="11" w:lineRule="exact"/>
        <w:rPr>
          <w:rFonts w:ascii="Times New Roman" w:cs="Times New Roman" w:eastAsia="Times New Roman" w:hAnsi="Times New Roman"/>
          <w:sz w:val="21"/>
          <w:szCs w:val="21"/>
          <w:color w:val="auto"/>
          <w:vertAlign w:val="superscript"/>
        </w:rPr>
      </w:pPr>
    </w:p>
    <w:p>
      <w:pPr>
        <w:ind w:left="660" w:right="60" w:hanging="247"/>
        <w:spacing w:after="0" w:line="239" w:lineRule="auto"/>
        <w:tabs>
          <w:tab w:leader="none" w:pos="59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90"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and cash equivalents, which are Level 1 inputs, approximated its carrying value at June 30, 2024 and March 31, 2024. The Company’s cash and cash equivalent balances presented on the accompanying condensed consolidated balance sheets include $98.2 million and $192.7 million of marketable securities in money market funds as of June 30, 2024 and March 31, 2024, respectively.</w:t>
      </w:r>
    </w:p>
    <w:p>
      <w:pPr>
        <w:spacing w:after="0" w:line="6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quarterly for disclosure purposes. The estimated fair values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long-term debt consists of the following: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8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25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169"/>
        </w:trPr>
        <w:tc>
          <w:tcPr>
            <w:tcW w:w="5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41"/>
        </w:trPr>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1,582,170</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Senior Notes due 2028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656,677</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4.000% Senior Notes due 2029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465,470</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5.950% Senior Notes due 2033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672,815</w:t>
            </w:r>
          </w:p>
        </w:tc>
      </w:tr>
    </w:tbl>
    <w:p>
      <w:pPr>
        <w:spacing w:after="0" w:line="17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For our investments that are measured at fair value on a non-recurring basis, we did not have any material measurement adjustments during the three months ended June 30, 2024, with the exception of the assets and liabilities acquired through our acquisitions (see Note 5, “Acquisition, Goodwill and Intangible Assets,” to the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2024 and March 31, 2024, the Company was contingently liable under open standby letters of credit and bank guarantees issued by our banks in favor of third parties that totaled $4.8 million and $4.4 million, respectively. These letters of credit and bank guarantees primarily support insurance and bid and performance obligations. At June 30, 2024 and March 31, 2024, respectively, approximately $1.7 million and $1.3 million of these instruments reduced the available borrowings under the Revolving Credit Facility. The remainder is guaranteed under a separate $7.5 million facility of which $4.4 million was available to the Company at both June 30, 2024 and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 - Provision for Claimed Indirect Costs</w:t>
      </w:r>
    </w:p>
    <w:p>
      <w:pPr>
        <w:spacing w:after="0" w:line="121"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2024 and 2023, approximately 99% and 98%,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As noted in the Company's Annual Report on Form 10-K for the fiscal year ended March 31, 2024,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Based upon DCAA’s recent audit findings, the Company reduced a portion of its provision for claimed indirect costs related to fiscal 2022 by approximately $18.3 million during the second quarter of fiscal 2024, which resulted in a corresponding increase to revenue, to reflect our best estimate of the final indirect cost rates for fiscal 2022. Operating income for the fiscal year ended March 31, 2024 was accordingly increased by $18.3 million and net income was increased by $13.5 million (or $0.10 of basic and diluted earnings per common share for the fiscal year ended March 31, 2024). Our final indirect cost rates for fiscal 2022 remain subject to negotiation with the Defense Contract Management Agency (“DCMA”) Administrative Contracting Officer. Management believes it has recorded the appropriate provision for claimed indirect costs for any audit, inquiry, or investigation of which it is aware that may be subject to any reductions and/or penalties. As of June 30, 2024 and March 31, 2024, the Company had recorded liabilities of approximately $374.8 million and $363.7 million, respectively, for estimated adjustments to claimed indirect costs based on its historical DCAA audit results, including the final resolution of such audits with DCMA, for claimed indirect costs incurred subsequent to fiscal 2011, and for contracts not yet closed that are subject to audit and final resolution.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2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both June 30, 2024 and March 31, 2024, there were no material amounts accrued in the condensed consolidated financial statements related to these proceedings as either the amounts are immaterial or the Company is not able to reasonably estimate the expected amount or range of cost or any loss associated with these matters.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6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2024 filed with the Securities and Exchange Commission on May 24, 2024,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74"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March 31 and, unless otherwise noted, references to years or fiscal are for fiscal years ended March 31. See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35,100 employees work to solve hard problems by making clients' missions their own, combining decades of consulting and domain expertise with functional expertise in areas such as analytics, digital solutions, engineering, cyber and artificial intelligence, all fostered by a culture of innovation that extends to all reaches of the Company.</w:t>
      </w:r>
    </w:p>
    <w:p>
      <w:pPr>
        <w:spacing w:after="0" w:line="7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fiscal 2025, the Company generated year over year revenue growth and increased client staff headcount.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increased 10.8% to $2,941.8 million in the three months ended June 30, 2024 from $2,654.5 million in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increase was primarily driven by strong demand for our services and solutions as well as continued headcount growth.</w:t>
      </w:r>
    </w:p>
    <w:p>
      <w:pPr>
        <w:spacing w:after="0" w:line="9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Operating income increased 8.9% to $255.2 million in the three months ended June 30, 2024 from $234.4 million in the three months ended June 30, 2023 and operating margin decreased from 8.8% in the prior year period to 8.7%. Operating income was primarily driven by revenue growth, but operating margin was negatively impacted by higher than anticipated expenses.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40" w:firstLine="405"/>
        <w:spacing w:after="0" w:line="251" w:lineRule="auto"/>
        <w:rPr>
          <w:sz w:val="20"/>
          <w:szCs w:val="20"/>
          <w:color w:val="auto"/>
        </w:rPr>
      </w:pPr>
      <w:r>
        <w:rPr>
          <w:rFonts w:ascii="Times New Roman" w:cs="Times New Roman" w:eastAsia="Times New Roman" w:hAnsi="Times New Roman"/>
          <w:sz w:val="18"/>
          <w:szCs w:val="18"/>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43" w:lineRule="exact"/>
        <w:rPr>
          <w:sz w:val="20"/>
          <w:szCs w:val="20"/>
          <w:color w:val="auto"/>
        </w:rPr>
      </w:pPr>
    </w:p>
    <w:p>
      <w:pPr>
        <w:ind w:left="660" w:right="120" w:hanging="328"/>
        <w:spacing w:after="0" w:line="260"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20"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represents operating income before acquisition and divestiture costs, significant acquisition amortization, and the reserve associated with the U.S. Department of Justice investigation disclosed in Note 20, “Commitments and Contingencies,” in the Annual Report on Form 10-K for the fiscal year ended March 31, 2024.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1"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before income taxes, net interest and other expense and depreciation and amortization and before certain other items, including acquisition and divestiture costs and the reserve associated with the U.S. Department of Justice investigation disclosed in Note 20, “Commitments and Contingencies,” in the Annual Report on Form 10-K for the fiscal year ended March 31, 2024.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60" w:right="6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represents net income before: (i) acquisition and divestiture costs, (ii) significant acquisition amortization, (iii) the reserve associated with the U.S. Department of Justice investigation disclosed in Note 20, “Commitments and Contingencies,” in the Annual Report on Form 10-K for the fiscal year ended March 31, 2024, and (iv) amortization and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29" w:lineRule="exact"/>
        <w:rPr>
          <w:rFonts w:ascii="Times New Roman" w:cs="Times New Roman" w:eastAsia="Times New Roman" w:hAnsi="Times New Roman"/>
          <w:sz w:val="18"/>
          <w:szCs w:val="18"/>
          <w:color w:val="auto"/>
        </w:rPr>
      </w:pPr>
    </w:p>
    <w:p>
      <w:pPr>
        <w:ind w:left="660" w:right="200" w:hanging="328"/>
        <w:spacing w:after="0" w:line="265"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15" w:lineRule="exact"/>
        <w:rPr>
          <w:rFonts w:ascii="Arial" w:cs="Arial" w:eastAsia="Arial" w:hAnsi="Arial"/>
          <w:sz w:val="18"/>
          <w:szCs w:val="18"/>
          <w:color w:val="auto"/>
        </w:rPr>
      </w:pPr>
    </w:p>
    <w:p>
      <w:pPr>
        <w:ind w:left="660" w:right="260" w:hanging="328"/>
        <w:spacing w:after="0" w:line="282" w:lineRule="auto"/>
        <w:tabs>
          <w:tab w:leader="none" w:pos="655" w:val="left"/>
        </w:tabs>
        <w:numPr>
          <w:ilvl w:val="0"/>
          <w:numId w:val="13"/>
        </w:numPr>
        <w:rPr>
          <w:rFonts w:ascii="Calibri" w:cs="Calibri" w:eastAsia="Calibri" w:hAnsi="Calibri"/>
          <w:sz w:val="13"/>
          <w:szCs w:val="13"/>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equipment, and software. "Free Cash Flow Conversion" is calculated as Free Cash Flow divided by Adjusted Net Income.</w:t>
      </w: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7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r>
      <w:tr>
        <w:trPr>
          <w:trHeight w:val="22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00" w:type="dxa"/>
            <w:vAlign w:val="bottom"/>
          </w:tcPr>
          <w:p>
            <w:pPr>
              <w:spacing w:after="0"/>
              <w:rPr>
                <w:sz w:val="19"/>
                <w:szCs w:val="19"/>
                <w:color w:val="auto"/>
              </w:rPr>
            </w:pPr>
          </w:p>
        </w:tc>
      </w:tr>
      <w:tr>
        <w:trPr>
          <w:trHeight w:val="23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2,941,797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2,654,486</w:t>
            </w:r>
          </w:p>
        </w:tc>
      </w:tr>
      <w:tr>
        <w:trPr>
          <w:trHeight w:val="229"/>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Billable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944,981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812,304</w:t>
            </w:r>
          </w:p>
        </w:tc>
      </w:tr>
      <w:tr>
        <w:trPr>
          <w:trHeight w:val="223"/>
        </w:trPr>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1,996,816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1,842,182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7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255,164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234,418</w:t>
            </w:r>
          </w:p>
        </w:tc>
      </w:tr>
      <w:tr>
        <w:trPr>
          <w:trHeight w:val="230"/>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r>
      <w:tr>
        <w:trPr>
          <w:trHeight w:val="230"/>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Significant acquisition amortization (b)</w:t>
            </w:r>
          </w:p>
        </w:tc>
        <w:tc>
          <w:tcPr>
            <w:tcW w:w="3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13,108</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matter reserve (c)</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27,453</w:t>
            </w:r>
          </w:p>
        </w:tc>
      </w:tr>
      <w:tr>
        <w:trPr>
          <w:trHeight w:val="228"/>
        </w:trPr>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273,518</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wp:posOffset>
            </wp:positionV>
            <wp:extent cx="17919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ind w:left="460" w:right="10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EBITDA, Adjusted EBITDA, Adjusted EBITDA Margin on Revenue &amp; Adjusted EBITDA Margin on Revenue, Excluding Billable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-255270</wp:posOffset>
            </wp:positionV>
            <wp:extent cx="657479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7479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165,233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161,388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39,480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net (d)</w:t>
            </w:r>
          </w:p>
        </w:tc>
        <w:tc>
          <w:tcPr>
            <w:tcW w:w="3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41,847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296,293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276,265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matter reserve (c)</w:t>
            </w:r>
          </w:p>
        </w:tc>
        <w:tc>
          <w:tcPr>
            <w:tcW w:w="3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27,453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 w:type="dxa"/>
            <w:vAlign w:val="bottom"/>
          </w:tcPr>
          <w:p>
            <w:pPr>
              <w:spacing w:after="0"/>
              <w:rPr>
                <w:sz w:val="21"/>
                <w:szCs w:val="21"/>
                <w:color w:val="auto"/>
              </w:rPr>
            </w:pPr>
          </w:p>
        </w:tc>
        <w:tc>
          <w:tcPr>
            <w:tcW w:w="75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301,963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306,986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Net income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 Margin on Revenue</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EBITDA Margin on Revenue, Excluding Billable Expenses</w:t>
            </w:r>
          </w:p>
        </w:tc>
        <w:tc>
          <w:tcPr>
            <w:tcW w:w="3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7980" w:type="dxa"/>
            <w:vAlign w:val="bottom"/>
            <w:gridSpan w:val="2"/>
          </w:tcPr>
          <w:p>
            <w:pPr>
              <w:jc w:val="right"/>
              <w:ind w:right="217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7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7"/>
        </w:trPr>
        <w:tc>
          <w:tcPr>
            <w:tcW w:w="3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8"/>
        </w:trPr>
        <w:tc>
          <w:tcPr>
            <w:tcW w:w="36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29"/>
        </w:trPr>
        <w:tc>
          <w:tcPr>
            <w:tcW w:w="360" w:type="dxa"/>
            <w:vAlign w:val="bottom"/>
          </w:tcPr>
          <w:p>
            <w:pPr>
              <w:spacing w:after="0"/>
              <w:rPr>
                <w:sz w:val="19"/>
                <w:szCs w:val="19"/>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165,233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161,388</w:t>
            </w:r>
          </w:p>
        </w:tc>
      </w:tr>
      <w:tr>
        <w:trPr>
          <w:trHeight w:val="229"/>
        </w:trPr>
        <w:tc>
          <w:tcPr>
            <w:tcW w:w="360" w:type="dxa"/>
            <w:vAlign w:val="bottom"/>
          </w:tcPr>
          <w:p>
            <w:pPr>
              <w:spacing w:after="0"/>
              <w:rPr>
                <w:sz w:val="19"/>
                <w:szCs w:val="19"/>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r>
      <w:tr>
        <w:trPr>
          <w:trHeight w:val="229"/>
        </w:trPr>
        <w:tc>
          <w:tcPr>
            <w:tcW w:w="36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(b)</w:t>
            </w: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13,108</w:t>
            </w:r>
          </w:p>
        </w:tc>
      </w:tr>
      <w:tr>
        <w:trPr>
          <w:trHeight w:val="230"/>
        </w:trPr>
        <w:tc>
          <w:tcPr>
            <w:tcW w:w="360" w:type="dxa"/>
            <w:vAlign w:val="bottom"/>
          </w:tcPr>
          <w:p>
            <w:pPr>
              <w:spacing w:after="0"/>
              <w:rPr>
                <w:sz w:val="19"/>
                <w:szCs w:val="19"/>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matter reserve (c)</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27,453</w:t>
            </w:r>
          </w:p>
        </w:tc>
      </w:tr>
      <w:tr>
        <w:trPr>
          <w:trHeight w:val="229"/>
        </w:trPr>
        <w:tc>
          <w:tcPr>
            <w:tcW w:w="36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debt issuance costs and debt discount</w:t>
            </w: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360" w:type="dxa"/>
            <w:vAlign w:val="bottom"/>
          </w:tcPr>
          <w:p>
            <w:pPr>
              <w:spacing w:after="0"/>
              <w:rPr>
                <w:sz w:val="19"/>
                <w:szCs w:val="19"/>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for tax effect (e)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(12,942)</w:t>
            </w:r>
          </w:p>
        </w:tc>
      </w:tr>
      <w:tr>
        <w:trPr>
          <w:trHeight w:val="229"/>
        </w:trPr>
        <w:tc>
          <w:tcPr>
            <w:tcW w:w="360" w:type="dxa"/>
            <w:vAlign w:val="bottom"/>
          </w:tcPr>
          <w:p>
            <w:pPr>
              <w:spacing w:after="0"/>
              <w:rPr>
                <w:sz w:val="19"/>
                <w:szCs w:val="19"/>
                <w:color w:val="auto"/>
              </w:rPr>
            </w:pPr>
          </w:p>
        </w:tc>
        <w:tc>
          <w:tcPr>
            <w:tcW w:w="7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193,057</w:t>
            </w:r>
          </w:p>
        </w:tc>
      </w:tr>
      <w:tr>
        <w:trPr>
          <w:trHeight w:val="20"/>
        </w:trPr>
        <w:tc>
          <w:tcPr>
            <w:tcW w:w="36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7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360" w:type="dxa"/>
            <w:vAlign w:val="bottom"/>
          </w:tcPr>
          <w:p>
            <w:pPr>
              <w:spacing w:after="0"/>
              <w:rPr>
                <w:sz w:val="19"/>
                <w:szCs w:val="19"/>
                <w:color w:val="auto"/>
              </w:rPr>
            </w:pPr>
          </w:p>
        </w:tc>
        <w:tc>
          <w:tcPr>
            <w:tcW w:w="7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129,917,263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131,530,633</w:t>
            </w:r>
          </w:p>
        </w:tc>
      </w:tr>
      <w:tr>
        <w:trPr>
          <w:trHeight w:val="223"/>
        </w:trPr>
        <w:tc>
          <w:tcPr>
            <w:tcW w:w="36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36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Adjusted Net Income Per Diluted Share (f)</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36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7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36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(71,532)</w:t>
            </w:r>
          </w:p>
        </w:tc>
      </w:tr>
      <w:tr>
        <w:trPr>
          <w:trHeight w:val="230"/>
        </w:trPr>
        <w:tc>
          <w:tcPr>
            <w:tcW w:w="36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Purchases of property, equipment and software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(10,488)</w:t>
            </w:r>
          </w:p>
        </w:tc>
      </w:tr>
      <w:tr>
        <w:trPr>
          <w:trHeight w:val="223"/>
        </w:trPr>
        <w:tc>
          <w:tcPr>
            <w:tcW w:w="360" w:type="dxa"/>
            <w:vAlign w:val="bottom"/>
          </w:tcPr>
          <w:p>
            <w:pPr>
              <w:spacing w:after="0"/>
              <w:rPr>
                <w:sz w:val="19"/>
                <w:szCs w:val="19"/>
                <w:color w:val="auto"/>
              </w:rPr>
            </w:pPr>
          </w:p>
        </w:tc>
        <w:tc>
          <w:tcPr>
            <w:tcW w:w="7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(82,020)</w:t>
            </w:r>
          </w:p>
        </w:tc>
      </w:tr>
      <w:tr>
        <w:trPr>
          <w:trHeight w:val="20"/>
        </w:trPr>
        <w:tc>
          <w:tcPr>
            <w:tcW w:w="36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7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cash flow conversion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360" w:type="dxa"/>
            <w:vAlign w:val="bottom"/>
          </w:tcPr>
          <w:p>
            <w:pPr>
              <w:spacing w:after="0"/>
              <w:rPr>
                <w:sz w:val="20"/>
                <w:szCs w:val="20"/>
                <w:color w:val="auto"/>
              </w:rPr>
            </w:pPr>
          </w:p>
        </w:tc>
        <w:tc>
          <w:tcPr>
            <w:tcW w:w="7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Free cash flow conversion</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25" w:lineRule="exact"/>
        <w:rPr>
          <w:sz w:val="20"/>
          <w:szCs w:val="20"/>
          <w:color w:val="auto"/>
        </w:rPr>
      </w:pPr>
    </w:p>
    <w:p>
      <w:pPr>
        <w:ind w:left="420" w:hanging="331"/>
        <w:spacing w:after="0" w:line="281" w:lineRule="auto"/>
        <w:tabs>
          <w:tab w:leader="none" w:pos="41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associated with the acquisition efforts of the Company related to transactions for which the Company has entered into a letter of intent to acquire a controlling financial interest in the target entity. Transactions primarily include the acquisitions of EverWatch Corp. (“EverWatch”) in fiscal 2023 and PAR Government Systems Corporation (“PGSC”) in fiscal 2025. See Note 5, “Acquisition, Goodwill, and Intangible Assets,”See Note 5, “Acquisition, Goodwill and Intangible Assets,” to the condensed consolidated financial statements for further information.</w:t>
      </w:r>
    </w:p>
    <w:p>
      <w:pPr>
        <w:spacing w:after="0" w:line="2"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associated with acquired intangibles from significant acquisitions.</w:t>
      </w:r>
    </w:p>
    <w:p>
      <w:pPr>
        <w:spacing w:after="0" w:line="63" w:lineRule="exact"/>
        <w:rPr>
          <w:rFonts w:ascii="Times New Roman" w:cs="Times New Roman" w:eastAsia="Times New Roman" w:hAnsi="Times New Roman"/>
          <w:sz w:val="18"/>
          <w:szCs w:val="18"/>
          <w:color w:val="auto"/>
        </w:rPr>
      </w:pPr>
    </w:p>
    <w:p>
      <w:pPr>
        <w:ind w:left="420" w:right="420" w:hanging="331"/>
        <w:spacing w:after="0" w:line="266" w:lineRule="auto"/>
        <w:tabs>
          <w:tab w:leader="none" w:pos="4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associated with the U.S. Department of Justice's investigation of the Company. See Note 20, “Commitments and Contingencies,” in the Annual Report on Form 10-K for the fiscal year ended March 31, 2024 for further information about this item.</w:t>
      </w:r>
    </w:p>
    <w:p>
      <w:pPr>
        <w:ind w:left="400" w:hanging="311"/>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income, net from the condensed consolidated statement of operations.</w:t>
      </w:r>
    </w:p>
    <w:p>
      <w:pPr>
        <w:spacing w:after="0" w:line="63" w:lineRule="exact"/>
        <w:rPr>
          <w:rFonts w:ascii="Times New Roman" w:cs="Times New Roman" w:eastAsia="Times New Roman" w:hAnsi="Times New Roman"/>
          <w:sz w:val="18"/>
          <w:szCs w:val="18"/>
          <w:color w:val="auto"/>
        </w:rPr>
      </w:pPr>
    </w:p>
    <w:p>
      <w:pPr>
        <w:ind w:left="420" w:right="140" w:hanging="331"/>
        <w:spacing w:after="0" w:line="266" w:lineRule="auto"/>
        <w:tabs>
          <w:tab w:leader="none" w:pos="4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w:t>
      </w:r>
    </w:p>
    <w:p>
      <w:pPr>
        <w:spacing w:after="0" w:line="13" w:lineRule="exact"/>
        <w:rPr>
          <w:rFonts w:ascii="Times New Roman" w:cs="Times New Roman" w:eastAsia="Times New Roman" w:hAnsi="Times New Roman"/>
          <w:sz w:val="18"/>
          <w:szCs w:val="18"/>
          <w:color w:val="auto"/>
        </w:rPr>
      </w:pPr>
    </w:p>
    <w:p>
      <w:pPr>
        <w:ind w:left="420" w:right="260" w:hanging="331"/>
        <w:spacing w:after="0" w:line="282" w:lineRule="auto"/>
        <w:tabs>
          <w:tab w:leader="none" w:pos="4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of approximately $0.8 million and $1.2 million of net earnings for the three months ended June 30, 2024 and June 30, 2023, respectively, associated with the application of the two-class method for computing diluted earnings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60" w:hanging="166"/>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80" w:lineRule="exact"/>
        <w:rPr>
          <w:rFonts w:ascii="Times New Roman" w:cs="Times New Roman" w:eastAsia="Times New Roman" w:hAnsi="Times New Roman"/>
          <w:sz w:val="18"/>
          <w:szCs w:val="18"/>
          <w:color w:val="auto"/>
        </w:rPr>
      </w:pPr>
    </w:p>
    <w:p>
      <w:pPr>
        <w:ind w:left="660" w:right="560" w:hanging="166"/>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3" w:lineRule="exact"/>
        <w:rPr>
          <w:rFonts w:ascii="Times New Roman" w:cs="Times New Roman" w:eastAsia="Times New Roman" w:hAnsi="Times New Roman"/>
          <w:sz w:val="18"/>
          <w:szCs w:val="18"/>
          <w:color w:val="auto"/>
        </w:rPr>
      </w:pPr>
    </w:p>
    <w:p>
      <w:pPr>
        <w:ind w:left="660" w:hanging="166"/>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80" w:lineRule="exact"/>
        <w:rPr>
          <w:rFonts w:ascii="Times New Roman" w:cs="Times New Roman" w:eastAsia="Times New Roman" w:hAnsi="Times New Roman"/>
          <w:sz w:val="18"/>
          <w:szCs w:val="18"/>
          <w:color w:val="auto"/>
        </w:rPr>
      </w:pPr>
    </w:p>
    <w:p>
      <w:pPr>
        <w:ind w:left="660" w:right="280" w:hanging="166"/>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53" w:lineRule="exact"/>
        <w:rPr>
          <w:rFonts w:ascii="Times New Roman" w:cs="Times New Roman" w:eastAsia="Times New Roman" w:hAnsi="Times New Roman"/>
          <w:sz w:val="18"/>
          <w:szCs w:val="18"/>
          <w:color w:val="auto"/>
        </w:rPr>
      </w:pPr>
    </w:p>
    <w:p>
      <w:pPr>
        <w:ind w:left="660" w:hanging="166"/>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71" w:lineRule="exact"/>
        <w:rPr>
          <w:rFonts w:ascii="Times New Roman" w:cs="Times New Roman" w:eastAsia="Times New Roman" w:hAnsi="Times New Roman"/>
          <w:sz w:val="18"/>
          <w:szCs w:val="18"/>
          <w:color w:val="auto"/>
        </w:rPr>
      </w:pPr>
    </w:p>
    <w:p>
      <w:pPr>
        <w:ind w:left="660" w:right="280" w:hanging="16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 that could impact the cost of doing business and/or reduce customer buying power;</w:t>
      </w:r>
    </w:p>
    <w:p>
      <w:pPr>
        <w:spacing w:after="0" w:line="117" w:lineRule="exact"/>
        <w:rPr>
          <w:rFonts w:ascii="Times New Roman" w:cs="Times New Roman" w:eastAsia="Times New Roman" w:hAnsi="Times New Roman"/>
          <w:sz w:val="18"/>
          <w:szCs w:val="18"/>
          <w:color w:val="auto"/>
        </w:rPr>
      </w:pPr>
    </w:p>
    <w:p>
      <w:pPr>
        <w:ind w:left="660" w:right="160" w:hanging="166"/>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possible recession and volatility or instability of the global financial system, including bank failures and the resulting impact on counterparties and business conditions generally;</w:t>
      </w:r>
    </w:p>
    <w:p>
      <w:pPr>
        <w:spacing w:after="0" w:line="53" w:lineRule="exact"/>
        <w:rPr>
          <w:rFonts w:ascii="Times New Roman" w:cs="Times New Roman" w:eastAsia="Times New Roman" w:hAnsi="Times New Roman"/>
          <w:sz w:val="18"/>
          <w:szCs w:val="18"/>
          <w:color w:val="auto"/>
        </w:rPr>
      </w:pPr>
    </w:p>
    <w:p>
      <w:pPr>
        <w:ind w:left="660" w:right="440" w:hanging="166"/>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or shifts in regulatory priorities as a result of U.S. administration transitions, including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1" w:lineRule="exact"/>
        <w:rPr>
          <w:rFonts w:ascii="Times New Roman" w:cs="Times New Roman" w:eastAsia="Times New Roman" w:hAnsi="Times New Roman"/>
          <w:sz w:val="18"/>
          <w:szCs w:val="18"/>
          <w:color w:val="auto"/>
        </w:rPr>
      </w:pPr>
    </w:p>
    <w:p>
      <w:pPr>
        <w:ind w:left="660" w:right="520" w:hanging="166"/>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3" w:lineRule="exact"/>
        <w:rPr>
          <w:rFonts w:ascii="Times New Roman" w:cs="Times New Roman" w:eastAsia="Times New Roman" w:hAnsi="Times New Roman"/>
          <w:sz w:val="18"/>
          <w:szCs w:val="18"/>
          <w:color w:val="auto"/>
        </w:rPr>
      </w:pPr>
    </w:p>
    <w:p>
      <w:pPr>
        <w:ind w:left="660" w:right="460" w:hanging="166"/>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53" w:lineRule="exact"/>
        <w:rPr>
          <w:rFonts w:ascii="Times New Roman" w:cs="Times New Roman" w:eastAsia="Times New Roman" w:hAnsi="Times New Roman"/>
          <w:sz w:val="18"/>
          <w:szCs w:val="18"/>
          <w:color w:val="auto"/>
        </w:rPr>
      </w:pPr>
    </w:p>
    <w:p>
      <w:pPr>
        <w:ind w:left="660" w:right="560" w:hanging="16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67" w:lineRule="exact"/>
        <w:rPr>
          <w:rFonts w:ascii="Times New Roman" w:cs="Times New Roman" w:eastAsia="Times New Roman" w:hAnsi="Times New Roman"/>
          <w:sz w:val="18"/>
          <w:szCs w:val="18"/>
          <w:color w:val="auto"/>
        </w:rPr>
      </w:pPr>
    </w:p>
    <w:p>
      <w:pPr>
        <w:ind w:left="660" w:right="660" w:hanging="166"/>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60" w:hanging="166"/>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53" w:lineRule="exact"/>
        <w:rPr>
          <w:rFonts w:ascii="Times New Roman" w:cs="Times New Roman" w:eastAsia="Times New Roman" w:hAnsi="Times New Roman"/>
          <w:sz w:val="18"/>
          <w:szCs w:val="18"/>
          <w:color w:val="auto"/>
        </w:rPr>
      </w:pPr>
    </w:p>
    <w:p>
      <w:pPr>
        <w:ind w:left="660" w:right="140" w:hanging="166"/>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53" w:lineRule="exact"/>
        <w:rPr>
          <w:rFonts w:ascii="Times New Roman" w:cs="Times New Roman" w:eastAsia="Times New Roman" w:hAnsi="Times New Roman"/>
          <w:sz w:val="18"/>
          <w:szCs w:val="18"/>
          <w:color w:val="auto"/>
        </w:rPr>
      </w:pPr>
    </w:p>
    <w:p>
      <w:pPr>
        <w:ind w:left="660" w:right="12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6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53" w:lineRule="exact"/>
        <w:rPr>
          <w:rFonts w:ascii="Times New Roman" w:cs="Times New Roman" w:eastAsia="Times New Roman" w:hAnsi="Times New Roman"/>
          <w:sz w:val="18"/>
          <w:szCs w:val="18"/>
          <w:color w:val="auto"/>
        </w:rPr>
      </w:pPr>
    </w:p>
    <w:p>
      <w:pPr>
        <w:jc w:val="both"/>
        <w:ind w:left="660" w:right="4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67" w:lineRule="exact"/>
        <w:rPr>
          <w:rFonts w:ascii="Times New Roman" w:cs="Times New Roman" w:eastAsia="Times New Roman" w:hAnsi="Times New Roman"/>
          <w:sz w:val="18"/>
          <w:szCs w:val="18"/>
          <w:color w:val="auto"/>
        </w:rPr>
      </w:pPr>
    </w:p>
    <w:p>
      <w:pPr>
        <w:ind w:left="660" w:right="4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through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5" w:lineRule="exact"/>
        <w:rPr>
          <w:sz w:val="20"/>
          <w:szCs w:val="20"/>
          <w:color w:val="auto"/>
        </w:rPr>
      </w:pPr>
    </w:p>
    <w:p>
      <w:pPr>
        <w:ind w:left="660" w:right="80" w:hanging="166"/>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40" w:hanging="166"/>
        <w:spacing w:after="0" w:line="258"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contracts in this category, we are paid a fixed hourly rate for each direct labor hour expended,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5" w:lineRule="exact"/>
        <w:rPr>
          <w:rFonts w:ascii="Times New Roman" w:cs="Times New Roman" w:eastAsia="Times New Roman" w:hAnsi="Times New Roman"/>
          <w:sz w:val="18"/>
          <w:szCs w:val="18"/>
          <w:i w:val="1"/>
          <w:iCs w:val="1"/>
          <w:color w:val="auto"/>
        </w:rPr>
      </w:pPr>
    </w:p>
    <w:p>
      <w:pPr>
        <w:ind w:left="660" w:right="260" w:hanging="166"/>
        <w:spacing w:after="0" w:line="258"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 extent our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7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 as of the respective periods presented:</w:t>
      </w:r>
    </w:p>
    <w:p>
      <w:pPr>
        <w:spacing w:after="0" w:line="92"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7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2024 and 2023, we employed approximately 35,100 and 32,600 people, respectively, of which approximately 32,000 and 29,700, respectively, were client staff.</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660" w:right="60" w:hanging="328"/>
        <w:spacing w:after="0" w:line="284"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50" w:lineRule="exact"/>
        <w:rPr>
          <w:rFonts w:ascii="Times New Roman" w:cs="Times New Roman" w:eastAsia="Times New Roman" w:hAnsi="Times New Roman"/>
          <w:sz w:val="18"/>
          <w:szCs w:val="18"/>
          <w:i w:val="1"/>
          <w:iCs w:val="1"/>
          <w:color w:val="auto"/>
        </w:rPr>
      </w:pPr>
    </w:p>
    <w:p>
      <w:pPr>
        <w:ind w:left="660" w:right="1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funding has not been appropriated or otherwise authorized.</w:t>
      </w:r>
    </w:p>
    <w:p>
      <w:pPr>
        <w:spacing w:after="0" w:line="5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our clients’ option and for which funding has not been appropriated or otherwise authorized.</w:t>
      </w:r>
    </w:p>
    <w:p>
      <w:pPr>
        <w:spacing w:after="0" w:line="5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as of the respective periods presented:</w:t>
      </w:r>
    </w:p>
    <w:p>
      <w:pPr>
        <w:spacing w:after="0" w:line="7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1"/>
        </w:trPr>
        <w:tc>
          <w:tcPr>
            <w:tcW w:w="7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140" w:type="dxa"/>
            <w:vAlign w:val="bottom"/>
          </w:tcPr>
          <w:p>
            <w:pPr>
              <w:spacing w:after="0"/>
              <w:rPr>
                <w:sz w:val="19"/>
                <w:szCs w:val="19"/>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Funded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3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Unfunded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29"/>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Priced options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17,329</w:t>
            </w:r>
          </w:p>
        </w:tc>
      </w:tr>
      <w:tr>
        <w:trPr>
          <w:trHeight w:val="248"/>
        </w:trPr>
        <w:tc>
          <w:tcPr>
            <w:tcW w:w="7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backlog</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780" w:right="2700" w:hanging="261"/>
        <w:spacing w:after="0" w:line="297" w:lineRule="auto"/>
        <w:tabs>
          <w:tab w:leader="none" w:pos="7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presented as of June 30, 2024 includes approximately $230.5 million of backlog acquired from the Company’s acquisition of PAR Government Systems Corporation (“PGSC”).</w:t>
      </w:r>
    </w:p>
    <w:p>
      <w:pPr>
        <w:spacing w:after="0" w:line="13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Our total backlog consists of remaining performance obligations, certain orders under contracts for which the period of performance has expired, and unexercised option period and other unexercised optional orders. As of June 30, 2024 and March 31, 2024, the Company had $9.6 billion and $8.7 billion of remaining performance obligations, respectively. We expect to recognize approximately 70% of the remaining performance obligations as of June 30, 2024 as revenue over the next 12 months, and approximately 80% over the next 24 months. The remainder is expected to be recognized thereafter. However, given the uncertainties discussed below, as well as the risks described in “Item 1A. Risk Factors” of our Annual Report on Form 10-K for the fiscal year ended March 31, 2024,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8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15.7% from June 30, 2023 to June 30, 2024. Additions to funded backlog during the twelve months ended June 30, 2024 and 2023 totaled $11.2 billion and $10.5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8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4.8% of total backlog as of June 30, 2024 or during any of the three preceding fiscal quarters.</w:t>
      </w:r>
    </w:p>
    <w:p>
      <w:pPr>
        <w:spacing w:after="0" w:line="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expect to recognize revenue from a substantial portion of funded backlog as of June 30, 2024 within the next twelve months. However, given the uncertainties discussed above, as well as the risks described in “Part I, Item 1A. Risk Factors,” of our fiscal 2024 Annual Report on Form 10-K, we can give no assurance that we will be able to convert our backlog into revenue in any particular period, if at all.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Audit Impact on Operating Income</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noted in the Company's Annual Report on Form 10-K for the fiscal year ended March 31, 2024, in the ordinary course of business, agencies of the U.S. government for which the Company is engaged as a prime contractor or a subcontractor, including the Defense Contract Audit Agency, audit the Company’s claimed indirect costs and conduct inquiries and investigations of our business practices with respect to government contracts. Such audits may result in, and have historically resulted in, the Company’s inability to retain certain claimed indirect costs, including executive and employee compensation, due to differing views of the allowability and reasonableness of such costs.</w:t>
      </w:r>
    </w:p>
    <w:p>
      <w:pPr>
        <w:spacing w:after="0" w:line="75"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Following the settlement of the civil and criminal investigation of the Company by the U.S. Department of Justice (“DOJ”) previously disclosed in Note 20, “Commitments and Contingencies,” to the Company’s Annual Report on Form 10-K for the fiscal year ended March 31, 2024, audits for years subsequent to the Company’s fiscal year 2011 have resumed and remain subject to final resolution. As discussed in Note 15, “Commitments and Contingencies,” to the condensed consolidated financial statements, the Company recognized a reserve for estimated adjustments to historical claimed indirect costs in respect of the years subsequent to fiscal 2011. As audits of the periods subsequent to 2011 are completed, our estimates of adjustment to claimed indirect costs for these periods could change. Any such change could materially impact our reported revenue, operating income, net income and basic and diluted earnings per common share.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15" w:lineRule="exact"/>
        <w:rPr>
          <w:sz w:val="20"/>
          <w:szCs w:val="20"/>
          <w:color w:val="auto"/>
        </w:rPr>
      </w:pPr>
    </w:p>
    <w:p>
      <w:pPr>
        <w:ind w:left="660" w:right="32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labor relating to infrastructure, management and administration, and other expenses.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 contracts.</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legal costs, and other discretionary spending.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660" w:right="200" w:hanging="328"/>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includes the depreciation of computers, leasehold improvements, furniture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equipment, and the amortization of internally developed software, as well as third-party software that we use internally, and of identifiable long-lived intangible assets over their estimated useful lives.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81"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Seasonality is just one of a number of factors, many of which are outside of our control, which may affect our results in any period. See “Part I, Item 1A. Risk Factors,” of our fiscal 2024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critical accounting estimates and policies are disclosed in the Critical Accounting Estimates and Policies section in Part II, “Item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There were no material changes to our critical accounting policies, estimates or judgments that occurred during the periods covered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items from our condensed consolidated statements of operations for the three months ended June 30, 2024 and June 30, 2023:</w:t>
      </w:r>
    </w:p>
    <w:p>
      <w:pPr>
        <w:spacing w:after="0" w:line="83"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4"/>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7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1,251,916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Billable expenses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1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2,420,068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234,418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166.5 %</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increased 10.8% to $2.9 billion, primarily driven by strong demand for our services and solutions as well as continued headcount growth.</w:t>
      </w:r>
    </w:p>
    <w:p>
      <w:pPr>
        <w:spacing w:after="0"/>
        <w:rPr>
          <w:sz w:val="20"/>
          <w:szCs w:val="20"/>
          <w:color w:val="auto"/>
        </w:rPr>
      </w:pPr>
      <w:r>
        <w:rPr>
          <w:rFonts w:ascii="Times New Roman" w:cs="Times New Roman" w:eastAsia="Times New Roman" w:hAnsi="Times New Roman"/>
          <w:sz w:val="18"/>
          <w:szCs w:val="18"/>
          <w:color w:val="auto"/>
        </w:rPr>
        <w:t>Total headcount as of June 30, 2024 increased by approximately 2,500 as compared to June 30,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0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Cost of revenue increased 9.5% to $1.4 billion, and decreased as a percentage of revenue to 46.6% from 47.2%. The increase was primarily due to increases in salaries and salary-related benefits of $135.2 million driven by increased headcount and salary increases, partially offset by a decrease in other business expenses and professional fees of $19.3 million as compared to the prior year.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Billable expenses increased 16.3% to $945.0 million, and increased as a percentage of revenue to 32.1% from 30.6%. The increases were primarily attributable to increases in the use of subcontractors driven by client demand and timing of client needs, as well as increases in expenses from contracts requiring the Company to incur other direct expenses and travel on behalf of clients as compared to the prior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4.9% to $329.3 million, and decreased as a percentage of revenue to 11.2% from 11.8%. Fiscal 2024 general and administrative expenses were impacted by a $27.5 million reserve associated with the U.S. Department of Justice's investigation of the Company, partially offset by increases in salary and salary related benefits of $19.1 million and increases in other business expenses and professional fees of $18.9 million as compared to the prior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 decreased 1.7% to $41.1 million, primarily driven by intangible amortization related to acquisitions.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29.5% to $45.9 million, primarily due to an increase of approximately $9.7 million in bond interest expense related to the $650.0 million Senior Notes due 2033, issued by the Company in August of fiscal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Other income, net increased to $5.1 million from $1.9 million, primarily driven by an increase in interest income of $2.6 million due to a higher average cash balance combined with a slightly higher interest rate environment.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9" w:lineRule="exact"/>
        <w:rPr>
          <w:sz w:val="20"/>
          <w:szCs w:val="20"/>
          <w:color w:val="auto"/>
        </w:rPr>
      </w:pPr>
    </w:p>
    <w:p>
      <w:pPr>
        <w:ind w:right="300" w:firstLine="405"/>
        <w:spacing w:after="0" w:line="245" w:lineRule="auto"/>
        <w:rPr>
          <w:sz w:val="20"/>
          <w:szCs w:val="20"/>
          <w:color w:val="auto"/>
        </w:rPr>
      </w:pPr>
      <w:r>
        <w:rPr>
          <w:rFonts w:ascii="Times New Roman" w:cs="Times New Roman" w:eastAsia="Times New Roman" w:hAnsi="Times New Roman"/>
          <w:sz w:val="18"/>
          <w:szCs w:val="18"/>
          <w:color w:val="auto"/>
        </w:rPr>
        <w:t>Income tax expense increased 24.4% to $49.1 million. The effective tax rate increased to 22.9% from 19.7%, primarily due to indirect benefits of Section 174 research and development capitalization recognized during fiscal 2024 and excess tax benefits from stock based compensation.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our total liquidity was $1.3 billion, consisting of $297.7 million of cash and cash equivalents and $998.3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72" w:lineRule="exact"/>
        <w:rPr>
          <w:sz w:val="20"/>
          <w:szCs w:val="20"/>
          <w:color w:val="auto"/>
        </w:rPr>
      </w:pPr>
    </w:p>
    <w:p>
      <w:pPr>
        <w:ind w:right="10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as of June 30, 2024 and March 31, 2024 and for the first three months of fiscal 2025 and 2024:</w:t>
      </w: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center"/>
              <w:ind w:right="420"/>
              <w:spacing w:after="0" w:line="185"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Pr>
          <w:p>
            <w:pPr>
              <w:spacing w:after="0"/>
              <w:rPr>
                <w:sz w:val="16"/>
                <w:szCs w:val="16"/>
                <w:color w:val="auto"/>
              </w:rPr>
            </w:pPr>
          </w:p>
        </w:tc>
        <w:tc>
          <w:tcPr>
            <w:tcW w:w="1400" w:type="dxa"/>
            <w:vAlign w:val="bottom"/>
          </w:tcPr>
          <w:p>
            <w:pPr>
              <w:jc w:val="right"/>
              <w:ind w:right="45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6"/>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554,257</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3,402,539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3,411,816</w:t>
            </w:r>
          </w:p>
        </w:tc>
      </w:tr>
    </w:tbl>
    <w:p>
      <w:pPr>
        <w:spacing w:after="0" w:line="148"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4"/>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1"/>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(71,532)</w:t>
            </w: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(108,636)</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(256,593)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(195,222)</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Credit Agreement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both organic and inorganic growth of our business;</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maintenance around all financial management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Credit Agreement and interest payments for the Senior Notes due 2028, Senior Notes due 2029 and Senior Notes due 2033;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6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On June 7, 2024, the Company completed the acquisition of PAR Government Systems Corporation (“PGSC”), a wholly owned subsidiary of PAR Technology Corporation, for approximately $94.8 million, net of post-closing adjustments and incurred transaction costs as part of the acquisition. See Note 5, “Acquisition, Goodwill and Intangible Assets,” to our condensed consolidated financial statements for additional information related to the acquisition of PGSC.</w:t>
      </w:r>
    </w:p>
    <w:p>
      <w:pPr>
        <w:spacing w:after="0" w:line="58" w:lineRule="exact"/>
        <w:rPr>
          <w:sz w:val="20"/>
          <w:szCs w:val="20"/>
          <w:color w:val="auto"/>
        </w:rPr>
      </w:pPr>
    </w:p>
    <w:p>
      <w:pPr>
        <w:ind w:right="680" w:firstLine="405"/>
        <w:spacing w:after="0" w:line="296" w:lineRule="auto"/>
        <w:rPr>
          <w:sz w:val="20"/>
          <w:szCs w:val="20"/>
          <w:color w:val="auto"/>
        </w:rPr>
      </w:pPr>
      <w:r>
        <w:rPr>
          <w:rFonts w:ascii="Times New Roman" w:cs="Times New Roman" w:eastAsia="Times New Roman" w:hAnsi="Times New Roman"/>
          <w:sz w:val="17"/>
          <w:szCs w:val="17"/>
          <w:color w:val="auto"/>
        </w:rPr>
        <w:t>During the first quarter of fiscal 2024, we borrowed $75.0 million on our Revolving Credit Facility for working capital needs, which was subsequently repaid in the second quarter of fiscal 2024. We have not borrowed on our Revolving Credit Facility in the first quarter of fiscal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79"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including any potential impact of the U.S. government’s failure to raise the debt ceiling, may also affect our business as customers and suppliers may decide to downsize, defer, or cancel contracts, which could negatively affect our operating cash flows. Net cash provided by operations was $52.1 million for the three months ended June 30, 2024 compared to $71.5 million of net cash used in operations in the prior year period. Operating cash was primarily driven by strong collections and overall revenue growth, partially offset by increased disbursements.</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Beginning in fiscal 2023, the Tax Cuts and Jobs Act of 2017 eliminated the option to deduct research and development expenditures immediately in the year incurred and requires taxpayers to amortize such expenditures over five years for U.S. based research and development. This provision negatively impacted our fiscal 2024 cash from operations, but had an offsetting impact on the deferred tax asset. The Company expects a similar impact in fiscal 2025, although the impact to cash and deferred taxes is expected to be smaller than in fiscal 2024.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was to fiscal 2023 cash from operations, the impact will continue over the five year amortization period, but will decrease over the period and is expected to be less significant in year six.</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 was $127.3 million in the three months ended June 30, 2024 compared to $15.1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investing cash used over the prior year was primarily due to the Company's acquisition of PGSC.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$181.4 million in the three months ended June 30, 2024 compared to $108.6 million in the prior year period. The increase in financing cash used year over year was primarily due to a $75.0 million draw on the Company’s revolving credit facility in the prior year, not present this year, partially offset by a decrease of $12.1 million in share repurchases year over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July 26, 2024, the Company announced a regular quarterly cash dividend in the amount of $0.51 per share. The quarterly dividend is payable on August 30, 2024 to stockholders of record on August 14, 2024.</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June 30, 2024, a quarterly cash dividend of $0.51 per share was declared and paid totaling $66.4 million.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$525.0 million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$3,085.0 million on May 22, 2024. The Company may repurchase shares pursuant to the program by means of open market repurchases, directly negotiated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or through agents acting pursuant to negotiated repurchase agreements. During the first three months of fiscal 2025, the Company purchased</w:t>
      </w:r>
    </w:p>
    <w:p>
      <w:pPr>
        <w:spacing w:after="0" w:line="234" w:lineRule="auto"/>
        <w:rPr>
          <w:sz w:val="20"/>
          <w:szCs w:val="20"/>
          <w:color w:val="auto"/>
        </w:rPr>
      </w:pPr>
      <w:r>
        <w:rPr>
          <w:rFonts w:ascii="Times New Roman" w:cs="Times New Roman" w:eastAsia="Times New Roman" w:hAnsi="Times New Roman"/>
          <w:sz w:val="18"/>
          <w:szCs w:val="18"/>
          <w:color w:val="auto"/>
        </w:rPr>
        <w:t>0.5 million shares of the Company's Class A Common Stock for an aggregate of $78.3 million. As of June 30, 2024, the Company had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$929.9 million remaining under the repurchase program.</w:t>
      </w:r>
    </w:p>
    <w:p>
      <w:pPr>
        <w:spacing w:after="0" w:line="97"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120" w:firstLine="405"/>
        <w:spacing w:after="0" w:line="242" w:lineRule="auto"/>
        <w:rPr>
          <w:sz w:val="20"/>
          <w:szCs w:val="20"/>
          <w:color w:val="auto"/>
        </w:rPr>
      </w:pPr>
      <w:r>
        <w:rPr>
          <w:rFonts w:ascii="Times New Roman" w:cs="Times New Roman" w:eastAsia="Times New Roman" w:hAnsi="Times New Roman"/>
          <w:sz w:val="18"/>
          <w:szCs w:val="18"/>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June 30, 2024, the Credit Agreement provided Booz Allen Hamilton with a $1,577.8 million Term Loan A (“Term Loan A”) and a $1.0 billion revolving credit facility (the “Revolving Credit Facility”), with a sub-limit for letters of credit of $200.0 million. As of June 30, 2024, the maturity date of Term Loan A and the Revolving Commitments is September 7, 2027. Voluntary prepayments of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94" w:lineRule="exact"/>
        <w:rPr>
          <w:sz w:val="20"/>
          <w:szCs w:val="20"/>
          <w:color w:val="auto"/>
        </w:rPr>
      </w:pPr>
    </w:p>
    <w:p>
      <w:pPr>
        <w:ind w:right="60" w:firstLine="405"/>
        <w:spacing w:after="0" w:line="243" w:lineRule="auto"/>
        <w:rPr>
          <w:sz w:val="20"/>
          <w:szCs w:val="20"/>
          <w:color w:val="auto"/>
        </w:rPr>
      </w:pPr>
      <w:r>
        <w:rPr>
          <w:rFonts w:ascii="Times New Roman" w:cs="Times New Roman" w:eastAsia="Times New Roman" w:hAnsi="Times New Roman"/>
          <w:sz w:val="18"/>
          <w:szCs w:val="18"/>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78" w:lineRule="exact"/>
        <w:rPr>
          <w:sz w:val="20"/>
          <w:szCs w:val="20"/>
          <w:color w:val="auto"/>
        </w:rPr>
      </w:pPr>
    </w:p>
    <w:p>
      <w:pPr>
        <w:ind w:right="280" w:firstLine="405"/>
        <w:spacing w:after="0" w:line="250" w:lineRule="auto"/>
        <w:rPr>
          <w:sz w:val="20"/>
          <w:szCs w:val="20"/>
          <w:color w:val="auto"/>
        </w:rPr>
      </w:pPr>
      <w:r>
        <w:rPr>
          <w:rFonts w:ascii="Times New Roman" w:cs="Times New Roman" w:eastAsia="Times New Roman" w:hAnsi="Times New Roman"/>
          <w:sz w:val="18"/>
          <w:szCs w:val="18"/>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69"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6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80"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Company occasionally borrows under the Revolving Credit Facility for our working capital needs. During the first quarter of fiscal 2024, we borrowed $75.0 million on our Revolving Credit Facility for working capital needs, which was subsequently repaid in the second quarter of fiscal 2024. There were no borrowings during the first quarter of fiscal 2025 and as of June 30, 2024 and March 31, 2024, respectively, there was no outstanding balance on the Revolving Credit Facility.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Borrowings under Term Loan A, and if used, the Revolving Credit Facility, incur interest at a variable rate. As of June 30, 2024, Booz Allen Hamilton had interest rate swaps with an aggregate notional amount of $550.0 million. These instruments hedge the variability of cash outflows for interest payments on the Credit Agreement. The Company's objectives in using cash flow hedges are to reduce volatility due to interest rate movements and to add stability to interest expense. See Note 9, “Derivatives,” to our condensed consolidated financial statements for further information.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Interest payments made on the Company’s term loan during the quarter ended June 30, 2024 and 2023, respectively, were $26.8 million and $26.1 million.</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specifically the consolidated net total leverage ratio. As of June 30, 2024 and March 31, 2024, Booz Allen Hamilton was in compliance with all financial covenants associated with its debt and debt-like instruments.</w:t>
      </w:r>
    </w:p>
    <w:p>
      <w:pPr>
        <w:spacing w:after="0" w:line="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June 30, 2024 and March 31, 2024, the Company was contingently liable under open standby letters of credit and bank guarantees issued by our banks in favor of third parties that totaled $4.8 million and $4.4 million, respectively. These letters of credit and bank guarantees primarily support insurance and bid and performance obligations. At June 30, 2024 and March 31, 2024, respectively, approximately $1.7 million and $1.3 million of these instruments reduced the available borrowings under the Revolving Credit Facility. The remainder is guaranteed under a separate $7.5 million facility of which $4.4 million was available to the Company at both June 30, 2024 and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material terms of the Company’s Senior Notes as of June 30, 2024:</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1800" w:type="dxa"/>
            <w:vAlign w:val="bottom"/>
          </w:tcPr>
          <w:p>
            <w:pPr>
              <w:spacing w:after="0"/>
              <w:rPr>
                <w:sz w:val="20"/>
                <w:szCs w:val="20"/>
                <w:color w:val="auto"/>
              </w:rPr>
            </w:pPr>
          </w:p>
        </w:tc>
        <w:tc>
          <w:tcPr>
            <w:tcW w:w="1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Indenture Date</w:t>
            </w: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Payable</w:t>
            </w:r>
          </w:p>
        </w:tc>
        <w:tc>
          <w:tcPr>
            <w:tcW w:w="16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Issuance Costs</w:t>
            </w:r>
          </w:p>
        </w:tc>
      </w:tr>
      <w:tr>
        <w:trPr>
          <w:trHeight w:val="27"/>
        </w:trPr>
        <w:tc>
          <w:tcPr>
            <w:tcW w:w="18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4"/>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176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8/4/2023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5.950%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8/4/2033</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and August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r>
      <w:tr>
        <w:trPr>
          <w:trHeight w:val="28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6/17/2021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and January 1</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7"/>
        </w:trPr>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11"/>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76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8/24/2020</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9/1/2028</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and September 1</w:t>
            </w: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28"/>
        </w:trPr>
        <w:tc>
          <w:tcPr>
            <w:tcW w:w="1800" w:type="dxa"/>
            <w:vAlign w:val="bottom"/>
          </w:tcPr>
          <w:p>
            <w:pPr>
              <w:spacing w:after="0"/>
              <w:rPr>
                <w:sz w:val="19"/>
                <w:szCs w:val="19"/>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w:t>
            </w:r>
          </w:p>
        </w:tc>
      </w:tr>
      <w:tr>
        <w:trPr>
          <w:trHeight w:val="22"/>
        </w:trPr>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Interest is payable semi-annually in cash in arrears, with the principal due at maturity. Issuance Costs were recorded as an offset against the carrying value of respective debt and are being amortized to interest expense over the term of the respective debt. For further information on the Senior Notes, including terms, conditions, restrictions and redemption options, see Note 10, “Debt,” of the Company’s consolidated financial statements included in the fiscal 2024 Annual Report on Form 10-K.</w:t>
      </w:r>
    </w:p>
    <w:p>
      <w:pPr>
        <w:spacing w:after="0" w:line="7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All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 The Senior Notes due 2033 are fully and unconditionally guaranteed on an unsecured and unsubordinated basis by Booz Allen Hamilton Holding Corporation, pursuant to the relevant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due 2033 were issued by Booz Allen Hamilton pursuant to the Base Indenture, among Booz Allen Hamilton, the Company and U.S. Bank Trust Company, National Association, as trustee, as supplemented by the Supplemental Indenture. The Senior Notes due 2033 are fully and unconditionally guaranteed on an unsecured and unsubordinated basis by the Company pursuant to the Indenture.</w:t>
      </w:r>
    </w:p>
    <w:p>
      <w:pPr>
        <w:spacing w:after="0" w:line="6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tables below present the summarized financial information as combined for the Company and Booz Allen Hamilton as of March 31, 2024 and as of and for the three months ended June 30, 2024, after the elimination of intercompany transactions and balances between the Company and Booz Allen Hamilton and excluding the subsidiaries of the Company that are not issuers or guarantors of the Senior Notes due 2033,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95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Statements of Financial Condition</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7"/>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2"/>
                <w:szCs w:val="22"/>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2"/>
                <w:szCs w:val="22"/>
                <w:color w:val="auto"/>
              </w:rPr>
            </w:pP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receivables from non-guarantor subsidiaries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62,012</w:t>
            </w: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2,541,992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2,618,239</w:t>
            </w: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 of accumulated amortization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1,499,616</w:t>
            </w: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853,623</w:t>
            </w: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payables to non-guarantor subsidiaries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1,641,369</w:t>
            </w: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3,349,941</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471,330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457,290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Operations</w:t>
            </w: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7"/>
                <w:szCs w:val="17"/>
                <w:color w:val="auto"/>
              </w:rPr>
            </w:pPr>
          </w:p>
        </w:tc>
        <w:tc>
          <w:tcPr>
            <w:tcW w:w="210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2,760,256</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non-guarantor subsidiaries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150,625</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106,482</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non-guarantor subsidiaries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143,119</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161,015</w:t>
            </w:r>
          </w:p>
        </w:tc>
        <w:tc>
          <w:tcPr>
            <w:tcW w:w="0" w:type="dxa"/>
            <w:vAlign w:val="bottom"/>
          </w:tcPr>
          <w:p>
            <w:pPr>
              <w:spacing w:after="0"/>
              <w:rPr>
                <w:sz w:val="1"/>
                <w:szCs w:val="1"/>
                <w:color w:val="auto"/>
              </w:rPr>
            </w:pP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Obligor Group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161,015</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67"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Our stockholders’ equity amounted to $1,083.9 million as of June 30, 2024, an increase of $37.3, compared to stockholders’ equity of $1,046.6 million as of March 31, 2024. The increase was primarily due to net income of $165.2 million and stock-based compensation expense of $19.9 million during the three months ended June 30, 2024, partially offset by $89.9 million in treasury stock resulting from the repurchase of shares of our Class A Common Stock, and $67.4 million in quarterly dividend payments for the three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6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three months ended June 30, 2024 and 2023 were $32.4 million and $10.5 million, respectively. The increase is primarily driven by an increase in leasehold improvements and secure space updates to our leased facilities in the current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6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15, “Commitments and Contingencies,” to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67"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30" w:lineRule="exact"/>
        <w:rPr>
          <w:sz w:val="20"/>
          <w:szCs w:val="20"/>
          <w:color w:val="auto"/>
        </w:rPr>
      </w:pPr>
    </w:p>
    <w:p>
      <w:pPr>
        <w:ind w:left="660" w:right="50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U.S. administration transitions;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60" w:right="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long-term funding of our contracts, including uncertainty relating to funding the U.S. government and increasing the debt ceiling;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a result of the failure by elected officials to fund the government;</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comply with numerous laws and regulations, including but not limited to, the Federal Acquisition Regulation (“FAR”), the False Claims Act, the Defense Federal Acquisition Regulation Supplement (“DFARS”), and FAR Cost Accounting Standards and Cost Principles;</w:t>
      </w:r>
    </w:p>
    <w:p>
      <w:pPr>
        <w:ind w:left="660" w:right="4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disease outbreaks, pandemics, or widespread health epidemics including disruptions to our workforce and the impact on government spending and demand for our solutions;</w:t>
      </w:r>
    </w:p>
    <w:p>
      <w:pPr>
        <w:spacing w:after="0" w:line="1"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1"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General Services Administration Multiple Award schedule contracts, or General Services Administration (“GSA”) schedules, blanket purchase agreements, and indefinite delivery/indefinite quantity (“IDIQ”) contracts;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GSA schedules or our position as prime contractor on government-wide acquisition contract vehicles (“GWACs”);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63"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threats, including cyber attacks on our network and internal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operations of financial management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and experience;</w:t>
      </w:r>
    </w:p>
    <w:p>
      <w:pPr>
        <w:spacing w:after="0" w:line="63"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hire, assimilate and effectively utilize our employees, ensure that employees obtain and maintain necessary security clearances and/or effectively manage our cost structure;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inflation that could impact the cost of doing business and/or reduce customer buying power;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subcontractors, or suppliers, including the improper access, use or release of our or our clients’ sensitive or classified information;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competition, new relationships, clients, capabilities, and service offerings in our U.S. and international businesses;</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1"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U.S. government of new laws, rules, and regulations, such as those relating to organizational conflicts of interest issues or limits;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possible recession and volatility or instability of the global financial system, including the failures of financial institutions and the resulting impact on counterparties and business conditions generally;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deterioration of economic conditions or weakening in credit or capital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60" w:right="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tax liabilities, including as a result of changes in tax laws or management judgments involving complex tax matters;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6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13" w:lineRule="exact"/>
        <w:rPr>
          <w:rFonts w:ascii="Times New Roman" w:cs="Times New Roman" w:eastAsia="Times New Roman" w:hAnsi="Times New Roman"/>
          <w:sz w:val="18"/>
          <w:szCs w:val="18"/>
          <w:color w:val="auto"/>
        </w:rPr>
      </w:pPr>
    </w:p>
    <w:p>
      <w:pPr>
        <w:ind w:left="660" w:righ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ESG-related risks and climate change generally on our and our clients' businesses and operations;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 as well as those listed under “Risk Factors” in our Annual Report on Form 10-K for the year ended March 31, 2024.</w:t>
      </w:r>
    </w:p>
    <w:p>
      <w:pPr>
        <w:spacing w:after="0" w:line="5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2024 filed with the Securities and Exchange Commission on May 24, 2024.</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6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2024 and March 31, 2024, there were no material amounts accrued in the condensed consolidated financial statements related to these proceedings.</w:t>
      </w:r>
    </w:p>
    <w:p>
      <w:pPr>
        <w:spacing w:after="0" w:line="68"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On June 19, 2017, a purported stockholder of the Company filed a putative class action lawsuit in the United States District Court for the Eastern District of Virginia styled Langley v. Booz Allen Hamilton Holding Corp., No. 17-cv-00696 (“Langley”) naming the Company, its Chief Executive Officer, and its former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asserted claims under Sections 10(b) and 20(a) of the Exchange Act and Rule 10b-5 promulgated thereunder, alleging misrepresentations or omissions by the Company purporting to relate to matters that were the subject of the investigation of the Company by the U.S. Department of Justice (“DOJ”), which has been closed or settled. See Note 20, “Commitments and Contingencies,” to the consolidated financial statements contained within our Annual Report on Form 10-K for the fiscal year ended March 31, 2024. Motions to dismiss were argued on January 12, 2018, and on February 8, 2018, the court dismissed the amended complaint in its entirety without prejudice. On September 22, 2023, plaintiffs filed a motion for leave to amend the dismissed amended complaint or, in the alternative, for relief from the court’s prior dismissal order, and on October 16, 2023, the court denied plaintiffs’ motion. On November 15, 2023, plaintiffs filed with the United States Court of Appeals for the Fourth Circuit a notice of appeal from the district court’s denial of plaintiffs’ motion. On April 22, 2024, plaintiffs filed a motion for the voluntary dismissal with prejudice of the appeal, and on April 23, 2024, the court granted plaintiffs’ motion.</w:t>
      </w:r>
    </w:p>
    <w:p>
      <w:pPr>
        <w:spacing w:after="0" w:line="81" w:lineRule="exact"/>
        <w:rPr>
          <w:sz w:val="20"/>
          <w:szCs w:val="20"/>
          <w:color w:val="auto"/>
        </w:rPr>
      </w:pPr>
    </w:p>
    <w:p>
      <w:pPr>
        <w:ind w:right="20" w:firstLine="405"/>
        <w:spacing w:after="0" w:line="237"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Starting on May 27, 2020, the parties have submitted periodic status reports as ordered by the court stating that plaintiff believes the stay should remain in effect and defendants do not object to the stay remaining in effect. On May 20, 2024, the parties filed a joint stipulation for the voluntary dismissal without prejudice of the action, and the court so ordered the joint stipulation.</w:t>
      </w:r>
    </w:p>
    <w:p>
      <w:pPr>
        <w:spacing w:after="0" w:line="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2024 filed with the Securities and Exchange Commission on May 24, 2024.</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6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6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for each of the three months in the quarter ended June 30, 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6"/>
                <w:szCs w:val="16"/>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6"/>
                <w:szCs w:val="16"/>
                <w:color w:val="auto"/>
              </w:rPr>
            </w:pPr>
          </w:p>
        </w:tc>
        <w:tc>
          <w:tcPr>
            <w:tcW w:w="18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2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21"/>
                <w:szCs w:val="21"/>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center"/>
              <w:ind w:right="30"/>
              <w:spacing w:after="0" w:line="243" w:lineRule="exact"/>
              <w:rPr>
                <w:sz w:val="20"/>
                <w:szCs w:val="20"/>
                <w:color w:val="auto"/>
              </w:rPr>
            </w:pPr>
            <w:r>
              <w:rPr>
                <w:rFonts w:ascii="Times New Roman" w:cs="Times New Roman" w:eastAsia="Times New Roman" w:hAnsi="Times New Roman"/>
                <w:sz w:val="18"/>
                <w:szCs w:val="18"/>
                <w:b w:val="1"/>
                <w:bCs w:val="1"/>
                <w:color w:val="auto"/>
                <w:w w:val="93"/>
              </w:rPr>
              <w:t xml:space="preserve">Programs </w:t>
            </w:r>
            <w:r>
              <w:rPr>
                <w:rFonts w:ascii="Times New Roman" w:cs="Times New Roman" w:eastAsia="Times New Roman" w:hAnsi="Times New Roman"/>
                <w:sz w:val="23"/>
                <w:szCs w:val="23"/>
                <w:color w:val="auto"/>
                <w:w w:val="93"/>
                <w:vertAlign w:val="superscript"/>
              </w:rPr>
              <w:t>(1)</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Borders>
              <w:top w:val="single" w:sz="8" w:color="BFE4FF"/>
            </w:tcBorders>
            <w:shd w:val="clear" w:color="auto" w:fill="BFE4FF"/>
          </w:tcPr>
          <w:p>
            <w:pPr>
              <w:spacing w:after="0"/>
              <w:rPr>
                <w:sz w:val="19"/>
                <w:szCs w:val="19"/>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170,742</w:t>
            </w:r>
          </w:p>
        </w:tc>
        <w:tc>
          <w:tcPr>
            <w:tcW w:w="100" w:type="dxa"/>
            <w:vAlign w:val="bottom"/>
            <w:tcBorders>
              <w:top w:val="single" w:sz="8" w:color="BFE4FF"/>
            </w:tcBorders>
            <w:shd w:val="clear" w:color="auto" w:fill="BFE4FF"/>
          </w:tcPr>
          <w:p>
            <w:pPr>
              <w:spacing w:after="0"/>
              <w:rPr>
                <w:sz w:val="19"/>
                <w:szCs w:val="19"/>
                <w:color w:val="auto"/>
              </w:rPr>
            </w:pPr>
          </w:p>
        </w:tc>
        <w:tc>
          <w:tcPr>
            <w:tcW w:w="178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$146.11</w:t>
            </w:r>
          </w:p>
        </w:tc>
        <w:tc>
          <w:tcPr>
            <w:tcW w:w="100" w:type="dxa"/>
            <w:vAlign w:val="bottom"/>
            <w:tcBorders>
              <w:top w:val="single" w:sz="8" w:color="BFE4FF"/>
            </w:tcBorders>
            <w:shd w:val="clear" w:color="auto" w:fill="BFE4FF"/>
          </w:tcPr>
          <w:p>
            <w:pPr>
              <w:spacing w:after="0"/>
              <w:rPr>
                <w:sz w:val="19"/>
                <w:szCs w:val="19"/>
                <w:color w:val="auto"/>
              </w:rPr>
            </w:pPr>
          </w:p>
        </w:tc>
        <w:tc>
          <w:tcPr>
            <w:tcW w:w="182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170,742</w:t>
            </w:r>
          </w:p>
        </w:tc>
        <w:tc>
          <w:tcPr>
            <w:tcW w:w="100" w:type="dxa"/>
            <w:vAlign w:val="bottom"/>
            <w:tcBorders>
              <w:top w:val="single" w:sz="8" w:color="BFE4FF"/>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458,240,134</w:t>
            </w:r>
          </w:p>
        </w:tc>
        <w:tc>
          <w:tcPr>
            <w:tcW w:w="0" w:type="dxa"/>
            <w:vAlign w:val="bottom"/>
          </w:tcPr>
          <w:p>
            <w:pPr>
              <w:spacing w:after="0"/>
              <w:rPr>
                <w:sz w:val="1"/>
                <w:szCs w:val="1"/>
                <w:color w:val="auto"/>
              </w:rPr>
            </w:pPr>
          </w:p>
        </w:tc>
      </w:tr>
      <w:tr>
        <w:trPr>
          <w:trHeight w:val="230"/>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165,502</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$151.03</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958,243,633</w:t>
            </w:r>
          </w:p>
        </w:tc>
        <w:tc>
          <w:tcPr>
            <w:tcW w:w="0" w:type="dxa"/>
            <w:vAlign w:val="bottom"/>
          </w:tcPr>
          <w:p>
            <w:pPr>
              <w:spacing w:after="0"/>
              <w:rPr>
                <w:sz w:val="1"/>
                <w:szCs w:val="1"/>
                <w:color w:val="auto"/>
              </w:rPr>
            </w:pPr>
          </w:p>
        </w:tc>
      </w:tr>
      <w:tr>
        <w:trPr>
          <w:trHeight w:val="229"/>
        </w:trPr>
        <w:tc>
          <w:tcPr>
            <w:tcW w:w="3720" w:type="dxa"/>
            <w:vAlign w:val="bottom"/>
            <w:gridSpan w:val="3"/>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174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186,373</w:t>
            </w:r>
          </w:p>
        </w:tc>
        <w:tc>
          <w:tcPr>
            <w:tcW w:w="1880" w:type="dxa"/>
            <w:vAlign w:val="bottom"/>
            <w:gridSpan w:val="2"/>
            <w:shd w:val="clear" w:color="auto" w:fill="BFE4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$151.91</w:t>
            </w:r>
          </w:p>
        </w:tc>
        <w:tc>
          <w:tcPr>
            <w:tcW w:w="100" w:type="dxa"/>
            <w:vAlign w:val="bottom"/>
            <w:shd w:val="clear" w:color="auto" w:fill="BFE4FF"/>
          </w:tcPr>
          <w:p>
            <w:pPr>
              <w:spacing w:after="0"/>
              <w:rPr>
                <w:sz w:val="19"/>
                <w:szCs w:val="19"/>
                <w:color w:val="auto"/>
              </w:rPr>
            </w:pPr>
          </w:p>
        </w:tc>
        <w:tc>
          <w:tcPr>
            <w:tcW w:w="182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186,373</w:t>
            </w:r>
          </w:p>
        </w:tc>
        <w:tc>
          <w:tcPr>
            <w:tcW w:w="22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929,931,939</w:t>
            </w:r>
          </w:p>
        </w:tc>
        <w:tc>
          <w:tcPr>
            <w:tcW w:w="0" w:type="dxa"/>
            <w:vAlign w:val="bottom"/>
          </w:tcPr>
          <w:p>
            <w:pPr>
              <w:spacing w:after="0"/>
              <w:rPr>
                <w:sz w:val="1"/>
                <w:szCs w:val="1"/>
                <w:color w:val="auto"/>
              </w:rPr>
            </w:pPr>
          </w:p>
        </w:tc>
      </w:tr>
      <w:tr>
        <w:trPr>
          <w:trHeight w:val="223"/>
        </w:trPr>
        <w:tc>
          <w:tcPr>
            <w:tcW w:w="37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522,617</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522,617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60" w:hanging="166"/>
        <w:spacing w:after="0"/>
        <w:tabs>
          <w:tab w:leader="none" w:pos="66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12, 2011, the Board of Directors approved a share repurchase program, which was most recently increased by $525.0 million to</w:t>
      </w:r>
    </w:p>
    <w:p>
      <w:pPr>
        <w:spacing w:after="0" w:line="1" w:lineRule="exact"/>
        <w:rPr>
          <w:rFonts w:ascii="Times New Roman" w:cs="Times New Roman" w:eastAsia="Times New Roman" w:hAnsi="Times New Roman"/>
          <w:sz w:val="21"/>
          <w:szCs w:val="21"/>
          <w:color w:val="auto"/>
          <w:vertAlign w:val="superscript"/>
        </w:rPr>
      </w:pPr>
    </w:p>
    <w:p>
      <w:pPr>
        <w:ind w:left="660" w:right="60"/>
        <w:spacing w:after="0" w:line="25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$3,085.0 million on May 22, 2024.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June 30, 2024.</w:t>
      </w:r>
    </w:p>
    <w:p>
      <w:pPr>
        <w:spacing w:after="0" w:line="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Disclosure of Trading Arrangements</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Item 408(a) of Regulation S-K requires the Company to disclose whether any director or officer of the Company has adopted or terminated (i) any trading arrangement that is intended to satisfy the affirmative defense conditions of Rule 10b5-1(c) (a “Rule 10b5-1 trading arrangement”); and/or (ii) any written trading arrangement that meets the requirements of a “non-Rule 10b5-1 trading arrangement” as defined in Item 408(c) of Regulation S-K.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quarter ended June 30, 2024, the following activity occurred requiring disclosure under Item 408(a) of Regulation S-K:</w:t>
      </w:r>
    </w:p>
    <w:p>
      <w:pPr>
        <w:spacing w:after="0" w:line="11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Matthew A. Calderone, our Chief Financial Officer, adopted a new Rule 10b5-1 trading arrangement on June 5, 2024 that will terminate on June 6, 2025. Under the trading arrangement, up to an aggregate of 7,930 shares of common stock are available to be sold by the broker upon reaching pricing targets defined in the trading arrangement.</w:t>
      </w:r>
    </w:p>
    <w:p>
      <w:pPr>
        <w:spacing w:after="0" w:line="6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Nancy J. Laben, our Chief Legal Officer, adopted a new Rule 10b5-1 trading arrangement on May 30, 2024 that will terminate on May 30, 2025. Under the trading arrangement, up to an aggregate of 11,984 shares of common stock are available to be sold by the broker upon reaching pricing targets defined in the trading arrangement.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Exhibit</w:t>
      </w: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980" w:right="80" w:hanging="954"/>
        <w:spacing w:after="0" w:line="237" w:lineRule="auto"/>
        <w:tabs>
          <w:tab w:leader="none" w:pos="980" w:val="left"/>
        </w:tabs>
        <w:numPr>
          <w:ilvl w:val="0"/>
          <w:numId w:val="28"/>
        </w:numPr>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List of Guarantors and Subsidiary Issuers of Guaranteed Securities (Incorporated by reference to Exhibit 22 to the Company’s Annual Report</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for the fiscal year ended March 31, 2024 on Form 10-K (File No. 001-34972))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980" w:type="dxa"/>
            <w:vAlign w:val="bottom"/>
          </w:tcPr>
          <w:p>
            <w:pPr>
              <w:jc w:val="right"/>
              <w:ind w:right="550"/>
              <w:spacing w:after="0" w:line="204"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Rule 13a-14(a)/15d-14(a) Certification of the Chief Executive Officer*</w:t>
            </w:r>
          </w:p>
        </w:tc>
      </w:tr>
      <w:tr>
        <w:trPr>
          <w:trHeight w:val="21"/>
        </w:trPr>
        <w:tc>
          <w:tcPr>
            <w:tcW w:w="98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980" w:type="dxa"/>
            <w:vAlign w:val="bottom"/>
            <w:tcBorders>
              <w:bottom w:val="single" w:sz="8" w:color="CCEEFF"/>
            </w:tcBorders>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08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w:t>
            </w:r>
          </w:p>
        </w:tc>
        <w:tc>
          <w:tcPr>
            <w:tcW w:w="5180" w:type="dxa"/>
            <w:vAlign w:val="bottom"/>
            <w:tcBorders>
              <w:bottom w:val="single" w:sz="8" w:color="CCEEFF"/>
            </w:tcBorders>
            <w:gridSpan w:val="4"/>
            <w:shd w:val="clear" w:color="auto" w:fill="CCEEFF"/>
          </w:tcPr>
          <w:p>
            <w:pPr>
              <w:spacing w:after="0"/>
              <w:rPr>
                <w:sz w:val="18"/>
                <w:szCs w:val="18"/>
                <w:color w:val="auto"/>
              </w:rPr>
            </w:pPr>
          </w:p>
        </w:tc>
      </w:tr>
      <w:tr>
        <w:trPr>
          <w:trHeight w:val="189"/>
        </w:trPr>
        <w:tc>
          <w:tcPr>
            <w:tcW w:w="98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2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required by Rule 13a-14(b) or Rule 15d-14(b) and Section 1350 of Chapter 63 of Title 18 of the</w:t>
            </w:r>
          </w:p>
        </w:tc>
      </w:tr>
      <w:tr>
        <w:trPr>
          <w:trHeight w:val="156"/>
        </w:trPr>
        <w:tc>
          <w:tcPr>
            <w:tcW w:w="980" w:type="dxa"/>
            <w:vAlign w:val="bottom"/>
          </w:tcPr>
          <w:p>
            <w:pPr>
              <w:spacing w:after="0"/>
              <w:rPr>
                <w:sz w:val="13"/>
                <w:szCs w:val="13"/>
                <w:color w:val="auto"/>
              </w:rPr>
            </w:pPr>
          </w:p>
        </w:tc>
        <w:tc>
          <w:tcPr>
            <w:tcW w:w="100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180" w:type="dxa"/>
            <w:vAlign w:val="bottom"/>
          </w:tcPr>
          <w:p>
            <w:pPr>
              <w:spacing w:after="0"/>
              <w:rPr>
                <w:sz w:val="13"/>
                <w:szCs w:val="13"/>
                <w:color w:val="auto"/>
              </w:rPr>
            </w:pPr>
          </w:p>
        </w:tc>
      </w:tr>
      <w:tr>
        <w:trPr>
          <w:trHeight w:val="34"/>
        </w:trPr>
        <w:tc>
          <w:tcPr>
            <w:tcW w:w="980" w:type="dxa"/>
            <w:vAlign w:val="bottom"/>
          </w:tcPr>
          <w:p>
            <w:pPr>
              <w:spacing w:after="0"/>
              <w:rPr>
                <w:sz w:val="2"/>
                <w:szCs w:val="2"/>
                <w:color w:val="auto"/>
              </w:rPr>
            </w:pPr>
          </w:p>
        </w:tc>
        <w:tc>
          <w:tcPr>
            <w:tcW w:w="2760" w:type="dxa"/>
            <w:vAlign w:val="bottom"/>
            <w:tcBorders>
              <w:top w:val="single" w:sz="8" w:color="0000FF"/>
            </w:tcBorders>
          </w:tcPr>
          <w:p>
            <w:pPr>
              <w:spacing w:after="0"/>
              <w:rPr>
                <w:sz w:val="2"/>
                <w:szCs w:val="2"/>
                <w:color w:val="auto"/>
              </w:rPr>
            </w:pPr>
          </w:p>
        </w:tc>
        <w:tc>
          <w:tcPr>
            <w:tcW w:w="2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9"/>
        </w:trPr>
        <w:tc>
          <w:tcPr>
            <w:tcW w:w="98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22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2760" w:type="dxa"/>
            <w:vAlign w:val="bottom"/>
            <w:tcBorders>
              <w:top w:val="single" w:sz="8" w:color="0000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r>
    </w:tbl>
    <w:p>
      <w:pPr>
        <w:ind w:left="980" w:right="140" w:hanging="954"/>
        <w:spacing w:after="0" w:line="219"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months ended June 30, 2024 formatted in Inline XBRL (eXtensible Business Reporting Language): (i) Condensed Consolidated Balance Sheets at June 30, 2024 and March 31, 2024; (ii) Condensed Consolidated Statements of Operations for the three months ended June 30, 2024 and 2023; (iii) Condensed Consolidated Statements of Comprehensive Income for the three months ended June 30, 2024 and 2023; (iv) Condensed Consolidated Statements of Cash Flows for the three months ended June 30, 2024 and 2023; and (v) Notes to Condensed Consolidated Financial Statements.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9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3" w:lineRule="exact"/>
        <w:rPr>
          <w:rFonts w:ascii="Times New Roman" w:cs="Times New Roman" w:eastAsia="Times New Roman" w:hAnsi="Times New Roman"/>
          <w:sz w:val="18"/>
          <w:szCs w:val="18"/>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94"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2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4780" w:val="left"/>
          <w:tab w:leader="none" w:pos="5240" w:val="left"/>
        </w:tabs>
        <w:rPr>
          <w:sz w:val="20"/>
          <w:szCs w:val="20"/>
          <w:color w:val="auto"/>
        </w:rPr>
      </w:pPr>
      <w:r>
        <w:rPr>
          <w:rFonts w:ascii="Times New Roman" w:cs="Times New Roman" w:eastAsia="Times New Roman" w:hAnsi="Times New Roman"/>
          <w:sz w:val="18"/>
          <w:szCs w:val="18"/>
          <w:color w:val="auto"/>
        </w:rPr>
        <w:t>Date: July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17145</wp:posOffset>
            </wp:positionV>
            <wp:extent cx="37890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Matthew A. Calderone</w:t>
      </w:r>
    </w:p>
    <w:p>
      <w:pPr>
        <w:ind w:left="526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5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40"/>
          </w:cols>
          <w:pgMar w:left="320" w:top="121" w:right="8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8"/>
          <w:szCs w:val="18"/>
          <w:color w:val="auto"/>
        </w:rPr>
        <w:t>Date: July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091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Horacio D. Rozanski</w:t>
      </w:r>
    </w:p>
    <w:p>
      <w:pPr>
        <w:ind w:left="74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 Calderone, certify that:</w:t>
      </w:r>
    </w:p>
    <w:p>
      <w:pPr>
        <w:spacing w:after="0" w:line="171"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 July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658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A. Calderone</w:t>
      </w:r>
    </w:p>
    <w:p>
      <w:pPr>
        <w:ind w:left="60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608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June 30, 2024,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6380" w:val="left"/>
        </w:tabs>
        <w:rPr>
          <w:sz w:val="20"/>
          <w:szCs w:val="20"/>
          <w:color w:val="auto"/>
        </w:rPr>
      </w:pPr>
      <w:r>
        <w:rPr>
          <w:rFonts w:ascii="Times New Roman" w:cs="Times New Roman" w:eastAsia="Times New Roman" w:hAnsi="Times New Roman"/>
          <w:sz w:val="18"/>
          <w:szCs w:val="18"/>
          <w:color w:val="auto"/>
        </w:rPr>
        <w:t>Date: July 26, 2024</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Horacio D. Rozanski</w:t>
      </w:r>
    </w:p>
    <w:p>
      <w:pPr>
        <w:ind w:left="670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June 30, 2024,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July 26, 2024</w:t>
      </w:r>
      <w:r>
        <w:rPr>
          <w:sz w:val="20"/>
          <w:szCs w:val="20"/>
          <w:color w:val="auto"/>
        </w:rPr>
        <w:tab/>
      </w:r>
      <w:r>
        <w:rPr>
          <w:rFonts w:ascii="Times New Roman" w:cs="Times New Roman" w:eastAsia="Times New Roman" w:hAnsi="Times New Roman"/>
          <w:sz w:val="17"/>
          <w:szCs w:val="17"/>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858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Matthew A. Calderone</w:t>
      </w:r>
    </w:p>
    <w:p>
      <w:pPr>
        <w:ind w:left="58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58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lvl w:ilvl="1">
      <w:lvlJc w:val="left"/>
      <w:lvlText w:val="(%2)"/>
      <w:numFmt w:val="decimal"/>
      <w:start w:val="1"/>
    </w:lvl>
  </w:abstractNum>
  <w:abstractNum w:abstractNumId="5">
    <w:nsid w:val="2443A858"/>
    <w:multiLevelType w:val="hybridMultilevel"/>
    <w:lvl w:ilvl="0">
      <w:lvlJc w:val="left"/>
      <w:lvlText w:val="%1."/>
      <w:numFmt w:val="decimal"/>
      <w:start w:val="5"/>
    </w:lvl>
    <w:lvl w:ilvl="1">
      <w:lvlJc w:val="left"/>
      <w:lvlText w:val="%2"/>
      <w:numFmt w:val="decimal"/>
      <w:start w:val="1"/>
    </w:lvl>
  </w:abstractNum>
  <w:abstractNum w:abstractNumId="6">
    <w:nsid w:val="2D1D5AE9"/>
    <w:multiLevelType w:val="hybridMultilevel"/>
    <w:lvl w:ilvl="0">
      <w:lvlJc w:val="left"/>
      <w:lvlText w:val="%1"/>
      <w:numFmt w:val="decimal"/>
      <w:start w:val="1"/>
    </w:lvl>
    <w:lvl w:ilvl="1">
      <w:lvlJc w:val="left"/>
      <w:lvlText w:val="(%2)"/>
      <w:numFmt w:val="decimal"/>
      <w:start w:val="1"/>
    </w:lvl>
  </w:abstractNum>
  <w:abstractNum w:abstractNumId="7">
    <w:nsid w:val="6763845E"/>
    <w:multiLevelType w:val="hybridMultilevel"/>
    <w:lvl w:ilvl="0">
      <w:lvlJc w:val="left"/>
      <w:lvlText w:val="%1."/>
      <w:numFmt w:val="decimal"/>
      <w:start w:val="9"/>
    </w:lvl>
    <w:lvl w:ilvl="1">
      <w:lvlJc w:val="left"/>
      <w:lvlText w:val="%2"/>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3"/>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22"/>
    </w:lvl>
  </w:abstractNum>
  <w:abstractNum w:abstractNumId="28">
    <w:nsid w:val="614FD4A1"/>
    <w:multiLevelType w:val="hybridMultilevel"/>
    <w:lvl w:ilvl="0">
      <w:lvlJc w:val="left"/>
      <w:lvlText w:val="%1"/>
      <w:numFmt w:val="decimal"/>
      <w:start w:val="10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95" Type="http://schemas.openxmlformats.org/officeDocument/2006/relationships/hyperlink" Target="https://www.sec.gov/Archives/edgar/data/1443646/000144364624000075/bah-202403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2024-07-26T05:54:34Z</dcterms:created>
  <dcterms:modified xsi:type="dcterms:W3CDTF">2024-07-26T05:54:34Z</dcterms:modified>
</cp:coreProperties>
</file>