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247650</wp:posOffset>
            </wp:positionH>
            <wp:positionV relativeFrom="page">
              <wp:posOffset>637540</wp:posOffset>
            </wp:positionV>
            <wp:extent cx="70656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564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95250</wp:posOffset>
            </wp:positionH>
            <wp:positionV relativeFrom="paragraph">
              <wp:posOffset>-209550</wp:posOffset>
            </wp:positionV>
            <wp:extent cx="7065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5645" cy="8255"/>
                    </a:xfrm>
                    <a:prstGeom prst="rect">
                      <a:avLst/>
                    </a:prstGeom>
                    <a:noFill/>
                  </pic:spPr>
                </pic:pic>
              </a:graphicData>
            </a:graphic>
          </wp:anchor>
        </w:drawing>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30"/>
          <w:szCs w:val="30"/>
          <w:b w:val="1"/>
          <w:bCs w:val="1"/>
          <w:color w:val="auto"/>
        </w:rPr>
        <w:t>SECURITIES AND EXCHANGE COMMISSION</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ind w:left="4240"/>
        <w:spacing w:after="0"/>
        <w:rPr>
          <w:sz w:val="20"/>
          <w:szCs w:val="20"/>
          <w:color w:val="auto"/>
        </w:rPr>
      </w:pPr>
      <w:r>
        <w:rPr>
          <w:rFonts w:ascii="Arial" w:cs="Arial" w:eastAsia="Arial" w:hAnsi="Arial"/>
          <w:sz w:val="17"/>
          <w:szCs w:val="17"/>
          <w:color w:val="auto"/>
        </w:rPr>
        <w:t>___________________________________</w:t>
      </w: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color w:val="auto"/>
        </w:rPr>
        <w:t>FORM 10-K</w:t>
      </w:r>
    </w:p>
    <w:p>
      <w:pPr>
        <w:spacing w:after="0" w:line="31" w:lineRule="exact"/>
        <w:rPr>
          <w:sz w:val="24"/>
          <w:szCs w:val="24"/>
          <w:color w:val="auto"/>
        </w:rPr>
      </w:pPr>
    </w:p>
    <w:p>
      <w:pPr>
        <w:ind w:left="4280"/>
        <w:spacing w:after="0"/>
        <w:rPr>
          <w:sz w:val="20"/>
          <w:szCs w:val="20"/>
          <w:color w:val="auto"/>
        </w:rPr>
      </w:pPr>
      <w:r>
        <w:rPr>
          <w:rFonts w:ascii="Arial" w:cs="Arial" w:eastAsia="Arial" w:hAnsi="Arial"/>
          <w:sz w:val="17"/>
          <w:szCs w:val="17"/>
          <w:color w:val="auto"/>
        </w:rPr>
        <w:t>___________________________________</w:t>
      </w:r>
    </w:p>
    <w:p>
      <w:pPr>
        <w:spacing w:after="0"/>
        <w:rPr>
          <w:sz w:val="20"/>
          <w:szCs w:val="20"/>
          <w:color w:val="auto"/>
        </w:rPr>
      </w:pPr>
      <w:r>
        <w:rPr>
          <w:rFonts w:ascii="Arial" w:cs="Arial" w:eastAsia="Arial" w:hAnsi="Arial"/>
          <w:sz w:val="13"/>
          <w:szCs w:val="13"/>
          <w:color w:val="auto"/>
        </w:rPr>
        <w:t>(Mark One)</w:t>
      </w:r>
    </w:p>
    <w:p>
      <w:pPr>
        <w:spacing w:after="0" w:line="9" w:lineRule="exact"/>
        <w:rPr>
          <w:sz w:val="24"/>
          <w:szCs w:val="24"/>
          <w:color w:val="auto"/>
        </w:rPr>
      </w:pPr>
    </w:p>
    <w:p>
      <w:pPr>
        <w:ind w:left="600" w:hanging="600"/>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20"/>
          <w:szCs w:val="20"/>
          <w:b w:val="1"/>
          <w:bCs w:val="1"/>
          <w:color w:val="auto"/>
        </w:rPr>
        <w:t>ANNUAL REPORT PURSUANT TO SECTION 13 OR 15(D) OF THE SECURITIES EXCHANGE ACT OF 1934</w:t>
      </w:r>
    </w:p>
    <w:p>
      <w:pPr>
        <w:spacing w:after="0" w:line="89"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For the fiscal year ended March 31, 2017</w:t>
      </w:r>
    </w:p>
    <w:p>
      <w:pPr>
        <w:spacing w:after="0" w:line="109" w:lineRule="exact"/>
        <w:rPr>
          <w:sz w:val="24"/>
          <w:szCs w:val="24"/>
          <w:color w:val="auto"/>
        </w:rPr>
      </w:pPr>
    </w:p>
    <w:p>
      <w:pPr>
        <w:ind w:left="600" w:hanging="600"/>
        <w:spacing w:after="0"/>
        <w:tabs>
          <w:tab w:leader="none" w:pos="600" w:val="left"/>
        </w:tabs>
        <w:numPr>
          <w:ilvl w:val="0"/>
          <w:numId w:val="2"/>
        </w:numPr>
        <w:rPr>
          <w:rFonts w:ascii="MS PGothic" w:cs="MS PGothic" w:eastAsia="MS PGothic" w:hAnsi="MS PGothic"/>
          <w:sz w:val="17"/>
          <w:szCs w:val="17"/>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20" w:type="dxa"/>
            <w:vAlign w:val="bottom"/>
          </w:tcPr>
          <w:p>
            <w:pPr>
              <w:ind w:left="680"/>
              <w:spacing w:after="0"/>
              <w:rPr>
                <w:sz w:val="20"/>
                <w:szCs w:val="20"/>
                <w:color w:val="auto"/>
              </w:rPr>
            </w:pPr>
            <w:r>
              <w:rPr>
                <w:rFonts w:ascii="Arial" w:cs="Arial" w:eastAsia="Arial" w:hAnsi="Arial"/>
                <w:sz w:val="17"/>
                <w:szCs w:val="17"/>
                <w:b w:val="1"/>
                <w:bCs w:val="1"/>
                <w:color w:val="auto"/>
              </w:rPr>
              <w:t>For the transition period from</w:t>
            </w:r>
          </w:p>
        </w:tc>
        <w:tc>
          <w:tcPr>
            <w:tcW w:w="640" w:type="dxa"/>
            <w:vAlign w:val="bottom"/>
          </w:tcPr>
          <w:p>
            <w:pPr>
              <w:ind w:left="160"/>
              <w:spacing w:after="0"/>
              <w:rPr>
                <w:sz w:val="20"/>
                <w:szCs w:val="20"/>
                <w:color w:val="auto"/>
              </w:rPr>
            </w:pPr>
            <w:r>
              <w:rPr>
                <w:rFonts w:ascii="Arial" w:cs="Arial" w:eastAsia="Arial" w:hAnsi="Arial"/>
                <w:sz w:val="17"/>
                <w:szCs w:val="17"/>
                <w:b w:val="1"/>
                <w:bCs w:val="1"/>
                <w:color w:val="auto"/>
              </w:rPr>
              <w:t>to</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60" w:type="dxa"/>
            <w:vAlign w:val="bottom"/>
            <w:gridSpan w:val="2"/>
          </w:tcPr>
          <w:p>
            <w:pPr>
              <w:jc w:val="center"/>
              <w:ind w:left="823"/>
              <w:spacing w:after="0"/>
              <w:rPr>
                <w:sz w:val="20"/>
                <w:szCs w:val="20"/>
                <w:color w:val="auto"/>
              </w:rPr>
            </w:pPr>
            <w:r>
              <w:rPr>
                <w:rFonts w:ascii="Arial" w:cs="Arial" w:eastAsia="Arial" w:hAnsi="Arial"/>
                <w:sz w:val="17"/>
                <w:szCs w:val="17"/>
                <w:b w:val="1"/>
                <w:bCs w:val="1"/>
                <w:color w:val="auto"/>
                <w:w w:val="88"/>
              </w:rPr>
              <w:t>Commission File No. 001-34972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200" w:type="dxa"/>
            <w:vAlign w:val="bottom"/>
            <w:gridSpan w:val="4"/>
          </w:tcPr>
          <w:p>
            <w:pPr>
              <w:jc w:val="center"/>
              <w:ind w:left="4193"/>
              <w:spacing w:after="0" w:line="185" w:lineRule="exact"/>
              <w:rPr>
                <w:sz w:val="20"/>
                <w:szCs w:val="20"/>
                <w:color w:val="auto"/>
              </w:rPr>
            </w:pPr>
            <w:r>
              <w:rPr>
                <w:rFonts w:ascii="Arial" w:cs="Arial" w:eastAsia="Arial" w:hAnsi="Arial"/>
                <w:sz w:val="17"/>
                <w:szCs w:val="17"/>
                <w:color w:val="auto"/>
                <w:w w:val="88"/>
              </w:rPr>
              <w:t>___________________________________</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10040" w:type="dxa"/>
            <w:vAlign w:val="bottom"/>
            <w:gridSpan w:val="7"/>
          </w:tcPr>
          <w:p>
            <w:pPr>
              <w:jc w:val="center"/>
              <w:ind w:left="1293"/>
              <w:spacing w:after="0"/>
              <w:rPr>
                <w:sz w:val="20"/>
                <w:szCs w:val="20"/>
                <w:color w:val="auto"/>
              </w:rPr>
            </w:pPr>
            <w:r>
              <w:rPr>
                <w:rFonts w:ascii="Arial" w:cs="Arial" w:eastAsia="Arial" w:hAnsi="Arial"/>
                <w:sz w:val="40"/>
                <w:szCs w:val="40"/>
                <w:b w:val="1"/>
                <w:bCs w:val="1"/>
                <w:color w:val="auto"/>
                <w:w w:val="92"/>
              </w:rPr>
              <w:t>Booz Allen Hamilton Holding Corporation</w:t>
            </w:r>
          </w:p>
        </w:tc>
        <w:tc>
          <w:tcPr>
            <w:tcW w:w="0" w:type="dxa"/>
            <w:vAlign w:val="bottom"/>
          </w:tcPr>
          <w:p>
            <w:pPr>
              <w:spacing w:after="0"/>
              <w:rPr>
                <w:sz w:val="1"/>
                <w:szCs w:val="1"/>
                <w:color w:val="auto"/>
              </w:rPr>
            </w:pPr>
          </w:p>
        </w:tc>
      </w:tr>
      <w:tr>
        <w:trPr>
          <w:trHeight w:val="204"/>
        </w:trPr>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20" w:type="dxa"/>
            <w:vAlign w:val="bottom"/>
            <w:gridSpan w:val="4"/>
          </w:tcPr>
          <w:p>
            <w:pPr>
              <w:jc w:val="center"/>
              <w:ind w:left="263"/>
              <w:spacing w:after="0"/>
              <w:rPr>
                <w:sz w:val="20"/>
                <w:szCs w:val="20"/>
                <w:color w:val="auto"/>
              </w:rPr>
            </w:pPr>
            <w:r>
              <w:rPr>
                <w:rFonts w:ascii="Arial" w:cs="Arial" w:eastAsia="Arial" w:hAnsi="Arial"/>
                <w:sz w:val="17"/>
                <w:szCs w:val="17"/>
                <w:b w:val="1"/>
                <w:bCs w:val="1"/>
                <w:color w:val="auto"/>
                <w:w w:val="87"/>
              </w:rPr>
              <w:t>(Exact name of registrant as specified in its charter)</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00" w:type="dxa"/>
            <w:vAlign w:val="bottom"/>
            <w:gridSpan w:val="4"/>
          </w:tcPr>
          <w:p>
            <w:pPr>
              <w:jc w:val="center"/>
              <w:ind w:left="4193"/>
              <w:spacing w:after="0"/>
              <w:rPr>
                <w:sz w:val="20"/>
                <w:szCs w:val="20"/>
                <w:color w:val="auto"/>
              </w:rPr>
            </w:pPr>
            <w:r>
              <w:rPr>
                <w:rFonts w:ascii="Arial" w:cs="Arial" w:eastAsia="Arial" w:hAnsi="Arial"/>
                <w:sz w:val="17"/>
                <w:szCs w:val="17"/>
                <w:color w:val="auto"/>
                <w:w w:val="88"/>
              </w:rPr>
              <w:t>___________________________________</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280" w:type="dxa"/>
            <w:vAlign w:val="bottom"/>
          </w:tcPr>
          <w:p>
            <w:pPr>
              <w:spacing w:after="0"/>
              <w:rPr>
                <w:sz w:val="24"/>
                <w:szCs w:val="24"/>
                <w:color w:val="auto"/>
              </w:rPr>
            </w:pPr>
          </w:p>
        </w:tc>
        <w:tc>
          <w:tcPr>
            <w:tcW w:w="4280" w:type="dxa"/>
            <w:vAlign w:val="bottom"/>
            <w:gridSpan w:val="2"/>
          </w:tcPr>
          <w:p>
            <w:pPr>
              <w:jc w:val="center"/>
              <w:ind w:right="3163"/>
              <w:spacing w:after="0"/>
              <w:rPr>
                <w:sz w:val="20"/>
                <w:szCs w:val="20"/>
                <w:color w:val="auto"/>
              </w:rPr>
            </w:pPr>
            <w:r>
              <w:rPr>
                <w:rFonts w:ascii="Arial" w:cs="Arial" w:eastAsia="Arial" w:hAnsi="Arial"/>
                <w:sz w:val="17"/>
                <w:szCs w:val="17"/>
                <w:b w:val="1"/>
                <w:bCs w:val="1"/>
                <w:color w:val="auto"/>
                <w:w w:val="91"/>
              </w:rPr>
              <w:t>Delaware</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jc w:val="right"/>
              <w:ind w:right="845"/>
              <w:spacing w:after="0"/>
              <w:rPr>
                <w:sz w:val="20"/>
                <w:szCs w:val="20"/>
                <w:color w:val="auto"/>
              </w:rPr>
            </w:pPr>
            <w:r>
              <w:rPr>
                <w:rFonts w:ascii="Arial" w:cs="Arial" w:eastAsia="Arial" w:hAnsi="Arial"/>
                <w:sz w:val="17"/>
                <w:szCs w:val="17"/>
                <w:b w:val="1"/>
                <w:bCs w:val="1"/>
                <w:color w:val="auto"/>
              </w:rPr>
              <w:t>26-2634160</w:t>
            </w:r>
          </w:p>
        </w:tc>
        <w:tc>
          <w:tcPr>
            <w:tcW w:w="0" w:type="dxa"/>
            <w:vAlign w:val="bottom"/>
          </w:tcPr>
          <w:p>
            <w:pPr>
              <w:spacing w:after="0"/>
              <w:rPr>
                <w:sz w:val="1"/>
                <w:szCs w:val="1"/>
                <w:color w:val="auto"/>
              </w:rPr>
            </w:pPr>
          </w:p>
        </w:tc>
      </w:tr>
      <w:tr>
        <w:trPr>
          <w:trHeight w:val="168"/>
        </w:trPr>
        <w:tc>
          <w:tcPr>
            <w:tcW w:w="6560" w:type="dxa"/>
            <w:vAlign w:val="bottom"/>
            <w:gridSpan w:val="3"/>
          </w:tcPr>
          <w:p>
            <w:pPr>
              <w:jc w:val="center"/>
              <w:ind w:right="883"/>
              <w:spacing w:after="0"/>
              <w:rPr>
                <w:sz w:val="20"/>
                <w:szCs w:val="20"/>
                <w:color w:val="auto"/>
              </w:rPr>
            </w:pPr>
            <w:r>
              <w:rPr>
                <w:rFonts w:ascii="Arial" w:cs="Arial" w:eastAsia="Arial" w:hAnsi="Arial"/>
                <w:sz w:val="13"/>
                <w:szCs w:val="13"/>
                <w:b w:val="1"/>
                <w:bCs w:val="1"/>
                <w:color w:val="auto"/>
                <w:w w:val="94"/>
              </w:rPr>
              <w:t>(State or other jurisdiction of</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jc w:val="center"/>
              <w:ind w:right="285"/>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3"/>
        </w:trPr>
        <w:tc>
          <w:tcPr>
            <w:tcW w:w="6560" w:type="dxa"/>
            <w:vAlign w:val="bottom"/>
            <w:gridSpan w:val="3"/>
          </w:tcPr>
          <w:p>
            <w:pPr>
              <w:jc w:val="center"/>
              <w:ind w:right="903"/>
              <w:spacing w:after="0"/>
              <w:rPr>
                <w:sz w:val="20"/>
                <w:szCs w:val="20"/>
                <w:color w:val="auto"/>
              </w:rPr>
            </w:pPr>
            <w:r>
              <w:rPr>
                <w:rFonts w:ascii="Arial" w:cs="Arial" w:eastAsia="Arial" w:hAnsi="Arial"/>
                <w:sz w:val="13"/>
                <w:szCs w:val="13"/>
                <w:b w:val="1"/>
                <w:bCs w:val="1"/>
                <w:color w:val="auto"/>
                <w:w w:val="93"/>
              </w:rPr>
              <w:t>incorporation or organization)</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jc w:val="center"/>
              <w:ind w:right="285"/>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348"/>
        </w:trPr>
        <w:tc>
          <w:tcPr>
            <w:tcW w:w="6560" w:type="dxa"/>
            <w:vAlign w:val="bottom"/>
            <w:gridSpan w:val="3"/>
          </w:tcPr>
          <w:p>
            <w:pPr>
              <w:jc w:val="center"/>
              <w:ind w:right="883"/>
              <w:spacing w:after="0"/>
              <w:rPr>
                <w:sz w:val="20"/>
                <w:szCs w:val="20"/>
                <w:color w:val="auto"/>
              </w:rPr>
            </w:pPr>
            <w:r>
              <w:rPr>
                <w:rFonts w:ascii="Arial" w:cs="Arial" w:eastAsia="Arial" w:hAnsi="Arial"/>
                <w:sz w:val="17"/>
                <w:szCs w:val="17"/>
                <w:b w:val="1"/>
                <w:bCs w:val="1"/>
                <w:color w:val="auto"/>
                <w:w w:val="90"/>
              </w:rPr>
              <w:t>8283 Greensboro Drive, McLean, Virginia</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jc w:val="right"/>
              <w:ind w:right="1025"/>
              <w:spacing w:after="0"/>
              <w:rPr>
                <w:sz w:val="20"/>
                <w:szCs w:val="20"/>
                <w:color w:val="auto"/>
              </w:rPr>
            </w:pPr>
            <w:r>
              <w:rPr>
                <w:rFonts w:ascii="Arial" w:cs="Arial" w:eastAsia="Arial" w:hAnsi="Arial"/>
                <w:sz w:val="17"/>
                <w:szCs w:val="17"/>
                <w:b w:val="1"/>
                <w:bCs w:val="1"/>
                <w:color w:val="auto"/>
              </w:rPr>
              <w:t>22102</w:t>
            </w:r>
          </w:p>
        </w:tc>
        <w:tc>
          <w:tcPr>
            <w:tcW w:w="0" w:type="dxa"/>
            <w:vAlign w:val="bottom"/>
          </w:tcPr>
          <w:p>
            <w:pPr>
              <w:spacing w:after="0"/>
              <w:rPr>
                <w:sz w:val="1"/>
                <w:szCs w:val="1"/>
                <w:color w:val="auto"/>
              </w:rPr>
            </w:pPr>
          </w:p>
        </w:tc>
      </w:tr>
      <w:tr>
        <w:trPr>
          <w:trHeight w:val="203"/>
        </w:trPr>
        <w:tc>
          <w:tcPr>
            <w:tcW w:w="6560" w:type="dxa"/>
            <w:vAlign w:val="bottom"/>
            <w:gridSpan w:val="3"/>
          </w:tcPr>
          <w:p>
            <w:pPr>
              <w:jc w:val="center"/>
              <w:ind w:right="883"/>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jc w:val="center"/>
              <w:ind w:right="265"/>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240"/>
        </w:trPr>
        <w:tc>
          <w:tcPr>
            <w:tcW w:w="6560" w:type="dxa"/>
            <w:vAlign w:val="bottom"/>
            <w:gridSpan w:val="3"/>
          </w:tcPr>
          <w:p>
            <w:pPr>
              <w:jc w:val="right"/>
              <w:ind w:right="243"/>
              <w:spacing w:after="0"/>
              <w:rPr>
                <w:sz w:val="20"/>
                <w:szCs w:val="20"/>
                <w:color w:val="auto"/>
              </w:rPr>
            </w:pPr>
            <w:r>
              <w:rPr>
                <w:rFonts w:ascii="Arial" w:cs="Arial" w:eastAsia="Arial" w:hAnsi="Arial"/>
                <w:sz w:val="17"/>
                <w:szCs w:val="17"/>
                <w:b w:val="1"/>
                <w:bCs w:val="1"/>
                <w:color w:val="auto"/>
              </w:rPr>
              <w:t>(703) 902-5000</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60" w:type="dxa"/>
            <w:vAlign w:val="bottom"/>
            <w:gridSpan w:val="2"/>
          </w:tcPr>
          <w:p>
            <w:pPr>
              <w:jc w:val="center"/>
              <w:ind w:left="823"/>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20" w:type="dxa"/>
            <w:vAlign w:val="bottom"/>
            <w:gridSpan w:val="4"/>
          </w:tcPr>
          <w:p>
            <w:pPr>
              <w:jc w:val="center"/>
              <w:ind w:left="263"/>
              <w:spacing w:after="0"/>
              <w:rPr>
                <w:sz w:val="20"/>
                <w:szCs w:val="20"/>
                <w:color w:val="auto"/>
              </w:rPr>
            </w:pPr>
            <w:r>
              <w:rPr>
                <w:rFonts w:ascii="Arial" w:cs="Arial" w:eastAsia="Arial" w:hAnsi="Arial"/>
                <w:sz w:val="15"/>
                <w:szCs w:val="15"/>
                <w:b w:val="1"/>
                <w:bCs w:val="1"/>
                <w:color w:val="auto"/>
                <w:w w:val="89"/>
              </w:rPr>
              <w:t>Securities registered pursuant to Section 12(b) of the Act: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280" w:type="dxa"/>
            <w:vAlign w:val="bottom"/>
          </w:tcPr>
          <w:p>
            <w:pPr>
              <w:spacing w:after="0"/>
              <w:rPr>
                <w:sz w:val="24"/>
                <w:szCs w:val="24"/>
                <w:color w:val="auto"/>
              </w:rPr>
            </w:pPr>
          </w:p>
        </w:tc>
        <w:tc>
          <w:tcPr>
            <w:tcW w:w="4280" w:type="dxa"/>
            <w:vAlign w:val="bottom"/>
            <w:gridSpan w:val="2"/>
          </w:tcPr>
          <w:p>
            <w:pPr>
              <w:jc w:val="center"/>
              <w:ind w:right="3143"/>
              <w:spacing w:after="0"/>
              <w:rPr>
                <w:sz w:val="20"/>
                <w:szCs w:val="20"/>
                <w:color w:val="auto"/>
              </w:rPr>
            </w:pPr>
            <w:r>
              <w:rPr>
                <w:rFonts w:ascii="Arial" w:cs="Arial" w:eastAsia="Arial" w:hAnsi="Arial"/>
                <w:sz w:val="13"/>
                <w:szCs w:val="13"/>
                <w:b w:val="1"/>
                <w:bCs w:val="1"/>
                <w:color w:val="auto"/>
                <w:w w:val="91"/>
              </w:rPr>
              <w:t>Title of Each Class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gridSpan w:val="3"/>
          </w:tcPr>
          <w:p>
            <w:pPr>
              <w:jc w:val="center"/>
              <w:ind w:right="863"/>
              <w:spacing w:after="0"/>
              <w:rPr>
                <w:sz w:val="20"/>
                <w:szCs w:val="20"/>
                <w:color w:val="auto"/>
              </w:rPr>
            </w:pPr>
            <w:r>
              <w:rPr>
                <w:rFonts w:ascii="Arial" w:cs="Arial" w:eastAsia="Arial" w:hAnsi="Arial"/>
                <w:sz w:val="17"/>
                <w:szCs w:val="17"/>
                <w:color w:val="auto"/>
                <w:w w:val="88"/>
              </w:rPr>
              <w:t>Class A Common Stock</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tcPr>
          <w:p>
            <w:pPr>
              <w:jc w:val="center"/>
              <w:ind w:right="245"/>
              <w:spacing w:after="0"/>
              <w:rPr>
                <w:sz w:val="20"/>
                <w:szCs w:val="20"/>
                <w:color w:val="auto"/>
              </w:rPr>
            </w:pPr>
            <w:r>
              <w:rPr>
                <w:rFonts w:ascii="Arial" w:cs="Arial" w:eastAsia="Arial" w:hAnsi="Arial"/>
                <w:sz w:val="17"/>
                <w:szCs w:val="17"/>
                <w:color w:val="auto"/>
                <w:w w:val="89"/>
              </w:rPr>
              <w:t>New York Stock Exchange</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20" w:type="dxa"/>
            <w:vAlign w:val="bottom"/>
            <w:gridSpan w:val="4"/>
          </w:tcPr>
          <w:p>
            <w:pPr>
              <w:jc w:val="center"/>
              <w:ind w:left="243"/>
              <w:spacing w:after="0"/>
              <w:rPr>
                <w:sz w:val="20"/>
                <w:szCs w:val="20"/>
                <w:color w:val="auto"/>
              </w:rPr>
            </w:pPr>
            <w:r>
              <w:rPr>
                <w:rFonts w:ascii="Arial" w:cs="Arial" w:eastAsia="Arial" w:hAnsi="Arial"/>
                <w:sz w:val="15"/>
                <w:szCs w:val="15"/>
                <w:b w:val="1"/>
                <w:bCs w:val="1"/>
                <w:color w:val="auto"/>
                <w:w w:val="88"/>
              </w:rPr>
              <w:t>Securities registered pursuant to Section 12(g) of the Act:</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20" w:type="dxa"/>
            <w:vAlign w:val="bottom"/>
          </w:tcPr>
          <w:p>
            <w:pPr>
              <w:jc w:val="center"/>
              <w:ind w:left="1443"/>
              <w:spacing w:after="0"/>
              <w:rPr>
                <w:sz w:val="20"/>
                <w:szCs w:val="20"/>
                <w:color w:val="auto"/>
              </w:rPr>
            </w:pPr>
            <w:r>
              <w:rPr>
                <w:rFonts w:ascii="Arial" w:cs="Arial" w:eastAsia="Arial" w:hAnsi="Arial"/>
                <w:sz w:val="15"/>
                <w:szCs w:val="15"/>
                <w:b w:val="1"/>
                <w:bCs w:val="1"/>
                <w:color w:val="auto"/>
                <w:w w:val="91"/>
              </w:rPr>
              <w:t>None.</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gridSpan w:val="3"/>
          </w:tcPr>
          <w:p>
            <w:pPr>
              <w:jc w:val="right"/>
              <w:ind w:right="83"/>
              <w:spacing w:after="0"/>
              <w:rPr>
                <w:sz w:val="20"/>
                <w:szCs w:val="20"/>
                <w:color w:val="auto"/>
              </w:rPr>
            </w:pPr>
            <w:r>
              <w:rPr>
                <w:rFonts w:ascii="Arial" w:cs="Arial" w:eastAsia="Arial" w:hAnsi="Arial"/>
                <w:sz w:val="15"/>
                <w:szCs w:val="15"/>
                <w:color w:val="auto"/>
              </w:rPr>
              <w:t>__________________</w:t>
            </w:r>
          </w:p>
        </w:tc>
        <w:tc>
          <w:tcPr>
            <w:tcW w:w="640" w:type="dxa"/>
            <w:vAlign w:val="bottom"/>
          </w:tcPr>
          <w:p>
            <w:pPr>
              <w:spacing w:after="0"/>
              <w:rPr>
                <w:sz w:val="15"/>
                <w:szCs w:val="15"/>
                <w:color w:val="auto"/>
              </w:rPr>
            </w:pPr>
          </w:p>
        </w:tc>
        <w:tc>
          <w:tcPr>
            <w:tcW w:w="560" w:type="dxa"/>
            <w:vAlign w:val="bottom"/>
            <w:gridSpan w:val="2"/>
            <w:vMerge w:val="restart"/>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280" w:type="dxa"/>
            <w:vAlign w:val="bottom"/>
            <w:vMerge w:val="restart"/>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48"/>
        </w:trPr>
        <w:tc>
          <w:tcPr>
            <w:tcW w:w="7200" w:type="dxa"/>
            <w:vAlign w:val="bottom"/>
            <w:gridSpan w:val="4"/>
          </w:tcPr>
          <w:p>
            <w:pPr>
              <w:spacing w:after="0" w:line="148" w:lineRule="exact"/>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w:t>
            </w:r>
          </w:p>
        </w:tc>
        <w:tc>
          <w:tcPr>
            <w:tcW w:w="560" w:type="dxa"/>
            <w:vAlign w:val="bottom"/>
            <w:gridSpan w:val="2"/>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200" w:type="dxa"/>
            <w:vAlign w:val="bottom"/>
            <w:gridSpan w:val="4"/>
          </w:tcPr>
          <w:p>
            <w:pPr>
              <w:spacing w:after="0"/>
              <w:rPr>
                <w:sz w:val="20"/>
                <w:szCs w:val="20"/>
                <w:color w:val="auto"/>
              </w:rPr>
            </w:pPr>
            <w:r>
              <w:rPr>
                <w:rFonts w:ascii="Arial" w:cs="Arial" w:eastAsia="Arial" w:hAnsi="Arial"/>
                <w:sz w:val="15"/>
                <w:szCs w:val="15"/>
                <w:color w:val="auto"/>
                <w:w w:val="91"/>
              </w:rPr>
              <w:t>Indicate by check mark if the registrant is not required to file reports pursuant to Section 13 or Section 15(d) of the Act.</w:t>
            </w:r>
          </w:p>
        </w:tc>
        <w:tc>
          <w:tcPr>
            <w:tcW w:w="560" w:type="dxa"/>
            <w:vAlign w:val="bottom"/>
            <w:gridSpan w:val="2"/>
          </w:tcPr>
          <w:p>
            <w:pPr>
              <w:ind w:left="140"/>
              <w:spacing w:after="0" w:line="173" w:lineRule="exact"/>
              <w:rPr>
                <w:sz w:val="20"/>
                <w:szCs w:val="20"/>
                <w:color w:val="auto"/>
              </w:rPr>
            </w:pPr>
            <w:r>
              <w:rPr>
                <w:rFonts w:ascii="Arial" w:cs="Arial" w:eastAsia="Arial" w:hAnsi="Arial"/>
                <w:sz w:val="15"/>
                <w:szCs w:val="15"/>
                <w:color w:val="auto"/>
                <w:w w:val="88"/>
              </w:rPr>
              <w:t xml:space="preserve">Yes </w:t>
            </w:r>
            <w:r>
              <w:rPr>
                <w:rFonts w:ascii="MS PGothic" w:cs="MS PGothic" w:eastAsia="MS PGothic" w:hAnsi="MS PGothic"/>
                <w:sz w:val="15"/>
                <w:szCs w:val="15"/>
                <w:color w:val="auto"/>
                <w:w w:val="88"/>
              </w:rPr>
              <w:t>☐</w:t>
            </w:r>
          </w:p>
        </w:tc>
        <w:tc>
          <w:tcPr>
            <w:tcW w:w="2280" w:type="dxa"/>
            <w:vAlign w:val="bottom"/>
          </w:tcPr>
          <w:p>
            <w:pPr>
              <w:ind w:left="16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r>
        <w:rPr>
          <w:rFonts w:ascii="Arial" w:cs="Arial" w:eastAsia="Arial" w:hAnsi="Arial"/>
          <w:sz w:val="14"/>
          <w:szCs w:val="14"/>
          <w:color w:val="auto"/>
        </w:rPr>
        <w:t xml:space="preserve">Note — Checking the box above will not relieve any registrant required to file reports pursuant to Section 13 or 15(d) of the Exchange Act from their obligations under those sections. 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340"/>
        <w:spacing w:after="0" w:line="182"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20"/>
        <w:spacing w:after="0" w:line="18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28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 of “large accelerated filer”, “accelerated filer”,“smaller reporting company” and "emerging growth company" in Rule 12b-2 of the Exchange Act. (Check one):</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18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484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3640" w:type="dxa"/>
            <w:vAlign w:val="bottom"/>
          </w:tcPr>
          <w:p>
            <w:pPr>
              <w:ind w:left="1340"/>
              <w:spacing w:after="0"/>
              <w:rPr>
                <w:sz w:val="20"/>
                <w:szCs w:val="20"/>
                <w:color w:val="auto"/>
              </w:rPr>
            </w:pPr>
            <w:r>
              <w:rPr>
                <w:rFonts w:ascii="Arial" w:cs="Arial" w:eastAsia="Arial" w:hAnsi="Arial"/>
                <w:sz w:val="15"/>
                <w:szCs w:val="15"/>
                <w:color w:val="auto"/>
              </w:rPr>
              <w:t>Accelerated filer</w:t>
            </w:r>
          </w:p>
        </w:tc>
        <w:tc>
          <w:tcPr>
            <w:tcW w:w="8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50"/>
        </w:trPr>
        <w:tc>
          <w:tcPr>
            <w:tcW w:w="1820" w:type="dxa"/>
            <w:vAlign w:val="bottom"/>
          </w:tcPr>
          <w:p>
            <w:pPr>
              <w:spacing w:after="0"/>
              <w:rPr>
                <w:sz w:val="20"/>
                <w:szCs w:val="20"/>
                <w:color w:val="auto"/>
              </w:rPr>
            </w:pPr>
            <w:r>
              <w:rPr>
                <w:rFonts w:ascii="Arial" w:cs="Arial" w:eastAsia="Arial" w:hAnsi="Arial"/>
                <w:sz w:val="15"/>
                <w:szCs w:val="15"/>
                <w:color w:val="auto"/>
              </w:rPr>
              <w:t>Non-accelerated filer</w:t>
            </w:r>
          </w:p>
        </w:tc>
        <w:tc>
          <w:tcPr>
            <w:tcW w:w="4840" w:type="dxa"/>
            <w:vAlign w:val="bottom"/>
          </w:tcPr>
          <w:p>
            <w:pPr>
              <w:ind w:left="48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640" w:type="dxa"/>
            <w:vAlign w:val="bottom"/>
          </w:tcPr>
          <w:p>
            <w:pPr>
              <w:ind w:left="1340"/>
              <w:spacing w:after="0"/>
              <w:rPr>
                <w:sz w:val="20"/>
                <w:szCs w:val="20"/>
                <w:color w:val="auto"/>
              </w:rPr>
            </w:pPr>
            <w:r>
              <w:rPr>
                <w:rFonts w:ascii="Arial" w:cs="Arial" w:eastAsia="Arial" w:hAnsi="Arial"/>
                <w:sz w:val="15"/>
                <w:szCs w:val="15"/>
                <w:color w:val="auto"/>
              </w:rPr>
              <w:t>Smaller reporting company</w:t>
            </w:r>
          </w:p>
        </w:tc>
        <w:tc>
          <w:tcPr>
            <w:tcW w:w="8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8"/>
        </w:trPr>
        <w:tc>
          <w:tcPr>
            <w:tcW w:w="18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640" w:type="dxa"/>
            <w:vAlign w:val="bottom"/>
          </w:tcPr>
          <w:p>
            <w:pPr>
              <w:ind w:left="1340"/>
              <w:spacing w:after="0"/>
              <w:rPr>
                <w:sz w:val="20"/>
                <w:szCs w:val="20"/>
                <w:color w:val="auto"/>
              </w:rPr>
            </w:pPr>
            <w:r>
              <w:rPr>
                <w:rFonts w:ascii="Arial" w:cs="Arial" w:eastAsia="Arial" w:hAnsi="Arial"/>
                <w:sz w:val="15"/>
                <w:szCs w:val="15"/>
                <w:color w:val="auto"/>
              </w:rPr>
              <w:t>Emerging growth company</w:t>
            </w:r>
          </w:p>
        </w:tc>
        <w:tc>
          <w:tcPr>
            <w:tcW w:w="8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8" w:lineRule="exact"/>
        <w:rPr>
          <w:sz w:val="24"/>
          <w:szCs w:val="24"/>
          <w:color w:val="auto"/>
        </w:rPr>
      </w:pPr>
    </w:p>
    <w:p>
      <w:pPr>
        <w:jc w:val="both"/>
        <w:ind w:right="160"/>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300"/>
          </w:cols>
          <w:pgMar w:left="240" w:top="1014" w:right="359" w:bottom="1440" w:gutter="0" w:footer="0" w:header="0"/>
        </w:sectPr>
      </w:pPr>
    </w:p>
    <w:bookmarkStart w:id="1" w:name="page2"/>
    <w:bookmarkEnd w:id="1"/>
    <w:p>
      <w:pPr>
        <w:spacing w:after="0" w:line="173" w:lineRule="exact"/>
        <w:tabs>
          <w:tab w:leader="none" w:pos="6980" w:val="left"/>
          <w:tab w:leader="none" w:pos="75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2016, the market value of the voting and non-voting common equity held by non-affiliates based on the closing price as of that day was $4,574,607,371.</w:t>
      </w: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9440" w:type="dxa"/>
            <w:vAlign w:val="bottom"/>
          </w:tcPr>
          <w:p>
            <w:pPr>
              <w:spacing w:after="0"/>
              <w:rPr>
                <w:sz w:val="13"/>
                <w:szCs w:val="13"/>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 Outstanding</w:t>
            </w:r>
          </w:p>
        </w:tc>
      </w:tr>
      <w:tr>
        <w:trPr>
          <w:trHeight w:val="178"/>
        </w:trPr>
        <w:tc>
          <w:tcPr>
            <w:tcW w:w="160" w:type="dxa"/>
            <w:vAlign w:val="bottom"/>
          </w:tcPr>
          <w:p>
            <w:pPr>
              <w:spacing w:after="0"/>
              <w:rPr>
                <w:sz w:val="15"/>
                <w:szCs w:val="15"/>
                <w:color w:val="auto"/>
              </w:rPr>
            </w:pPr>
          </w:p>
        </w:tc>
        <w:tc>
          <w:tcPr>
            <w:tcW w:w="9440" w:type="dxa"/>
            <w:vAlign w:val="bottom"/>
          </w:tcPr>
          <w:p>
            <w:pPr>
              <w:spacing w:after="0"/>
              <w:rPr>
                <w:sz w:val="15"/>
                <w:szCs w:val="15"/>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as of May 18, 2017</w:t>
            </w:r>
          </w:p>
        </w:tc>
      </w:tr>
      <w:tr>
        <w:trPr>
          <w:trHeight w:val="235"/>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Class A Common Stock</w:t>
            </w:r>
          </w:p>
        </w:tc>
        <w:tc>
          <w:tcPr>
            <w:tcW w:w="1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147,920,835</w:t>
            </w:r>
          </w:p>
        </w:tc>
      </w:tr>
      <w:tr>
        <w:trPr>
          <w:trHeight w:val="225"/>
        </w:trPr>
        <w:tc>
          <w:tcPr>
            <w:tcW w:w="9600" w:type="dxa"/>
            <w:vAlign w:val="bottom"/>
            <w:gridSpan w:val="2"/>
          </w:tcPr>
          <w:p>
            <w:pPr>
              <w:ind w:left="20"/>
              <w:spacing w:after="0"/>
              <w:rPr>
                <w:sz w:val="20"/>
                <w:szCs w:val="20"/>
                <w:color w:val="auto"/>
              </w:rPr>
            </w:pPr>
            <w:r>
              <w:rPr>
                <w:rFonts w:ascii="Arial" w:cs="Arial" w:eastAsia="Arial" w:hAnsi="Arial"/>
                <w:sz w:val="17"/>
                <w:szCs w:val="17"/>
                <w:color w:val="auto"/>
              </w:rPr>
              <w:t>Class B Non-Voting Common Stock</w:t>
            </w:r>
          </w:p>
        </w:tc>
        <w:tc>
          <w:tcPr>
            <w:tcW w:w="1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160" w:type="dxa"/>
            <w:vAlign w:val="bottom"/>
          </w:tcPr>
          <w:p>
            <w:pPr>
              <w:spacing w:after="0"/>
              <w:rPr>
                <w:sz w:val="2"/>
                <w:szCs w:val="2"/>
                <w:color w:val="auto"/>
              </w:rPr>
            </w:pPr>
          </w:p>
        </w:tc>
        <w:tc>
          <w:tcPr>
            <w:tcW w:w="9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Class C Restricted Common Stock</w:t>
            </w:r>
          </w:p>
        </w:tc>
        <w:tc>
          <w:tcPr>
            <w:tcW w:w="1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5"/>
        </w:trPr>
        <w:tc>
          <w:tcPr>
            <w:tcW w:w="9600" w:type="dxa"/>
            <w:vAlign w:val="bottom"/>
            <w:gridSpan w:val="2"/>
          </w:tcPr>
          <w:p>
            <w:pPr>
              <w:ind w:left="20"/>
              <w:spacing w:after="0"/>
              <w:rPr>
                <w:sz w:val="20"/>
                <w:szCs w:val="20"/>
                <w:color w:val="auto"/>
              </w:rPr>
            </w:pPr>
            <w:r>
              <w:rPr>
                <w:rFonts w:ascii="Arial" w:cs="Arial" w:eastAsia="Arial" w:hAnsi="Arial"/>
                <w:sz w:val="17"/>
                <w:szCs w:val="17"/>
                <w:color w:val="auto"/>
              </w:rPr>
              <w:t>Class E Special Voting Common Stock</w:t>
            </w:r>
          </w:p>
        </w:tc>
        <w:tc>
          <w:tcPr>
            <w:tcW w:w="1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3"/>
        </w:trPr>
        <w:tc>
          <w:tcPr>
            <w:tcW w:w="160" w:type="dxa"/>
            <w:vAlign w:val="bottom"/>
          </w:tcPr>
          <w:p>
            <w:pPr>
              <w:spacing w:after="0"/>
              <w:rPr>
                <w:sz w:val="22"/>
                <w:szCs w:val="22"/>
                <w:color w:val="auto"/>
              </w:rPr>
            </w:pPr>
          </w:p>
        </w:tc>
        <w:tc>
          <w:tcPr>
            <w:tcW w:w="94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60" w:type="dxa"/>
            <w:vAlign w:val="bottom"/>
          </w:tcPr>
          <w:p>
            <w:pPr>
              <w:spacing w:after="0" w:line="20" w:lineRule="exact"/>
              <w:rPr>
                <w:sz w:val="1"/>
                <w:szCs w:val="1"/>
                <w:color w:val="auto"/>
              </w:rPr>
            </w:pPr>
          </w:p>
        </w:tc>
        <w:tc>
          <w:tcPr>
            <w:tcW w:w="9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0"/>
        </w:trPr>
        <w:tc>
          <w:tcPr>
            <w:tcW w:w="160" w:type="dxa"/>
            <w:vAlign w:val="bottom"/>
          </w:tcPr>
          <w:p>
            <w:pPr>
              <w:spacing w:after="0"/>
              <w:rPr>
                <w:sz w:val="14"/>
                <w:szCs w:val="14"/>
                <w:color w:val="auto"/>
              </w:rPr>
            </w:pPr>
          </w:p>
        </w:tc>
        <w:tc>
          <w:tcPr>
            <w:tcW w:w="9440" w:type="dxa"/>
            <w:vAlign w:val="bottom"/>
          </w:tcPr>
          <w:p>
            <w:pPr>
              <w:ind w:left="3640"/>
              <w:spacing w:after="0" w:line="170" w:lineRule="exact"/>
              <w:rPr>
                <w:sz w:val="20"/>
                <w:szCs w:val="20"/>
                <w:color w:val="auto"/>
              </w:rPr>
            </w:pPr>
            <w:r>
              <w:rPr>
                <w:rFonts w:ascii="Arial" w:cs="Arial" w:eastAsia="Arial" w:hAnsi="Arial"/>
                <w:sz w:val="17"/>
                <w:szCs w:val="17"/>
                <w:b w:val="1"/>
                <w:bCs w:val="1"/>
                <w:color w:val="auto"/>
              </w:rPr>
              <w:t>DOCUMENTS INCORPORATED BY REFERENCE</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0"/>
        </w:trPr>
        <w:tc>
          <w:tcPr>
            <w:tcW w:w="9600" w:type="dxa"/>
            <w:vAlign w:val="bottom"/>
            <w:gridSpan w:val="2"/>
          </w:tcPr>
          <w:p>
            <w:pPr>
              <w:spacing w:after="0"/>
              <w:rPr>
                <w:sz w:val="20"/>
                <w:szCs w:val="20"/>
                <w:color w:val="auto"/>
              </w:rPr>
            </w:pPr>
            <w:r>
              <w:rPr>
                <w:rFonts w:ascii="Arial" w:cs="Arial" w:eastAsia="Arial" w:hAnsi="Arial"/>
                <w:sz w:val="15"/>
                <w:szCs w:val="15"/>
                <w:color w:val="auto"/>
                <w:w w:val="93"/>
              </w:rPr>
              <w:t>Portions of the registrant’s Proxy Statement for its Annual Meeting of Stockholders scheduled for August 3, 2017 are incorporated by reference into Part III.</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ectPr>
          <w:pgSz w:w="11900" w:h="16838" w:orient="portrait"/>
          <w:cols w:equalWidth="0" w:num="1">
            <w:col w:w="11420"/>
          </w:cols>
          <w:pgMar w:left="240" w:top="100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40" w:type="dxa"/>
            <w:vAlign w:val="bottom"/>
            <w:gridSpan w:val="9"/>
          </w:tcPr>
          <w:p>
            <w:pPr>
              <w:ind w:left="420"/>
              <w:spacing w:after="0"/>
              <w:rPr>
                <w:sz w:val="20"/>
                <w:szCs w:val="20"/>
                <w:color w:val="auto"/>
              </w:rPr>
            </w:pPr>
            <w:r>
              <w:rPr>
                <w:rFonts w:ascii="Arial" w:cs="Arial" w:eastAsia="Arial" w:hAnsi="Arial"/>
                <w:sz w:val="17"/>
                <w:szCs w:val="17"/>
                <w:b w:val="1"/>
                <w:bCs w:val="1"/>
                <w:color w:val="auto"/>
              </w:rPr>
              <w:t>TABLE OF CONTENTS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88"/>
        </w:trPr>
        <w:tc>
          <w:tcPr>
            <w:tcW w:w="10220" w:type="dxa"/>
            <w:vAlign w:val="bottom"/>
            <w:gridSpan w:val="22"/>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INTRODUCTORY NOTE</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43"/>
        </w:trPr>
        <w:tc>
          <w:tcPr>
            <w:tcW w:w="1560" w:type="dxa"/>
            <w:vAlign w:val="bottom"/>
            <w:gridSpan w:val="4"/>
          </w:tcPr>
          <w:p>
            <w:pPr>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PART I</w:t>
              </w:r>
            </w:hyperlink>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w:t>
            </w:r>
          </w:p>
        </w:tc>
        <w:tc>
          <w:tcPr>
            <w:tcW w:w="8660" w:type="dxa"/>
            <w:vAlign w:val="bottom"/>
            <w:gridSpan w:val="18"/>
          </w:tcPr>
          <w:p>
            <w:pPr>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Business</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3</w:t>
              </w:r>
            </w:hyperlink>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1A.</w:t>
            </w:r>
          </w:p>
        </w:tc>
        <w:tc>
          <w:tcPr>
            <w:tcW w:w="920" w:type="dxa"/>
            <w:vAlign w:val="bottom"/>
            <w:gridSpan w:val="4"/>
          </w:tcPr>
          <w:p>
            <w:pPr>
              <w:spacing w:after="0"/>
              <w:rPr>
                <w:rFonts w:ascii="Arial" w:cs="Arial" w:eastAsia="Arial" w:hAnsi="Arial"/>
                <w:sz w:val="17"/>
                <w:szCs w:val="17"/>
                <w:b w:val="1"/>
                <w:bCs w:val="1"/>
                <w:color w:val="0000EE"/>
                <w:w w:val="88"/>
              </w:rPr>
            </w:pPr>
            <w:hyperlink w:anchor="page17">
              <w:r>
                <w:rPr>
                  <w:rFonts w:ascii="Arial" w:cs="Arial" w:eastAsia="Arial" w:hAnsi="Arial"/>
                  <w:sz w:val="17"/>
                  <w:szCs w:val="17"/>
                  <w:b w:val="1"/>
                  <w:bCs w:val="1"/>
                  <w:color w:val="0000EE"/>
                  <w:w w:val="88"/>
                </w:rPr>
                <w:t>Risk Factors</w:t>
              </w:r>
            </w:hyperlink>
          </w:p>
        </w:tc>
        <w:tc>
          <w:tcPr>
            <w:tcW w:w="7740" w:type="dxa"/>
            <w:vAlign w:val="bottom"/>
            <w:gridSpan w:val="14"/>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14</w:t>
              </w:r>
            </w:hyperlink>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1B.</w:t>
            </w:r>
          </w:p>
        </w:tc>
        <w:tc>
          <w:tcPr>
            <w:tcW w:w="8660" w:type="dxa"/>
            <w:vAlign w:val="bottom"/>
            <w:gridSpan w:val="18"/>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Unresolved Staff Comments</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35</w:t>
              </w:r>
            </w:hyperlink>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2.</w:t>
            </w:r>
          </w:p>
        </w:tc>
        <w:tc>
          <w:tcPr>
            <w:tcW w:w="2000" w:type="dxa"/>
            <w:vAlign w:val="bottom"/>
            <w:gridSpan w:val="8"/>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Properties</w:t>
              </w:r>
            </w:hyperlink>
          </w:p>
        </w:tc>
        <w:tc>
          <w:tcPr>
            <w:tcW w:w="6660" w:type="dxa"/>
            <w:vAlign w:val="bottom"/>
            <w:gridSpan w:val="10"/>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35</w:t>
              </w:r>
            </w:hyperlink>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3.</w:t>
            </w:r>
          </w:p>
        </w:tc>
        <w:tc>
          <w:tcPr>
            <w:tcW w:w="8660" w:type="dxa"/>
            <w:vAlign w:val="bottom"/>
            <w:gridSpan w:val="18"/>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Legal Proceedings</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35</w:t>
              </w:r>
            </w:hyperlink>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4.</w:t>
            </w:r>
          </w:p>
        </w:tc>
        <w:tc>
          <w:tcPr>
            <w:tcW w:w="1680" w:type="dxa"/>
            <w:vAlign w:val="bottom"/>
            <w:gridSpan w:val="6"/>
          </w:tcPr>
          <w:p>
            <w:pPr>
              <w:spacing w:after="0"/>
              <w:rPr>
                <w:rFonts w:ascii="Arial" w:cs="Arial" w:eastAsia="Arial" w:hAnsi="Arial"/>
                <w:sz w:val="17"/>
                <w:szCs w:val="17"/>
                <w:b w:val="1"/>
                <w:bCs w:val="1"/>
                <w:color w:val="0000EE"/>
                <w:w w:val="83"/>
              </w:rPr>
            </w:pPr>
            <w:hyperlink w:anchor="page39">
              <w:r>
                <w:rPr>
                  <w:rFonts w:ascii="Arial" w:cs="Arial" w:eastAsia="Arial" w:hAnsi="Arial"/>
                  <w:sz w:val="17"/>
                  <w:szCs w:val="17"/>
                  <w:b w:val="1"/>
                  <w:bCs w:val="1"/>
                  <w:color w:val="0000EE"/>
                  <w:w w:val="83"/>
                </w:rPr>
                <w:t>Mine Safety Disclosures</w:t>
              </w:r>
            </w:hyperlink>
          </w:p>
        </w:tc>
        <w:tc>
          <w:tcPr>
            <w:tcW w:w="6980" w:type="dxa"/>
            <w:vAlign w:val="bottom"/>
            <w:gridSpan w:val="12"/>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39">
              <w:r>
                <w:rPr>
                  <w:rFonts w:ascii="Arial" w:cs="Arial" w:eastAsia="Arial" w:hAnsi="Arial"/>
                  <w:sz w:val="17"/>
                  <w:szCs w:val="17"/>
                  <w:b w:val="1"/>
                  <w:bCs w:val="1"/>
                  <w:color w:val="0000EE"/>
                </w:rPr>
                <w:t>36</w:t>
              </w:r>
            </w:hyperlink>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620" w:type="dxa"/>
            <w:vAlign w:val="bottom"/>
            <w:gridSpan w:val="2"/>
          </w:tcPr>
          <w:p>
            <w:pPr>
              <w:spacing w:after="0"/>
              <w:rPr>
                <w:rFonts w:ascii="Arial" w:cs="Arial" w:eastAsia="Arial" w:hAnsi="Arial"/>
                <w:sz w:val="17"/>
                <w:szCs w:val="17"/>
                <w:b w:val="1"/>
                <w:bCs w:val="1"/>
                <w:color w:val="0000EE"/>
                <w:w w:val="99"/>
              </w:rPr>
            </w:pPr>
            <w:hyperlink w:anchor="page41">
              <w:r>
                <w:rPr>
                  <w:rFonts w:ascii="Arial" w:cs="Arial" w:eastAsia="Arial" w:hAnsi="Arial"/>
                  <w:sz w:val="17"/>
                  <w:szCs w:val="17"/>
                  <w:b w:val="1"/>
                  <w:bCs w:val="1"/>
                  <w:color w:val="0000EE"/>
                  <w:w w:val="99"/>
                </w:rPr>
                <w:t>PART II</w:t>
              </w:r>
            </w:hyperlink>
          </w:p>
        </w:tc>
        <w:tc>
          <w:tcPr>
            <w:tcW w:w="9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38</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5.</w:t>
            </w:r>
          </w:p>
        </w:tc>
        <w:tc>
          <w:tcPr>
            <w:tcW w:w="8060" w:type="dxa"/>
            <w:vAlign w:val="bottom"/>
            <w:gridSpan w:val="17"/>
          </w:tcPr>
          <w:p>
            <w:pPr>
              <w:spacing w:after="0"/>
              <w:rPr>
                <w:rFonts w:ascii="Arial" w:cs="Arial" w:eastAsia="Arial" w:hAnsi="Arial"/>
                <w:sz w:val="17"/>
                <w:szCs w:val="17"/>
                <w:b w:val="1"/>
                <w:bCs w:val="1"/>
                <w:color w:val="0000EE"/>
                <w:w w:val="89"/>
              </w:rPr>
            </w:pPr>
            <w:hyperlink w:anchor="page41">
              <w:r>
                <w:rPr>
                  <w:rFonts w:ascii="Arial" w:cs="Arial" w:eastAsia="Arial" w:hAnsi="Arial"/>
                  <w:sz w:val="17"/>
                  <w:szCs w:val="17"/>
                  <w:b w:val="1"/>
                  <w:bCs w:val="1"/>
                  <w:color w:val="0000EE"/>
                  <w:w w:val="89"/>
                </w:rPr>
                <w:t>Market for Registrant's Common Equity, Related Stockholder Matters and Issuer Purchases of Equity Securities</w:t>
              </w:r>
            </w:hyperlink>
          </w:p>
        </w:tc>
        <w:tc>
          <w:tcPr>
            <w:tcW w:w="600" w:type="dxa"/>
            <w:vAlign w:val="bottom"/>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38</w:t>
              </w:r>
            </w:hyperlink>
          </w:p>
        </w:tc>
      </w:tr>
      <w:tr>
        <w:trPr>
          <w:trHeight w:val="20"/>
        </w:trPr>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6.</w:t>
            </w:r>
          </w:p>
        </w:tc>
        <w:tc>
          <w:tcPr>
            <w:tcW w:w="8060" w:type="dxa"/>
            <w:vAlign w:val="bottom"/>
            <w:gridSpan w:val="17"/>
          </w:tcPr>
          <w:p>
            <w:pPr>
              <w:spacing w:after="0"/>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Selected Financial Data</w:t>
              </w:r>
            </w:hyperlink>
          </w:p>
        </w:tc>
        <w:tc>
          <w:tcPr>
            <w:tcW w:w="600" w:type="dxa"/>
            <w:vAlign w:val="bottom"/>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40</w:t>
              </w:r>
            </w:hyperlink>
          </w:p>
        </w:tc>
      </w:tr>
      <w:tr>
        <w:trPr>
          <w:trHeight w:val="20"/>
        </w:trPr>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7.</w:t>
            </w:r>
          </w:p>
        </w:tc>
        <w:tc>
          <w:tcPr>
            <w:tcW w:w="8660" w:type="dxa"/>
            <w:vAlign w:val="bottom"/>
            <w:gridSpan w:val="18"/>
          </w:tcPr>
          <w:p>
            <w:pPr>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Management's Discussion and Analysis of Financial Condition and Results of Operations</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41</w:t>
              </w:r>
            </w:hyperlink>
          </w:p>
        </w:tc>
      </w:tr>
      <w:tr>
        <w:trPr>
          <w:trHeight w:val="20"/>
        </w:trPr>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7A.</w:t>
            </w:r>
          </w:p>
        </w:tc>
        <w:tc>
          <w:tcPr>
            <w:tcW w:w="4340" w:type="dxa"/>
            <w:vAlign w:val="bottom"/>
            <w:gridSpan w:val="12"/>
          </w:tcPr>
          <w:p>
            <w:pPr>
              <w:spacing w:after="0"/>
              <w:rPr>
                <w:rFonts w:ascii="Arial" w:cs="Arial" w:eastAsia="Arial" w:hAnsi="Arial"/>
                <w:sz w:val="17"/>
                <w:szCs w:val="17"/>
                <w:b w:val="1"/>
                <w:bCs w:val="1"/>
                <w:color w:val="0000EE"/>
                <w:w w:val="90"/>
              </w:rPr>
            </w:pPr>
            <w:hyperlink w:anchor="page64">
              <w:r>
                <w:rPr>
                  <w:rFonts w:ascii="Arial" w:cs="Arial" w:eastAsia="Arial" w:hAnsi="Arial"/>
                  <w:sz w:val="17"/>
                  <w:szCs w:val="17"/>
                  <w:b w:val="1"/>
                  <w:bCs w:val="1"/>
                  <w:color w:val="0000EE"/>
                  <w:w w:val="90"/>
                </w:rPr>
                <w:t>Quantitative and Qualitative Disclosures About Market Risk</w:t>
              </w:r>
            </w:hyperlink>
          </w:p>
        </w:tc>
        <w:tc>
          <w:tcPr>
            <w:tcW w:w="2000" w:type="dxa"/>
            <w:vAlign w:val="bottom"/>
            <w:gridSpan w:val="2"/>
          </w:tcPr>
          <w:p>
            <w:pPr>
              <w:spacing w:after="0"/>
              <w:rPr>
                <w:sz w:val="24"/>
                <w:szCs w:val="24"/>
                <w:color w:val="auto"/>
              </w:rPr>
            </w:pPr>
          </w:p>
        </w:tc>
        <w:tc>
          <w:tcPr>
            <w:tcW w:w="2320" w:type="dxa"/>
            <w:vAlign w:val="bottom"/>
            <w:gridSpan w:val="4"/>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64">
              <w:r>
                <w:rPr>
                  <w:rFonts w:ascii="Arial" w:cs="Arial" w:eastAsia="Arial" w:hAnsi="Arial"/>
                  <w:sz w:val="17"/>
                  <w:szCs w:val="17"/>
                  <w:b w:val="1"/>
                  <w:bCs w:val="1"/>
                  <w:color w:val="0000EE"/>
                </w:rPr>
                <w:t>61</w:t>
              </w:r>
            </w:hyperlink>
          </w:p>
        </w:tc>
      </w:tr>
      <w:tr>
        <w:trPr>
          <w:trHeight w:val="20"/>
        </w:trPr>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8.</w:t>
            </w:r>
          </w:p>
        </w:tc>
        <w:tc>
          <w:tcPr>
            <w:tcW w:w="3340" w:type="dxa"/>
            <w:vAlign w:val="bottom"/>
            <w:tcBorders>
              <w:bottom w:val="single" w:sz="8" w:color="0000EE"/>
            </w:tcBorders>
            <w:gridSpan w:val="10"/>
          </w:tcPr>
          <w:p>
            <w:pPr>
              <w:spacing w:after="0"/>
              <w:rPr>
                <w:rFonts w:ascii="Arial" w:cs="Arial" w:eastAsia="Arial" w:hAnsi="Arial"/>
                <w:sz w:val="17"/>
                <w:szCs w:val="17"/>
                <w:b w:val="1"/>
                <w:bCs w:val="1"/>
                <w:color w:val="0000EE"/>
                <w:w w:val="88"/>
              </w:rPr>
            </w:pPr>
            <w:hyperlink w:anchor="page65">
              <w:r>
                <w:rPr>
                  <w:rFonts w:ascii="Arial" w:cs="Arial" w:eastAsia="Arial" w:hAnsi="Arial"/>
                  <w:sz w:val="17"/>
                  <w:szCs w:val="17"/>
                  <w:b w:val="1"/>
                  <w:bCs w:val="1"/>
                  <w:color w:val="0000EE"/>
                  <w:w w:val="88"/>
                </w:rPr>
                <w:t>Financial Statements and Supplementary Data</w:t>
              </w:r>
            </w:hyperlink>
          </w:p>
        </w:tc>
        <w:tc>
          <w:tcPr>
            <w:tcW w:w="1000" w:type="dxa"/>
            <w:vAlign w:val="bottom"/>
            <w:gridSpan w:val="2"/>
          </w:tcPr>
          <w:p>
            <w:pPr>
              <w:spacing w:after="0"/>
              <w:rPr>
                <w:sz w:val="24"/>
                <w:szCs w:val="24"/>
                <w:color w:val="auto"/>
              </w:rPr>
            </w:pPr>
          </w:p>
        </w:tc>
        <w:tc>
          <w:tcPr>
            <w:tcW w:w="432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0000EE"/>
            </w:tcBorders>
            <w:gridSpan w:val="3"/>
          </w:tcPr>
          <w:p>
            <w:pPr>
              <w:jc w:val="right"/>
              <w:spacing w:after="0"/>
              <w:rPr>
                <w:rFonts w:ascii="Arial" w:cs="Arial" w:eastAsia="Arial" w:hAnsi="Arial"/>
                <w:sz w:val="17"/>
                <w:szCs w:val="17"/>
                <w:b w:val="1"/>
                <w:bCs w:val="1"/>
                <w:color w:val="0000EE"/>
                <w:w w:val="86"/>
              </w:rPr>
            </w:pPr>
            <w:hyperlink w:anchor="page65">
              <w:r>
                <w:rPr>
                  <w:rFonts w:ascii="Arial" w:cs="Arial" w:eastAsia="Arial" w:hAnsi="Arial"/>
                  <w:sz w:val="17"/>
                  <w:szCs w:val="17"/>
                  <w:b w:val="1"/>
                  <w:bCs w:val="1"/>
                  <w:color w:val="0000EE"/>
                  <w:w w:val="86"/>
                </w:rPr>
                <w:t>F-1</w:t>
              </w:r>
            </w:hyperlink>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9.</w:t>
            </w:r>
          </w:p>
        </w:tc>
        <w:tc>
          <w:tcPr>
            <w:tcW w:w="8660" w:type="dxa"/>
            <w:vAlign w:val="bottom"/>
            <w:gridSpan w:val="18"/>
          </w:tcPr>
          <w:p>
            <w:pPr>
              <w:spacing w:after="0"/>
              <w:rPr>
                <w:rFonts w:ascii="Arial" w:cs="Arial" w:eastAsia="Arial" w:hAnsi="Arial"/>
                <w:sz w:val="17"/>
                <w:szCs w:val="17"/>
                <w:b w:val="1"/>
                <w:bCs w:val="1"/>
                <w:color w:val="0000EE"/>
              </w:rPr>
            </w:pPr>
            <w:hyperlink w:anchor="page103">
              <w:r>
                <w:rPr>
                  <w:rFonts w:ascii="Arial" w:cs="Arial" w:eastAsia="Arial" w:hAnsi="Arial"/>
                  <w:sz w:val="17"/>
                  <w:szCs w:val="17"/>
                  <w:b w:val="1"/>
                  <w:bCs w:val="1"/>
                  <w:color w:val="0000EE"/>
                </w:rPr>
                <w:t>Changes in and Disagreements With Accountants on Accounting and Financial Disclosure</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103">
              <w:r>
                <w:rPr>
                  <w:rFonts w:ascii="Arial" w:cs="Arial" w:eastAsia="Arial" w:hAnsi="Arial"/>
                  <w:sz w:val="17"/>
                  <w:szCs w:val="17"/>
                  <w:b w:val="1"/>
                  <w:bCs w:val="1"/>
                  <w:color w:val="0000EE"/>
                </w:rPr>
                <w:t>62</w:t>
              </w:r>
            </w:hyperlink>
          </w:p>
        </w:tc>
      </w:tr>
      <w:tr>
        <w:trPr>
          <w:trHeight w:val="20"/>
        </w:trPr>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9A.</w:t>
            </w:r>
          </w:p>
        </w:tc>
        <w:tc>
          <w:tcPr>
            <w:tcW w:w="1780" w:type="dxa"/>
            <w:vAlign w:val="bottom"/>
            <w:gridSpan w:val="7"/>
          </w:tcPr>
          <w:p>
            <w:pPr>
              <w:spacing w:after="0"/>
              <w:rPr>
                <w:rFonts w:ascii="Arial" w:cs="Arial" w:eastAsia="Arial" w:hAnsi="Arial"/>
                <w:sz w:val="17"/>
                <w:szCs w:val="17"/>
                <w:b w:val="1"/>
                <w:bCs w:val="1"/>
                <w:color w:val="0000EE"/>
                <w:w w:val="85"/>
              </w:rPr>
            </w:pPr>
            <w:hyperlink w:anchor="page103">
              <w:r>
                <w:rPr>
                  <w:rFonts w:ascii="Arial" w:cs="Arial" w:eastAsia="Arial" w:hAnsi="Arial"/>
                  <w:sz w:val="17"/>
                  <w:szCs w:val="17"/>
                  <w:b w:val="1"/>
                  <w:bCs w:val="1"/>
                  <w:color w:val="0000EE"/>
                  <w:w w:val="85"/>
                </w:rPr>
                <w:t>Controls and Procedures</w:t>
              </w:r>
            </w:hyperlink>
          </w:p>
        </w:tc>
        <w:tc>
          <w:tcPr>
            <w:tcW w:w="4620" w:type="dxa"/>
            <w:vAlign w:val="bottom"/>
            <w:gridSpan w:val="8"/>
          </w:tcPr>
          <w:p>
            <w:pPr>
              <w:spacing w:after="0"/>
              <w:rPr>
                <w:sz w:val="24"/>
                <w:szCs w:val="24"/>
                <w:color w:val="auto"/>
              </w:rPr>
            </w:pPr>
          </w:p>
        </w:tc>
        <w:tc>
          <w:tcPr>
            <w:tcW w:w="2260" w:type="dxa"/>
            <w:vAlign w:val="bottom"/>
            <w:gridSpan w:val="3"/>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103">
              <w:r>
                <w:rPr>
                  <w:rFonts w:ascii="Arial" w:cs="Arial" w:eastAsia="Arial" w:hAnsi="Arial"/>
                  <w:sz w:val="17"/>
                  <w:szCs w:val="17"/>
                  <w:b w:val="1"/>
                  <w:bCs w:val="1"/>
                  <w:color w:val="0000EE"/>
                </w:rPr>
                <w:t>62</w:t>
              </w:r>
            </w:hyperlink>
          </w:p>
        </w:tc>
      </w:tr>
      <w:tr>
        <w:trPr>
          <w:trHeight w:val="20"/>
        </w:trPr>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9B.</w:t>
            </w:r>
          </w:p>
        </w:tc>
        <w:tc>
          <w:tcPr>
            <w:tcW w:w="1780" w:type="dxa"/>
            <w:vAlign w:val="bottom"/>
            <w:gridSpan w:val="7"/>
          </w:tcPr>
          <w:p>
            <w:pPr>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Other Information</w:t>
              </w:r>
            </w:hyperlink>
          </w:p>
        </w:tc>
        <w:tc>
          <w:tcPr>
            <w:tcW w:w="6880" w:type="dxa"/>
            <w:vAlign w:val="bottom"/>
            <w:gridSpan w:val="11"/>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64</w:t>
              </w:r>
            </w:hyperlink>
          </w:p>
        </w:tc>
      </w:tr>
      <w:tr>
        <w:trPr>
          <w:trHeight w:val="20"/>
        </w:trPr>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680" w:type="dxa"/>
            <w:vAlign w:val="bottom"/>
            <w:gridSpan w:val="3"/>
          </w:tcPr>
          <w:p>
            <w:pPr>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PART III</w:t>
              </w:r>
            </w:hyperlink>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64</w:t>
              </w:r>
            </w:hyperlink>
          </w:p>
        </w:tc>
      </w:tr>
      <w:tr>
        <w:trPr>
          <w:trHeight w:val="20"/>
        </w:trPr>
        <w:tc>
          <w:tcPr>
            <w:tcW w:w="68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10.</w:t>
            </w:r>
          </w:p>
        </w:tc>
        <w:tc>
          <w:tcPr>
            <w:tcW w:w="8660" w:type="dxa"/>
            <w:vAlign w:val="bottom"/>
            <w:gridSpan w:val="18"/>
          </w:tcPr>
          <w:p>
            <w:pPr>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Directors, Executive Officers and Corporate Governance</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64</w:t>
              </w:r>
            </w:hyperlink>
          </w:p>
        </w:tc>
      </w:tr>
      <w:tr>
        <w:trPr>
          <w:trHeight w:val="20"/>
        </w:trPr>
        <w:tc>
          <w:tcPr>
            <w:tcW w:w="1560" w:type="dxa"/>
            <w:vAlign w:val="bottom"/>
            <w:gridSpan w:val="4"/>
          </w:tcPr>
          <w:p>
            <w:pPr>
              <w:spacing w:after="0" w:line="20" w:lineRule="exact"/>
              <w:rPr>
                <w:sz w:val="1"/>
                <w:szCs w:val="1"/>
                <w:color w:val="auto"/>
              </w:rPr>
            </w:pPr>
          </w:p>
        </w:tc>
        <w:tc>
          <w:tcPr>
            <w:tcW w:w="1780" w:type="dxa"/>
            <w:vAlign w:val="bottom"/>
            <w:gridSpan w:val="7"/>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11.</w:t>
            </w:r>
          </w:p>
        </w:tc>
        <w:tc>
          <w:tcPr>
            <w:tcW w:w="1780" w:type="dxa"/>
            <w:vAlign w:val="bottom"/>
            <w:gridSpan w:val="7"/>
          </w:tcPr>
          <w:p>
            <w:pPr>
              <w:spacing w:after="0"/>
              <w:rPr>
                <w:rFonts w:ascii="Arial" w:cs="Arial" w:eastAsia="Arial" w:hAnsi="Arial"/>
                <w:sz w:val="17"/>
                <w:szCs w:val="17"/>
                <w:b w:val="1"/>
                <w:bCs w:val="1"/>
                <w:color w:val="0000EE"/>
                <w:w w:val="86"/>
              </w:rPr>
            </w:pPr>
            <w:hyperlink w:anchor="page105">
              <w:r>
                <w:rPr>
                  <w:rFonts w:ascii="Arial" w:cs="Arial" w:eastAsia="Arial" w:hAnsi="Arial"/>
                  <w:sz w:val="17"/>
                  <w:szCs w:val="17"/>
                  <w:b w:val="1"/>
                  <w:bCs w:val="1"/>
                  <w:color w:val="0000EE"/>
                  <w:w w:val="86"/>
                </w:rPr>
                <w:t>Executive Compensation</w:t>
              </w:r>
            </w:hyperlink>
          </w:p>
        </w:tc>
        <w:tc>
          <w:tcPr>
            <w:tcW w:w="2280" w:type="dxa"/>
            <w:vAlign w:val="bottom"/>
            <w:gridSpan w:val="4"/>
          </w:tcPr>
          <w:p>
            <w:pPr>
              <w:spacing w:after="0"/>
              <w:rPr>
                <w:sz w:val="24"/>
                <w:szCs w:val="24"/>
                <w:color w:val="auto"/>
              </w:rPr>
            </w:pPr>
          </w:p>
        </w:tc>
        <w:tc>
          <w:tcPr>
            <w:tcW w:w="4600" w:type="dxa"/>
            <w:vAlign w:val="bottom"/>
            <w:gridSpan w:val="7"/>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64</w:t>
              </w:r>
            </w:hyperlink>
          </w:p>
        </w:tc>
      </w:tr>
      <w:tr>
        <w:trPr>
          <w:trHeight w:val="20"/>
        </w:trPr>
        <w:tc>
          <w:tcPr>
            <w:tcW w:w="1560" w:type="dxa"/>
            <w:vAlign w:val="bottom"/>
            <w:gridSpan w:val="4"/>
          </w:tcPr>
          <w:p>
            <w:pPr>
              <w:spacing w:after="0" w:line="20" w:lineRule="exact"/>
              <w:rPr>
                <w:sz w:val="1"/>
                <w:szCs w:val="1"/>
                <w:color w:val="auto"/>
              </w:rPr>
            </w:pPr>
          </w:p>
        </w:tc>
        <w:tc>
          <w:tcPr>
            <w:tcW w:w="178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12.</w:t>
            </w:r>
          </w:p>
        </w:tc>
        <w:tc>
          <w:tcPr>
            <w:tcW w:w="8660" w:type="dxa"/>
            <w:vAlign w:val="bottom"/>
            <w:gridSpan w:val="18"/>
          </w:tcPr>
          <w:p>
            <w:pPr>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Security Ownership of Certain Beneficial Owners and Management and Related Stockholder Matters</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64</w:t>
              </w:r>
            </w:hyperlink>
          </w:p>
        </w:tc>
      </w:tr>
      <w:tr>
        <w:trPr>
          <w:trHeight w:val="20"/>
        </w:trPr>
        <w:tc>
          <w:tcPr>
            <w:tcW w:w="1560" w:type="dxa"/>
            <w:vAlign w:val="bottom"/>
            <w:gridSpan w:val="4"/>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2620" w:type="dxa"/>
            <w:vAlign w:val="bottom"/>
            <w:tcBorders>
              <w:left w:val="single" w:sz="8" w:color="0000EE"/>
            </w:tcBorders>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13.</w:t>
            </w:r>
          </w:p>
        </w:tc>
        <w:tc>
          <w:tcPr>
            <w:tcW w:w="7240" w:type="dxa"/>
            <w:vAlign w:val="bottom"/>
            <w:gridSpan w:val="16"/>
          </w:tcPr>
          <w:p>
            <w:pPr>
              <w:spacing w:after="0"/>
              <w:rPr>
                <w:rFonts w:ascii="Arial" w:cs="Arial" w:eastAsia="Arial" w:hAnsi="Arial"/>
                <w:sz w:val="17"/>
                <w:szCs w:val="17"/>
                <w:b w:val="1"/>
                <w:bCs w:val="1"/>
                <w:color w:val="0000EE"/>
              </w:rPr>
            </w:pPr>
            <w:hyperlink w:anchor="page106">
              <w:r>
                <w:rPr>
                  <w:rFonts w:ascii="Arial" w:cs="Arial" w:eastAsia="Arial" w:hAnsi="Arial"/>
                  <w:sz w:val="17"/>
                  <w:szCs w:val="17"/>
                  <w:b w:val="1"/>
                  <w:bCs w:val="1"/>
                  <w:color w:val="0000EE"/>
                </w:rPr>
                <w:t>Certain Relationships and Related Transactions, and Director Independence</w:t>
              </w:r>
            </w:hyperlink>
          </w:p>
        </w:tc>
        <w:tc>
          <w:tcPr>
            <w:tcW w:w="1420" w:type="dxa"/>
            <w:vAlign w:val="bottom"/>
            <w:gridSpan w:val="2"/>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106">
              <w:r>
                <w:rPr>
                  <w:rFonts w:ascii="Arial" w:cs="Arial" w:eastAsia="Arial" w:hAnsi="Arial"/>
                  <w:sz w:val="17"/>
                  <w:szCs w:val="17"/>
                  <w:b w:val="1"/>
                  <w:bCs w:val="1"/>
                  <w:color w:val="0000EE"/>
                </w:rPr>
                <w:t>65</w:t>
              </w:r>
            </w:hyperlink>
          </w:p>
        </w:tc>
      </w:tr>
      <w:tr>
        <w:trPr>
          <w:trHeight w:val="20"/>
        </w:trPr>
        <w:tc>
          <w:tcPr>
            <w:tcW w:w="1560" w:type="dxa"/>
            <w:vAlign w:val="bottom"/>
            <w:gridSpan w:val="4"/>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2620" w:type="dxa"/>
            <w:vAlign w:val="bottom"/>
            <w:tcBorders>
              <w:left w:val="single" w:sz="8" w:color="0000EE"/>
            </w:tcBorders>
            <w:gridSpan w:val="4"/>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14.</w:t>
            </w:r>
          </w:p>
        </w:tc>
        <w:tc>
          <w:tcPr>
            <w:tcW w:w="2820" w:type="dxa"/>
            <w:vAlign w:val="bottom"/>
            <w:gridSpan w:val="9"/>
          </w:tcPr>
          <w:p>
            <w:pPr>
              <w:spacing w:after="0"/>
              <w:rPr>
                <w:rFonts w:ascii="Arial" w:cs="Arial" w:eastAsia="Arial" w:hAnsi="Arial"/>
                <w:sz w:val="17"/>
                <w:szCs w:val="17"/>
                <w:b w:val="1"/>
                <w:bCs w:val="1"/>
                <w:color w:val="0000EE"/>
                <w:w w:val="86"/>
              </w:rPr>
            </w:pPr>
            <w:hyperlink w:anchor="page106">
              <w:r>
                <w:rPr>
                  <w:rFonts w:ascii="Arial" w:cs="Arial" w:eastAsia="Arial" w:hAnsi="Arial"/>
                  <w:sz w:val="17"/>
                  <w:szCs w:val="17"/>
                  <w:b w:val="1"/>
                  <w:bCs w:val="1"/>
                  <w:color w:val="0000EE"/>
                  <w:w w:val="86"/>
                </w:rPr>
                <w:t>Principal Accounting Fees and Services</w:t>
              </w:r>
            </w:hyperlink>
          </w:p>
        </w:tc>
        <w:tc>
          <w:tcPr>
            <w:tcW w:w="2620" w:type="dxa"/>
            <w:vAlign w:val="bottom"/>
            <w:gridSpan w:val="4"/>
          </w:tcPr>
          <w:p>
            <w:pPr>
              <w:spacing w:after="0"/>
              <w:rPr>
                <w:sz w:val="24"/>
                <w:szCs w:val="24"/>
                <w:color w:val="auto"/>
              </w:rPr>
            </w:pPr>
          </w:p>
        </w:tc>
        <w:tc>
          <w:tcPr>
            <w:tcW w:w="3220" w:type="dxa"/>
            <w:vAlign w:val="bottom"/>
            <w:gridSpan w:val="5"/>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b w:val="1"/>
                <w:bCs w:val="1"/>
                <w:color w:val="0000EE"/>
              </w:rPr>
            </w:pPr>
            <w:hyperlink w:anchor="page106">
              <w:r>
                <w:rPr>
                  <w:rFonts w:ascii="Arial" w:cs="Arial" w:eastAsia="Arial" w:hAnsi="Arial"/>
                  <w:sz w:val="17"/>
                  <w:szCs w:val="17"/>
                  <w:b w:val="1"/>
                  <w:bCs w:val="1"/>
                  <w:color w:val="0000EE"/>
                </w:rPr>
                <w:t>65</w:t>
              </w:r>
            </w:hyperlink>
          </w:p>
        </w:tc>
      </w:tr>
      <w:tr>
        <w:trPr>
          <w:trHeight w:val="20"/>
        </w:trPr>
        <w:tc>
          <w:tcPr>
            <w:tcW w:w="1560" w:type="dxa"/>
            <w:vAlign w:val="bottom"/>
            <w:gridSpan w:val="4"/>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43"/>
        </w:trPr>
        <w:tc>
          <w:tcPr>
            <w:tcW w:w="1560" w:type="dxa"/>
            <w:vAlign w:val="bottom"/>
            <w:gridSpan w:val="4"/>
          </w:tcPr>
          <w:p>
            <w:pPr>
              <w:ind w:left="340"/>
              <w:spacing w:after="0"/>
              <w:rPr>
                <w:sz w:val="20"/>
                <w:szCs w:val="20"/>
                <w:color w:val="auto"/>
              </w:rPr>
            </w:pPr>
            <w:r>
              <w:rPr>
                <w:rFonts w:ascii="Arial" w:cs="Arial" w:eastAsia="Arial" w:hAnsi="Arial"/>
                <w:sz w:val="17"/>
                <w:szCs w:val="17"/>
                <w:b w:val="1"/>
                <w:bCs w:val="1"/>
                <w:color w:val="auto"/>
              </w:rPr>
              <w:t>Item 15.</w:t>
            </w:r>
          </w:p>
        </w:tc>
        <w:tc>
          <w:tcPr>
            <w:tcW w:w="8660" w:type="dxa"/>
            <w:vAlign w:val="bottom"/>
            <w:gridSpan w:val="18"/>
          </w:tcPr>
          <w:p>
            <w:pPr>
              <w:spacing w:after="0"/>
              <w:rPr>
                <w:rFonts w:ascii="Arial" w:cs="Arial" w:eastAsia="Arial" w:hAnsi="Arial"/>
                <w:sz w:val="17"/>
                <w:szCs w:val="17"/>
                <w:b w:val="1"/>
                <w:bCs w:val="1"/>
                <w:color w:val="0000EE"/>
              </w:rPr>
            </w:pPr>
            <w:hyperlink w:anchor="page106">
              <w:r>
                <w:rPr>
                  <w:rFonts w:ascii="Arial" w:cs="Arial" w:eastAsia="Arial" w:hAnsi="Arial"/>
                  <w:sz w:val="17"/>
                  <w:szCs w:val="17"/>
                  <w:b w:val="1"/>
                  <w:bCs w:val="1"/>
                  <w:color w:val="0000EE"/>
                </w:rPr>
                <w:t>Exhibits, Financial Statement Schedules</w:t>
              </w:r>
            </w:hyperlink>
          </w:p>
        </w:tc>
        <w:tc>
          <w:tcPr>
            <w:tcW w:w="860" w:type="dxa"/>
            <w:vAlign w:val="bottom"/>
            <w:gridSpan w:val="4"/>
          </w:tcPr>
          <w:p>
            <w:pPr>
              <w:jc w:val="right"/>
              <w:spacing w:after="0"/>
              <w:rPr>
                <w:rFonts w:ascii="Arial" w:cs="Arial" w:eastAsia="Arial" w:hAnsi="Arial"/>
                <w:sz w:val="17"/>
                <w:szCs w:val="17"/>
                <w:b w:val="1"/>
                <w:bCs w:val="1"/>
                <w:color w:val="0000EE"/>
              </w:rPr>
            </w:pPr>
            <w:hyperlink w:anchor="page106">
              <w:r>
                <w:rPr>
                  <w:rFonts w:ascii="Arial" w:cs="Arial" w:eastAsia="Arial" w:hAnsi="Arial"/>
                  <w:sz w:val="17"/>
                  <w:szCs w:val="17"/>
                  <w:b w:val="1"/>
                  <w:bCs w:val="1"/>
                  <w:color w:val="0000EE"/>
                </w:rPr>
                <w:t>65</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80"/>
          </w:cols>
          <w:pgMar w:left="260" w:top="874"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INTRODUCTORY NOTE</w:t>
      </w:r>
    </w:p>
    <w:p>
      <w:pPr>
        <w:spacing w:after="0" w:line="159" w:lineRule="exact"/>
        <w:rPr>
          <w:sz w:val="20"/>
          <w:szCs w:val="20"/>
          <w:color w:val="auto"/>
        </w:rPr>
      </w:pPr>
    </w:p>
    <w:p>
      <w:pPr>
        <w:ind w:firstLine="400"/>
        <w:spacing w:after="0" w:line="267" w:lineRule="auto"/>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March 31, 2017 references to: (i) “we,”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refers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2017. We have made rounding adjustments to reach some of the figures included in this Annual Report and, unless otherwise indicated, percentages presented in this Annual Report are approximate.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84" w:lineRule="exact"/>
        <w:rPr>
          <w:sz w:val="20"/>
          <w:szCs w:val="20"/>
          <w:color w:val="auto"/>
        </w:rPr>
      </w:pPr>
    </w:p>
    <w:p>
      <w:pPr>
        <w:ind w:right="40" w:firstLine="400"/>
        <w:spacing w:after="0" w:line="267" w:lineRule="auto"/>
        <w:rPr>
          <w:sz w:val="20"/>
          <w:szCs w:val="20"/>
          <w:color w:val="auto"/>
        </w:rPr>
      </w:pPr>
      <w:r>
        <w:rPr>
          <w:rFonts w:ascii="Arial" w:cs="Arial" w:eastAsia="Arial" w:hAnsi="Arial"/>
          <w:sz w:val="16"/>
          <w:szCs w:val="16"/>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19" w:lineRule="exact"/>
        <w:rPr>
          <w:sz w:val="20"/>
          <w:szCs w:val="20"/>
          <w:color w:val="auto"/>
        </w:rPr>
      </w:pPr>
    </w:p>
    <w:p>
      <w:pPr>
        <w:ind w:left="500" w:right="20" w:hanging="300"/>
        <w:spacing w:after="0" w:line="251"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w:t>
      </w:r>
    </w:p>
    <w:p>
      <w:pPr>
        <w:spacing w:after="0" w:line="29" w:lineRule="exact"/>
        <w:rPr>
          <w:rFonts w:ascii="Arial" w:cs="Arial" w:eastAsia="Arial" w:hAnsi="Arial"/>
          <w:sz w:val="17"/>
          <w:szCs w:val="17"/>
          <w:color w:val="auto"/>
        </w:rPr>
      </w:pPr>
    </w:p>
    <w:p>
      <w:pPr>
        <w:ind w:left="500" w:right="20" w:hanging="300"/>
        <w:spacing w:after="0" w:line="301" w:lineRule="auto"/>
        <w:tabs>
          <w:tab w:leader="none" w:pos="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delayed funding of our contracts due to uncertainty relating to and a possible failure of Congressional efforts to approve funding of the U.S. government and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w:t>
      </w:r>
    </w:p>
    <w:p>
      <w:pPr>
        <w:spacing w:after="0" w:line="1" w:lineRule="exact"/>
        <w:rPr>
          <w:rFonts w:ascii="Arial" w:cs="Arial" w:eastAsia="Arial" w:hAnsi="Arial"/>
          <w:sz w:val="15"/>
          <w:szCs w:val="15"/>
          <w:color w:val="auto"/>
        </w:rPr>
      </w:pPr>
    </w:p>
    <w:p>
      <w:pPr>
        <w:ind w:left="500" w:right="120" w:hanging="300"/>
        <w:spacing w:after="0" w:line="256"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w:t>
      </w:r>
    </w:p>
    <w:p>
      <w:pPr>
        <w:spacing w:after="0" w:line="25" w:lineRule="exact"/>
        <w:rPr>
          <w:rFonts w:ascii="Arial" w:cs="Arial" w:eastAsia="Arial" w:hAnsi="Arial"/>
          <w:sz w:val="17"/>
          <w:szCs w:val="17"/>
          <w:color w:val="auto"/>
        </w:rPr>
      </w:pPr>
    </w:p>
    <w:p>
      <w:pPr>
        <w:ind w:left="500" w:right="780" w:hanging="300"/>
        <w:spacing w:after="0" w:line="266"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issue that compromises our relationships with the U.S. government or damages our professional reputation, including negative publicity concerning government contractors in general or us in particular;</w:t>
      </w:r>
    </w:p>
    <w:p>
      <w:pPr>
        <w:spacing w:after="0" w:line="17" w:lineRule="exact"/>
        <w:rPr>
          <w:rFonts w:ascii="Arial" w:cs="Arial" w:eastAsia="Arial" w:hAnsi="Arial"/>
          <w:sz w:val="17"/>
          <w:szCs w:val="17"/>
          <w:color w:val="auto"/>
        </w:rPr>
      </w:pPr>
    </w:p>
    <w:p>
      <w:pPr>
        <w:ind w:left="500" w:right="100" w:hanging="300"/>
        <w:spacing w:after="0" w:line="266"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17" w:lineRule="exact"/>
        <w:rPr>
          <w:rFonts w:ascii="Arial" w:cs="Arial" w:eastAsia="Arial" w:hAnsi="Arial"/>
          <w:sz w:val="17"/>
          <w:szCs w:val="17"/>
          <w:color w:val="auto"/>
        </w:rPr>
      </w:pPr>
    </w:p>
    <w:p>
      <w:pPr>
        <w:ind w:left="500" w:hanging="30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U.S government shutdowns due to, among other reasons, a failure by elected officials to fund the government;</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our addressable markets and the amount of U.S. government spending on private contractors;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w:t>
      </w:r>
    </w:p>
    <w:p>
      <w:pPr>
        <w:spacing w:after="0" w:line="54" w:lineRule="exact"/>
        <w:rPr>
          <w:rFonts w:ascii="Arial" w:cs="Arial" w:eastAsia="Arial" w:hAnsi="Arial"/>
          <w:sz w:val="17"/>
          <w:szCs w:val="17"/>
          <w:color w:val="auto"/>
        </w:rPr>
      </w:pPr>
    </w:p>
    <w:p>
      <w:pPr>
        <w:ind w:left="500" w:right="380" w:hanging="300"/>
        <w:spacing w:after="0" w:line="266"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effectively in the competitive bidding process and delays or losses of contract awards caused by competitors’ protests of major contract awards received by us;</w:t>
      </w:r>
    </w:p>
    <w:p>
      <w:pPr>
        <w:spacing w:after="0" w:line="17" w:lineRule="exact"/>
        <w:rPr>
          <w:rFonts w:ascii="Arial" w:cs="Arial" w:eastAsia="Arial" w:hAnsi="Arial"/>
          <w:sz w:val="17"/>
          <w:szCs w:val="17"/>
          <w:color w:val="auto"/>
        </w:rPr>
      </w:pPr>
    </w:p>
    <w:p>
      <w:pPr>
        <w:ind w:left="500" w:right="520" w:hanging="300"/>
        <w:spacing w:after="0" w:line="266"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General Services Administration Multiple Award schedule contracts, or GSA schedules, or our position as prime contractor on government-wide acquisition contract vehicles, or GWACs;</w:t>
      </w:r>
    </w:p>
    <w:p>
      <w:pPr>
        <w:spacing w:after="0" w:line="17" w:lineRule="exact"/>
        <w:rPr>
          <w:rFonts w:ascii="Arial" w:cs="Arial" w:eastAsia="Arial" w:hAnsi="Arial"/>
          <w:sz w:val="17"/>
          <w:szCs w:val="17"/>
          <w:color w:val="auto"/>
        </w:rPr>
      </w:pPr>
    </w:p>
    <w:p>
      <w:pPr>
        <w:ind w:left="500" w:hanging="30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54" w:lineRule="exact"/>
        <w:rPr>
          <w:rFonts w:ascii="Arial" w:cs="Arial" w:eastAsia="Arial" w:hAnsi="Arial"/>
          <w:sz w:val="17"/>
          <w:szCs w:val="17"/>
          <w:color w:val="auto"/>
        </w:rPr>
      </w:pPr>
    </w:p>
    <w:p>
      <w:pPr>
        <w:ind w:left="500" w:hanging="300"/>
        <w:spacing w:after="0" w:line="256"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49" w:right="239" w:bottom="1440" w:gutter="0" w:footer="0" w:header="0"/>
        </w:sectPr>
      </w:pPr>
    </w:p>
    <w:bookmarkStart w:id="4" w:name="page5"/>
    <w:bookmarkEnd w:id="4"/>
    <w:p>
      <w:pPr>
        <w:ind w:left="500"/>
        <w:spacing w:after="0"/>
        <w:rPr>
          <w:sz w:val="20"/>
          <w:szCs w:val="20"/>
          <w:color w:val="auto"/>
        </w:rPr>
      </w:pPr>
      <w:r>
        <w:rPr>
          <w:rFonts w:ascii="Arial" w:cs="Arial" w:eastAsia="Arial" w:hAnsi="Arial"/>
          <w:sz w:val="15"/>
          <w:szCs w:val="15"/>
          <w:color w:val="auto"/>
        </w:rPr>
        <w:t>2013, and an increased risk of compensation being deemed unallowable or payments being withheld as a result of U.S. government audit, review or investigation;</w:t>
      </w:r>
    </w:p>
    <w:p>
      <w:pPr>
        <w:spacing w:after="0" w:line="90" w:lineRule="exact"/>
        <w:rPr>
          <w:sz w:val="20"/>
          <w:szCs w:val="20"/>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generate revenue under certain of our contracts;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realize the full value of and replenish our backlog and the timing of our receipt of revenue under contracts included in backlog;</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estimates used in recognizing revenue;</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inability to attract, train, or retain employees with the requisite skills, experience, and security clearances;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inability to hire, assimilate, and deploy enough employees to serve our clients under existing contracts;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inability to timely and effectively utilize our employees; or manage our cost structure</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by us or our employees to obtain and maintain necessary security clearances;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loss of members of senior management or failure to develop new leaders;</w:t>
      </w:r>
    </w:p>
    <w:p>
      <w:pPr>
        <w:spacing w:after="0" w:line="54" w:lineRule="exact"/>
        <w:rPr>
          <w:rFonts w:ascii="Arial" w:cs="Arial" w:eastAsia="Arial" w:hAnsi="Arial"/>
          <w:sz w:val="17"/>
          <w:szCs w:val="17"/>
          <w:color w:val="auto"/>
        </w:rPr>
      </w:pPr>
    </w:p>
    <w:p>
      <w:pPr>
        <w:ind w:left="500" w:right="680" w:hanging="300"/>
        <w:spacing w:after="0" w:line="26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misconduct or other improper activities from our employees or subcontractors, including the improper use or release of our clients’ sensitive or classified information;</w:t>
      </w:r>
    </w:p>
    <w:p>
      <w:pPr>
        <w:spacing w:after="0" w:line="17" w:lineRule="exact"/>
        <w:rPr>
          <w:rFonts w:ascii="Arial" w:cs="Arial" w:eastAsia="Arial" w:hAnsi="Arial"/>
          <w:sz w:val="17"/>
          <w:szCs w:val="17"/>
          <w:color w:val="auto"/>
        </w:rPr>
      </w:pPr>
    </w:p>
    <w:p>
      <w:pPr>
        <w:ind w:left="500" w:right="540" w:hanging="300"/>
        <w:spacing w:after="0" w:line="26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17"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competition from other companies in our industry;</w:t>
      </w:r>
    </w:p>
    <w:p>
      <w:pPr>
        <w:spacing w:after="0" w:line="54" w:lineRule="exact"/>
        <w:rPr>
          <w:rFonts w:ascii="Arial" w:cs="Arial" w:eastAsia="Arial" w:hAnsi="Arial"/>
          <w:sz w:val="17"/>
          <w:szCs w:val="17"/>
          <w:color w:val="auto"/>
        </w:rPr>
      </w:pPr>
    </w:p>
    <w:p>
      <w:pPr>
        <w:ind w:left="500" w:right="20" w:hanging="300"/>
        <w:spacing w:after="0" w:line="26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maintain strong relationships with other contractors; or the failure of contractors with which we have entered into a sub- or prime- contractor relationship to meet their obligations to us or our clients;</w:t>
      </w:r>
    </w:p>
    <w:p>
      <w:pPr>
        <w:spacing w:after="0" w:line="17" w:lineRule="exact"/>
        <w:rPr>
          <w:rFonts w:ascii="Arial" w:cs="Arial" w:eastAsia="Arial" w:hAnsi="Arial"/>
          <w:sz w:val="17"/>
          <w:szCs w:val="17"/>
          <w:color w:val="auto"/>
        </w:rPr>
      </w:pPr>
    </w:p>
    <w:p>
      <w:pPr>
        <w:ind w:left="500" w:right="40" w:hanging="300"/>
        <w:spacing w:after="0" w:line="25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25" w:lineRule="exact"/>
        <w:rPr>
          <w:rFonts w:ascii="Arial" w:cs="Arial" w:eastAsia="Arial" w:hAnsi="Arial"/>
          <w:sz w:val="17"/>
          <w:szCs w:val="17"/>
          <w:color w:val="auto"/>
        </w:rPr>
      </w:pPr>
    </w:p>
    <w:p>
      <w:pPr>
        <w:ind w:left="500" w:right="400" w:hanging="300"/>
        <w:spacing w:after="0" w:line="26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internal system or service failures and security breaches, including, but not limited to, those resulting from external cyber attacks on our network and internal systems;</w:t>
      </w:r>
    </w:p>
    <w:p>
      <w:pPr>
        <w:spacing w:after="0" w:line="17"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changes to our operating structure, capabilities, or strategy intended to address client needs, grow our business or respond to market developments;</w:t>
      </w:r>
    </w:p>
    <w:p>
      <w:pPr>
        <w:spacing w:after="0" w:line="77" w:lineRule="exact"/>
        <w:rPr>
          <w:rFonts w:ascii="Arial" w:cs="Arial" w:eastAsia="Arial" w:hAnsi="Arial"/>
          <w:sz w:val="15"/>
          <w:szCs w:val="15"/>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new relationships, clients, capabilities, and service offerings in our U.S. and international businesses;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comply with special U.S. government laws and regulations relating to our international operations;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indebtedness and credit facilities which contain financial and operating covenants;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66" w:lineRule="exact"/>
        <w:rPr>
          <w:rFonts w:ascii="Arial" w:cs="Arial" w:eastAsia="Arial" w:hAnsi="Arial"/>
          <w:sz w:val="16"/>
          <w:szCs w:val="16"/>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completed and future acquisitions, including our ability to realize the expected benefits from such acquisitions;</w:t>
      </w:r>
    </w:p>
    <w:p>
      <w:pPr>
        <w:spacing w:after="0" w:line="54"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 inability to utilize existing or future tax benefits, including those related to our stock-based compensation expense, for any reason, including a change in law;</w:t>
      </w:r>
    </w:p>
    <w:p>
      <w:pPr>
        <w:spacing w:after="0" w:line="77" w:lineRule="exact"/>
        <w:rPr>
          <w:rFonts w:ascii="Arial" w:cs="Arial" w:eastAsia="Arial" w:hAnsi="Arial"/>
          <w:sz w:val="15"/>
          <w:szCs w:val="15"/>
          <w:color w:val="auto"/>
        </w:rPr>
      </w:pPr>
    </w:p>
    <w:p>
      <w:pPr>
        <w:ind w:left="500" w:right="160" w:hanging="300"/>
        <w:spacing w:after="0" w:line="26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variable purchasing patterns under U.S. government GSA schedules, blanket purchase agreements and indefinite delivery, indefinite quantity, or IDIQ, contracts; and</w:t>
      </w:r>
    </w:p>
    <w:p>
      <w:pPr>
        <w:spacing w:after="0" w:line="17" w:lineRule="exact"/>
        <w:rPr>
          <w:rFonts w:ascii="Arial" w:cs="Arial" w:eastAsia="Arial" w:hAnsi="Arial"/>
          <w:sz w:val="17"/>
          <w:szCs w:val="17"/>
          <w:color w:val="auto"/>
        </w:rPr>
      </w:pPr>
    </w:p>
    <w:p>
      <w:pPr>
        <w:ind w:left="500" w:hanging="300"/>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factors listed under “Item 1A. Risk Factors” and elsewhere in this Annual Report.</w:t>
      </w:r>
    </w:p>
    <w:p>
      <w:pPr>
        <w:spacing w:after="0" w:line="55" w:lineRule="exact"/>
        <w:rPr>
          <w:sz w:val="20"/>
          <w:szCs w:val="20"/>
          <w:color w:val="auto"/>
        </w:rPr>
      </w:pPr>
    </w:p>
    <w:p>
      <w:pPr>
        <w:ind w:firstLine="400"/>
        <w:spacing w:after="0" w:line="256" w:lineRule="auto"/>
        <w:rPr>
          <w:sz w:val="20"/>
          <w:szCs w:val="20"/>
          <w:color w:val="auto"/>
        </w:rPr>
      </w:pPr>
      <w:r>
        <w:rPr>
          <w:rFonts w:ascii="Arial" w:cs="Arial" w:eastAsia="Arial" w:hAnsi="Arial"/>
          <w:sz w:val="17"/>
          <w:szCs w:val="17"/>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728"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8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3"/>
          <w:szCs w:val="13"/>
          <w:b w:val="1"/>
          <w:bCs w:val="1"/>
          <w:i w:val="1"/>
          <w:iCs w:val="1"/>
          <w:color w:val="auto"/>
        </w:rPr>
        <w:t>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ind w:firstLine="451"/>
        <w:spacing w:after="0" w:line="252" w:lineRule="auto"/>
        <w:rPr>
          <w:sz w:val="20"/>
          <w:szCs w:val="20"/>
          <w:color w:val="auto"/>
        </w:rPr>
      </w:pPr>
      <w:r>
        <w:rPr>
          <w:rFonts w:ascii="Arial" w:cs="Arial" w:eastAsia="Arial" w:hAnsi="Arial"/>
          <w:sz w:val="17"/>
          <w:szCs w:val="17"/>
          <w:color w:val="auto"/>
        </w:rPr>
        <w:t>For more than one hundred years, business, government, and military leaders have turned to Booz Allen Hamilton to solve their most complex problems. A values-driven organization with a guiding purpose to empower people to change the world, we remain focused on providing long-term solutions to our clients' emerging and ever-changing challenges. Our people are passionate about their service to our clients and their missions and the communities in which we live and work. This is our heritage, and it is as true today as when the company was founded in 1914.</w:t>
      </w:r>
    </w:p>
    <w:p>
      <w:pPr>
        <w:spacing w:after="0" w:line="80" w:lineRule="exact"/>
        <w:rPr>
          <w:sz w:val="20"/>
          <w:szCs w:val="20"/>
          <w:color w:val="auto"/>
        </w:rPr>
      </w:pPr>
    </w:p>
    <w:p>
      <w:pPr>
        <w:ind w:firstLine="451"/>
        <w:spacing w:after="0" w:line="273" w:lineRule="auto"/>
        <w:rPr>
          <w:sz w:val="20"/>
          <w:szCs w:val="20"/>
          <w:color w:val="auto"/>
        </w:rPr>
      </w:pPr>
      <w:r>
        <w:rPr>
          <w:rFonts w:ascii="Arial" w:cs="Arial" w:eastAsia="Arial" w:hAnsi="Arial"/>
          <w:sz w:val="16"/>
          <w:szCs w:val="16"/>
          <w:color w:val="auto"/>
        </w:rPr>
        <w:t>A collaborative culture is an integral part of our unique operating model, which encourages our people to bring a diversity of ideas and talent to every client engagement. Building on our legacy of passionate client service and guided by our comprehensive Vision 2020 strategy, we are blending deep expertise in management consulting with advanced technical capabilities to deliver powerful solutions. By investing in markets, capabilities, and talent and building new business models, including ventures, partnerships, and product offerings, we believe we are creating sustainable quality growth for the company.</w:t>
      </w:r>
    </w:p>
    <w:p>
      <w:pPr>
        <w:spacing w:after="0" w:line="189" w:lineRule="exact"/>
        <w:rPr>
          <w:sz w:val="20"/>
          <w:szCs w:val="20"/>
          <w:color w:val="auto"/>
        </w:rPr>
      </w:pPr>
    </w:p>
    <w:p>
      <w:pPr>
        <w:ind w:right="100" w:firstLine="451"/>
        <w:spacing w:after="0" w:line="267"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client needs, we have longstanding and deep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these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governmental efficiency to achieve better outcomes. Our U.S. commercial clients are primarily in the financial services, healthcare and life sciences, energy, high-tech manufacturing, retail, and automotive industries. Our international clients are primarily in the Middle East, along with a growing presence in Southeast Asia.</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 and Corporate Structure</w:t>
      </w:r>
    </w:p>
    <w:p>
      <w:pPr>
        <w:spacing w:after="0" w:line="109" w:lineRule="exact"/>
        <w:rPr>
          <w:sz w:val="20"/>
          <w:szCs w:val="20"/>
          <w:color w:val="auto"/>
        </w:rPr>
      </w:pPr>
    </w:p>
    <w:p>
      <w:pPr>
        <w:ind w:right="40" w:firstLine="400"/>
        <w:spacing w:after="0" w:line="256" w:lineRule="auto"/>
        <w:rPr>
          <w:sz w:val="20"/>
          <w:szCs w:val="20"/>
          <w:color w:val="auto"/>
        </w:rPr>
      </w:pPr>
      <w:r>
        <w:rPr>
          <w:rFonts w:ascii="Arial" w:cs="Arial" w:eastAsia="Arial" w:hAnsi="Arial"/>
          <w:sz w:val="17"/>
          <w:szCs w:val="17"/>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analytics, digital solutions, engineering and cyber.</w:t>
      </w:r>
    </w:p>
    <w:p>
      <w:pPr>
        <w:spacing w:after="0" w:line="75" w:lineRule="exact"/>
        <w:rPr>
          <w:sz w:val="20"/>
          <w:szCs w:val="20"/>
          <w:color w:val="auto"/>
        </w:rPr>
      </w:pPr>
    </w:p>
    <w:p>
      <w:pPr>
        <w:ind w:right="320" w:firstLine="400"/>
        <w:spacing w:after="0" w:line="256" w:lineRule="auto"/>
        <w:rPr>
          <w:sz w:val="20"/>
          <w:szCs w:val="20"/>
          <w:color w:val="auto"/>
        </w:rPr>
      </w:pPr>
      <w:r>
        <w:rPr>
          <w:rFonts w:ascii="Arial" w:cs="Arial" w:eastAsia="Arial" w:hAnsi="Arial"/>
          <w:sz w:val="17"/>
          <w:szCs w:val="17"/>
          <w:color w:val="auto"/>
        </w:rPr>
        <w:t>We are organized and operate as a corporation, but sometimes use the term “partner” to refer to our Chief Executive Officer and our Senior and Executive Vice Presidents. The use of the term “partner” reflects our collaborative culture, and is not meant to imply that we operate our company as, or have any intention to create a legal entity that is, a partnership.</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Booz Allen Holding was incorporated in Delaware in May 2008 to serve as the top-level holding company for the consolidated Booz Allen Hamilton</w:t>
      </w:r>
    </w:p>
    <w:p>
      <w:pPr>
        <w:spacing w:after="0" w:line="1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U.S. government consulting business. On July 31, 2008, Booz Allen Hamilton completed the separation of its U.S. government consulting business from its legacy commercial and international consulting business, the spin-off of the commercial and international business, and the sale of 100% of its outstanding common stock to Booz Allen Holding, which was majority owned by The Carlyle Group and certain of its affiliated investment funds, or Carlyle. Our company is a corporation that is the successor to the U.S. government consulting business of Booz Allen Hamilton following the separation. The aforementioned transactions are referred to in this Annual Report as the acquisition. Between 2013 and 2016, we registered the offering and sale of common stock by Carlyle, and on December 6, 2016, Carlyle disposed of its remaining shares of the Company's Class A Common Stock in a registered secondary offering.</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Institution and Operating Model</w:t>
      </w:r>
    </w:p>
    <w:p>
      <w:pPr>
        <w:spacing w:after="0" w:line="109" w:lineRule="exact"/>
        <w:rPr>
          <w:sz w:val="20"/>
          <w:szCs w:val="20"/>
          <w:color w:val="auto"/>
        </w:rPr>
      </w:pPr>
    </w:p>
    <w:p>
      <w:pPr>
        <w:ind w:firstLine="375"/>
        <w:spacing w:after="0" w:line="292" w:lineRule="auto"/>
        <w:rPr>
          <w:sz w:val="20"/>
          <w:szCs w:val="20"/>
          <w:color w:val="auto"/>
        </w:rPr>
      </w:pPr>
      <w:r>
        <w:rPr>
          <w:rFonts w:ascii="Arial" w:cs="Arial" w:eastAsia="Arial" w:hAnsi="Arial"/>
          <w:sz w:val="15"/>
          <w:szCs w:val="15"/>
          <w:color w:val="auto"/>
        </w:rPr>
        <w:t>We operate as a single profit/loss center with a single bonus pool for partners, vice presidents, principals, and senior associates. Our unique operating model is designed to encourage collaboration allowing us to bring a mix of the best talent to every client engagement and our partnership-style culture is designed to provide operational flexibility necessary to quickly mobilize people and capabilities in order to react to market changes faster than our competitors. As a result, we are able to go to market as a whole firm rather than as a collection of individual competing business units or profit centers. Our operating model also encourages and enables continuous investment in the right markets, capabilities, and talent to position the company for further growth by anticipating what government and commercial clients will need next.</w:t>
      </w:r>
    </w:p>
    <w:p>
      <w:pPr>
        <w:spacing w:after="0" w:line="52" w:lineRule="exact"/>
        <w:rPr>
          <w:sz w:val="20"/>
          <w:szCs w:val="20"/>
          <w:color w:val="auto"/>
        </w:rPr>
      </w:pPr>
    </w:p>
    <w:p>
      <w:pPr>
        <w:ind w:right="360" w:firstLine="375"/>
        <w:spacing w:after="0" w:line="266" w:lineRule="auto"/>
        <w:rPr>
          <w:sz w:val="20"/>
          <w:szCs w:val="20"/>
          <w:color w:val="auto"/>
        </w:rPr>
      </w:pPr>
      <w:r>
        <w:rPr>
          <w:rFonts w:ascii="Arial" w:cs="Arial" w:eastAsia="Arial" w:hAnsi="Arial"/>
          <w:sz w:val="17"/>
          <w:szCs w:val="17"/>
          <w:color w:val="auto"/>
        </w:rPr>
        <w:t>Across all markets, we address our clients’ complex and evolving needs by deploying teams of staff with a combination of deep mission understanding, market-leading functional capabilities, consulting talent, and true technical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649" w:right="239" w:bottom="1440" w:gutter="0" w:footer="0" w:header="0"/>
        </w:sectPr>
      </w:pPr>
    </w:p>
    <w:bookmarkStart w:id="6" w:name="page7"/>
    <w:bookmarkEnd w:id="6"/>
    <w:p>
      <w:pPr>
        <w:ind w:right="40"/>
        <w:spacing w:after="0" w:line="252" w:lineRule="auto"/>
        <w:rPr>
          <w:sz w:val="20"/>
          <w:szCs w:val="20"/>
          <w:color w:val="auto"/>
        </w:rPr>
      </w:pPr>
      <w:r>
        <w:rPr>
          <w:rFonts w:ascii="Arial" w:cs="Arial" w:eastAsia="Arial" w:hAnsi="Arial"/>
          <w:sz w:val="17"/>
          <w:szCs w:val="17"/>
          <w:color w:val="auto"/>
        </w:rPr>
        <w:t>and engineering expertise. Our multifaceted client-facing teams, which are fundamental to our differentiated value proposition, better position us to create market-relevant growth strategies and plan for and meet current, future, and prospective market needs, and help us identify and deliver against diverse client needs in a more agile manner. Our significant win rates during fiscal 2017 on new and re-competed contracts of 62% and 90%, respectively, as compared to 62% and 88%, respectively, in fiscal 2016 demonstrate the strength of this approach.</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People</w:t>
      </w:r>
    </w:p>
    <w:p>
      <w:pPr>
        <w:spacing w:after="0" w:line="109" w:lineRule="exact"/>
        <w:rPr>
          <w:sz w:val="20"/>
          <w:szCs w:val="20"/>
          <w:color w:val="auto"/>
        </w:rPr>
      </w:pPr>
    </w:p>
    <w:p>
      <w:pPr>
        <w:ind w:right="160" w:firstLine="400"/>
        <w:spacing w:after="0" w:line="252" w:lineRule="auto"/>
        <w:rPr>
          <w:sz w:val="20"/>
          <w:szCs w:val="20"/>
          <w:color w:val="auto"/>
        </w:rPr>
      </w:pPr>
      <w:r>
        <w:rPr>
          <w:rFonts w:ascii="Arial" w:cs="Arial" w:eastAsia="Arial" w:hAnsi="Arial"/>
          <w:sz w:val="17"/>
          <w:szCs w:val="17"/>
          <w:color w:val="auto"/>
        </w:rPr>
        <w:t>Our ability to deliver lasting value and results to our clients has always been, and continues to be, a product of the strong character, deep expertise and tremendous passion of our people. Our talent base of approximately 23,300 employees endeavor to solve problems that matter by making clients' missions their own, combining decades of consulting and domain expertise with functional expertise in areas such as analytics, digital solutions, engineering, and cyber. Our talented people are supported by a culture of innovation and inclusion.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people at a glance:</w:t>
      </w:r>
    </w:p>
    <w:p>
      <w:pPr>
        <w:spacing w:after="0" w:line="105" w:lineRule="exact"/>
        <w:rPr>
          <w:sz w:val="20"/>
          <w:szCs w:val="20"/>
          <w:color w:val="auto"/>
        </w:rPr>
      </w:pPr>
    </w:p>
    <w:p>
      <w:pPr>
        <w:ind w:left="600" w:hanging="299"/>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82 partners</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Nearly 30% of the workforce are veterans, including 21 partners</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Approximately 84% of the workforce hold bachelor's degrees; approximately 41% hold master's degrees; and approximately 3% hold doctoral degrees</w:t>
      </w:r>
    </w:p>
    <w:p>
      <w:pPr>
        <w:spacing w:after="0" w:line="116" w:lineRule="exact"/>
        <w:rPr>
          <w:rFonts w:ascii="Arial" w:cs="Arial" w:eastAsia="Arial" w:hAnsi="Arial"/>
          <w:sz w:val="16"/>
          <w:szCs w:val="16"/>
          <w:color w:val="auto"/>
        </w:rPr>
      </w:pPr>
    </w:p>
    <w:p>
      <w:pPr>
        <w:ind w:left="600" w:hanging="299"/>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Approximately 70% of the workforce hold security clearances</w:t>
      </w:r>
    </w:p>
    <w:p>
      <w:pPr>
        <w:spacing w:after="0" w:line="105" w:lineRule="exact"/>
        <w:rPr>
          <w:sz w:val="20"/>
          <w:szCs w:val="20"/>
          <w:color w:val="auto"/>
        </w:rPr>
      </w:pPr>
    </w:p>
    <w:p>
      <w:pPr>
        <w:ind w:right="260" w:firstLine="375"/>
        <w:spacing w:after="0" w:line="252" w:lineRule="auto"/>
        <w:rPr>
          <w:sz w:val="20"/>
          <w:szCs w:val="20"/>
          <w:color w:val="auto"/>
        </w:rPr>
      </w:pPr>
      <w:r>
        <w:rPr>
          <w:rFonts w:ascii="Arial" w:cs="Arial" w:eastAsia="Arial" w:hAnsi="Arial"/>
          <w:sz w:val="17"/>
          <w:szCs w:val="17"/>
          <w:color w:val="auto"/>
        </w:rPr>
        <w:t>We attract and retain the best people by providing them with opportunities to grow and develop as they work on our clients' toughest challenges. This creates a virtuous circle because our employees know they are making a difference while growing their careers, which furthers their commitment to Booz Allen and makes them ambassadors for future talent. Booz Allen has always recognized the importance of its people and culture, and we continue to build on that strong legacy to provide growth and development to our talent.</w:t>
      </w:r>
    </w:p>
    <w:p>
      <w:pPr>
        <w:spacing w:after="0" w:line="80" w:lineRule="exact"/>
        <w:rPr>
          <w:sz w:val="20"/>
          <w:szCs w:val="20"/>
          <w:color w:val="auto"/>
        </w:rPr>
      </w:pPr>
    </w:p>
    <w:p>
      <w:pPr>
        <w:ind w:right="20" w:firstLine="375"/>
        <w:spacing w:after="0" w:line="252" w:lineRule="auto"/>
        <w:rPr>
          <w:sz w:val="20"/>
          <w:szCs w:val="20"/>
          <w:color w:val="auto"/>
        </w:rPr>
      </w:pPr>
      <w:r>
        <w:rPr>
          <w:rFonts w:ascii="Arial" w:cs="Arial" w:eastAsia="Arial" w:hAnsi="Arial"/>
          <w:sz w:val="17"/>
          <w:szCs w:val="17"/>
          <w:color w:val="auto"/>
        </w:rPr>
        <w:t>We also push our thinking through a culture of innovation and foster this spirit through events, partnerships, programs, and tools that facilitate collaboration to tackle a common challenge or pitch new products and capabilities. It is the diversity of our employees that fuels this innovation - enhancing the way we work by bringing a wealth of experiences and expertise to any challenge. We celebrate difference in all forms, building an environment of inclusion regardless of ethnicity, religion, gender, sexual orientation, age or disability.</w:t>
      </w:r>
    </w:p>
    <w:p>
      <w:pPr>
        <w:spacing w:after="0" w:line="80" w:lineRule="exact"/>
        <w:rPr>
          <w:sz w:val="20"/>
          <w:szCs w:val="20"/>
          <w:color w:val="auto"/>
        </w:rPr>
      </w:pPr>
    </w:p>
    <w:p>
      <w:pPr>
        <w:ind w:right="80" w:firstLine="375"/>
        <w:spacing w:after="0" w:line="287" w:lineRule="auto"/>
        <w:rPr>
          <w:sz w:val="20"/>
          <w:szCs w:val="20"/>
          <w:color w:val="auto"/>
        </w:rPr>
      </w:pPr>
      <w:r>
        <w:rPr>
          <w:rFonts w:ascii="Arial" w:cs="Arial" w:eastAsia="Arial" w:hAnsi="Arial"/>
          <w:sz w:val="15"/>
          <w:szCs w:val="15"/>
          <w:color w:val="auto"/>
        </w:rPr>
        <w:t xml:space="preserve">The importance we place on our people continues to receive external recognition. For the eighth consecutive year, Booz Allen has received a perfect score on the Corporate Equality Index (CEI), a national benchmarking survey on corporate policies and practices related to LGBT workplace equality administered by the Human Rights Campaign Foundation. In addition, for the second year in a row, Booz Allen received a perfect score on the 2016 Disability Equality Index (DEI), and has been named a "Best Place to Work" by the DEI. Our people are ranked by Vault.com as #1 in public sector consulting, and the company has been named by </w:t>
      </w:r>
      <w:r>
        <w:rPr>
          <w:rFonts w:ascii="Arial" w:cs="Arial" w:eastAsia="Arial" w:hAnsi="Arial"/>
          <w:sz w:val="15"/>
          <w:szCs w:val="15"/>
          <w:i w:val="1"/>
          <w:iCs w:val="1"/>
          <w:color w:val="auto"/>
        </w:rPr>
        <w:t>Fortune</w:t>
      </w:r>
      <w:r>
        <w:rPr>
          <w:rFonts w:ascii="Arial" w:cs="Arial" w:eastAsia="Arial" w:hAnsi="Arial"/>
          <w:sz w:val="15"/>
          <w:szCs w:val="15"/>
          <w:color w:val="auto"/>
        </w:rPr>
        <w:t xml:space="preserve"> as one of the World's Most Admired Companies and by </w:t>
      </w:r>
      <w:r>
        <w:rPr>
          <w:rFonts w:ascii="Arial" w:cs="Arial" w:eastAsia="Arial" w:hAnsi="Arial"/>
          <w:sz w:val="15"/>
          <w:szCs w:val="15"/>
          <w:i w:val="1"/>
          <w:iCs w:val="1"/>
          <w:color w:val="auto"/>
        </w:rPr>
        <w:t>Forbes</w:t>
      </w:r>
      <w:r>
        <w:rPr>
          <w:rFonts w:ascii="Arial" w:cs="Arial" w:eastAsia="Arial" w:hAnsi="Arial"/>
          <w:sz w:val="15"/>
          <w:szCs w:val="15"/>
          <w:color w:val="auto"/>
        </w:rPr>
        <w:t xml:space="preserve"> as one of the Top Employers for Veterans and as one of the best Management Consulting Firms for 2017. We have also been honored with the Alliance for Workplace Excellence Award, the Military Times' Best Employers for Vets, and Working Mother's Best Companies Hall of Fame. Our employees are also recognized for their excellence by Black Engineers, and Women Worth Watching.</w:t>
      </w:r>
    </w:p>
    <w:p>
      <w:pPr>
        <w:spacing w:after="0" w:line="58" w:lineRule="exact"/>
        <w:rPr>
          <w:sz w:val="20"/>
          <w:szCs w:val="20"/>
          <w:color w:val="auto"/>
        </w:rPr>
      </w:pPr>
    </w:p>
    <w:p>
      <w:pPr>
        <w:ind w:firstLine="375"/>
        <w:spacing w:after="0" w:line="250" w:lineRule="auto"/>
        <w:rPr>
          <w:sz w:val="20"/>
          <w:szCs w:val="20"/>
          <w:color w:val="auto"/>
        </w:rPr>
      </w:pPr>
      <w:r>
        <w:rPr>
          <w:rFonts w:ascii="Arial" w:cs="Arial" w:eastAsia="Arial" w:hAnsi="Arial"/>
          <w:sz w:val="17"/>
          <w:szCs w:val="17"/>
          <w:color w:val="auto"/>
        </w:rPr>
        <w:t>Beyond their client work, our people demonstrate passionate service in their commitment to our country, military, and communities. For more than a decade, Booz Allen has mentored young innovators through the nonprofit FIRST® LEGO® League Expo. Our multifaceted support and commitment to helping FIRST grow in the U.S. and abroad led to Booz Allen being named a FIRST Strategic Partner, one of only 21 organizations to achieve such recognition. Additionally, in an effort to increase the number of women and minorities employed in Science, Technology, Engineering &amp; Math (STEM) fields, Booz Allen's STEM Girls 4 Social Good (SG4SG) initiative, which is now in its second year, aims to bridge the talent gap in these growing fields with a cascading mentorship model designed to attract more girls and retain more women in STEM.</w:t>
      </w:r>
    </w:p>
    <w:p>
      <w:pPr>
        <w:spacing w:after="0" w:line="80" w:lineRule="exact"/>
        <w:rPr>
          <w:sz w:val="20"/>
          <w:szCs w:val="20"/>
          <w:color w:val="auto"/>
        </w:rPr>
      </w:pPr>
    </w:p>
    <w:p>
      <w:pPr>
        <w:jc w:val="both"/>
        <w:ind w:right="100" w:firstLine="375"/>
        <w:spacing w:after="0" w:line="256" w:lineRule="auto"/>
        <w:rPr>
          <w:sz w:val="20"/>
          <w:szCs w:val="20"/>
          <w:color w:val="auto"/>
        </w:rPr>
      </w:pPr>
      <w:r>
        <w:rPr>
          <w:rFonts w:ascii="Arial" w:cs="Arial" w:eastAsia="Arial" w:hAnsi="Arial"/>
          <w:sz w:val="17"/>
          <w:szCs w:val="17"/>
          <w:i w:val="1"/>
          <w:iCs w:val="1"/>
          <w:color w:val="auto"/>
        </w:rPr>
        <w:t xml:space="preserve">Purpose and Values. </w:t>
      </w:r>
      <w:r>
        <w:rPr>
          <w:rFonts w:ascii="Arial" w:cs="Arial" w:eastAsia="Arial" w:hAnsi="Arial"/>
          <w:sz w:val="17"/>
          <w:szCs w:val="17"/>
          <w:color w:val="auto"/>
        </w:rPr>
        <w:t>As one of the first organizations in the United States to adopt a formal code of business ethics, we have always believed that doing what's right</w:t>
      </w:r>
      <w:r>
        <w:rPr>
          <w:rFonts w:ascii="Arial" w:cs="Arial" w:eastAsia="Arial" w:hAnsi="Arial"/>
          <w:sz w:val="17"/>
          <w:szCs w:val="17"/>
          <w:i w:val="1"/>
          <w:iCs w:val="1"/>
          <w:color w:val="auto"/>
        </w:rPr>
        <w:t xml:space="preserve"> </w:t>
      </w:r>
      <w:r>
        <w:rPr>
          <w:rFonts w:ascii="Arial" w:cs="Arial" w:eastAsia="Arial" w:hAnsi="Arial"/>
          <w:sz w:val="17"/>
          <w:szCs w:val="17"/>
          <w:color w:val="auto"/>
        </w:rPr>
        <w:t>and holding ourselves and others accountable is the only way to do business. Our people are drawn by our purpose to "empower people to change the world" and live our values:</w:t>
      </w:r>
    </w:p>
    <w:p>
      <w:pPr>
        <w:spacing w:after="0" w:line="100" w:lineRule="exact"/>
        <w:rPr>
          <w:sz w:val="20"/>
          <w:szCs w:val="20"/>
          <w:color w:val="auto"/>
        </w:rPr>
      </w:pPr>
    </w:p>
    <w:p>
      <w:pPr>
        <w:ind w:left="660" w:hanging="284"/>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Ferocious Integrity: Do right; hold ourselves accountable</w:t>
      </w:r>
    </w:p>
    <w:p>
      <w:pPr>
        <w:spacing w:after="0" w:line="142" w:lineRule="exact"/>
        <w:rPr>
          <w:rFonts w:ascii="Arial" w:cs="Arial" w:eastAsia="Arial" w:hAnsi="Arial"/>
          <w:sz w:val="17"/>
          <w:szCs w:val="17"/>
          <w:color w:val="auto"/>
        </w:rPr>
      </w:pPr>
    </w:p>
    <w:p>
      <w:pPr>
        <w:ind w:left="660" w:hanging="284"/>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Unflinching Courage: Speak truth to power; maintain convictions; bring bold thinking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53" w:right="239" w:bottom="1440" w:gutter="0" w:footer="0" w:header="0"/>
        </w:sectPr>
      </w:pPr>
    </w:p>
    <w:bookmarkStart w:id="7" w:name="page8"/>
    <w:bookmarkEnd w:id="7"/>
    <w:p>
      <w:pPr>
        <w:ind w:left="660" w:hanging="284"/>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Passionate Service: Embrace the mission; build community through generosity; make meaningful connections; listen and act with empathy</w:t>
      </w:r>
    </w:p>
    <w:p>
      <w:pPr>
        <w:spacing w:after="0" w:line="142" w:lineRule="exact"/>
        <w:rPr>
          <w:rFonts w:ascii="Arial" w:cs="Arial" w:eastAsia="Arial" w:hAnsi="Arial"/>
          <w:sz w:val="17"/>
          <w:szCs w:val="17"/>
          <w:color w:val="auto"/>
        </w:rPr>
      </w:pPr>
    </w:p>
    <w:p>
      <w:pPr>
        <w:ind w:right="100" w:firstLine="376"/>
        <w:spacing w:after="0" w:line="313" w:lineRule="auto"/>
        <w:tabs>
          <w:tab w:leader="none" w:pos="659" w:val="left"/>
        </w:tabs>
        <w:numPr>
          <w:ilvl w:val="0"/>
          <w:numId w:val="7"/>
        </w:numPr>
        <w:rPr>
          <w:rFonts w:ascii="Arial" w:cs="Arial" w:eastAsia="Arial" w:hAnsi="Arial"/>
          <w:sz w:val="17"/>
          <w:szCs w:val="17"/>
          <w:color w:val="auto"/>
        </w:rPr>
      </w:pPr>
      <w:r>
        <w:rPr>
          <w:rFonts w:ascii="Arial" w:cs="Arial" w:eastAsia="Arial" w:hAnsi="Arial"/>
          <w:sz w:val="17"/>
          <w:szCs w:val="17"/>
          <w:color w:val="auto"/>
        </w:rPr>
        <w:t>Collective Ingenuity: Find the biggest problem and solve it; be resourceful and creative; seek to make the biggest difference; harness the power of diversity; be devoted to the team</w:t>
      </w:r>
    </w:p>
    <w:p>
      <w:pPr>
        <w:spacing w:after="0" w:line="65" w:lineRule="exact"/>
        <w:rPr>
          <w:rFonts w:ascii="Arial" w:cs="Arial" w:eastAsia="Arial" w:hAnsi="Arial"/>
          <w:sz w:val="17"/>
          <w:szCs w:val="17"/>
          <w:color w:val="auto"/>
        </w:rPr>
      </w:pPr>
    </w:p>
    <w:p>
      <w:pPr>
        <w:ind w:left="660" w:hanging="284"/>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Champion's Heart: Crave being the best; bring joy to the pursuit; learn from failure; compete with passion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Offerings</w:t>
      </w:r>
    </w:p>
    <w:p>
      <w:pPr>
        <w:spacing w:after="0" w:line="109" w:lineRule="exact"/>
        <w:rPr>
          <w:sz w:val="20"/>
          <w:szCs w:val="20"/>
          <w:color w:val="auto"/>
        </w:rPr>
      </w:pPr>
    </w:p>
    <w:p>
      <w:pPr>
        <w:ind w:right="140" w:firstLine="375"/>
        <w:spacing w:after="0" w:line="266" w:lineRule="auto"/>
        <w:rPr>
          <w:sz w:val="20"/>
          <w:szCs w:val="20"/>
          <w:color w:val="auto"/>
        </w:rPr>
      </w:pPr>
      <w:r>
        <w:rPr>
          <w:rFonts w:ascii="Arial" w:cs="Arial" w:eastAsia="Arial" w:hAnsi="Arial"/>
          <w:sz w:val="17"/>
          <w:szCs w:val="17"/>
          <w:color w:val="auto"/>
        </w:rPr>
        <w:t>Our service offerings, supported by skilled technical staff, drive our capabilities and capacity to meet market demand. We offer our clients a range of technological capabilities that have had an enduring impact for our clients, our people, and the communities where we live and work.</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service offerings:</w:t>
      </w:r>
    </w:p>
    <w:p>
      <w:pPr>
        <w:spacing w:after="0" w:line="105" w:lineRule="exact"/>
        <w:rPr>
          <w:sz w:val="20"/>
          <w:szCs w:val="20"/>
          <w:color w:val="auto"/>
        </w:rPr>
      </w:pPr>
    </w:p>
    <w:p>
      <w:pPr>
        <w:ind w:left="600" w:right="100" w:hanging="299"/>
        <w:spacing w:after="0" w:line="279"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Consulting </w:t>
      </w:r>
      <w:r>
        <w:rPr>
          <w:rFonts w:ascii="Arial" w:cs="Arial" w:eastAsia="Arial" w:hAnsi="Arial"/>
          <w:sz w:val="16"/>
          <w:szCs w:val="16"/>
          <w:color w:val="auto"/>
        </w:rPr>
        <w:t>focuses on the talent and expertise needed to solve client problems and develop mission-oriented solutions for specific domains, business strategies,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capital, and operations through new and innovative approaches. We help clients boost organizational performance, deploy new technologies in smart ways, and change and streamline processes to achieve better outcomes. Component capabilities include:</w:t>
      </w:r>
    </w:p>
    <w:p>
      <w:pPr>
        <w:spacing w:after="0" w:line="59" w:lineRule="exact"/>
        <w:rPr>
          <w:rFonts w:ascii="Arial" w:cs="Arial" w:eastAsia="Arial" w:hAnsi="Arial"/>
          <w:sz w:val="16"/>
          <w:szCs w:val="16"/>
          <w:color w:val="auto"/>
        </w:rPr>
      </w:pPr>
    </w:p>
    <w:p>
      <w:pPr>
        <w:ind w:left="1200" w:right="480" w:hanging="299"/>
        <w:spacing w:after="0" w:line="266" w:lineRule="auto"/>
        <w:tabs>
          <w:tab w:leader="none" w:pos="120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Acquisition, Program Management, and Logistics</w:t>
      </w:r>
      <w:r>
        <w:rPr>
          <w:rFonts w:ascii="Arial" w:cs="Arial" w:eastAsia="Arial" w:hAnsi="Arial"/>
          <w:sz w:val="17"/>
          <w:szCs w:val="17"/>
          <w:color w:val="auto"/>
        </w:rPr>
        <w:t xml:space="preserve"> experts help clients imagine, implement, and deliver a wide range of operational programs including those related to acquisition and contracts, supplier, and budget management.</w:t>
      </w:r>
    </w:p>
    <w:p>
      <w:pPr>
        <w:spacing w:after="0" w:line="67" w:lineRule="exact"/>
        <w:rPr>
          <w:rFonts w:ascii="Arial" w:cs="Arial" w:eastAsia="Arial" w:hAnsi="Arial"/>
          <w:sz w:val="17"/>
          <w:szCs w:val="17"/>
          <w:color w:val="auto"/>
        </w:rPr>
      </w:pPr>
    </w:p>
    <w:p>
      <w:pPr>
        <w:ind w:left="1200" w:right="60" w:hanging="299"/>
        <w:spacing w:after="0" w:line="256" w:lineRule="auto"/>
        <w:tabs>
          <w:tab w:leader="none" w:pos="120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Human Capital and Learning</w:t>
      </w:r>
      <w:r>
        <w:rPr>
          <w:rFonts w:ascii="Arial" w:cs="Arial" w:eastAsia="Arial" w:hAnsi="Arial"/>
          <w:sz w:val="17"/>
          <w:szCs w:val="17"/>
          <w:color w:val="auto"/>
        </w:rPr>
        <w:t xml:space="preserve"> experts help clients address workforce and leadership challenges in a resource-constrained environment through a wide range of strategy and transformation expertise. We design, develop, and deliver instructional classroom and online learning programs for all levels within a client's organization.</w:t>
      </w:r>
    </w:p>
    <w:p>
      <w:pPr>
        <w:spacing w:after="0" w:line="75" w:lineRule="exact"/>
        <w:rPr>
          <w:rFonts w:ascii="Arial" w:cs="Arial" w:eastAsia="Arial" w:hAnsi="Arial"/>
          <w:sz w:val="17"/>
          <w:szCs w:val="17"/>
          <w:color w:val="auto"/>
        </w:rPr>
      </w:pPr>
    </w:p>
    <w:p>
      <w:pPr>
        <w:jc w:val="both"/>
        <w:ind w:left="1200" w:right="140" w:hanging="299"/>
        <w:spacing w:after="0" w:line="279" w:lineRule="auto"/>
        <w:tabs>
          <w:tab w:leader="none" w:pos="1200"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Management Consultants</w:t>
      </w:r>
      <w:r>
        <w:rPr>
          <w:rFonts w:ascii="Arial" w:cs="Arial" w:eastAsia="Arial" w:hAnsi="Arial"/>
          <w:sz w:val="16"/>
          <w:szCs w:val="16"/>
          <w:color w:val="auto"/>
        </w:rPr>
        <w:t xml:space="preserve"> build on our 100-year consulting heritage with experience and expertise in strategy development, organizational design, efficiency, transformation, strategic communications, and Wargaming. Our consultants respond to the demands of today's data-driven digital economy with knowledge management strategies, process improvement tools, and organization design insights.</w:t>
      </w:r>
    </w:p>
    <w:p>
      <w:pPr>
        <w:spacing w:after="0" w:line="59" w:lineRule="exact"/>
        <w:rPr>
          <w:rFonts w:ascii="Arial" w:cs="Arial" w:eastAsia="Arial" w:hAnsi="Arial"/>
          <w:sz w:val="16"/>
          <w:szCs w:val="16"/>
          <w:color w:val="auto"/>
        </w:rPr>
      </w:pPr>
    </w:p>
    <w:p>
      <w:pPr>
        <w:ind w:left="600" w:right="100" w:hanging="299"/>
        <w:spacing w:after="0" w:line="252"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Analytics </w:t>
      </w:r>
      <w:r>
        <w:rPr>
          <w:rFonts w:ascii="Arial" w:cs="Arial" w:eastAsia="Arial" w:hAnsi="Arial"/>
          <w:sz w:val="17"/>
          <w:szCs w:val="17"/>
          <w:color w:val="auto"/>
        </w:rPr>
        <w:t>focuses on delivering transformational solutions in the traditional areas of decision analytics (including operations research and cost estimation),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analysis (including all source analysis) and tradecraft, as well as new or emerging areas such as data science and machine intelligence. We pioneer new approaches in data science and machine-intelligence, draft industry-defining publications, and introduce transformative products to the market. Component capabilities include:</w:t>
      </w:r>
    </w:p>
    <w:p>
      <w:pPr>
        <w:spacing w:after="0" w:line="80" w:lineRule="exact"/>
        <w:rPr>
          <w:rFonts w:ascii="Arial" w:cs="Arial" w:eastAsia="Arial" w:hAnsi="Arial"/>
          <w:sz w:val="17"/>
          <w:szCs w:val="17"/>
          <w:color w:val="auto"/>
        </w:rPr>
      </w:pPr>
    </w:p>
    <w:p>
      <w:pPr>
        <w:ind w:left="1200" w:right="300" w:hanging="299"/>
        <w:spacing w:after="0" w:line="256" w:lineRule="auto"/>
        <w:tabs>
          <w:tab w:leader="none" w:pos="120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Decision Analysts</w:t>
      </w:r>
      <w:r>
        <w:rPr>
          <w:rFonts w:ascii="Arial" w:cs="Arial" w:eastAsia="Arial" w:hAnsi="Arial"/>
          <w:sz w:val="17"/>
          <w:szCs w:val="17"/>
          <w:color w:val="auto"/>
        </w:rPr>
        <w:t xml:space="preserve"> help clients make informed choices to maximize performance at an appropriate cost, while delivering on schedule and minimizing risks. Our problem-solving techniques include simulation, mathematical optimization, queuing theory, and machine learning to improve decision making and efficiency.</w:t>
      </w:r>
    </w:p>
    <w:p>
      <w:pPr>
        <w:spacing w:after="0" w:line="75" w:lineRule="exact"/>
        <w:rPr>
          <w:rFonts w:ascii="Arial" w:cs="Arial" w:eastAsia="Arial" w:hAnsi="Arial"/>
          <w:sz w:val="17"/>
          <w:szCs w:val="17"/>
          <w:color w:val="auto"/>
        </w:rPr>
      </w:pPr>
    </w:p>
    <w:p>
      <w:pPr>
        <w:ind w:left="1200" w:right="540" w:hanging="299"/>
        <w:spacing w:after="0" w:line="334" w:lineRule="auto"/>
        <w:tabs>
          <w:tab w:leader="none" w:pos="1200" w:val="left"/>
        </w:tabs>
        <w:numPr>
          <w:ilvl w:val="1"/>
          <w:numId w:val="8"/>
        </w:numPr>
        <w:rPr>
          <w:rFonts w:ascii="Arial" w:cs="Arial" w:eastAsia="Arial" w:hAnsi="Arial"/>
          <w:sz w:val="15"/>
          <w:szCs w:val="15"/>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Data Scientists</w:t>
      </w:r>
      <w:r>
        <w:rPr>
          <w:rFonts w:ascii="Arial" w:cs="Arial" w:eastAsia="Arial" w:hAnsi="Arial"/>
          <w:sz w:val="15"/>
          <w:szCs w:val="15"/>
          <w:color w:val="auto"/>
        </w:rPr>
        <w:t xml:space="preserve"> apply advanced analytic techniques such as data mining, text mining, statistical analysis, and predictive modeling, to extract meaning from data. We also create analytic tools that support end users by providing access to data, analytic outputs, and visualizations.</w:t>
      </w:r>
    </w:p>
    <w:p>
      <w:pPr>
        <w:spacing w:after="0" w:line="70" w:lineRule="exact"/>
        <w:rPr>
          <w:rFonts w:ascii="Arial" w:cs="Arial" w:eastAsia="Arial" w:hAnsi="Arial"/>
          <w:sz w:val="15"/>
          <w:szCs w:val="15"/>
          <w:color w:val="auto"/>
        </w:rPr>
      </w:pPr>
    </w:p>
    <w:p>
      <w:pPr>
        <w:ind w:left="600" w:hanging="299"/>
        <w:spacing w:after="0" w:line="267"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 Solutions </w:t>
      </w:r>
      <w:r>
        <w:rPr>
          <w:rFonts w:ascii="Arial" w:cs="Arial" w:eastAsia="Arial" w:hAnsi="Arial"/>
          <w:sz w:val="16"/>
          <w:szCs w:val="16"/>
          <w:color w:val="auto"/>
        </w:rPr>
        <w:t>combines social, mobile, advanced analytics, cloud, and internet-of-things strategies and technologies with modern techniques including user-centered design, and agile and DevOps methodologies. Through our many decades supporting the federal government, we blend in-depth mission understanding and digital technical expertise with a consultative approach. We develop, design, and implement powerful solutions, such as secure, scalable systems and software development services, to address the most complex challenges facing our clients. As a data-driven organization, we use advanced statistical processes to continually improve the overall quality of our software development work for clients. In July 2016, the firm was appraised at the highest industry benchmark for software quality (maturity level 5) from the Capability Maturity Model Integration (CMMI) Institute. Booz Allen is one of only 11 Fortune 500 companies to achieve this rating. Component capabilities include:</w:t>
      </w:r>
    </w:p>
    <w:p>
      <w:pPr>
        <w:spacing w:after="0" w:line="119" w:lineRule="exact"/>
        <w:rPr>
          <w:rFonts w:ascii="Arial" w:cs="Arial" w:eastAsia="Arial" w:hAnsi="Arial"/>
          <w:sz w:val="16"/>
          <w:szCs w:val="16"/>
          <w:color w:val="auto"/>
        </w:rPr>
      </w:pPr>
    </w:p>
    <w:p>
      <w:pPr>
        <w:jc w:val="both"/>
        <w:ind w:left="1200" w:right="320" w:hanging="299"/>
        <w:spacing w:after="0" w:line="256" w:lineRule="auto"/>
        <w:tabs>
          <w:tab w:leader="none" w:pos="120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Cloud experts</w:t>
      </w:r>
      <w:r>
        <w:rPr>
          <w:rFonts w:ascii="Arial" w:cs="Arial" w:eastAsia="Arial" w:hAnsi="Arial"/>
          <w:sz w:val="17"/>
          <w:szCs w:val="17"/>
          <w:color w:val="auto"/>
        </w:rPr>
        <w:t xml:space="preserve"> help clients design cloud architecture solutions, select the data that is most applicable for storage in the cloud, develop analytical solutions to gain valuable insights from large data sets and then strategically use that knowledge to drive mission success, save money, and improve effectiveness.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778" w:right="279" w:bottom="1440" w:gutter="0" w:footer="0" w:header="0"/>
        </w:sectPr>
      </w:pPr>
    </w:p>
    <w:bookmarkStart w:id="8" w:name="page9"/>
    <w:bookmarkEnd w:id="8"/>
    <w:p>
      <w:pPr>
        <w:jc w:val="both"/>
        <w:ind w:left="1200" w:right="80" w:hanging="299"/>
        <w:spacing w:after="0" w:line="279" w:lineRule="auto"/>
        <w:tabs>
          <w:tab w:leader="none" w:pos="120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Software Developers and Systems Architects</w:t>
      </w:r>
      <w:r>
        <w:rPr>
          <w:rFonts w:ascii="Arial" w:cs="Arial" w:eastAsia="Arial" w:hAnsi="Arial"/>
          <w:sz w:val="16"/>
          <w:szCs w:val="16"/>
          <w:color w:val="auto"/>
        </w:rPr>
        <w:t xml:space="preserve"> develop and implement small and large scale information technology applications, embedded systems, and mobile applications. We deliver expertise across an extensive list of programming languages applicable to traditional, cloud, mobile, and embedded applications. We employ traditional and agile development methods depending on the application.</w:t>
      </w:r>
    </w:p>
    <w:p>
      <w:pPr>
        <w:spacing w:after="0" w:line="109" w:lineRule="exact"/>
        <w:rPr>
          <w:rFonts w:ascii="Arial" w:cs="Arial" w:eastAsia="Arial" w:hAnsi="Arial"/>
          <w:sz w:val="16"/>
          <w:szCs w:val="16"/>
          <w:color w:val="auto"/>
        </w:rPr>
      </w:pPr>
    </w:p>
    <w:p>
      <w:pPr>
        <w:ind w:left="1200" w:right="3620" w:hanging="299"/>
        <w:spacing w:after="0" w:line="286" w:lineRule="auto"/>
        <w:tabs>
          <w:tab w:leader="none" w:pos="1200" w:val="left"/>
        </w:tabs>
        <w:numPr>
          <w:ilvl w:val="1"/>
          <w:numId w:val="9"/>
        </w:numPr>
        <w:rPr>
          <w:rFonts w:ascii="Arial" w:cs="Arial" w:eastAsia="Arial" w:hAnsi="Arial"/>
          <w:sz w:val="15"/>
          <w:szCs w:val="15"/>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Digital Solutions Network</w:t>
      </w:r>
      <w:r>
        <w:rPr>
          <w:rFonts w:ascii="Arial" w:cs="Arial" w:eastAsia="Arial" w:hAnsi="Arial"/>
          <w:sz w:val="15"/>
          <w:szCs w:val="15"/>
          <w:color w:val="auto"/>
        </w:rPr>
        <w:t xml:space="preserve"> taps into the collective creativity and innovation of our digital professionals to help clients modernize and transform their missions through the open integration and reuse of digital capabilities across the enterprise. Integrated teams work within the network's virtual construct of digital capabilities, partnerships, and modern agile and DevOps methodologies in digital hubs across the country. With a dynamic startup environment, each hub serves as a center of excellence for a specialized set of digital capabilities. For example, at our digital hub in Charleston, SC, our people use scaled agile, DevOps and cloud development and management expertise to develop software solutions for health/Department of Veterans Affairs systems.</w:t>
      </w:r>
    </w:p>
    <w:p>
      <w:pPr>
        <w:spacing w:after="0" w:line="57" w:lineRule="exact"/>
        <w:rPr>
          <w:rFonts w:ascii="Arial" w:cs="Arial" w:eastAsia="Arial" w:hAnsi="Arial"/>
          <w:sz w:val="15"/>
          <w:szCs w:val="15"/>
          <w:color w:val="auto"/>
        </w:rPr>
      </w:pPr>
    </w:p>
    <w:p>
      <w:pPr>
        <w:ind w:left="600" w:right="400" w:hanging="299"/>
        <w:spacing w:after="0" w:line="252"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Engineering </w:t>
      </w:r>
      <w:r>
        <w:rPr>
          <w:rFonts w:ascii="Arial" w:cs="Arial" w:eastAsia="Arial" w:hAnsi="Arial"/>
          <w:sz w:val="17"/>
          <w:szCs w:val="17"/>
          <w:color w:val="auto"/>
        </w:rPr>
        <w:t>delivers in-depth technical solutions to our clients' most challenging problems with core capabilities in Command, Control, 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Computers, Intelligence, Surveillance and Reconnaissance (C4ISR), which are supported by our Systems Engineering &amp; Integration and Sustainment Engineering functions. Our engineering capabilities include external industry standard certifications (e.g., ISO 90001 and AS9100). Component capabilities include:</w:t>
      </w:r>
    </w:p>
    <w:p>
      <w:pPr>
        <w:spacing w:after="0" w:line="80" w:lineRule="exact"/>
        <w:rPr>
          <w:rFonts w:ascii="Arial" w:cs="Arial" w:eastAsia="Arial" w:hAnsi="Arial"/>
          <w:sz w:val="17"/>
          <w:szCs w:val="17"/>
          <w:color w:val="auto"/>
        </w:rPr>
      </w:pPr>
    </w:p>
    <w:p>
      <w:pPr>
        <w:ind w:left="1200" w:right="220" w:hanging="299"/>
        <w:spacing w:after="0" w:line="273" w:lineRule="auto"/>
        <w:tabs>
          <w:tab w:leader="none" w:pos="120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Engineers</w:t>
      </w:r>
      <w:r>
        <w:rPr>
          <w:rFonts w:ascii="Arial" w:cs="Arial" w:eastAsia="Arial" w:hAnsi="Arial"/>
          <w:sz w:val="16"/>
          <w:szCs w:val="16"/>
          <w:color w:val="auto"/>
        </w:rPr>
        <w:t xml:space="preserve"> work in concert with technologists, policy experts, and management consultants to develop solutions to help solve some of the most pressing engineering and applied science issues facing federal defense and civilian agencies. We offer rapid prototyping, reverse engineering, systems engineering &amp; integration, and applied engineering disciplines. We use design and manufacturing techniques to convert functional requirements into useable prototypes that can be deployed to test and confirm the requirements are met.</w:t>
      </w:r>
    </w:p>
    <w:p>
      <w:pPr>
        <w:spacing w:after="0" w:line="64" w:lineRule="exact"/>
        <w:rPr>
          <w:rFonts w:ascii="Arial" w:cs="Arial" w:eastAsia="Arial" w:hAnsi="Arial"/>
          <w:sz w:val="16"/>
          <w:szCs w:val="16"/>
          <w:color w:val="auto"/>
        </w:rPr>
      </w:pPr>
    </w:p>
    <w:p>
      <w:pPr>
        <w:ind w:left="1200" w:right="20" w:hanging="299"/>
        <w:spacing w:after="0" w:line="334" w:lineRule="auto"/>
        <w:tabs>
          <w:tab w:leader="none" w:pos="1200" w:val="left"/>
        </w:tabs>
        <w:numPr>
          <w:ilvl w:val="1"/>
          <w:numId w:val="9"/>
        </w:numPr>
        <w:rPr>
          <w:rFonts w:ascii="Arial" w:cs="Arial" w:eastAsia="Arial" w:hAnsi="Arial"/>
          <w:sz w:val="15"/>
          <w:szCs w:val="15"/>
          <w:color w:val="auto"/>
        </w:rPr>
      </w:pPr>
      <w:r>
        <w:rPr>
          <w:rFonts w:ascii="Arial" w:cs="Arial" w:eastAsia="Arial" w:hAnsi="Arial"/>
          <w:sz w:val="15"/>
          <w:szCs w:val="15"/>
          <w:color w:val="auto"/>
        </w:rPr>
        <w:t xml:space="preserve">Our experts in </w:t>
      </w:r>
      <w:r>
        <w:rPr>
          <w:rFonts w:ascii="Arial" w:cs="Arial" w:eastAsia="Arial" w:hAnsi="Arial"/>
          <w:sz w:val="15"/>
          <w:szCs w:val="15"/>
          <w:i w:val="1"/>
          <w:iCs w:val="1"/>
          <w:color w:val="auto"/>
        </w:rPr>
        <w:t>Networks &amp; Information Technology Infrastructure (NITI)</w:t>
      </w:r>
      <w:r>
        <w:rPr>
          <w:rFonts w:ascii="Arial" w:cs="Arial" w:eastAsia="Arial" w:hAnsi="Arial"/>
          <w:sz w:val="15"/>
          <w:szCs w:val="15"/>
          <w:color w:val="auto"/>
        </w:rPr>
        <w:t xml:space="preserve"> provide solutions in the areas of enterprise operations, network services and communications, data center operations, and data storage. We apply our NITI expertise to physical, virtualized, cloud, and hybrid form factors networks.</w:t>
      </w:r>
    </w:p>
    <w:p>
      <w:pPr>
        <w:spacing w:after="0" w:line="20" w:lineRule="exact"/>
        <w:rPr>
          <w:rFonts w:ascii="Arial" w:cs="Arial" w:eastAsia="Arial" w:hAnsi="Arial"/>
          <w:sz w:val="15"/>
          <w:szCs w:val="15"/>
          <w:color w:val="auto"/>
        </w:rPr>
      </w:pPr>
    </w:p>
    <w:p>
      <w:pPr>
        <w:ind w:left="1200" w:right="80" w:hanging="299"/>
        <w:spacing w:after="0" w:line="306" w:lineRule="auto"/>
        <w:tabs>
          <w:tab w:leader="none" w:pos="1200" w:val="left"/>
        </w:tabs>
        <w:numPr>
          <w:ilvl w:val="1"/>
          <w:numId w:val="9"/>
        </w:numPr>
        <w:rPr>
          <w:rFonts w:ascii="Arial" w:cs="Arial" w:eastAsia="Arial" w:hAnsi="Arial"/>
          <w:sz w:val="15"/>
          <w:szCs w:val="15"/>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Scientists</w:t>
      </w:r>
      <w:r>
        <w:rPr>
          <w:rFonts w:ascii="Arial" w:cs="Arial" w:eastAsia="Arial" w:hAnsi="Arial"/>
          <w:sz w:val="15"/>
          <w:szCs w:val="15"/>
          <w:color w:val="auto"/>
        </w:rPr>
        <w:t xml:space="preserve"> use observation, hypothesis testing, measurement, experiment, simulations, and thought experiments to provide greater knowledge and solve product, facility, and systems challenges. We have a number of facilities and laboratories that are developing new methods of detection, designing and conducting research, and helping clients address mission challenges using a broad range of scientific disciplines.</w:t>
      </w:r>
    </w:p>
    <w:p>
      <w:pPr>
        <w:spacing w:after="0" w:line="41" w:lineRule="exact"/>
        <w:rPr>
          <w:rFonts w:ascii="Arial" w:cs="Arial" w:eastAsia="Arial" w:hAnsi="Arial"/>
          <w:sz w:val="15"/>
          <w:szCs w:val="15"/>
          <w:color w:val="auto"/>
        </w:rPr>
      </w:pPr>
    </w:p>
    <w:p>
      <w:pPr>
        <w:ind w:left="600" w:right="100" w:hanging="299"/>
        <w:spacing w:after="0" w:line="270"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Cyber </w:t>
      </w:r>
      <w:r>
        <w:rPr>
          <w:rFonts w:ascii="Arial" w:cs="Arial" w:eastAsia="Arial" w:hAnsi="Arial"/>
          <w:sz w:val="16"/>
          <w:szCs w:val="16"/>
          <w:color w:val="auto"/>
        </w:rPr>
        <w:t>focuses on prevention, detection, and cost effectiveness. Prevention includes methods of securing platforms and enterprises against cyber attacks,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detection, is the instrumentation of networks to provide lead indicators of penetrations, and cost efficiency includes our integrated engineering capabilities. Our cyber capabilities are rooted in our decades of service to the U.S. federal intelligence community and today affords us the opportunity to maintain deep technical expertise in network security. We help clients understand the business value of cyber risk management as well as prepare for future cybersecurity needs with a lens toward efficiency and effectiveness. Component capabilities include:</w:t>
      </w:r>
    </w:p>
    <w:p>
      <w:pPr>
        <w:spacing w:after="0" w:line="66" w:lineRule="exact"/>
        <w:rPr>
          <w:rFonts w:ascii="Arial" w:cs="Arial" w:eastAsia="Arial" w:hAnsi="Arial"/>
          <w:sz w:val="16"/>
          <w:szCs w:val="16"/>
          <w:color w:val="auto"/>
        </w:rPr>
      </w:pPr>
    </w:p>
    <w:p>
      <w:pPr>
        <w:ind w:left="1200" w:right="340" w:hanging="299"/>
        <w:spacing w:after="0" w:line="256" w:lineRule="auto"/>
        <w:tabs>
          <w:tab w:leader="none" w:pos="1200" w:val="left"/>
        </w:tabs>
        <w:numPr>
          <w:ilvl w:val="1"/>
          <w:numId w:val="9"/>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Cyber Security</w:t>
      </w:r>
      <w:r>
        <w:rPr>
          <w:rFonts w:ascii="Arial" w:cs="Arial" w:eastAsia="Arial" w:hAnsi="Arial"/>
          <w:sz w:val="17"/>
          <w:szCs w:val="17"/>
          <w:color w:val="auto"/>
        </w:rPr>
        <w:t xml:space="preserve"> experts help clients anticipate threats to their networks and data, ensure their cyber posture is consistent with established best practices, and respond to cyber events. Additionally, we offer a broad range of engineering services including automatic compliance, cloud security, identity, and access management, insider threat, and network segmentation.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Innovation</w:t>
      </w:r>
    </w:p>
    <w:p>
      <w:pPr>
        <w:spacing w:after="0" w:line="109" w:lineRule="exact"/>
        <w:rPr>
          <w:sz w:val="20"/>
          <w:szCs w:val="20"/>
          <w:color w:val="auto"/>
        </w:rPr>
      </w:pPr>
    </w:p>
    <w:p>
      <w:pPr>
        <w:ind w:firstLine="375"/>
        <w:spacing w:after="0" w:line="251" w:lineRule="auto"/>
        <w:rPr>
          <w:sz w:val="20"/>
          <w:szCs w:val="20"/>
          <w:color w:val="auto"/>
        </w:rPr>
      </w:pPr>
      <w:r>
        <w:rPr>
          <w:rFonts w:ascii="Arial" w:cs="Arial" w:eastAsia="Arial" w:hAnsi="Arial"/>
          <w:sz w:val="17"/>
          <w:szCs w:val="17"/>
          <w:color w:val="auto"/>
        </w:rPr>
        <w:t>Our innovation agenda is focused on developing transformative solutions that build lasting value for our clients. We are advancing and creating the infrastructure and mechanics for new and disruptive business models by enabling a vibrant innovation culture, and bringing a solutions mindset to our market place and sales force and building the company's presence and brand in the external innovation ecosystem. Our Solutions Studio is a gateway to the company's innovation agenda, combining market-prioritized needs with the company's capabilities and products. The Solutions Studio also enhances future revenue opportunities and accelerates solutions to clients.</w:t>
      </w:r>
    </w:p>
    <w:p>
      <w:pPr>
        <w:spacing w:after="0" w:line="79" w:lineRule="exact"/>
        <w:rPr>
          <w:sz w:val="20"/>
          <w:szCs w:val="20"/>
          <w:color w:val="auto"/>
        </w:rPr>
      </w:pPr>
    </w:p>
    <w:p>
      <w:pPr>
        <w:ind w:right="160" w:firstLine="375"/>
        <w:spacing w:after="0" w:line="256" w:lineRule="auto"/>
        <w:rPr>
          <w:sz w:val="20"/>
          <w:szCs w:val="20"/>
          <w:color w:val="auto"/>
        </w:rPr>
      </w:pPr>
      <w:r>
        <w:rPr>
          <w:rFonts w:ascii="Arial" w:cs="Arial" w:eastAsia="Arial" w:hAnsi="Arial"/>
          <w:sz w:val="17"/>
          <w:szCs w:val="17"/>
          <w:color w:val="auto"/>
        </w:rPr>
        <w:t>Additionally, we are an essential partner in regional innovation communities all over the country. Through our Innovation Hub Network, we are physically co-locating, co-creating, mentoring, incubating, contributing, and investing with organizations in Boston, MA (the epicenter of the data science revolution), Austin, TX (the tech startup oasis); and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803" w:right="239" w:bottom="1440" w:gutter="0" w:footer="0" w:header="0"/>
        </w:sectPr>
      </w:pPr>
    </w:p>
    <w:bookmarkStart w:id="9" w:name="page10"/>
    <w:bookmarkEnd w:id="9"/>
    <w:p>
      <w:pPr>
        <w:jc w:val="both"/>
        <w:ind w:right="120"/>
        <w:spacing w:after="0" w:line="334" w:lineRule="auto"/>
        <w:rPr>
          <w:sz w:val="20"/>
          <w:szCs w:val="20"/>
          <w:color w:val="auto"/>
        </w:rPr>
      </w:pPr>
      <w:r>
        <w:rPr>
          <w:rFonts w:ascii="Arial" w:cs="Arial" w:eastAsia="Arial" w:hAnsi="Arial"/>
          <w:sz w:val="15"/>
          <w:szCs w:val="15"/>
          <w:color w:val="auto"/>
        </w:rPr>
        <w:t>Seattle, WA to San Diego, CA (the corridor of venture capitalists and digital powerhouses), with new hubs in Herndon, VA, Laurel, MD, and Charleston, SC. We harness next-generation technologies being created in academic, startup, and big technology firms to imagine and incubate new offerings, solutions, and growth for the company.</w:t>
      </w:r>
    </w:p>
    <w:p>
      <w:pPr>
        <w:spacing w:after="0" w:line="21" w:lineRule="exact"/>
        <w:rPr>
          <w:sz w:val="20"/>
          <w:szCs w:val="20"/>
          <w:color w:val="auto"/>
        </w:rPr>
      </w:pPr>
    </w:p>
    <w:p>
      <w:pPr>
        <w:ind w:right="100" w:firstLine="375"/>
        <w:spacing w:after="0" w:line="266" w:lineRule="auto"/>
        <w:rPr>
          <w:sz w:val="20"/>
          <w:szCs w:val="20"/>
          <w:color w:val="auto"/>
        </w:rPr>
      </w:pPr>
      <w:r>
        <w:rPr>
          <w:rFonts w:ascii="Arial" w:cs="Arial" w:eastAsia="Arial" w:hAnsi="Arial"/>
          <w:sz w:val="17"/>
          <w:szCs w:val="17"/>
          <w:color w:val="auto"/>
        </w:rPr>
        <w:t>In addition to our service offerings, Booz Allen is driving focused innovation in areas expected to create integrated capabilities, drive next generation expertise, and develop business over the long term. These innovation areas include:</w:t>
      </w:r>
    </w:p>
    <w:p>
      <w:pPr>
        <w:spacing w:after="0" w:line="67" w:lineRule="exact"/>
        <w:rPr>
          <w:sz w:val="20"/>
          <w:szCs w:val="20"/>
          <w:color w:val="auto"/>
        </w:rPr>
      </w:pPr>
    </w:p>
    <w:p>
      <w:pPr>
        <w:ind w:left="600" w:right="200" w:hanging="299"/>
        <w:spacing w:after="0" w:line="279"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Cyber Futures </w:t>
      </w:r>
      <w:r>
        <w:rPr>
          <w:rFonts w:ascii="Arial" w:cs="Arial" w:eastAsia="Arial" w:hAnsi="Arial"/>
          <w:sz w:val="16"/>
          <w:szCs w:val="16"/>
          <w:color w:val="auto"/>
        </w:rPr>
        <w:t>develops differentiated cyber solutions and disruptive business models to address emerging threats and vulnerabilities against clients’ emerging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expanding digital enterprise, internet-of-things landscape, and connected platforms. Our solutions are based on our world-class cyber tradecraft, big data analytics, advanced engineering, and technology along with strategic alliances across the broader industrial ecosystem.</w:t>
      </w:r>
    </w:p>
    <w:p>
      <w:pPr>
        <w:spacing w:after="0" w:line="59" w:lineRule="exact"/>
        <w:rPr>
          <w:rFonts w:ascii="Arial" w:cs="Arial" w:eastAsia="Arial" w:hAnsi="Arial"/>
          <w:sz w:val="16"/>
          <w:szCs w:val="16"/>
          <w:color w:val="auto"/>
        </w:rPr>
      </w:pPr>
    </w:p>
    <w:p>
      <w:pPr>
        <w:ind w:left="600" w:right="220" w:hanging="299"/>
        <w:spacing w:after="0" w:line="252"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Solutions and Machine Intelligence </w:t>
      </w:r>
      <w:r>
        <w:rPr>
          <w:rFonts w:ascii="Arial" w:cs="Arial" w:eastAsia="Arial" w:hAnsi="Arial"/>
          <w:sz w:val="17"/>
          <w:szCs w:val="17"/>
          <w:color w:val="auto"/>
        </w:rPr>
        <w:t>offers cutting-edge analytics solutions across our entire client set. Using our large set of Data Science experts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we help clients use and think differently about their data to fundamentally transform the way they perform their missions and run their organizations. We are continuing to develop new capabilities in exciting areas such as quantum computing, machine intelligence, and computer vision, all of which have an opportunity to transform the way analysis is performed.</w:t>
      </w:r>
    </w:p>
    <w:p>
      <w:pPr>
        <w:spacing w:after="0" w:line="80" w:lineRule="exact"/>
        <w:rPr>
          <w:rFonts w:ascii="Arial" w:cs="Arial" w:eastAsia="Arial" w:hAnsi="Arial"/>
          <w:sz w:val="17"/>
          <w:szCs w:val="17"/>
          <w:color w:val="auto"/>
        </w:rPr>
      </w:pPr>
    </w:p>
    <w:p>
      <w:pPr>
        <w:ind w:left="600" w:right="500" w:hanging="299"/>
        <w:spacing w:after="0" w:line="334" w:lineRule="auto"/>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Directed Energy </w:t>
      </w:r>
      <w:r>
        <w:rPr>
          <w:rFonts w:ascii="Arial" w:cs="Arial" w:eastAsia="Arial" w:hAnsi="Arial"/>
          <w:sz w:val="15"/>
          <w:szCs w:val="15"/>
          <w:color w:val="auto"/>
        </w:rPr>
        <w:t>technologies use high-energy lasers or high-powered microwaves to efficiently disrupt or damage targets with non-kinetic, speed-of-light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engagement. Through our Directed Energy business, we can help clients as a technology maturation agent, integrator, and solutions provider.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Long - Term Growth Strategy</w:t>
      </w:r>
    </w:p>
    <w:p>
      <w:pPr>
        <w:spacing w:after="0" w:line="109" w:lineRule="exact"/>
        <w:rPr>
          <w:sz w:val="20"/>
          <w:szCs w:val="20"/>
          <w:color w:val="auto"/>
        </w:rPr>
      </w:pPr>
    </w:p>
    <w:p>
      <w:pPr>
        <w:ind w:right="280" w:firstLine="375"/>
        <w:spacing w:after="0" w:line="279" w:lineRule="auto"/>
        <w:rPr>
          <w:sz w:val="20"/>
          <w:szCs w:val="20"/>
          <w:color w:val="auto"/>
        </w:rPr>
      </w:pPr>
      <w:r>
        <w:rPr>
          <w:rFonts w:ascii="Arial" w:cs="Arial" w:eastAsia="Arial" w:hAnsi="Arial"/>
          <w:sz w:val="16"/>
          <w:szCs w:val="16"/>
          <w:color w:val="auto"/>
        </w:rPr>
        <w:t>Vision 2020 is a comprehensive strategy to transform Booz Allen and create sustainable quality growth for the company. Fiscal 2017 was the fourth year of implementing the strategy, but its design reaches back to before the government market began to contract in 2011-2012. We anticipated the market downturn and set in place a strategy that would allow us to emerge in a strong position vis-à-vis our competitors. Under Vision 2020, we are:</w:t>
      </w:r>
    </w:p>
    <w:p>
      <w:pPr>
        <w:spacing w:after="0" w:line="59" w:lineRule="exact"/>
        <w:rPr>
          <w:sz w:val="20"/>
          <w:szCs w:val="20"/>
          <w:color w:val="auto"/>
        </w:rPr>
      </w:pPr>
    </w:p>
    <w:p>
      <w:pPr>
        <w:ind w:left="600" w:hanging="299"/>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Moving closer to the center of our clients' core missions</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the technical content of our work</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Attracting and retaining superior talent in diverse areas of expertise</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Leveraging innovation to deliver complex, differentiated, end-to-end solutions</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Creating a broad network of external partners and alliances</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Expanding into the commercial and international markets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success of our strategy can be seen in:</w:t>
      </w:r>
    </w:p>
    <w:p>
      <w:pPr>
        <w:spacing w:after="0" w:line="105" w:lineRule="exact"/>
        <w:rPr>
          <w:sz w:val="20"/>
          <w:szCs w:val="20"/>
          <w:color w:val="auto"/>
        </w:rPr>
      </w:pPr>
    </w:p>
    <w:p>
      <w:pPr>
        <w:ind w:left="600" w:hanging="299"/>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Backlog growth, which achieved record levels during fiscal 2017</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Headcount growth and a corresponding shift in our talent portfolio to more technical expertise in disciplines such as systems development, cyber, and analytics</w:t>
      </w:r>
    </w:p>
    <w:p>
      <w:pPr>
        <w:spacing w:after="0" w:line="127" w:lineRule="exact"/>
        <w:rPr>
          <w:rFonts w:ascii="Arial" w:cs="Arial" w:eastAsia="Arial" w:hAnsi="Arial"/>
          <w:sz w:val="15"/>
          <w:szCs w:val="15"/>
          <w:color w:val="auto"/>
        </w:rPr>
      </w:pPr>
    </w:p>
    <w:p>
      <w:pPr>
        <w:ind w:left="600" w:hanging="299"/>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Continued strong performance in the global commercial market</w:t>
      </w:r>
    </w:p>
    <w:p>
      <w:pPr>
        <w:spacing w:after="0" w:line="104" w:lineRule="exact"/>
        <w:rPr>
          <w:rFonts w:ascii="Arial" w:cs="Arial" w:eastAsia="Arial" w:hAnsi="Arial"/>
          <w:sz w:val="17"/>
          <w:szCs w:val="17"/>
          <w:color w:val="auto"/>
        </w:rPr>
      </w:pPr>
    </w:p>
    <w:p>
      <w:pPr>
        <w:ind w:left="600" w:right="100" w:hanging="299"/>
        <w:spacing w:after="0" w:line="266"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Execution against our capability focused acquisition strategy, most recently through the acquisition of digital service business eGov Holdings (d/b/a Aquilent) in January 2017 to enhance Booz Allen’s growing technology capabilities and talent base</w:t>
      </w:r>
    </w:p>
    <w:p>
      <w:pPr>
        <w:spacing w:after="0" w:line="67" w:lineRule="exact"/>
        <w:rPr>
          <w:sz w:val="20"/>
          <w:szCs w:val="20"/>
          <w:color w:val="auto"/>
        </w:rPr>
      </w:pPr>
    </w:p>
    <w:p>
      <w:pPr>
        <w:ind w:right="20" w:firstLine="375"/>
        <w:spacing w:after="0" w:line="252" w:lineRule="auto"/>
        <w:rPr>
          <w:sz w:val="20"/>
          <w:szCs w:val="20"/>
          <w:color w:val="auto"/>
        </w:rPr>
      </w:pPr>
      <w:r>
        <w:rPr>
          <w:rFonts w:ascii="Arial" w:cs="Arial" w:eastAsia="Arial" w:hAnsi="Arial"/>
          <w:sz w:val="17"/>
          <w:szCs w:val="17"/>
          <w:color w:val="auto"/>
        </w:rPr>
        <w:t>We have won highly technical, mission-critical work across our federal government business because we bring differentiated offerings that meet our clients’ toughest challenges. To propel our success against our Vision 2020 long term strategy, we have implemented initiatives to drive innovation deeper into our markets, enhancing our ability to collaborate and achieve more for our clients, and differentiating Booz Allen in the talent market to enhance our ability to attract and retain the best and the brightest.</w:t>
      </w:r>
    </w:p>
    <w:p>
      <w:pPr>
        <w:spacing w:after="0" w:line="80" w:lineRule="exact"/>
        <w:rPr>
          <w:sz w:val="20"/>
          <w:szCs w:val="20"/>
          <w:color w:val="auto"/>
        </w:rPr>
      </w:pPr>
    </w:p>
    <w:p>
      <w:pPr>
        <w:ind w:right="540" w:firstLine="375"/>
        <w:spacing w:after="0" w:line="368" w:lineRule="auto"/>
        <w:rPr>
          <w:sz w:val="20"/>
          <w:szCs w:val="20"/>
          <w:color w:val="auto"/>
        </w:rPr>
      </w:pPr>
      <w:r>
        <w:rPr>
          <w:rFonts w:ascii="Arial" w:cs="Arial" w:eastAsia="Arial" w:hAnsi="Arial"/>
          <w:sz w:val="17"/>
          <w:szCs w:val="17"/>
          <w:color w:val="auto"/>
        </w:rPr>
        <w:t xml:space="preserve">These initiatives are ultimately designed to accelerate revenue growth and move Booz Allen further toward our goal of delivering sustainable quality growth. </w:t>
      </w:r>
      <w:r>
        <w:rPr>
          <w:rFonts w:ascii="Arial" w:cs="Arial" w:eastAsia="Arial" w:hAnsi="Arial"/>
          <w:sz w:val="17"/>
          <w:szCs w:val="17"/>
          <w:b w:val="1"/>
          <w:bCs w:val="1"/>
          <w:color w:val="auto"/>
        </w:rPr>
        <w:t>Our Clients</w:t>
      </w:r>
    </w:p>
    <w:p>
      <w:pPr>
        <w:spacing w:after="0" w:line="1"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Booz Allen is committed to solving our clients' toughest challenges, and we work with a diverse base of public-and-private sector clients across a number of industries, in the U.S. and internationally.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53" w:right="239" w:bottom="1440" w:gutter="0" w:footer="0" w:header="0"/>
        </w:sectPr>
      </w:pPr>
    </w:p>
    <w:bookmarkStart w:id="10" w:name="page11"/>
    <w:bookmarkEnd w:id="10"/>
    <w:p>
      <w:pPr>
        <w:jc w:val="both"/>
        <w:ind w:firstLine="375"/>
        <w:spacing w:after="0" w:line="256" w:lineRule="auto"/>
        <w:rPr>
          <w:sz w:val="20"/>
          <w:szCs w:val="20"/>
          <w:color w:val="auto"/>
        </w:rPr>
      </w:pPr>
      <w:r>
        <w:rPr>
          <w:rFonts w:ascii="Arial" w:cs="Arial" w:eastAsia="Arial" w:hAnsi="Arial"/>
          <w:sz w:val="17"/>
          <w:szCs w:val="17"/>
          <w:color w:val="auto"/>
        </w:rPr>
        <w:t>Our clients call upon us to work on their hardest problems, such as delivering effective health care, protecting soldiers in combat and their families and keeping our national infrastructure secure. We are investing in markets, capabilities, and talent and are building new business models through strategic ventures, partnerships, and product offerings.</w:t>
      </w:r>
    </w:p>
    <w:p>
      <w:pPr>
        <w:spacing w:after="0" w:line="7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Our government clients include substantially all of the cabinet-level departments of the U.S government. We serve commercial clients across all industries, including some of the largest organizations in critical infrastructure sectors, such as financial services, energy, healthcare, and manufacturing, and we have a thriving portfolio of international clients in the Middle East and Southeast Asia.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Large Addressable Market</w:t>
      </w:r>
    </w:p>
    <w:p>
      <w:pPr>
        <w:spacing w:after="0" w:line="105"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We believe that the U.S government is the world's largest consumer of management and technology consulting services. The U.S. government's budget for its fiscal year ended September 30, 2016 was close to $3.9 trillion, excluding authorizations from Overseas Contingency Operations and supplemental funding for the Department of Defense. Of this amount, approximately $1.2 trillion was for discretionary budget authority, including $631 billion for the Department of Defense and intelligence community and $563 billion for civil agencies. Based on data from the Federal Procurement Data System, approximately $473 billion of the U.S. government's fiscal year 2016 discretionary outlays were non-intelligence agency funding-related products and services procured from private contractors. We estimate that $119.6 billion of the spending directed towards private contractors in U.S. government fiscal year 2016 was for management, technology, and engineering services, with $67.2 billion spent by the Department of Defense and $52.4 billion spent by civil agencies. The agencies of the U.S. intelligence community that we serve represent an additional market. These numbers also exclude a large addressable market for our services and capabilities in the global commercial markets where we have a modest but growing footprint.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During Booz Allen's fiscal 2017:</w:t>
      </w:r>
    </w:p>
    <w:p>
      <w:pPr>
        <w:spacing w:after="0" w:line="105" w:lineRule="exact"/>
        <w:rPr>
          <w:sz w:val="20"/>
          <w:szCs w:val="20"/>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derived 97% of our revenue from contracts where the end client was an agency or department of the U.S. government.</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delivered services under more than 4,820 contracts and task orders.</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derived 91% of our revenue in fiscal 2017 from engagements for which we acted as the prime contractor.</w:t>
      </w:r>
    </w:p>
    <w:p>
      <w:pPr>
        <w:spacing w:after="0" w:line="104" w:lineRule="exact"/>
        <w:rPr>
          <w:rFonts w:ascii="Arial" w:cs="Arial" w:eastAsia="Arial" w:hAnsi="Arial"/>
          <w:sz w:val="17"/>
          <w:szCs w:val="17"/>
          <w:color w:val="auto"/>
        </w:rPr>
      </w:pPr>
    </w:p>
    <w:p>
      <w:pPr>
        <w:ind w:left="600" w:hanging="299"/>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single largest entity that we served in fiscal 2017 was the U.S. Army, which represented approximately 14% of our revenue in that period.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Selected Long-Term Client Relationships</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2"/>
              </w:rPr>
              <w:t>Relationship</w:t>
            </w:r>
          </w:p>
        </w:tc>
        <w:tc>
          <w:tcPr>
            <w:tcW w:w="0" w:type="dxa"/>
            <w:vAlign w:val="bottom"/>
          </w:tcPr>
          <w:p>
            <w:pPr>
              <w:spacing w:after="0"/>
              <w:rPr>
                <w:sz w:val="1"/>
                <w:szCs w:val="1"/>
                <w:color w:val="auto"/>
              </w:rPr>
            </w:pPr>
          </w:p>
        </w:tc>
      </w:tr>
      <w:tr>
        <w:trPr>
          <w:trHeight w:val="138"/>
        </w:trPr>
        <w:tc>
          <w:tcPr>
            <w:tcW w:w="6220" w:type="dxa"/>
            <w:vAlign w:val="bottom"/>
            <w:vMerge w:val="restart"/>
          </w:tcPr>
          <w:p>
            <w:pPr>
              <w:spacing w:after="0"/>
              <w:rPr>
                <w:sz w:val="20"/>
                <w:szCs w:val="20"/>
                <w:color w:val="auto"/>
              </w:rPr>
            </w:pPr>
            <w:r>
              <w:rPr>
                <w:rFonts w:ascii="Arial" w:cs="Arial" w:eastAsia="Arial" w:hAnsi="Arial"/>
                <w:sz w:val="13"/>
                <w:szCs w:val="13"/>
                <w:b w:val="1"/>
                <w:bCs w:val="1"/>
                <w:color w:val="auto"/>
              </w:rPr>
              <w:t>Client (1)</w:t>
            </w:r>
          </w:p>
        </w:tc>
        <w:tc>
          <w:tcPr>
            <w:tcW w:w="14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Length</w:t>
            </w:r>
          </w:p>
        </w:tc>
        <w:tc>
          <w:tcPr>
            <w:tcW w:w="0" w:type="dxa"/>
            <w:vAlign w:val="bottom"/>
          </w:tcPr>
          <w:p>
            <w:pPr>
              <w:spacing w:after="0"/>
              <w:rPr>
                <w:sz w:val="1"/>
                <w:szCs w:val="1"/>
                <w:color w:val="auto"/>
              </w:rPr>
            </w:pPr>
          </w:p>
        </w:tc>
      </w:tr>
      <w:tr>
        <w:trPr>
          <w:trHeight w:val="175"/>
        </w:trPr>
        <w:tc>
          <w:tcPr>
            <w:tcW w:w="6220" w:type="dxa"/>
            <w:vAlign w:val="bottom"/>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225"/>
        </w:trPr>
        <w:tc>
          <w:tcPr>
            <w:tcW w:w="6220" w:type="dxa"/>
            <w:vAlign w:val="bottom"/>
          </w:tcPr>
          <w:p>
            <w:pPr>
              <w:spacing w:after="0"/>
              <w:rPr>
                <w:sz w:val="20"/>
                <w:szCs w:val="20"/>
                <w:color w:val="auto"/>
              </w:rPr>
            </w:pPr>
            <w:r>
              <w:rPr>
                <w:rFonts w:ascii="Arial" w:cs="Arial" w:eastAsia="Arial" w:hAnsi="Arial"/>
                <w:sz w:val="17"/>
                <w:szCs w:val="17"/>
                <w:color w:val="auto"/>
              </w:rPr>
              <w:t>U.S. Navy</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75+</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U.S. Army</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65+</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Department of Energy</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40+</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U.S. Air Force</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35+</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National Security Agency</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35+</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Department of Homeland Security</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35+</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Federal Bureau of Investigation</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25+</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Department of Health and Human Services</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20+</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National Reconnaissance Office</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20+</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A U.S. intelligence agency</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20+</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Arial" w:cs="Arial" w:eastAsia="Arial" w:hAnsi="Arial"/>
                <w:sz w:val="17"/>
                <w:szCs w:val="17"/>
                <w:color w:val="auto"/>
              </w:rPr>
              <w:t>Internal Revenue Service</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20+</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  Includes predecessor organizations.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Defense and Intelligence Clients</w:t>
      </w:r>
    </w:p>
    <w:p>
      <w:pPr>
        <w:spacing w:after="0" w:line="105" w:lineRule="exact"/>
        <w:rPr>
          <w:sz w:val="20"/>
          <w:szCs w:val="20"/>
          <w:color w:val="auto"/>
        </w:rPr>
      </w:pPr>
    </w:p>
    <w:p>
      <w:pPr>
        <w:ind w:right="640" w:firstLine="451"/>
        <w:spacing w:after="0" w:line="266" w:lineRule="auto"/>
        <w:rPr>
          <w:sz w:val="20"/>
          <w:szCs w:val="20"/>
          <w:color w:val="auto"/>
        </w:rPr>
      </w:pPr>
      <w:r>
        <w:rPr>
          <w:rFonts w:ascii="Arial" w:cs="Arial" w:eastAsia="Arial" w:hAnsi="Arial"/>
          <w:sz w:val="17"/>
          <w:szCs w:val="17"/>
          <w:color w:val="auto"/>
        </w:rPr>
        <w:t>We count among our many defense and intelligence clients all four branches of the U.S. military, the Office of the Secretary of Defense, the Joint Staff and members of the intelligence community.</w:t>
      </w:r>
    </w:p>
    <w:p>
      <w:pPr>
        <w:spacing w:after="0" w:line="67" w:lineRule="exact"/>
        <w:rPr>
          <w:sz w:val="20"/>
          <w:szCs w:val="20"/>
          <w:color w:val="auto"/>
        </w:rPr>
      </w:pPr>
    </w:p>
    <w:p>
      <w:pPr>
        <w:ind w:right="60" w:firstLine="451"/>
        <w:spacing w:after="0" w:line="306" w:lineRule="auto"/>
        <w:rPr>
          <w:sz w:val="20"/>
          <w:szCs w:val="20"/>
          <w:color w:val="auto"/>
        </w:rPr>
      </w:pPr>
      <w:r>
        <w:rPr>
          <w:rFonts w:ascii="Arial" w:cs="Arial" w:eastAsia="Arial" w:hAnsi="Arial"/>
          <w:sz w:val="15"/>
          <w:szCs w:val="15"/>
          <w:color w:val="auto"/>
        </w:rPr>
        <w:t>We help our military services take on new missions, tackle acquisition and budgeting challenges, and address the medical needs of soldiers in combat. We also help our defense and intelligence clients adopt innovative technologies, bridging the gap they face between rising mission responsibilities and declining mission funding with our heritage and expertise in consulting. In addition, we bring tool, techniques and expertise to challenges and apply them in innovative ways.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53" w:right="239" w:bottom="1440" w:gutter="0" w:footer="0" w:header="0"/>
        </w:sectPr>
      </w:pPr>
    </w:p>
    <w:bookmarkStart w:id="11" w:name="page12"/>
    <w:bookmarkEnd w:id="11"/>
    <w:p>
      <w:pPr>
        <w:jc w:val="both"/>
        <w:ind w:right="180" w:firstLine="451"/>
        <w:spacing w:after="0" w:line="334" w:lineRule="auto"/>
        <w:rPr>
          <w:sz w:val="20"/>
          <w:szCs w:val="20"/>
          <w:color w:val="auto"/>
        </w:rPr>
      </w:pPr>
      <w:r>
        <w:rPr>
          <w:rFonts w:ascii="Arial" w:cs="Arial" w:eastAsia="Arial" w:hAnsi="Arial"/>
          <w:sz w:val="15"/>
          <w:szCs w:val="15"/>
          <w:color w:val="auto"/>
        </w:rPr>
        <w:t>The men and women we hire have served their country and have the experience and determination to help our defense clients keep our nation safe. Our experts in strategy development, acquisition, and operations help commanders and their staffs in the field share mission-critical information and make crucial battlefield decisions.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Revenue generated from defense clients was $2.7 billion, or approximately 46.6% of our revenue in fiscal 2017 as compared to $2.6 billion, or approximately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48.3% of our revenue in fiscal 2016. Our key defense clients include the Army, Navy/Marine Corps, Air Force, and Joint Combatant Commands. Revenue generated from</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defense clients also includes foreign military sales to non-U.S. government clients.</w:t>
      </w:r>
    </w:p>
    <w:p>
      <w:pPr>
        <w:spacing w:after="0" w:line="93" w:lineRule="exact"/>
        <w:rPr>
          <w:sz w:val="20"/>
          <w:szCs w:val="20"/>
          <w:color w:val="auto"/>
        </w:rPr>
      </w:pPr>
    </w:p>
    <w:p>
      <w:pPr>
        <w:ind w:right="100" w:firstLine="451"/>
        <w:spacing w:after="0" w:line="252" w:lineRule="auto"/>
        <w:rPr>
          <w:sz w:val="20"/>
          <w:szCs w:val="20"/>
          <w:color w:val="auto"/>
        </w:rPr>
      </w:pPr>
      <w:r>
        <w:rPr>
          <w:rFonts w:ascii="Arial" w:cs="Arial" w:eastAsia="Arial" w:hAnsi="Arial"/>
          <w:sz w:val="17"/>
          <w:szCs w:val="17"/>
          <w:color w:val="auto"/>
        </w:rPr>
        <w:t>Revenue generated from intelligence clients was $1.3 billion, or approximately 23.1% of our revenue in fiscal 2017 as compared to $1.3 billion, or approximately 23.4% of our revenue in fiscal 2016. Our key intelligence clients include U.S. Intelligence Agencies</w:t>
      </w:r>
      <w:r>
        <w:rPr>
          <w:rFonts w:ascii="Arial" w:cs="Arial" w:eastAsia="Arial" w:hAnsi="Arial"/>
          <w:sz w:val="17"/>
          <w:szCs w:val="17"/>
          <w:i w:val="1"/>
          <w:iCs w:val="1"/>
          <w:color w:val="auto"/>
        </w:rPr>
        <w:t>,</w:t>
      </w:r>
      <w:r>
        <w:rPr>
          <w:rFonts w:ascii="Arial" w:cs="Arial" w:eastAsia="Arial" w:hAnsi="Arial"/>
          <w:sz w:val="17"/>
          <w:szCs w:val="17"/>
          <w:color w:val="auto"/>
        </w:rPr>
        <w:t xml:space="preserve"> such as the National Security Agency, National Geospatial-Intelligence Agency, and National Reconnaissance Office; and Military Intelligence Agencies</w:t>
      </w:r>
      <w:r>
        <w:rPr>
          <w:rFonts w:ascii="Arial" w:cs="Arial" w:eastAsia="Arial" w:hAnsi="Arial"/>
          <w:sz w:val="17"/>
          <w:szCs w:val="17"/>
          <w:i w:val="1"/>
          <w:iCs w:val="1"/>
          <w:color w:val="auto"/>
        </w:rPr>
        <w:t>,</w:t>
      </w:r>
      <w:r>
        <w:rPr>
          <w:rFonts w:ascii="Arial" w:cs="Arial" w:eastAsia="Arial" w:hAnsi="Arial"/>
          <w:sz w:val="17"/>
          <w:szCs w:val="17"/>
          <w:color w:val="auto"/>
        </w:rPr>
        <w:t xml:space="preserve"> such as the Defense Intelligence Agency, Service Intelligence Centers, and Intelligence Surveillance Reconnaissance units.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Civil Clients</w:t>
      </w:r>
    </w:p>
    <w:p>
      <w:pPr>
        <w:spacing w:after="0" w:line="105" w:lineRule="exact"/>
        <w:rPr>
          <w:sz w:val="20"/>
          <w:szCs w:val="20"/>
          <w:color w:val="auto"/>
        </w:rPr>
      </w:pPr>
    </w:p>
    <w:p>
      <w:pPr>
        <w:jc w:val="both"/>
        <w:ind w:firstLine="601"/>
        <w:spacing w:after="0" w:line="256" w:lineRule="auto"/>
        <w:rPr>
          <w:sz w:val="20"/>
          <w:szCs w:val="20"/>
          <w:color w:val="auto"/>
        </w:rPr>
      </w:pPr>
      <w:r>
        <w:rPr>
          <w:rFonts w:ascii="Arial" w:cs="Arial" w:eastAsia="Arial" w:hAnsi="Arial"/>
          <w:sz w:val="17"/>
          <w:szCs w:val="17"/>
          <w:color w:val="auto"/>
        </w:rPr>
        <w:t>Whether ensuring the safety, security, and well-being of citizens, or boosting national competitiveness, we work with leaders in civil government to support their public service missions. We excel at tackling the most complex challenges such as, from reforming financial regulatory oversight, to evolving our health care system, from improving information sharing among law enforcement organizations, to supporting green building initiatives.</w:t>
      </w:r>
    </w:p>
    <w:p>
      <w:pPr>
        <w:spacing w:after="0" w:line="75" w:lineRule="exact"/>
        <w:rPr>
          <w:sz w:val="20"/>
          <w:szCs w:val="20"/>
          <w:color w:val="auto"/>
        </w:rPr>
      </w:pPr>
    </w:p>
    <w:p>
      <w:pPr>
        <w:ind w:right="440" w:firstLine="601"/>
        <w:spacing w:after="0" w:line="266" w:lineRule="auto"/>
        <w:rPr>
          <w:sz w:val="20"/>
          <w:szCs w:val="20"/>
          <w:color w:val="auto"/>
        </w:rPr>
      </w:pPr>
      <w:r>
        <w:rPr>
          <w:rFonts w:ascii="Arial" w:cs="Arial" w:eastAsia="Arial" w:hAnsi="Arial"/>
          <w:sz w:val="17"/>
          <w:szCs w:val="17"/>
          <w:color w:val="auto"/>
        </w:rPr>
        <w:t>Our work spans the full breadth of civil government, including energy and the environment, financial services, health, homeland security, law enforcement, transportation, grants, international development and diplomacy, and benefits and entitlements.</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work with leaders so they make better decisions, and foster better user experiences both inside and outside of their organizations.</w:t>
      </w:r>
    </w:p>
    <w:p>
      <w:pPr>
        <w:spacing w:after="0" w:line="105" w:lineRule="exact"/>
        <w:rPr>
          <w:sz w:val="20"/>
          <w:szCs w:val="20"/>
          <w:color w:val="auto"/>
        </w:rPr>
      </w:pPr>
    </w:p>
    <w:p>
      <w:pPr>
        <w:jc w:val="both"/>
        <w:ind w:right="140" w:firstLine="601"/>
        <w:spacing w:after="0" w:line="334" w:lineRule="auto"/>
        <w:rPr>
          <w:sz w:val="20"/>
          <w:szCs w:val="20"/>
          <w:color w:val="auto"/>
        </w:rPr>
      </w:pPr>
      <w:r>
        <w:rPr>
          <w:rFonts w:ascii="Arial" w:cs="Arial" w:eastAsia="Arial" w:hAnsi="Arial"/>
          <w:sz w:val="15"/>
          <w:szCs w:val="15"/>
          <w:color w:val="auto"/>
        </w:rPr>
        <w:t>Revenue generated from civil government was $1.6 billion, or approximately 27.7% of our revenue in fiscal 2017 as compared to $1.4 billion, or approximately 26.0% of our revenue in fiscal 2016. Our major civil government clients include Homeland Security, Health and Human Services, Veterans Affairs, Treasury and Justice.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Commercial Clients</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work alongside public and private sector leaders of the most prestigious organizations in the world to help shape and execute their critical agendas.</w:t>
      </w:r>
    </w:p>
    <w:p>
      <w:pPr>
        <w:spacing w:after="0" w:line="116" w:lineRule="exact"/>
        <w:rPr>
          <w:sz w:val="20"/>
          <w:szCs w:val="20"/>
          <w:color w:val="auto"/>
        </w:rPr>
      </w:pPr>
    </w:p>
    <w:p>
      <w:pPr>
        <w:ind w:right="100" w:firstLine="601"/>
        <w:spacing w:after="0" w:line="252" w:lineRule="auto"/>
        <w:rPr>
          <w:sz w:val="20"/>
          <w:szCs w:val="20"/>
          <w:color w:val="auto"/>
        </w:rPr>
      </w:pPr>
      <w:r>
        <w:rPr>
          <w:rFonts w:ascii="Arial" w:cs="Arial" w:eastAsia="Arial" w:hAnsi="Arial"/>
          <w:sz w:val="17"/>
          <w:szCs w:val="17"/>
          <w:color w:val="auto"/>
        </w:rPr>
        <w:t>Following the 2011 expiration of our non-competition agreement with our spun-off commercial business, we re-entered the Middle East and North Africa (MENA) and Southeast Asia (SEA). We originally established our international offices located in MENA more than six decades ago and our offices in SEA more than three decades ago. Since re-entering these markets, our strategy and technology consultants have empowered our clients in these regions of the world with the knowledge and experience they need to build their own local resources and capabilities.</w:t>
      </w:r>
    </w:p>
    <w:p>
      <w:pPr>
        <w:spacing w:after="0" w:line="80" w:lineRule="exact"/>
        <w:rPr>
          <w:sz w:val="20"/>
          <w:szCs w:val="20"/>
          <w:color w:val="auto"/>
        </w:rPr>
      </w:pPr>
    </w:p>
    <w:p>
      <w:pPr>
        <w:ind w:right="100" w:firstLine="375"/>
        <w:spacing w:after="0" w:line="297" w:lineRule="auto"/>
        <w:rPr>
          <w:sz w:val="20"/>
          <w:szCs w:val="20"/>
          <w:color w:val="auto"/>
        </w:rPr>
      </w:pPr>
      <w:r>
        <w:rPr>
          <w:rFonts w:ascii="Arial" w:cs="Arial" w:eastAsia="Arial" w:hAnsi="Arial"/>
          <w:sz w:val="15"/>
          <w:szCs w:val="15"/>
          <w:color w:val="auto"/>
        </w:rPr>
        <w:t>Revenue generated from global commercial clients was $152.1 million, or approximately 2.6% of our revenue in fiscal 2017 as compared to $122.2 million, or approximately 2.3% of our revenue in fiscal 2016. Global commercial clients are comprised of U.S. commercial and international clients. Our commercial clients include large commercial and investment banks, utilities, oil and gas companies, major retailers, auto manufacturers, major pharmaceutical manufacturers, and healthcare providers. Our international clients include non-U.S. governments and commercial entities in MENA region and select Asian markets.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Contracts</w:t>
      </w:r>
    </w:p>
    <w:p>
      <w:pPr>
        <w:spacing w:after="0" w:line="109" w:lineRule="exact"/>
        <w:rPr>
          <w:sz w:val="20"/>
          <w:szCs w:val="20"/>
          <w:color w:val="auto"/>
        </w:rPr>
      </w:pPr>
    </w:p>
    <w:p>
      <w:pPr>
        <w:ind w:right="20" w:firstLine="400"/>
        <w:spacing w:after="0" w:line="270" w:lineRule="auto"/>
        <w:rPr>
          <w:sz w:val="20"/>
          <w:szCs w:val="20"/>
          <w:color w:val="auto"/>
        </w:rPr>
      </w:pPr>
      <w:r>
        <w:rPr>
          <w:rFonts w:ascii="Arial" w:cs="Arial" w:eastAsia="Arial" w:hAnsi="Arial"/>
          <w:sz w:val="16"/>
          <w:szCs w:val="16"/>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is seen in the fact that over 76% of our revenue for fiscal 2017 was derived from over 3,900 active task orders under indefinite delivery, indefinite quantity (IDIQ) contract vehicles. Our top IDIQ contract vehicle represented approximately 5.5% of our revenue in our fiscal 2017. Our largest task order under an IDIQ contract vehicle accounted for approximately 2.7% of our revenue in our fiscal 2017. Our largest definite contract represented approximately 2.8% of our revenue in our fiscal 2017.</w:t>
      </w:r>
    </w:p>
    <w:p>
      <w:pPr>
        <w:spacing w:after="0" w:line="67" w:lineRule="exact"/>
        <w:rPr>
          <w:sz w:val="20"/>
          <w:szCs w:val="20"/>
          <w:color w:val="auto"/>
        </w:rPr>
      </w:pPr>
    </w:p>
    <w:p>
      <w:pPr>
        <w:ind w:right="20" w:firstLine="400"/>
        <w:spacing w:after="0" w:line="266" w:lineRule="auto"/>
        <w:rPr>
          <w:sz w:val="20"/>
          <w:szCs w:val="20"/>
          <w:color w:val="auto"/>
        </w:rPr>
      </w:pPr>
      <w:r>
        <w:rPr>
          <w:rFonts w:ascii="Arial" w:cs="Arial" w:eastAsia="Arial" w:hAnsi="Arial"/>
          <w:sz w:val="17"/>
          <w:szCs w:val="17"/>
          <w:color w:val="auto"/>
        </w:rPr>
        <w:t>There are two predominant contracting methods by which the U.S. government procures services: indefinite contract vehicles and definite contracts. Each of these is described below:</w:t>
      </w:r>
    </w:p>
    <w:p>
      <w:pPr>
        <w:spacing w:after="0" w:line="67" w:lineRule="exact"/>
        <w:rPr>
          <w:sz w:val="20"/>
          <w:szCs w:val="20"/>
          <w:color w:val="auto"/>
        </w:rPr>
      </w:pPr>
    </w:p>
    <w:p>
      <w:pPr>
        <w:ind w:left="580" w:right="160" w:hanging="292"/>
        <w:spacing w:after="0" w:line="266"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Indefinite contract vehicles provide for the issuance by the client of orders for services or products under the terms of the contract. Indefinite contracts are often referred to as contract vehicles or ordering contracts. IDIQ</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53" w:right="239" w:bottom="1440" w:gutter="0" w:footer="0" w:header="0"/>
        </w:sectPr>
      </w:pPr>
    </w:p>
    <w:bookmarkStart w:id="12" w:name="page13"/>
    <w:bookmarkEnd w:id="12"/>
    <w:p>
      <w:pPr>
        <w:ind w:left="580"/>
        <w:spacing w:after="0" w:line="297" w:lineRule="auto"/>
        <w:rPr>
          <w:sz w:val="20"/>
          <w:szCs w:val="20"/>
          <w:color w:val="auto"/>
        </w:rPr>
      </w:pPr>
      <w:r>
        <w:rPr>
          <w:rFonts w:ascii="Arial" w:cs="Arial" w:eastAsia="Arial" w:hAnsi="Arial"/>
          <w:sz w:val="17"/>
          <w:szCs w:val="17"/>
          <w:color w:val="auto"/>
        </w:rPr>
        <w:t>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55" w:lineRule="exact"/>
        <w:rPr>
          <w:sz w:val="20"/>
          <w:szCs w:val="20"/>
          <w:color w:val="auto"/>
        </w:rPr>
      </w:pPr>
    </w:p>
    <w:p>
      <w:pPr>
        <w:ind w:left="580" w:right="20" w:hanging="292"/>
        <w:spacing w:after="0" w:line="268"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the means by which it will procure those 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Listed below are our top IDIQ contracts for fiscal 2017 and the number of active task orders under these contracts as of March 31, 2017</w:t>
      </w:r>
      <w:r>
        <w:rPr>
          <w:rFonts w:ascii="Arial" w:cs="Arial" w:eastAsia="Arial" w:hAnsi="Arial"/>
          <w:sz w:val="15"/>
          <w:szCs w:val="15"/>
          <w:color w:val="auto"/>
        </w:rPr>
        <w:t>.</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 of</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Number of</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2"/>
              </w:rPr>
              <w:t>Fiscal</w:t>
            </w:r>
          </w:p>
        </w:tc>
        <w:tc>
          <w:tcPr>
            <w:tcW w:w="1760" w:type="dxa"/>
            <w:vAlign w:val="bottom"/>
            <w:gridSpan w:val="2"/>
            <w:vMerge w:val="continue"/>
          </w:tcPr>
          <w:p>
            <w:pPr>
              <w:spacing w:after="0"/>
              <w:rPr>
                <w:sz w:val="11"/>
                <w:szCs w:val="11"/>
                <w:color w:val="auto"/>
              </w:rPr>
            </w:pPr>
          </w:p>
        </w:tc>
        <w:tc>
          <w:tcPr>
            <w:tcW w:w="17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4"/>
              </w:rPr>
              <w:t>Task Orders</w:t>
            </w:r>
          </w:p>
        </w:tc>
        <w:tc>
          <w:tcPr>
            <w:tcW w:w="1700" w:type="dxa"/>
            <w:vAlign w:val="bottom"/>
            <w:vMerge w:val="restart"/>
          </w:tcPr>
          <w:p>
            <w:pPr>
              <w:jc w:val="right"/>
              <w:ind w:right="459"/>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38"/>
        </w:trPr>
        <w:tc>
          <w:tcPr>
            <w:tcW w:w="4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7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6"/>
              </w:rPr>
              <w:t>Total</w:t>
            </w:r>
          </w:p>
        </w:tc>
        <w:tc>
          <w:tcPr>
            <w:tcW w:w="170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5"/>
              </w:rPr>
              <w:t>as of</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0"/>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March 31, 2017</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(in millions)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Alliant</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319.6</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4/30/2019</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7"/>
                <w:szCs w:val="17"/>
                <w:color w:val="auto"/>
              </w:rPr>
              <w:t>Information Technology Schedule 70</w:t>
            </w:r>
          </w:p>
        </w:tc>
        <w:tc>
          <w:tcPr>
            <w:tcW w:w="28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315.1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3/22/2019</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One Acquisition Solution for Integrated Services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275.6</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9/2/2024</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7"/>
                <w:szCs w:val="17"/>
                <w:color w:val="auto"/>
              </w:rPr>
              <w:t>System Engineering and Analysis/Advanced Technology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7"/>
                <w:szCs w:val="17"/>
                <w:color w:val="auto"/>
              </w:rPr>
              <w:t>Support</w:t>
            </w:r>
          </w:p>
        </w:tc>
        <w:tc>
          <w:tcPr>
            <w:tcW w:w="28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217.3</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4/4/2019</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 TAC Transformation Twenty One Total Technology</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214.7</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6/30/2016</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7"/>
                <w:szCs w:val="17"/>
                <w:color w:val="auto"/>
              </w:rPr>
              <w:t>Mission Oriented Business Integrated Services</w:t>
            </w:r>
          </w:p>
        </w:tc>
        <w:tc>
          <w:tcPr>
            <w:tcW w:w="28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194.1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9/30/2017</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Defense Systems Technical Area Tasks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169.6</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6/22/2019</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7"/>
                <w:szCs w:val="17"/>
                <w:color w:val="auto"/>
              </w:rPr>
              <w:t>Encore II IT Solutions</w:t>
            </w:r>
          </w:p>
        </w:tc>
        <w:tc>
          <w:tcPr>
            <w:tcW w:w="28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133.8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5/31/2018</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Booz Allen Engineering Services- Alliant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130.2</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4/30/2019</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7"/>
                <w:szCs w:val="17"/>
                <w:color w:val="auto"/>
              </w:rPr>
              <w:t>Rapid Response Third Generation</w:t>
            </w:r>
          </w:p>
        </w:tc>
        <w:tc>
          <w:tcPr>
            <w:tcW w:w="28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127.4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10/28/2017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140" w:firstLine="375"/>
        <w:spacing w:after="0" w:line="270" w:lineRule="auto"/>
        <w:rPr>
          <w:sz w:val="20"/>
          <w:szCs w:val="20"/>
          <w:color w:val="auto"/>
        </w:rPr>
      </w:pPr>
      <w:r>
        <w:rPr>
          <w:rFonts w:ascii="Arial" w:cs="Arial" w:eastAsia="Arial" w:hAnsi="Arial"/>
          <w:sz w:val="16"/>
          <w:szCs w:val="16"/>
          <w:color w:val="auto"/>
        </w:rPr>
        <w:t>Under their Category Management initiative, the General Services Administration (“GSA”) has undertaken an effort to improve its professional service schedule offerings. As a result of this initiative, GSA consolidated multiple contract vehicles under the schedule program. The result for Booz Allen has been the consolidation of the scope of six schedules into one professional services schedule contract. The GSA Schedule contracts to be consolidated under the new professional services schedule are: Advertising and Integrated Marketing Solutions (AIMS), Environmental Services (ES), Financial and Business Services (FABS), Logistics Worldwide (LOGWORLD), Mission Oriented Business Integrated Services (MOBIS), and Professional Engineering Services (PES).</w:t>
      </w:r>
    </w:p>
    <w:p>
      <w:pPr>
        <w:spacing w:after="0" w:line="67" w:lineRule="exact"/>
        <w:rPr>
          <w:sz w:val="20"/>
          <w:szCs w:val="20"/>
          <w:color w:val="auto"/>
        </w:rPr>
      </w:pPr>
    </w:p>
    <w:p>
      <w:pPr>
        <w:ind w:right="280" w:firstLine="601"/>
        <w:spacing w:after="0" w:line="273" w:lineRule="auto"/>
        <w:rPr>
          <w:sz w:val="20"/>
          <w:szCs w:val="20"/>
          <w:color w:val="auto"/>
        </w:rPr>
      </w:pPr>
      <w:r>
        <w:rPr>
          <w:rFonts w:ascii="Arial" w:cs="Arial" w:eastAsia="Arial" w:hAnsi="Arial"/>
          <w:sz w:val="16"/>
          <w:szCs w:val="16"/>
          <w:color w:val="auto"/>
        </w:rPr>
        <w:t>Booz Allen’s migration request was accepted in October of 2015 and as a result, our individual schedules included in the GSA’s consolidation will remain in place through the end of the current option period of each individual contract to prevent the interruption of services. The revenue generated under these individual Schedules will begin to decrease during this transition period. We anticipate that the decrease in revenue on the individual schedules will be offset by growth under the new professional service schedule. We anticipate this transition will have negligible impact on future revenues.</w:t>
      </w:r>
    </w:p>
    <w:p>
      <w:pPr>
        <w:spacing w:after="0" w:line="64" w:lineRule="exact"/>
        <w:rPr>
          <w:sz w:val="20"/>
          <w:szCs w:val="20"/>
          <w:color w:val="auto"/>
        </w:rPr>
      </w:pPr>
    </w:p>
    <w:p>
      <w:pPr>
        <w:ind w:right="280" w:firstLine="400"/>
        <w:spacing w:after="0" w:line="256" w:lineRule="auto"/>
        <w:rPr>
          <w:sz w:val="20"/>
          <w:szCs w:val="20"/>
          <w:color w:val="auto"/>
        </w:rPr>
      </w:pPr>
      <w:r>
        <w:rPr>
          <w:rFonts w:ascii="Arial" w:cs="Arial" w:eastAsia="Arial" w:hAnsi="Arial"/>
          <w:sz w:val="17"/>
          <w:szCs w:val="17"/>
          <w:color w:val="auto"/>
        </w:rPr>
        <w:t>Listed below for each specified revenue band is the number of, revenue derived from, and average duration of our task orders as of March 31, 2017. The table includes revenue earned during fiscal 2017 under all task orders that were active during fiscal 2017 under these IDIQ contracts and the number of active task orders on which this revenue was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778" w:right="239" w:bottom="1440" w:gutter="0" w:footer="0" w:header="0"/>
        </w:sectPr>
      </w:pPr>
    </w:p>
    <w:bookmarkStart w:id="13" w:name="page14"/>
    <w:bookmarkEnd w:id="13"/>
    <w:p>
      <w:pPr>
        <w:spacing w:after="0" w:line="306" w:lineRule="auto"/>
        <w:rPr>
          <w:sz w:val="20"/>
          <w:szCs w:val="20"/>
          <w:color w:val="auto"/>
        </w:rPr>
      </w:pPr>
      <w:r>
        <w:rPr>
          <w:rFonts w:ascii="Arial" w:cs="Arial" w:eastAsia="Arial" w:hAnsi="Arial"/>
          <w:sz w:val="15"/>
          <w:szCs w:val="15"/>
          <w:color w:val="auto"/>
        </w:rPr>
        <w:t>earned. Average duration reflected in the table below is calculated based on the inception date of the task order, which may be prior to the beginning of fiscal 2017, and the completion date which may have been prior or subsequent to March 31, 2017. As a result, the actual average remaining duration for task orders included in this table may be less than the average duration shown in the table, and task orders included in the table may have been complete on March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Number of Task</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 of Total</w:t>
            </w:r>
          </w:p>
        </w:tc>
        <w:tc>
          <w:tcPr>
            <w:tcW w:w="1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8"/>
        </w:trPr>
        <w:tc>
          <w:tcPr>
            <w:tcW w:w="41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Segmentation of Task Order by Revenue</w:t>
            </w:r>
          </w:p>
        </w:tc>
        <w:tc>
          <w:tcPr>
            <w:tcW w:w="1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Fiscal 2017 Revenue (in</w:t>
            </w:r>
          </w:p>
        </w:tc>
        <w:tc>
          <w:tcPr>
            <w:tcW w:w="18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2"/>
              </w:rPr>
              <w:t>Fiscal</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100" w:type="dxa"/>
            <w:vAlign w:val="bottom"/>
            <w:vMerge w:val="continue"/>
          </w:tcPr>
          <w:p>
            <w:pPr>
              <w:spacing w:after="0"/>
              <w:rPr>
                <w:sz w:val="11"/>
                <w:szCs w:val="11"/>
                <w:color w:val="auto"/>
              </w:rPr>
            </w:pPr>
          </w:p>
        </w:tc>
        <w:tc>
          <w:tcPr>
            <w:tcW w:w="18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Orders Active During Fiscal</w:t>
            </w:r>
          </w:p>
        </w:tc>
        <w:tc>
          <w:tcPr>
            <w:tcW w:w="18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1"/>
                <w:szCs w:val="11"/>
                <w:color w:val="auto"/>
              </w:rPr>
            </w:pPr>
          </w:p>
        </w:tc>
        <w:tc>
          <w:tcPr>
            <w:tcW w:w="1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7"/>
              </w:rPr>
              <w:t>Duration</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Fiscal 2017</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millions)</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Revenue</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than $1 million</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3,154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575.6</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Arial" w:cs="Arial" w:eastAsia="Arial" w:hAnsi="Arial"/>
                <w:sz w:val="17"/>
                <w:szCs w:val="17"/>
                <w:color w:val="auto"/>
              </w:rPr>
              <w:t>Between $1 million and $3 million</w:t>
            </w:r>
          </w:p>
        </w:tc>
        <w:tc>
          <w:tcPr>
            <w:tcW w:w="1700" w:type="dxa"/>
            <w:vAlign w:val="bottom"/>
          </w:tcPr>
          <w:p>
            <w:pPr>
              <w:jc w:val="right"/>
              <w:ind w:right="22"/>
              <w:spacing w:after="0"/>
              <w:rPr>
                <w:sz w:val="20"/>
                <w:szCs w:val="20"/>
                <w:color w:val="auto"/>
              </w:rPr>
            </w:pPr>
            <w:r>
              <w:rPr>
                <w:rFonts w:ascii="Arial" w:cs="Arial" w:eastAsia="Arial" w:hAnsi="Arial"/>
                <w:sz w:val="17"/>
                <w:szCs w:val="17"/>
                <w:color w:val="auto"/>
              </w:rPr>
              <w:t>463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41"/>
              <w:spacing w:after="0"/>
              <w:rPr>
                <w:sz w:val="20"/>
                <w:szCs w:val="20"/>
                <w:color w:val="auto"/>
              </w:rPr>
            </w:pPr>
            <w:r>
              <w:rPr>
                <w:rFonts w:ascii="Arial" w:cs="Arial" w:eastAsia="Arial" w:hAnsi="Arial"/>
                <w:sz w:val="17"/>
                <w:szCs w:val="17"/>
                <w:color w:val="auto"/>
              </w:rPr>
              <w:t>786.6</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700" w:type="dxa"/>
            <w:vAlign w:val="bottom"/>
          </w:tcPr>
          <w:p>
            <w:pPr>
              <w:jc w:val="right"/>
              <w:ind w:right="22"/>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Between $3 million and $5 million</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470.9</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Arial" w:cs="Arial" w:eastAsia="Arial" w:hAnsi="Arial"/>
                <w:sz w:val="17"/>
                <w:szCs w:val="17"/>
                <w:color w:val="auto"/>
              </w:rPr>
              <w:t>Between $5 million and $10 million</w:t>
            </w:r>
          </w:p>
        </w:tc>
        <w:tc>
          <w:tcPr>
            <w:tcW w:w="1700" w:type="dxa"/>
            <w:vAlign w:val="bottom"/>
          </w:tcPr>
          <w:p>
            <w:pPr>
              <w:jc w:val="right"/>
              <w:ind w:right="22"/>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41"/>
              <w:spacing w:after="0"/>
              <w:rPr>
                <w:sz w:val="20"/>
                <w:szCs w:val="20"/>
                <w:color w:val="auto"/>
              </w:rPr>
            </w:pPr>
            <w:r>
              <w:rPr>
                <w:rFonts w:ascii="Arial" w:cs="Arial" w:eastAsia="Arial" w:hAnsi="Arial"/>
                <w:sz w:val="17"/>
                <w:szCs w:val="17"/>
                <w:color w:val="auto"/>
              </w:rPr>
              <w:t>742.3</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700" w:type="dxa"/>
            <w:vAlign w:val="bottom"/>
          </w:tcPr>
          <w:p>
            <w:pPr>
              <w:jc w:val="right"/>
              <w:ind w:right="22"/>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Greater than $10 million</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1,774.1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4100" w:type="dxa"/>
            <w:vAlign w:val="bottom"/>
          </w:tcPr>
          <w:p>
            <w:pPr>
              <w:ind w:left="20"/>
              <w:spacing w:after="0"/>
              <w:rPr>
                <w:sz w:val="20"/>
                <w:szCs w:val="20"/>
                <w:color w:val="auto"/>
              </w:rPr>
            </w:pPr>
            <w:r>
              <w:rPr>
                <w:rFonts w:ascii="Arial" w:cs="Arial" w:eastAsia="Arial" w:hAnsi="Arial"/>
                <w:sz w:val="17"/>
                <w:szCs w:val="17"/>
                <w:color w:val="auto"/>
              </w:rPr>
              <w:t>Total</w:t>
            </w:r>
          </w:p>
        </w:tc>
        <w:tc>
          <w:tcPr>
            <w:tcW w:w="170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3,927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4,349.5</w:t>
            </w:r>
          </w:p>
        </w:tc>
        <w:tc>
          <w:tcPr>
            <w:tcW w:w="10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60" w:right="160"/>
        <w:spacing w:after="0" w:line="266" w:lineRule="auto"/>
        <w:rPr>
          <w:sz w:val="20"/>
          <w:szCs w:val="20"/>
          <w:color w:val="auto"/>
        </w:rPr>
      </w:pPr>
      <w:r>
        <w:rPr>
          <w:rFonts w:ascii="Arial" w:cs="Arial" w:eastAsia="Arial" w:hAnsi="Arial"/>
          <w:sz w:val="17"/>
          <w:szCs w:val="17"/>
          <w:color w:val="auto"/>
        </w:rPr>
        <w:t>Listed below are our top definite contracts for fiscal 2017 and revenue recognized under these contracts. Classified contracts that cannot be named are noted generically in the table :</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86"/>
              </w:rPr>
              <w:t>Fiscal</w:t>
            </w: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 of</w:t>
            </w:r>
          </w:p>
        </w:tc>
        <w:tc>
          <w:tcPr>
            <w:tcW w:w="1740" w:type="dxa"/>
            <w:vAlign w:val="bottom"/>
            <w:vMerge w:val="restart"/>
          </w:tcPr>
          <w:p>
            <w:pPr>
              <w:jc w:val="right"/>
              <w:ind w:right="479"/>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38"/>
        </w:trPr>
        <w:tc>
          <w:tcPr>
            <w:tcW w:w="5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7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6"/>
              </w:rPr>
              <w:t>Total</w:t>
            </w: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20"/>
              <w:spacing w:after="0"/>
              <w:rPr>
                <w:sz w:val="20"/>
                <w:szCs w:val="20"/>
                <w:color w:val="auto"/>
              </w:rPr>
            </w:pPr>
            <w:r>
              <w:rPr>
                <w:rFonts w:ascii="Arial" w:cs="Arial" w:eastAsia="Arial" w:hAnsi="Arial"/>
                <w:sz w:val="13"/>
                <w:szCs w:val="13"/>
                <w:b w:val="1"/>
                <w:bCs w:val="1"/>
                <w:color w:val="auto"/>
                <w:w w:val="96"/>
              </w:rPr>
              <w:t>2017</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Revenue</w:t>
            </w: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 in millions)</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Classified Contract (1)</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12/31/2020</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7"/>
                <w:szCs w:val="17"/>
                <w:color w:val="auto"/>
              </w:rPr>
              <w:t>Classified Contract</w:t>
            </w:r>
          </w:p>
        </w:tc>
        <w:tc>
          <w:tcPr>
            <w:tcW w:w="28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3/7/2023</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InnoVision Future Solutions Program</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57.8</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11/30/2017</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7"/>
                <w:szCs w:val="17"/>
                <w:color w:val="auto"/>
              </w:rPr>
              <w:t>Classified Contract</w:t>
            </w:r>
          </w:p>
        </w:tc>
        <w:tc>
          <w:tcPr>
            <w:tcW w:w="28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10/31/2018</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Classified Contract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6/30/2018</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7"/>
                <w:szCs w:val="17"/>
                <w:color w:val="auto"/>
              </w:rPr>
              <w:t>Classified Contract (2)</w:t>
            </w:r>
          </w:p>
        </w:tc>
        <w:tc>
          <w:tcPr>
            <w:tcW w:w="28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4/30/2017</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Classified Contract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11/30/2017</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7"/>
                <w:szCs w:val="17"/>
                <w:color w:val="auto"/>
              </w:rPr>
              <w:t>Classified Contract</w:t>
            </w:r>
          </w:p>
        </w:tc>
        <w:tc>
          <w:tcPr>
            <w:tcW w:w="28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5/26/2021</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Integrated Personnel and Pay System - Army</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6/30/2017</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7"/>
                <w:szCs w:val="17"/>
                <w:color w:val="auto"/>
                <w:w w:val="99"/>
              </w:rPr>
              <w:t>Launch and Test Range System - Systems Engineering and Integration (3)</w:t>
            </w:r>
          </w:p>
        </w:tc>
        <w:tc>
          <w:tcPr>
            <w:tcW w:w="28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3/31/2017</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00" w:hanging="300"/>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Successfully awarded follow-on contract in April 2017.</w:t>
      </w:r>
    </w:p>
    <w:p>
      <w:pPr>
        <w:spacing w:after="0" w:line="104" w:lineRule="exact"/>
        <w:rPr>
          <w:rFonts w:ascii="Arial" w:cs="Arial" w:eastAsia="Arial" w:hAnsi="Arial"/>
          <w:sz w:val="17"/>
          <w:szCs w:val="17"/>
          <w:color w:val="auto"/>
        </w:rPr>
      </w:pPr>
    </w:p>
    <w:p>
      <w:pPr>
        <w:ind w:left="500" w:hanging="300"/>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Follow-on contracts in place.</w:t>
      </w:r>
    </w:p>
    <w:p>
      <w:pPr>
        <w:spacing w:after="0" w:line="104" w:lineRule="exact"/>
        <w:rPr>
          <w:rFonts w:ascii="Arial" w:cs="Arial" w:eastAsia="Arial" w:hAnsi="Arial"/>
          <w:sz w:val="17"/>
          <w:szCs w:val="17"/>
          <w:color w:val="auto"/>
        </w:rPr>
      </w:pPr>
    </w:p>
    <w:p>
      <w:pPr>
        <w:ind w:left="500" w:hanging="300"/>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Replacement contract awarded. Booz Allen is a member of the winning team.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define backlog to include the following three components:</w:t>
      </w:r>
    </w:p>
    <w:p>
      <w:pPr>
        <w:spacing w:after="0" w:line="105" w:lineRule="exact"/>
        <w:rPr>
          <w:sz w:val="20"/>
          <w:szCs w:val="20"/>
          <w:color w:val="auto"/>
        </w:rPr>
      </w:pPr>
    </w:p>
    <w:p>
      <w:pPr>
        <w:ind w:left="600" w:right="380" w:hanging="600"/>
        <w:spacing w:after="0" w:line="266"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Funded Backlog. </w:t>
      </w:r>
      <w:r>
        <w:rPr>
          <w:rFonts w:ascii="Arial" w:cs="Arial" w:eastAsia="Arial" w:hAnsi="Arial"/>
          <w:sz w:val="17"/>
          <w:szCs w:val="17"/>
          <w:color w:val="auto"/>
        </w:rPr>
        <w:t>Funded backlog represents the revenue value of orders for services under existing contracts for which funding is appropriated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less revenue previously recognized on these contracts.</w:t>
      </w:r>
    </w:p>
    <w:p>
      <w:pPr>
        <w:spacing w:after="0" w:line="67" w:lineRule="exact"/>
        <w:rPr>
          <w:rFonts w:ascii="Arial" w:cs="Arial" w:eastAsia="Arial" w:hAnsi="Arial"/>
          <w:sz w:val="17"/>
          <w:szCs w:val="17"/>
          <w:color w:val="auto"/>
        </w:rPr>
      </w:pPr>
    </w:p>
    <w:p>
      <w:pPr>
        <w:ind w:left="600" w:right="40" w:hanging="600"/>
        <w:spacing w:after="0" w:line="266" w:lineRule="auto"/>
        <w:tabs>
          <w:tab w:leader="none" w:pos="6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Unfunded Backlog. </w:t>
      </w:r>
      <w:r>
        <w:rPr>
          <w:rFonts w:ascii="Arial" w:cs="Arial" w:eastAsia="Arial" w:hAnsi="Arial"/>
          <w:sz w:val="17"/>
          <w:szCs w:val="17"/>
          <w:color w:val="auto"/>
        </w:rPr>
        <w:t>Unfunded backlog represents the revenue value of orders for services under existing contracts for which funding has not been appropriated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authorized.</w:t>
      </w:r>
    </w:p>
    <w:p>
      <w:pPr>
        <w:spacing w:after="0" w:line="67" w:lineRule="exact"/>
        <w:rPr>
          <w:rFonts w:ascii="Arial" w:cs="Arial" w:eastAsia="Arial" w:hAnsi="Arial"/>
          <w:sz w:val="17"/>
          <w:szCs w:val="17"/>
          <w:i w:val="1"/>
          <w:iCs w:val="1"/>
          <w:color w:val="auto"/>
        </w:rPr>
      </w:pPr>
    </w:p>
    <w:p>
      <w:pPr>
        <w:ind w:left="600" w:hanging="600"/>
        <w:spacing w:after="0" w:line="266"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 that may be exercised at</w:t>
      </w:r>
      <w:r>
        <w:rPr>
          <w:rFonts w:ascii="Arial" w:cs="Arial" w:eastAsia="Arial" w:hAnsi="Arial"/>
          <w:sz w:val="17"/>
          <w:szCs w:val="17"/>
          <w:i w:val="1"/>
          <w:iCs w:val="1"/>
          <w:color w:val="auto"/>
        </w:rPr>
        <w:t xml:space="preserve"> </w:t>
      </w:r>
      <w:r>
        <w:rPr>
          <w:rFonts w:ascii="Arial" w:cs="Arial" w:eastAsia="Arial" w:hAnsi="Arial"/>
          <w:sz w:val="17"/>
          <w:szCs w:val="17"/>
          <w:color w:val="auto"/>
        </w:rPr>
        <w:t>our clients’ option and for which funding has not been appropriated or otherwise authorized.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value of our contract backlog as of the respective dates presented: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75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8"/>
        </w:trPr>
        <w:tc>
          <w:tcPr>
            <w:tcW w:w="65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rPr>
              <w:t>As of March 31,</w:t>
            </w:r>
          </w:p>
        </w:tc>
        <w:tc>
          <w:tcPr>
            <w:tcW w:w="1380" w:type="dxa"/>
            <w:vAlign w:val="bottom"/>
            <w:tcBorders>
              <w:bottom w:val="single" w:sz="8" w:color="auto"/>
            </w:tcBorders>
          </w:tcPr>
          <w:p>
            <w:pPr>
              <w:spacing w:after="0"/>
              <w:rPr>
                <w:sz w:val="15"/>
                <w:szCs w:val="15"/>
                <w:color w:val="auto"/>
              </w:rPr>
            </w:pPr>
          </w:p>
        </w:tc>
      </w:tr>
      <w:tr>
        <w:trPr>
          <w:trHeight w:val="243"/>
        </w:trPr>
        <w:tc>
          <w:tcPr>
            <w:tcW w:w="6500" w:type="dxa"/>
            <w:vAlign w:val="bottom"/>
          </w:tcPr>
          <w:p>
            <w:pPr>
              <w:spacing w:after="0"/>
              <w:rPr>
                <w:sz w:val="21"/>
                <w:szCs w:val="21"/>
                <w:color w:val="auto"/>
              </w:rPr>
            </w:pP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2017</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00"/>
              <w:spacing w:after="0"/>
              <w:rPr>
                <w:sz w:val="20"/>
                <w:szCs w:val="20"/>
                <w:color w:val="auto"/>
              </w:rPr>
            </w:pPr>
            <w:r>
              <w:rPr>
                <w:rFonts w:ascii="Arial" w:cs="Arial" w:eastAsia="Arial" w:hAnsi="Arial"/>
                <w:sz w:val="13"/>
                <w:szCs w:val="13"/>
                <w:b w:val="1"/>
                <w:bCs w:val="1"/>
                <w:color w:val="auto"/>
              </w:rPr>
              <w:t>2016</w:t>
            </w:r>
          </w:p>
        </w:tc>
      </w:tr>
      <w:tr>
        <w:trPr>
          <w:trHeight w:val="230"/>
        </w:trPr>
        <w:tc>
          <w:tcPr>
            <w:tcW w:w="6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rPr>
              <w:t>(In millions)</w:t>
            </w:r>
          </w:p>
        </w:tc>
        <w:tc>
          <w:tcPr>
            <w:tcW w:w="1380" w:type="dxa"/>
            <w:vAlign w:val="bottom"/>
          </w:tcPr>
          <w:p>
            <w:pPr>
              <w:spacing w:after="0"/>
              <w:rPr>
                <w:sz w:val="20"/>
                <w:szCs w:val="20"/>
                <w:color w:val="auto"/>
              </w:rPr>
            </w:pPr>
          </w:p>
        </w:tc>
      </w:tr>
      <w:tr>
        <w:trPr>
          <w:trHeight w:val="23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Funded</w:t>
            </w:r>
          </w:p>
        </w:tc>
        <w:tc>
          <w:tcPr>
            <w:tcW w:w="1320" w:type="dxa"/>
            <w:vAlign w:val="bottom"/>
            <w:tcBorders>
              <w:bottom w:val="single" w:sz="8" w:color="CCEEFF"/>
            </w:tcBorders>
            <w:shd w:val="clear" w:color="auto" w:fill="CCEEFF"/>
          </w:tcPr>
          <w:p>
            <w:pPr>
              <w:jc w:val="right"/>
              <w:ind w:right="1122"/>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2,815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2,673</w:t>
            </w:r>
          </w:p>
        </w:tc>
      </w:tr>
      <w:tr>
        <w:trPr>
          <w:trHeight w:val="225"/>
        </w:trPr>
        <w:tc>
          <w:tcPr>
            <w:tcW w:w="6500" w:type="dxa"/>
            <w:vAlign w:val="bottom"/>
          </w:tcPr>
          <w:p>
            <w:pPr>
              <w:ind w:left="20"/>
              <w:spacing w:after="0"/>
              <w:rPr>
                <w:sz w:val="20"/>
                <w:szCs w:val="20"/>
                <w:color w:val="auto"/>
              </w:rPr>
            </w:pPr>
            <w:r>
              <w:rPr>
                <w:rFonts w:ascii="Arial" w:cs="Arial" w:eastAsia="Arial" w:hAnsi="Arial"/>
                <w:sz w:val="17"/>
                <w:szCs w:val="17"/>
                <w:color w:val="auto"/>
              </w:rPr>
              <w:t>Unfunded</w:t>
            </w:r>
          </w:p>
        </w:tc>
        <w:tc>
          <w:tcPr>
            <w:tcW w:w="1320" w:type="dxa"/>
            <w:vAlign w:val="bottom"/>
          </w:tcPr>
          <w:p>
            <w:pPr>
              <w:spacing w:after="0"/>
              <w:rPr>
                <w:sz w:val="19"/>
                <w:szCs w:val="19"/>
                <w:color w:val="auto"/>
              </w:rPr>
            </w:pPr>
          </w:p>
        </w:tc>
        <w:tc>
          <w:tcPr>
            <w:tcW w:w="720" w:type="dxa"/>
            <w:vAlign w:val="bottom"/>
          </w:tcPr>
          <w:p>
            <w:pPr>
              <w:jc w:val="right"/>
              <w:ind w:right="22"/>
              <w:spacing w:after="0"/>
              <w:rPr>
                <w:sz w:val="20"/>
                <w:szCs w:val="20"/>
                <w:color w:val="auto"/>
              </w:rPr>
            </w:pPr>
            <w:r>
              <w:rPr>
                <w:rFonts w:ascii="Arial" w:cs="Arial" w:eastAsia="Arial" w:hAnsi="Arial"/>
                <w:sz w:val="17"/>
                <w:szCs w:val="17"/>
                <w:color w:val="auto"/>
              </w:rPr>
              <w:t>3,098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7"/>
                <w:szCs w:val="17"/>
                <w:color w:val="auto"/>
              </w:rPr>
              <w:t>2,546</w:t>
            </w:r>
          </w:p>
        </w:tc>
      </w:tr>
      <w:tr>
        <w:trPr>
          <w:trHeight w:val="25"/>
        </w:trPr>
        <w:tc>
          <w:tcPr>
            <w:tcW w:w="6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Priced options</w:t>
            </w:r>
          </w:p>
        </w:tc>
        <w:tc>
          <w:tcPr>
            <w:tcW w:w="1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7,679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6,595</w:t>
            </w:r>
          </w:p>
        </w:tc>
      </w:tr>
      <w:tr>
        <w:trPr>
          <w:trHeight w:val="218"/>
        </w:trPr>
        <w:tc>
          <w:tcPr>
            <w:tcW w:w="6500" w:type="dxa"/>
            <w:vAlign w:val="bottom"/>
          </w:tcPr>
          <w:p>
            <w:pPr>
              <w:ind w:left="20"/>
              <w:spacing w:after="0"/>
              <w:rPr>
                <w:sz w:val="20"/>
                <w:szCs w:val="20"/>
                <w:color w:val="auto"/>
              </w:rPr>
            </w:pPr>
            <w:r>
              <w:rPr>
                <w:rFonts w:ascii="Arial" w:cs="Arial" w:eastAsia="Arial" w:hAnsi="Arial"/>
                <w:sz w:val="17"/>
                <w:szCs w:val="17"/>
                <w:color w:val="auto"/>
              </w:rPr>
              <w:t>Total backlog</w:t>
            </w:r>
          </w:p>
        </w:tc>
        <w:tc>
          <w:tcPr>
            <w:tcW w:w="1320" w:type="dxa"/>
            <w:vAlign w:val="bottom"/>
            <w:tcBorders>
              <w:top w:val="single" w:sz="8" w:color="auto"/>
            </w:tcBorders>
          </w:tcPr>
          <w:p>
            <w:pPr>
              <w:jc w:val="right"/>
              <w:ind w:right="1122"/>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13,592</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57"/>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11,814</w:t>
            </w:r>
          </w:p>
        </w:tc>
      </w:tr>
      <w:tr>
        <w:trPr>
          <w:trHeight w:val="25"/>
        </w:trPr>
        <w:tc>
          <w:tcPr>
            <w:tcW w:w="6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80" w:firstLine="400"/>
        <w:spacing w:after="0" w:line="273" w:lineRule="auto"/>
        <w:rPr>
          <w:sz w:val="20"/>
          <w:szCs w:val="20"/>
          <w:color w:val="auto"/>
        </w:rPr>
      </w:pPr>
      <w:r>
        <w:rPr>
          <w:rFonts w:ascii="Arial" w:cs="Arial" w:eastAsia="Arial" w:hAnsi="Arial"/>
          <w:sz w:val="16"/>
          <w:szCs w:val="16"/>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 — Factors and Trends Affecting Our Results of Operations — Sources of Revenue — Contract Backlog” for additional disclosure regarding our backlog. See also “Item 1A. Risk Factors — Risks Related to Our Business — We may not realize the full value of our backlog, which may result in lower than expected revenue.”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9" w:lineRule="exact"/>
        <w:rPr>
          <w:sz w:val="20"/>
          <w:szCs w:val="20"/>
          <w:color w:val="auto"/>
        </w:rPr>
      </w:pPr>
    </w:p>
    <w:p>
      <w:pPr>
        <w:ind w:right="80" w:firstLine="400"/>
        <w:spacing w:after="0" w:line="279" w:lineRule="auto"/>
        <w:rPr>
          <w:sz w:val="20"/>
          <w:szCs w:val="20"/>
          <w:color w:val="auto"/>
        </w:rPr>
      </w:pPr>
      <w:r>
        <w:rPr>
          <w:rFonts w:ascii="Arial" w:cs="Arial" w:eastAsia="Arial" w:hAnsi="Arial"/>
          <w:sz w:val="16"/>
          <w:szCs w:val="16"/>
          <w:color w:val="auto"/>
        </w:rPr>
        <w:t>The government services market is highly fragmented and competition within the government professional services industry has intensified due to market pressure.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w:t>
      </w:r>
    </w:p>
    <w:p>
      <w:pPr>
        <w:spacing w:after="0" w:line="59" w:lineRule="exact"/>
        <w:rPr>
          <w:sz w:val="20"/>
          <w:szCs w:val="20"/>
          <w:color w:val="auto"/>
        </w:rPr>
      </w:pPr>
    </w:p>
    <w:p>
      <w:pPr>
        <w:ind w:firstLine="400"/>
        <w:spacing w:after="0" w:line="251" w:lineRule="auto"/>
        <w:rPr>
          <w:sz w:val="20"/>
          <w:szCs w:val="20"/>
          <w:color w:val="auto"/>
        </w:rPr>
      </w:pPr>
      <w:r>
        <w:rPr>
          <w:rFonts w:ascii="Arial" w:cs="Arial" w:eastAsia="Arial" w:hAnsi="Arial"/>
          <w:sz w:val="17"/>
          <w:szCs w:val="17"/>
          <w:color w:val="auto"/>
        </w:rPr>
        <w:t>Changing government policies and market dynamics are impacting the competitive landscape. In the past, the governments focus on organizational conflicts of interest have driven divestitures, which have changed the competitive landscape. More recently, there has been increasing pressure from government clients to utilize small businesses, due in large part to a push by both past and present administrations to bolster the economy by helping small business owners. Finally, due to the foregoing factors and the drive in our markets to quickly build competencies in growth areas and achieve economies of scale, we believe that consolidation activity among market participants will continue.</w:t>
      </w:r>
    </w:p>
    <w:p>
      <w:pPr>
        <w:spacing w:after="0" w:line="79" w:lineRule="exact"/>
        <w:rPr>
          <w:sz w:val="20"/>
          <w:szCs w:val="20"/>
          <w:color w:val="auto"/>
        </w:rPr>
      </w:pPr>
    </w:p>
    <w:p>
      <w:pPr>
        <w:ind w:right="100" w:firstLine="400"/>
        <w:spacing w:after="0" w:line="287" w:lineRule="auto"/>
        <w:rPr>
          <w:sz w:val="20"/>
          <w:szCs w:val="20"/>
          <w:color w:val="auto"/>
        </w:rPr>
      </w:pPr>
      <w:r>
        <w:rPr>
          <w:rFonts w:ascii="Arial" w:cs="Arial" w:eastAsia="Arial" w:hAnsi="Arial"/>
          <w:sz w:val="15"/>
          <w:szCs w:val="15"/>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w:t>
      </w:r>
    </w:p>
    <w:p>
      <w:pPr>
        <w:spacing w:after="0"/>
        <w:rPr>
          <w:sz w:val="20"/>
          <w:szCs w:val="20"/>
          <w:color w:val="auto"/>
        </w:rPr>
      </w:pPr>
      <w:r>
        <w:rPr>
          <w:rFonts w:ascii="Arial" w:cs="Arial" w:eastAsia="Arial" w:hAnsi="Arial"/>
          <w:sz w:val="15"/>
          <w:szCs w:val="15"/>
          <w:color w:val="auto"/>
        </w:rPr>
        <w:t>(1) contractors focused principally on the provision of services to the U.S. government (2) large defense contractors that provide both products and services to the</w:t>
      </w:r>
    </w:p>
    <w:p>
      <w:pPr>
        <w:spacing w:after="0" w:line="2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U.S. government, and (3) diversified service providers. We compete based on our technical expertise and client knowledge, our ability to successfully recruit appropriately skilled and experienced talent, our ability to deliver cost-effective multifaceted services in a timely manner, our reputation and relationship with our clients, our past performance, security clearances, and the size and scale of our company. In addition, in order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Information</w:t>
      </w:r>
    </w:p>
    <w:p>
      <w:pPr>
        <w:spacing w:after="0" w:line="109" w:lineRule="exact"/>
        <w:rPr>
          <w:sz w:val="20"/>
          <w:szCs w:val="20"/>
          <w:color w:val="auto"/>
        </w:rPr>
      </w:pPr>
    </w:p>
    <w:p>
      <w:pPr>
        <w:ind w:firstLine="400"/>
        <w:spacing w:after="0" w:line="289" w:lineRule="auto"/>
        <w:rPr>
          <w:sz w:val="20"/>
          <w:szCs w:val="20"/>
          <w:color w:val="auto"/>
        </w:rPr>
      </w:pPr>
      <w:r>
        <w:rPr>
          <w:rFonts w:ascii="Arial" w:cs="Arial" w:eastAsia="Arial" w:hAnsi="Arial"/>
          <w:sz w:val="15"/>
          <w:szCs w:val="15"/>
          <w:color w:val="auto"/>
        </w:rPr>
        <w:t>Our management and technology consulting services business utilizes a variety of proprietary rights in delivering products and services to our clients. We claim a proprietary interest in certain of our service offerings, products, software tools, methodologies, and know-how. While we have several patents issued in the United States and patents pending both in the United States and in certain foreign countries, we do not consider our overall business to be materially dependent on the protection of such patents. Additionally,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 Other than licenses to commercially available third-party software, we have no licenses to intellectual property that are significant to our business.</w:t>
      </w:r>
    </w:p>
    <w:p>
      <w:pPr>
        <w:spacing w:after="0" w:line="56" w:lineRule="exact"/>
        <w:rPr>
          <w:sz w:val="20"/>
          <w:szCs w:val="20"/>
          <w:color w:val="auto"/>
        </w:rPr>
      </w:pPr>
    </w:p>
    <w:p>
      <w:pPr>
        <w:ind w:right="20" w:firstLine="400"/>
        <w:spacing w:after="0" w:line="289" w:lineRule="auto"/>
        <w:rPr>
          <w:sz w:val="20"/>
          <w:szCs w:val="20"/>
          <w:color w:val="auto"/>
        </w:rPr>
      </w:pPr>
      <w:r>
        <w:rPr>
          <w:rFonts w:ascii="Arial" w:cs="Arial" w:eastAsia="Arial" w:hAnsi="Arial"/>
          <w:sz w:val="15"/>
          <w:szCs w:val="15"/>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proprietary marks registered in the United States and certain foreign countries, including "Booz Allen Hamilton." Generally, registered trademarks have perpetual life, provided that they are renewed on a timely basis and continue to be used properly as trademarks. We have registered trademarks related to our name and logo in the United States, with the earliest renewal in December 2019, while the earliest renewal for our trademarks outside of the United States is August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958" w:right="259" w:bottom="1440" w:gutter="0" w:footer="0" w:header="0"/>
        </w:sectPr>
      </w:pPr>
    </w:p>
    <w:bookmarkStart w:id="15" w:name="page16"/>
    <w:bookmarkEnd w:id="15"/>
    <w:p>
      <w:pPr>
        <w:ind w:right="80" w:firstLine="400"/>
        <w:spacing w:after="0" w:line="252" w:lineRule="auto"/>
        <w:rPr>
          <w:sz w:val="20"/>
          <w:szCs w:val="20"/>
          <w:color w:val="auto"/>
        </w:rPr>
      </w:pPr>
      <w:r>
        <w:rPr>
          <w:rFonts w:ascii="Arial" w:cs="Arial" w:eastAsia="Arial" w:hAnsi="Arial"/>
          <w:sz w:val="17"/>
          <w:szCs w:val="17"/>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third parties may include our competitors in some instances. In the case of our work as a subcontractor, our prime contractor may also have certain rights to data, information, and products we develop under the subcontract.</w:t>
      </w:r>
    </w:p>
    <w:p>
      <w:pPr>
        <w:spacing w:after="0" w:line="80" w:lineRule="exact"/>
        <w:rPr>
          <w:sz w:val="20"/>
          <w:szCs w:val="20"/>
          <w:color w:val="auto"/>
        </w:rPr>
      </w:pPr>
    </w:p>
    <w:p>
      <w:pPr>
        <w:ind w:right="600" w:firstLine="400"/>
        <w:spacing w:after="0" w:line="256" w:lineRule="auto"/>
        <w:rPr>
          <w:sz w:val="20"/>
          <w:szCs w:val="20"/>
          <w:color w:val="auto"/>
        </w:rPr>
      </w:pPr>
      <w:r>
        <w:rPr>
          <w:rFonts w:ascii="Arial" w:cs="Arial" w:eastAsia="Arial" w:hAnsi="Arial"/>
          <w:sz w:val="17"/>
          <w:szCs w:val="17"/>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09" w:lineRule="exact"/>
        <w:rPr>
          <w:sz w:val="20"/>
          <w:szCs w:val="20"/>
          <w:color w:val="auto"/>
        </w:rPr>
      </w:pPr>
    </w:p>
    <w:p>
      <w:pPr>
        <w:ind w:right="60" w:firstLine="400"/>
        <w:spacing w:after="0" w:line="306" w:lineRule="auto"/>
        <w:rPr>
          <w:sz w:val="20"/>
          <w:szCs w:val="20"/>
          <w:color w:val="auto"/>
        </w:rPr>
      </w:pPr>
      <w:r>
        <w:rPr>
          <w:rFonts w:ascii="Arial" w:cs="Arial" w:eastAsia="Arial" w:hAnsi="Arial"/>
          <w:sz w:val="15"/>
          <w:szCs w:val="15"/>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w:t>
      </w:r>
    </w:p>
    <w:p>
      <w:pPr>
        <w:spacing w:after="0" w:line="41" w:lineRule="exact"/>
        <w:rPr>
          <w:sz w:val="20"/>
          <w:szCs w:val="20"/>
          <w:color w:val="auto"/>
        </w:rPr>
      </w:pPr>
    </w:p>
    <w:p>
      <w:pPr>
        <w:jc w:val="both"/>
        <w:ind w:left="580" w:right="40" w:hanging="292"/>
        <w:spacing w:after="0" w:line="297" w:lineRule="auto"/>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Federal Acquisition Regulation (the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47" w:lineRule="exact"/>
        <w:rPr>
          <w:rFonts w:ascii="Arial" w:cs="Arial" w:eastAsia="Arial" w:hAnsi="Arial"/>
          <w:sz w:val="15"/>
          <w:szCs w:val="15"/>
          <w:color w:val="auto"/>
        </w:rPr>
      </w:pPr>
    </w:p>
    <w:p>
      <w:pPr>
        <w:ind w:left="580" w:right="80" w:hanging="292"/>
        <w:spacing w:after="0" w:line="26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False Claims Act, which imposes civil and criminal liability for violations, including substantial monetary penalties, for, among other things, presenting false or fraudulent claims for payments or approval;</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False Statements Act, which imposes civil and criminal liability for making false statements to the U.S. government;</w:t>
      </w:r>
    </w:p>
    <w:p>
      <w:pPr>
        <w:spacing w:after="0" w:line="104" w:lineRule="exact"/>
        <w:rPr>
          <w:rFonts w:ascii="Arial" w:cs="Arial" w:eastAsia="Arial" w:hAnsi="Arial"/>
          <w:sz w:val="17"/>
          <w:szCs w:val="17"/>
          <w:color w:val="auto"/>
        </w:rPr>
      </w:pPr>
    </w:p>
    <w:p>
      <w:pPr>
        <w:ind w:left="580" w:hanging="292"/>
        <w:spacing w:after="0" w:line="26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Truth in Negotiations Act, which requires certification and disclosure of cost and pricing data in connection with the negotiation of a contract, modification, or task order;</w:t>
      </w:r>
    </w:p>
    <w:p>
      <w:pPr>
        <w:spacing w:after="0" w:line="67" w:lineRule="exact"/>
        <w:rPr>
          <w:rFonts w:ascii="Arial" w:cs="Arial" w:eastAsia="Arial" w:hAnsi="Arial"/>
          <w:sz w:val="17"/>
          <w:szCs w:val="17"/>
          <w:color w:val="auto"/>
        </w:rPr>
      </w:pPr>
    </w:p>
    <w:p>
      <w:pPr>
        <w:ind w:left="580" w:right="640" w:hanging="292"/>
        <w:spacing w:after="0" w:line="26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laws and regulations restricting the ability of a contractor to provide gifts or gratuities to employees of the U.S. government;</w:t>
      </w:r>
    </w:p>
    <w:p>
      <w:pPr>
        <w:spacing w:after="0" w:line="104" w:lineRule="exact"/>
        <w:rPr>
          <w:rFonts w:ascii="Arial" w:cs="Arial" w:eastAsia="Arial" w:hAnsi="Arial"/>
          <w:sz w:val="17"/>
          <w:szCs w:val="17"/>
          <w:color w:val="auto"/>
        </w:rPr>
      </w:pPr>
    </w:p>
    <w:p>
      <w:pPr>
        <w:ind w:left="580" w:right="300" w:hanging="292"/>
        <w:spacing w:after="0" w:line="26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post-government employment laws and regulations, which restrict the ability of a contractor to recruit and hire current employees of the U.S. government and deploy former employees of the U.S. government;</w:t>
      </w:r>
    </w:p>
    <w:p>
      <w:pPr>
        <w:spacing w:after="0" w:line="67" w:lineRule="exact"/>
        <w:rPr>
          <w:rFonts w:ascii="Arial" w:cs="Arial" w:eastAsia="Arial" w:hAnsi="Arial"/>
          <w:sz w:val="17"/>
          <w:szCs w:val="17"/>
          <w:color w:val="auto"/>
        </w:rPr>
      </w:pPr>
    </w:p>
    <w:p>
      <w:pPr>
        <w:ind w:left="580" w:right="40" w:hanging="292"/>
        <w:spacing w:after="0" w:line="25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75" w:lineRule="exact"/>
        <w:rPr>
          <w:rFonts w:ascii="Arial" w:cs="Arial" w:eastAsia="Arial" w:hAnsi="Arial"/>
          <w:sz w:val="17"/>
          <w:szCs w:val="17"/>
          <w:color w:val="auto"/>
        </w:rPr>
      </w:pPr>
    </w:p>
    <w:p>
      <w:pPr>
        <w:ind w:left="580" w:right="180" w:hanging="292"/>
        <w:spacing w:after="0" w:line="26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laws, regulations, and executive orders regulating the handling, use, and dissemination of personally identifiable information in the course of performing a U.S. government contract;</w:t>
      </w:r>
    </w:p>
    <w:p>
      <w:pPr>
        <w:spacing w:after="0" w:line="67" w:lineRule="exact"/>
        <w:rPr>
          <w:rFonts w:ascii="Arial" w:cs="Arial" w:eastAsia="Arial" w:hAnsi="Arial"/>
          <w:sz w:val="17"/>
          <w:szCs w:val="17"/>
          <w:color w:val="auto"/>
        </w:rPr>
      </w:pPr>
    </w:p>
    <w:p>
      <w:pPr>
        <w:ind w:left="580" w:hanging="292"/>
        <w:spacing w:after="0" w:line="279"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59" w:lineRule="exact"/>
        <w:rPr>
          <w:rFonts w:ascii="Arial" w:cs="Arial" w:eastAsia="Arial" w:hAnsi="Arial"/>
          <w:sz w:val="16"/>
          <w:szCs w:val="16"/>
          <w:color w:val="auto"/>
        </w:rPr>
      </w:pPr>
    </w:p>
    <w:p>
      <w:pPr>
        <w:ind w:left="580" w:right="180" w:hanging="292"/>
        <w:spacing w:after="0" w:line="26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laws, regulations and executive orders that impose requirements on us to ensure compliance with requirements and protect the government from risks related to our supply chain;</w:t>
      </w:r>
    </w:p>
    <w:p>
      <w:pPr>
        <w:spacing w:after="0" w:line="67" w:lineRule="exact"/>
        <w:rPr>
          <w:rFonts w:ascii="Arial" w:cs="Arial" w:eastAsia="Arial" w:hAnsi="Arial"/>
          <w:sz w:val="17"/>
          <w:szCs w:val="17"/>
          <w:color w:val="auto"/>
        </w:rPr>
      </w:pPr>
    </w:p>
    <w:p>
      <w:pPr>
        <w:ind w:left="580" w:right="460" w:hanging="292"/>
        <w:spacing w:after="0" w:line="26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laws, regulations and mandatory contract provisions providing protections to employees or subcontractors seeking to report alleged fraud, waste, and abuse related to a government contract;</w:t>
      </w:r>
    </w:p>
    <w:p>
      <w:pPr>
        <w:spacing w:after="0" w:line="67" w:lineRule="exact"/>
        <w:rPr>
          <w:rFonts w:ascii="Arial" w:cs="Arial" w:eastAsia="Arial" w:hAnsi="Arial"/>
          <w:sz w:val="17"/>
          <w:szCs w:val="17"/>
          <w:color w:val="auto"/>
        </w:rPr>
      </w:pPr>
    </w:p>
    <w:p>
      <w:pPr>
        <w:ind w:left="580" w:right="280" w:hanging="292"/>
        <w:spacing w:after="0" w:line="256"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53" w:right="239" w:bottom="1440" w:gutter="0" w:footer="0" w:header="0"/>
        </w:sectPr>
      </w:pPr>
    </w:p>
    <w:bookmarkStart w:id="16" w:name="page17"/>
    <w:bookmarkEnd w:id="16"/>
    <w:p>
      <w:pPr>
        <w:ind w:left="580" w:right="420" w:hanging="292"/>
        <w:spacing w:after="0" w:line="266"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Accounting Standards and Cost Principles, which impose accounting requirements that govern our right to reimbursement under certain cost-based U.S. government contracts and require consistency of accounting practices over time.</w:t>
      </w:r>
    </w:p>
    <w:p>
      <w:pPr>
        <w:spacing w:after="0" w:line="67" w:lineRule="exact"/>
        <w:rPr>
          <w:sz w:val="20"/>
          <w:szCs w:val="20"/>
          <w:color w:val="auto"/>
        </w:rPr>
      </w:pPr>
    </w:p>
    <w:p>
      <w:pPr>
        <w:ind w:right="40" w:firstLine="400"/>
        <w:spacing w:after="0" w:line="250" w:lineRule="auto"/>
        <w:rPr>
          <w:sz w:val="20"/>
          <w:szCs w:val="20"/>
          <w:color w:val="auto"/>
        </w:rPr>
      </w:pPr>
      <w:r>
        <w:rPr>
          <w:rFonts w:ascii="Arial" w:cs="Arial" w:eastAsia="Arial" w:hAnsi="Arial"/>
          <w:sz w:val="17"/>
          <w:szCs w:val="17"/>
          <w:color w:val="auto"/>
        </w:rPr>
        <w:t>Given the magnitude of our revenue derived from contracts with the Department of Defense, the Defense Contract Audit Agency, or DCAA, is our cognizant government audit agency. The DCAA audits the adequacy of our internal control systems and policies including, among other areas, compensation. As a result of its audits, the DCAA may determine that a portion of our employee compensation is unallowable. See “Item 1A. Risk Factors — Risk Related to Our Industry — Our contracts, performance, and administrative processes and systems are subject to audits, reviews, investigations, and cost adjustments by the U.S. government, which could reduce our revenue, disrupt our business, or otherwise materially adversely affect our results of operations.” We are also subject to audit by Inspectors General of other U.S. government agencies.</w:t>
      </w:r>
    </w:p>
    <w:p>
      <w:pPr>
        <w:spacing w:after="0" w:line="80" w:lineRule="exact"/>
        <w:rPr>
          <w:sz w:val="20"/>
          <w:szCs w:val="20"/>
          <w:color w:val="auto"/>
        </w:rPr>
      </w:pPr>
    </w:p>
    <w:p>
      <w:pPr>
        <w:ind w:right="20" w:firstLine="400"/>
        <w:spacing w:after="0" w:line="251" w:lineRule="auto"/>
        <w:rPr>
          <w:sz w:val="20"/>
          <w:szCs w:val="20"/>
          <w:color w:val="auto"/>
        </w:rPr>
      </w:pPr>
      <w:r>
        <w:rPr>
          <w:rFonts w:ascii="Arial" w:cs="Arial" w:eastAsia="Arial" w:hAnsi="Arial"/>
          <w:sz w:val="17"/>
          <w:szCs w:val="17"/>
          <w:color w:val="auto"/>
        </w:rPr>
        <w:t>The U.S. government may revise its procurement practices or adopt new contract rules and regulations at any time. In order to help ensure compliance with these laws and regulations, all of our employees are required to attend ethics training at least annually, as well as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79" w:lineRule="exact"/>
        <w:rPr>
          <w:sz w:val="20"/>
          <w:szCs w:val="20"/>
          <w:color w:val="auto"/>
        </w:rPr>
      </w:pPr>
    </w:p>
    <w:p>
      <w:pPr>
        <w:ind w:right="20" w:firstLine="400"/>
        <w:spacing w:after="0" w:line="270" w:lineRule="auto"/>
        <w:rPr>
          <w:sz w:val="20"/>
          <w:szCs w:val="20"/>
          <w:color w:val="auto"/>
        </w:rPr>
      </w:pPr>
      <w:r>
        <w:rPr>
          <w:rFonts w:ascii="Arial" w:cs="Arial" w:eastAsia="Arial" w:hAnsi="Arial"/>
          <w:sz w:val="16"/>
          <w:szCs w:val="16"/>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may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67" w:lineRule="exact"/>
        <w:rPr>
          <w:sz w:val="20"/>
          <w:szCs w:val="20"/>
          <w:color w:val="auto"/>
        </w:rPr>
      </w:pPr>
    </w:p>
    <w:p>
      <w:pPr>
        <w:ind w:right="140" w:firstLine="400"/>
        <w:spacing w:after="0" w:line="270" w:lineRule="auto"/>
        <w:rPr>
          <w:sz w:val="20"/>
          <w:szCs w:val="20"/>
          <w:color w:val="auto"/>
        </w:rPr>
      </w:pPr>
      <w:r>
        <w:rPr>
          <w:rFonts w:ascii="Arial" w:cs="Arial" w:eastAsia="Arial" w:hAnsi="Arial"/>
          <w:sz w:val="16"/>
          <w:szCs w:val="16"/>
          <w:color w:val="auto"/>
        </w:rPr>
        <w:t>The U.S. government has a broad range of actions that it can instigate in order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percent of the amount recovered by the government.</w:t>
      </w:r>
    </w:p>
    <w:p>
      <w:pPr>
        <w:spacing w:after="0" w:line="67" w:lineRule="exact"/>
        <w:rPr>
          <w:sz w:val="20"/>
          <w:szCs w:val="20"/>
          <w:color w:val="auto"/>
        </w:rPr>
      </w:pPr>
    </w:p>
    <w:p>
      <w:pPr>
        <w:ind w:firstLine="400"/>
        <w:spacing w:after="0" w:line="279" w:lineRule="auto"/>
        <w:rPr>
          <w:sz w:val="20"/>
          <w:szCs w:val="20"/>
          <w:color w:val="auto"/>
        </w:rPr>
      </w:pPr>
      <w:r>
        <w:rPr>
          <w:rFonts w:ascii="Arial" w:cs="Arial" w:eastAsia="Arial" w:hAnsi="Arial"/>
          <w:sz w:val="16"/>
          <w:szCs w:val="16"/>
          <w:color w:val="auto"/>
        </w:rPr>
        <w:t>See “Item 1A. Risk Factors — Risks Related to Our Business — 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9" w:lineRule="exact"/>
        <w:rPr>
          <w:sz w:val="20"/>
          <w:szCs w:val="20"/>
          <w:color w:val="auto"/>
        </w:rPr>
      </w:pPr>
    </w:p>
    <w:p>
      <w:pPr>
        <w:ind w:right="40" w:firstLine="400"/>
        <w:spacing w:after="0" w:line="248" w:lineRule="auto"/>
        <w:rPr>
          <w:sz w:val="20"/>
          <w:szCs w:val="20"/>
          <w:color w:val="auto"/>
        </w:rPr>
      </w:pPr>
      <w:r>
        <w:rPr>
          <w:rFonts w:ascii="Arial" w:cs="Arial" w:eastAsia="Arial" w:hAnsi="Arial"/>
          <w:sz w:val="17"/>
          <w:szCs w:val="17"/>
          <w:color w:val="auto"/>
        </w:rPr>
        <w:t>We file annual, quarterly, and current reports and other information with the SEC. You may read and copy any documents that we file at the SEC’s public reference room at 100 F Street, N.E., Washington, D.C. 20549. You may call the SEC at 1-800-SEC-0330 to obtain further information about the public reference room. In addition, the SEC maintains an Internet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Internet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1A</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Risk Factors</w:t>
      </w:r>
    </w:p>
    <w:p>
      <w:pPr>
        <w:spacing w:after="0" w:line="109" w:lineRule="exact"/>
        <w:rPr>
          <w:sz w:val="20"/>
          <w:szCs w:val="20"/>
          <w:color w:val="auto"/>
        </w:rPr>
      </w:pPr>
    </w:p>
    <w:p>
      <w:pPr>
        <w:ind w:right="60" w:firstLine="400"/>
        <w:spacing w:after="0" w:line="273" w:lineRule="auto"/>
        <w:rPr>
          <w:sz w:val="20"/>
          <w:szCs w:val="20"/>
          <w:color w:val="auto"/>
        </w:rPr>
      </w:pPr>
      <w:r>
        <w:rPr>
          <w:rFonts w:ascii="Arial" w:cs="Arial" w:eastAsia="Arial" w:hAnsi="Arial"/>
          <w:sz w:val="16"/>
          <w:szCs w:val="16"/>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business,financial condition, and results of operations. This Annual Report also contains forward-looking statements and estimates that involve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753" w:right="239" w:bottom="1440" w:gutter="0" w:footer="0" w:header="0"/>
        </w:sectPr>
      </w:pPr>
    </w:p>
    <w:bookmarkStart w:id="17" w:name="page18"/>
    <w:bookmarkEnd w:id="17"/>
    <w:p>
      <w:pPr>
        <w:ind w:right="320"/>
        <w:spacing w:after="0" w:line="266" w:lineRule="auto"/>
        <w:rPr>
          <w:sz w:val="20"/>
          <w:szCs w:val="20"/>
          <w:color w:val="auto"/>
        </w:rPr>
      </w:pPr>
      <w:r>
        <w:rPr>
          <w:rFonts w:ascii="Arial" w:cs="Arial" w:eastAsia="Arial" w:hAnsi="Arial"/>
          <w:sz w:val="17"/>
          <w:szCs w:val="17"/>
          <w:i w:val="1"/>
          <w:iCs w:val="1"/>
          <w:color w:val="auto"/>
        </w:rPr>
        <w:t>risks and uncertainties. Our actual results could differ materially from those anticipated in the forward-looking statements as a result of specific factors, including the risks and uncertainties described below.</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09" w:lineRule="exact"/>
        <w:rPr>
          <w:sz w:val="20"/>
          <w:szCs w:val="20"/>
          <w:color w:val="auto"/>
        </w:rPr>
      </w:pPr>
    </w:p>
    <w:p>
      <w:pPr>
        <w:ind w:right="420" w:firstLine="375"/>
        <w:spacing w:after="0" w:line="266" w:lineRule="auto"/>
        <w:rPr>
          <w:sz w:val="20"/>
          <w:szCs w:val="20"/>
          <w:color w:val="auto"/>
        </w:rPr>
      </w:pPr>
      <w:r>
        <w:rPr>
          <w:rFonts w:ascii="Arial" w:cs="Arial" w:eastAsia="Arial" w:hAnsi="Arial"/>
          <w:sz w:val="17"/>
          <w:szCs w:val="17"/>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67" w:lineRule="exact"/>
        <w:rPr>
          <w:sz w:val="20"/>
          <w:szCs w:val="20"/>
          <w:color w:val="auto"/>
        </w:rPr>
      </w:pPr>
    </w:p>
    <w:p>
      <w:pPr>
        <w:ind w:firstLine="375"/>
        <w:spacing w:after="0" w:line="263" w:lineRule="auto"/>
        <w:rPr>
          <w:sz w:val="20"/>
          <w:szCs w:val="20"/>
          <w:color w:val="auto"/>
        </w:rPr>
      </w:pPr>
      <w:r>
        <w:rPr>
          <w:rFonts w:ascii="Arial" w:cs="Arial" w:eastAsia="Arial" w:hAnsi="Arial"/>
          <w:sz w:val="16"/>
          <w:szCs w:val="16"/>
          <w:color w:val="auto"/>
        </w:rPr>
        <w:t>The U.S. government is our primary client, with revenue from contracts and task orders, either as a prime or a subcontractor, with U.S. government agencies accounting for 97% of our revenue for fiscal 2017. Our belief is that the 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See "— Our employees or subcontractors may engage in misconduct or other improper activities, which could harm our ability to conduct business with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may harm our reputation with federal government contractors. To the extent our reputation or relationships with U.S. government agencies is impaired, our revenue and operating profits could materially decline.</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U.S. government spending and mission priorities could change in a manner that adversely affects our future revenue and limits our growth prospects.</w:t>
      </w:r>
    </w:p>
    <w:p>
      <w:pPr>
        <w:spacing w:after="0" w:line="128" w:lineRule="exact"/>
        <w:rPr>
          <w:sz w:val="20"/>
          <w:szCs w:val="20"/>
          <w:color w:val="auto"/>
        </w:rPr>
      </w:pPr>
    </w:p>
    <w:p>
      <w:pPr>
        <w:ind w:right="80" w:firstLine="400"/>
        <w:spacing w:after="0" w:line="252" w:lineRule="auto"/>
        <w:rPr>
          <w:sz w:val="20"/>
          <w:szCs w:val="20"/>
          <w:color w:val="auto"/>
        </w:rPr>
      </w:pPr>
      <w:r>
        <w:rPr>
          <w:rFonts w:ascii="Arial" w:cs="Arial" w:eastAsia="Arial" w:hAnsi="Arial"/>
          <w:sz w:val="17"/>
          <w:szCs w:val="17"/>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80" w:lineRule="exact"/>
        <w:rPr>
          <w:sz w:val="20"/>
          <w:szCs w:val="20"/>
          <w:color w:val="auto"/>
        </w:rPr>
      </w:pPr>
    </w:p>
    <w:p>
      <w:pPr>
        <w:ind w:left="580" w:right="500" w:hanging="292"/>
        <w:spacing w:after="0" w:line="266"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budgetary constraints, including Congressionally mandated automatic spending cuts, affecting U.S. government spending generally, or specific agencies in particular, and changes in available funding;</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shift in expenditures away from agencies or programs that we support;</w:t>
      </w:r>
    </w:p>
    <w:p>
      <w:pPr>
        <w:spacing w:after="0" w:line="104" w:lineRule="exact"/>
        <w:rPr>
          <w:rFonts w:ascii="Arial" w:cs="Arial" w:eastAsia="Arial" w:hAnsi="Arial"/>
          <w:sz w:val="17"/>
          <w:szCs w:val="17"/>
          <w:color w:val="auto"/>
        </w:rPr>
      </w:pPr>
    </w:p>
    <w:p>
      <w:pPr>
        <w:ind w:left="580" w:right="140" w:hanging="292"/>
        <w:spacing w:after="0" w:line="256"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75" w:lineRule="exact"/>
        <w:rPr>
          <w:rFonts w:ascii="Arial" w:cs="Arial" w:eastAsia="Arial" w:hAnsi="Arial"/>
          <w:sz w:val="17"/>
          <w:szCs w:val="17"/>
          <w:color w:val="auto"/>
        </w:rPr>
      </w:pPr>
    </w:p>
    <w:p>
      <w:pPr>
        <w:ind w:left="580" w:hanging="292"/>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further efforts to improve efficiency and reduce costs affecting federal government programs;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or delays in U.S. government programs that we support or related requirements;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continuation of recent efforts by the U.S. government to decrease spending for management support service contracts;</w:t>
      </w:r>
    </w:p>
    <w:p>
      <w:pPr>
        <w:spacing w:after="0" w:line="104" w:lineRule="exact"/>
        <w:rPr>
          <w:rFonts w:ascii="Arial" w:cs="Arial" w:eastAsia="Arial" w:hAnsi="Arial"/>
          <w:sz w:val="17"/>
          <w:szCs w:val="17"/>
          <w:color w:val="auto"/>
        </w:rPr>
      </w:pPr>
    </w:p>
    <w:p>
      <w:pPr>
        <w:ind w:left="580" w:right="220" w:hanging="292"/>
        <w:spacing w:after="0" w:line="256"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U.S. government shutdowns due to, among other reasons, a failure by elected officials to fund the government (such as that which occurred during government fiscal year 2014) or weather-related closures in the Washington, DC area (such as that which occurred in the winter of 2016) and other potential delays in the appropriations process;</w:t>
      </w:r>
    </w:p>
    <w:p>
      <w:pPr>
        <w:spacing w:after="0" w:line="75" w:lineRule="exact"/>
        <w:rPr>
          <w:rFonts w:ascii="Arial" w:cs="Arial" w:eastAsia="Arial" w:hAnsi="Arial"/>
          <w:sz w:val="17"/>
          <w:szCs w:val="17"/>
          <w:color w:val="auto"/>
        </w:rPr>
      </w:pPr>
    </w:p>
    <w:p>
      <w:pPr>
        <w:ind w:left="580" w:hanging="292"/>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U.S. government agencies awarding contracts on a technically acceptable/lowest cost basis in order to reduce expenditures;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the payment of our invoices by government payment offices;</w:t>
      </w:r>
    </w:p>
    <w:p>
      <w:pPr>
        <w:spacing w:after="0" w:line="104" w:lineRule="exact"/>
        <w:rPr>
          <w:rFonts w:ascii="Arial" w:cs="Arial" w:eastAsia="Arial" w:hAnsi="Arial"/>
          <w:sz w:val="17"/>
          <w:szCs w:val="17"/>
          <w:color w:val="auto"/>
        </w:rPr>
      </w:pPr>
    </w:p>
    <w:p>
      <w:pPr>
        <w:ind w:left="580" w:right="680" w:hanging="292"/>
        <w:spacing w:after="0" w:line="266"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inability by the U.S. government to fund its operations as a result of a failure to increase the federal government’s debt ceiling, a credit downgrade of U.S. government obligations or for any other reason;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753" w:right="239" w:bottom="1440" w:gutter="0" w:footer="0" w:header="0"/>
        </w:sectPr>
      </w:pPr>
    </w:p>
    <w:bookmarkStart w:id="18" w:name="page19"/>
    <w:bookmarkEnd w:id="18"/>
    <w:p>
      <w:pPr>
        <w:ind w:left="580" w:right="520" w:hanging="292"/>
        <w:spacing w:after="0" w:line="266"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67" w:lineRule="exact"/>
        <w:rPr>
          <w:sz w:val="20"/>
          <w:szCs w:val="20"/>
          <w:color w:val="auto"/>
        </w:rPr>
      </w:pPr>
    </w:p>
    <w:p>
      <w:pPr>
        <w:ind w:right="100" w:firstLine="375"/>
        <w:spacing w:after="0" w:line="279" w:lineRule="auto"/>
        <w:rPr>
          <w:sz w:val="20"/>
          <w:szCs w:val="20"/>
          <w:color w:val="auto"/>
        </w:rPr>
      </w:pPr>
      <w:r>
        <w:rPr>
          <w:rFonts w:ascii="Arial" w:cs="Arial" w:eastAsia="Arial" w:hAnsi="Arial"/>
          <w:sz w:val="16"/>
          <w:szCs w:val="16"/>
          <w:color w:val="auto"/>
        </w:rPr>
        <w:t>In addition, any disruption in the functioning of U.S. government agencies, including as a result of U.S. government closures and shutdowns, terrorism, war, natural disasters,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59" w:lineRule="exact"/>
        <w:rPr>
          <w:sz w:val="20"/>
          <w:szCs w:val="20"/>
          <w:color w:val="auto"/>
        </w:rPr>
      </w:pPr>
    </w:p>
    <w:p>
      <w:pPr>
        <w:ind w:firstLine="400"/>
        <w:spacing w:after="0" w:line="282" w:lineRule="auto"/>
        <w:rPr>
          <w:sz w:val="20"/>
          <w:szCs w:val="20"/>
          <w:color w:val="auto"/>
        </w:rPr>
      </w:pPr>
      <w:r>
        <w:rPr>
          <w:rFonts w:ascii="Arial" w:cs="Arial" w:eastAsia="Arial" w:hAnsi="Arial"/>
          <w:sz w:val="15"/>
          <w:szCs w:val="15"/>
          <w:color w:val="auto"/>
        </w:rPr>
        <w:t>The U.S. government budget deficits, the national debt, and the prevailing economic condition, and actions taken to address them, could continue to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In particular, the Budget Control Act of 2011 (as amended by the American Taxpayer Relief Act of 2012, the Bipartisan Budget Act of 2013 and the Bipartisan Budget Act of 2015) provides for automatic spending cuts (referred to as sequestration) totaling approximately $1.2 trillion between 2013 and 2021, including an estimated $500 billion in federal defense spending cuts over this time period. The Bipartisan Budget Act of 2015 set spending limits for the government fiscal 2017 budget across the federal government and increased the prior discretionary spending cap in both defense and non-defense, but did not address spending caps beyond the government fiscal year 2017. For example, under the Budget Control Act of 2011, as amended, approximately $91 billion in spending cuts are anticipated for the government fiscal year 2018. The new Department of Defense spending limit is approximately $610 billion for government fiscal 2017, including an allocation of $59 billion in overseas contingency operations funding. While recent budget actions reflect a more measured and strategic approach to addressing the U.S. government’s fiscal challenges, there remains uncertainty as to how exactly budget cuts, including sequestration, will impact us, and we are therefore unable to predict the extent of the impact of such cuts on our business and results of operations. However, a reduction in the amount of or reductions, delays, or cancellations of funding for, services that we are contracted to provide to the Department of Defense as a result of any of these related initiatives, legislation or otherwise could have a material adverse effect on our business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and results of operations.</w:t>
      </w:r>
    </w:p>
    <w:p>
      <w:pPr>
        <w:spacing w:after="0" w:line="262" w:lineRule="exact"/>
        <w:rPr>
          <w:sz w:val="20"/>
          <w:szCs w:val="20"/>
          <w:color w:val="auto"/>
        </w:rPr>
      </w:pPr>
    </w:p>
    <w:p>
      <w:pPr>
        <w:ind w:right="180" w:firstLine="400"/>
        <w:spacing w:after="0" w:line="256" w:lineRule="auto"/>
        <w:rPr>
          <w:sz w:val="20"/>
          <w:szCs w:val="20"/>
          <w:color w:val="auto"/>
        </w:rPr>
      </w:pPr>
      <w:r>
        <w:rPr>
          <w:rFonts w:ascii="Arial" w:cs="Arial" w:eastAsia="Arial" w:hAnsi="Arial"/>
          <w:sz w:val="17"/>
          <w:szCs w:val="17"/>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75" w:lineRule="exact"/>
        <w:rPr>
          <w:sz w:val="20"/>
          <w:szCs w:val="20"/>
          <w:color w:val="auto"/>
        </w:rPr>
      </w:pPr>
    </w:p>
    <w:p>
      <w:pPr>
        <w:ind w:right="140" w:firstLine="375"/>
        <w:spacing w:after="0" w:line="256" w:lineRule="auto"/>
        <w:rPr>
          <w:sz w:val="20"/>
          <w:szCs w:val="20"/>
          <w:color w:val="auto"/>
        </w:rPr>
      </w:pPr>
      <w:r>
        <w:rPr>
          <w:rFonts w:ascii="Arial" w:cs="Arial" w:eastAsia="Arial" w:hAnsi="Arial"/>
          <w:sz w:val="17"/>
          <w:szCs w:val="17"/>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75" w:lineRule="exact"/>
        <w:rPr>
          <w:sz w:val="20"/>
          <w:szCs w:val="20"/>
          <w:color w:val="auto"/>
        </w:rPr>
      </w:pPr>
    </w:p>
    <w:p>
      <w:pPr>
        <w:ind w:right="40" w:firstLine="400"/>
        <w:spacing w:after="0" w:line="252" w:lineRule="auto"/>
        <w:rPr>
          <w:sz w:val="20"/>
          <w:szCs w:val="20"/>
          <w:color w:val="auto"/>
        </w:rPr>
      </w:pPr>
      <w:r>
        <w:rPr>
          <w:rFonts w:ascii="Arial" w:cs="Arial" w:eastAsia="Arial" w:hAnsi="Arial"/>
          <w:sz w:val="17"/>
          <w:szCs w:val="17"/>
          <w:color w:val="auto"/>
        </w:rPr>
        <w:t>As a U.S. government contractor, we must comply with laws and regulations relating to the formation, administration, and performance of 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80" w:lineRule="exact"/>
        <w:rPr>
          <w:sz w:val="20"/>
          <w:szCs w:val="20"/>
          <w:color w:val="auto"/>
        </w:rPr>
      </w:pPr>
    </w:p>
    <w:p>
      <w:pPr>
        <w:ind w:left="580" w:right="20" w:hanging="292"/>
        <w:spacing w:after="0" w:line="273"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64" w:lineRule="exact"/>
        <w:rPr>
          <w:rFonts w:ascii="Arial" w:cs="Arial" w:eastAsia="Arial" w:hAnsi="Arial"/>
          <w:sz w:val="16"/>
          <w:szCs w:val="16"/>
          <w:color w:val="auto"/>
        </w:rPr>
      </w:pPr>
    </w:p>
    <w:p>
      <w:pPr>
        <w:ind w:left="580" w:right="80" w:hanging="292"/>
        <w:spacing w:after="0" w:line="266"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False Claims Act, which imposes civil and criminal liability for violations, including substantial monetary penalties, for, among other things, presenting false or fraudulent claims for payments or approval;</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False Statements Act, which imposes civil and criminal liability for making false statements to the U.S. government;</w:t>
      </w:r>
    </w:p>
    <w:p>
      <w:pPr>
        <w:spacing w:after="0" w:line="104" w:lineRule="exact"/>
        <w:rPr>
          <w:rFonts w:ascii="Arial" w:cs="Arial" w:eastAsia="Arial" w:hAnsi="Arial"/>
          <w:sz w:val="17"/>
          <w:szCs w:val="17"/>
          <w:color w:val="auto"/>
        </w:rPr>
      </w:pPr>
    </w:p>
    <w:p>
      <w:pPr>
        <w:ind w:left="580" w:hanging="292"/>
        <w:spacing w:after="0" w:line="266"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Truth in Negotiations Act, which requires certification and disclosure of cost and pricing data in connection with the negotiation of a contract, modification, or task order;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753" w:right="239" w:bottom="1440" w:gutter="0" w:footer="0" w:header="0"/>
        </w:sectPr>
      </w:pPr>
    </w:p>
    <w:bookmarkStart w:id="19" w:name="page20"/>
    <w:bookmarkEnd w:id="19"/>
    <w:p>
      <w:pPr>
        <w:ind w:left="580" w:right="640" w:hanging="292"/>
        <w:spacing w:after="0" w:line="266"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laws and regulations restricting the ability of a contractor to provide gifts or gratuities to employees of the U.S. government;</w:t>
      </w:r>
    </w:p>
    <w:p>
      <w:pPr>
        <w:spacing w:after="0" w:line="104" w:lineRule="exact"/>
        <w:rPr>
          <w:rFonts w:ascii="Arial" w:cs="Arial" w:eastAsia="Arial" w:hAnsi="Arial"/>
          <w:sz w:val="17"/>
          <w:szCs w:val="17"/>
          <w:color w:val="auto"/>
        </w:rPr>
      </w:pPr>
    </w:p>
    <w:p>
      <w:pPr>
        <w:ind w:left="580" w:right="320" w:hanging="292"/>
        <w:spacing w:after="0" w:line="266"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post government employment laws and regulations, which restrict the ability of a contractor to recruit and hire current employees of the U.S. government and deploy former employees of the U.S. government;</w:t>
      </w:r>
    </w:p>
    <w:p>
      <w:pPr>
        <w:spacing w:after="0" w:line="67" w:lineRule="exact"/>
        <w:rPr>
          <w:rFonts w:ascii="Arial" w:cs="Arial" w:eastAsia="Arial" w:hAnsi="Arial"/>
          <w:sz w:val="17"/>
          <w:szCs w:val="17"/>
          <w:color w:val="auto"/>
        </w:rPr>
      </w:pPr>
    </w:p>
    <w:p>
      <w:pPr>
        <w:jc w:val="both"/>
        <w:ind w:left="580" w:right="240" w:hanging="292"/>
        <w:spacing w:after="0" w:line="256"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use and dissemination of i) information classified for national security purposes and the export of certain products, services, and technical data, including requirements regarding any applicable licensing of our employees involved in such work; and ii) sensitive but unclassified data;</w:t>
      </w:r>
    </w:p>
    <w:p>
      <w:pPr>
        <w:spacing w:after="0" w:line="75" w:lineRule="exact"/>
        <w:rPr>
          <w:rFonts w:ascii="Arial" w:cs="Arial" w:eastAsia="Arial" w:hAnsi="Arial"/>
          <w:sz w:val="17"/>
          <w:szCs w:val="17"/>
          <w:color w:val="auto"/>
        </w:rPr>
      </w:pPr>
    </w:p>
    <w:p>
      <w:pPr>
        <w:ind w:left="580" w:right="180" w:hanging="292"/>
        <w:spacing w:after="0" w:line="266"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laws, regulations, and executive orders regulating the handling, use, and dissemination of personally identifiable information in the course of performing a U.S. government contract;</w:t>
      </w:r>
    </w:p>
    <w:p>
      <w:pPr>
        <w:spacing w:after="0" w:line="67" w:lineRule="exact"/>
        <w:rPr>
          <w:rFonts w:ascii="Arial" w:cs="Arial" w:eastAsia="Arial" w:hAnsi="Arial"/>
          <w:sz w:val="17"/>
          <w:szCs w:val="17"/>
          <w:color w:val="auto"/>
        </w:rPr>
      </w:pPr>
    </w:p>
    <w:p>
      <w:pPr>
        <w:ind w:left="580" w:hanging="292"/>
        <w:spacing w:after="0" w:line="279"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59" w:lineRule="exact"/>
        <w:rPr>
          <w:rFonts w:ascii="Arial" w:cs="Arial" w:eastAsia="Arial" w:hAnsi="Arial"/>
          <w:sz w:val="16"/>
          <w:szCs w:val="16"/>
          <w:color w:val="auto"/>
        </w:rPr>
      </w:pPr>
    </w:p>
    <w:p>
      <w:pPr>
        <w:ind w:left="580" w:right="180" w:hanging="292"/>
        <w:spacing w:after="0" w:line="266"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laws, regulations and executive orders that impose requirements on us to ensure compliance with requirements and protect the government from risks related to our supply chain;</w:t>
      </w:r>
    </w:p>
    <w:p>
      <w:pPr>
        <w:spacing w:after="0" w:line="67" w:lineRule="exact"/>
        <w:rPr>
          <w:rFonts w:ascii="Arial" w:cs="Arial" w:eastAsia="Arial" w:hAnsi="Arial"/>
          <w:sz w:val="17"/>
          <w:szCs w:val="17"/>
          <w:color w:val="auto"/>
        </w:rPr>
      </w:pPr>
    </w:p>
    <w:p>
      <w:pPr>
        <w:ind w:left="580" w:right="460" w:hanging="292"/>
        <w:spacing w:after="0" w:line="266"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laws, regulations and mandatory contract provisions providing protections to employees or subcontractors seeking to report alleged fraud, waste, and abuse related to a government contract;</w:t>
      </w:r>
    </w:p>
    <w:p>
      <w:pPr>
        <w:spacing w:after="0" w:line="67" w:lineRule="exact"/>
        <w:rPr>
          <w:rFonts w:ascii="Arial" w:cs="Arial" w:eastAsia="Arial" w:hAnsi="Arial"/>
          <w:sz w:val="17"/>
          <w:szCs w:val="17"/>
          <w:color w:val="auto"/>
        </w:rPr>
      </w:pPr>
    </w:p>
    <w:p>
      <w:pPr>
        <w:ind w:left="580" w:right="280" w:hanging="292"/>
        <w:spacing w:after="0" w:line="256"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75" w:lineRule="exact"/>
        <w:rPr>
          <w:rFonts w:ascii="Arial" w:cs="Arial" w:eastAsia="Arial" w:hAnsi="Arial"/>
          <w:sz w:val="17"/>
          <w:szCs w:val="17"/>
          <w:color w:val="auto"/>
        </w:rPr>
      </w:pPr>
    </w:p>
    <w:p>
      <w:pPr>
        <w:ind w:left="580" w:right="80" w:hanging="292"/>
        <w:spacing w:after="0" w:line="266"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FAR Cost Accounting Standards and Cost Principles, which impose accounting requirements that govern our right to reimbursement under certain cost-based U.S. government contracts and require consistency of accounting practices over time.</w:t>
      </w:r>
    </w:p>
    <w:p>
      <w:pPr>
        <w:spacing w:after="0" w:line="67" w:lineRule="exact"/>
        <w:rPr>
          <w:sz w:val="20"/>
          <w:szCs w:val="20"/>
          <w:color w:val="auto"/>
        </w:rPr>
      </w:pPr>
    </w:p>
    <w:p>
      <w:pPr>
        <w:jc w:val="both"/>
        <w:ind w:right="120" w:firstLine="400"/>
        <w:spacing w:after="0" w:line="306" w:lineRule="auto"/>
        <w:rPr>
          <w:sz w:val="20"/>
          <w:szCs w:val="20"/>
          <w:color w:val="auto"/>
        </w:rPr>
      </w:pPr>
      <w:r>
        <w:rPr>
          <w:rFonts w:ascii="Arial" w:cs="Arial" w:eastAsia="Arial" w:hAnsi="Arial"/>
          <w:sz w:val="15"/>
          <w:szCs w:val="15"/>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41" w:lineRule="exact"/>
        <w:rPr>
          <w:sz w:val="20"/>
          <w:szCs w:val="20"/>
          <w:color w:val="auto"/>
        </w:rPr>
      </w:pPr>
    </w:p>
    <w:p>
      <w:pPr>
        <w:ind w:right="20" w:firstLine="400"/>
        <w:spacing w:after="0" w:line="265" w:lineRule="auto"/>
        <w:rPr>
          <w:sz w:val="20"/>
          <w:szCs w:val="20"/>
          <w:color w:val="auto"/>
        </w:rPr>
      </w:pPr>
      <w:r>
        <w:rPr>
          <w:rFonts w:ascii="Arial" w:cs="Arial" w:eastAsia="Arial" w:hAnsi="Arial"/>
          <w:sz w:val="16"/>
          <w:szCs w:val="16"/>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71" w:lineRule="exact"/>
        <w:rPr>
          <w:sz w:val="20"/>
          <w:szCs w:val="20"/>
          <w:color w:val="auto"/>
        </w:rPr>
      </w:pPr>
    </w:p>
    <w:p>
      <w:pPr>
        <w:ind w:right="140" w:firstLine="400"/>
        <w:spacing w:after="0" w:line="251" w:lineRule="auto"/>
        <w:rPr>
          <w:sz w:val="20"/>
          <w:szCs w:val="20"/>
          <w:color w:val="auto"/>
        </w:rPr>
      </w:pPr>
      <w:r>
        <w:rPr>
          <w:rFonts w:ascii="Arial" w:cs="Arial" w:eastAsia="Arial" w:hAnsi="Arial"/>
          <w:sz w:val="17"/>
          <w:szCs w:val="17"/>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"Business — Regulation."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753" w:right="239" w:bottom="1440" w:gutter="0" w:footer="0" w:header="0"/>
        </w:sectPr>
      </w:pPr>
    </w:p>
    <w:bookmarkStart w:id="20" w:name="page21"/>
    <w:bookmarkEnd w:id="20"/>
    <w:p>
      <w:pPr>
        <w:ind w:right="100" w:firstLine="375"/>
        <w:spacing w:after="0" w:line="373" w:lineRule="auto"/>
        <w:rPr>
          <w:sz w:val="20"/>
          <w:szCs w:val="20"/>
          <w:color w:val="auto"/>
        </w:rPr>
      </w:pPr>
      <w:r>
        <w:rPr>
          <w:rFonts w:ascii="Arial" w:cs="Arial" w:eastAsia="Arial" w:hAnsi="Arial"/>
          <w:sz w:val="14"/>
          <w:szCs w:val="14"/>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ind w:right="500" w:firstLine="400"/>
        <w:spacing w:after="0" w:line="334" w:lineRule="auto"/>
        <w:rPr>
          <w:sz w:val="20"/>
          <w:szCs w:val="20"/>
          <w:color w:val="auto"/>
        </w:rPr>
      </w:pPr>
      <w:r>
        <w:rPr>
          <w:rFonts w:ascii="Arial" w:cs="Arial" w:eastAsia="Arial" w:hAnsi="Arial"/>
          <w:sz w:val="15"/>
          <w:szCs w:val="15"/>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competitive bidding process involves risk and significant costs to businesses operating in this environment, including:</w:t>
      </w:r>
    </w:p>
    <w:p>
      <w:pPr>
        <w:spacing w:after="0" w:line="105" w:lineRule="exact"/>
        <w:rPr>
          <w:sz w:val="20"/>
          <w:szCs w:val="20"/>
          <w:color w:val="auto"/>
        </w:rPr>
      </w:pPr>
    </w:p>
    <w:p>
      <w:pPr>
        <w:ind w:left="580" w:hanging="292"/>
        <w:spacing w:after="0" w:line="334"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20" w:lineRule="exact"/>
        <w:rPr>
          <w:rFonts w:ascii="Arial" w:cs="Arial" w:eastAsia="Arial" w:hAnsi="Arial"/>
          <w:sz w:val="15"/>
          <w:szCs w:val="15"/>
          <w:color w:val="auto"/>
        </w:rPr>
      </w:pPr>
    </w:p>
    <w:p>
      <w:pPr>
        <w:ind w:left="580" w:hanging="292"/>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substantial cost and managerial time and effort spent to prepare bids and proposals for contracts that may not be awarded to us;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to accurately estimate the resources and costs that will be required to service any contract we are awarded;</w:t>
      </w:r>
    </w:p>
    <w:p>
      <w:pPr>
        <w:spacing w:after="0" w:line="104" w:lineRule="exact"/>
        <w:rPr>
          <w:rFonts w:ascii="Arial" w:cs="Arial" w:eastAsia="Arial" w:hAnsi="Arial"/>
          <w:sz w:val="17"/>
          <w:szCs w:val="17"/>
          <w:color w:val="auto"/>
        </w:rPr>
      </w:pPr>
    </w:p>
    <w:p>
      <w:pPr>
        <w:ind w:left="580" w:right="320" w:hanging="292"/>
        <w:spacing w:after="0" w:line="256" w:lineRule="auto"/>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75" w:lineRule="exact"/>
        <w:rPr>
          <w:rFonts w:ascii="Arial" w:cs="Arial" w:eastAsia="Arial" w:hAnsi="Arial"/>
          <w:sz w:val="17"/>
          <w:szCs w:val="17"/>
          <w:color w:val="auto"/>
        </w:rPr>
      </w:pPr>
    </w:p>
    <w:p>
      <w:pPr>
        <w:ind w:left="580" w:hanging="292"/>
        <w:spacing w:after="0"/>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opportunity cost of not bidding and winning other contracts we might have otherwise pursued.</w:t>
      </w:r>
    </w:p>
    <w:p>
      <w:pPr>
        <w:spacing w:after="0" w:line="105" w:lineRule="exact"/>
        <w:rPr>
          <w:sz w:val="20"/>
          <w:szCs w:val="20"/>
          <w:color w:val="auto"/>
        </w:rPr>
      </w:pPr>
    </w:p>
    <w:p>
      <w:pPr>
        <w:ind w:right="60" w:firstLine="400"/>
        <w:spacing w:after="0" w:line="251" w:lineRule="auto"/>
        <w:rPr>
          <w:sz w:val="20"/>
          <w:szCs w:val="20"/>
          <w:color w:val="auto"/>
        </w:rPr>
      </w:pPr>
      <w:r>
        <w:rPr>
          <w:rFonts w:ascii="Arial" w:cs="Arial" w:eastAsia="Arial" w:hAnsi="Arial"/>
          <w:sz w:val="17"/>
          <w:szCs w:val="17"/>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79" w:lineRule="exact"/>
        <w:rPr>
          <w:sz w:val="20"/>
          <w:szCs w:val="20"/>
          <w:color w:val="auto"/>
        </w:rPr>
      </w:pPr>
    </w:p>
    <w:p>
      <w:pPr>
        <w:ind w:right="20" w:firstLine="400"/>
        <w:spacing w:after="0" w:line="297" w:lineRule="auto"/>
        <w:rPr>
          <w:sz w:val="20"/>
          <w:szCs w:val="20"/>
          <w:color w:val="auto"/>
        </w:rPr>
      </w:pPr>
      <w:r>
        <w:rPr>
          <w:rFonts w:ascii="Arial" w:cs="Arial" w:eastAsia="Arial" w:hAnsi="Arial"/>
          <w:sz w:val="15"/>
          <w:szCs w:val="15"/>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47" w:lineRule="exact"/>
        <w:rPr>
          <w:sz w:val="20"/>
          <w:szCs w:val="20"/>
          <w:color w:val="auto"/>
        </w:rPr>
      </w:pPr>
    </w:p>
    <w:p>
      <w:pPr>
        <w:ind w:right="240" w:firstLine="375"/>
        <w:spacing w:after="0" w:line="266" w:lineRule="auto"/>
        <w:rPr>
          <w:sz w:val="20"/>
          <w:szCs w:val="20"/>
          <w:color w:val="auto"/>
        </w:rPr>
      </w:pPr>
      <w:r>
        <w:rPr>
          <w:rFonts w:ascii="Arial" w:cs="Arial" w:eastAsia="Arial" w:hAnsi="Arial"/>
          <w:sz w:val="17"/>
          <w:szCs w:val="17"/>
          <w:b w:val="1"/>
          <w:bCs w:val="1"/>
          <w:i w:val="1"/>
          <w:iCs w:val="1"/>
          <w:color w:val="auto"/>
        </w:rPr>
        <w:t>A significant majority of our revenue is derived from task orders under indefinite delivery/indefinite quantity, or IDIQ, contract vehicles where we perform in either a prime or subcontract position.</w:t>
      </w:r>
    </w:p>
    <w:p>
      <w:pPr>
        <w:spacing w:after="0" w:line="67" w:lineRule="exact"/>
        <w:rPr>
          <w:sz w:val="20"/>
          <w:szCs w:val="20"/>
          <w:color w:val="auto"/>
        </w:rPr>
      </w:pPr>
    </w:p>
    <w:p>
      <w:pPr>
        <w:ind w:right="60" w:firstLine="400"/>
        <w:spacing w:after="0" w:line="251" w:lineRule="auto"/>
        <w:rPr>
          <w:sz w:val="20"/>
          <w:szCs w:val="20"/>
          <w:color w:val="auto"/>
        </w:rPr>
      </w:pPr>
      <w:r>
        <w:rPr>
          <w:rFonts w:ascii="Arial" w:cs="Arial" w:eastAsia="Arial" w:hAnsi="Arial"/>
          <w:sz w:val="17"/>
          <w:szCs w:val="17"/>
          <w:color w:val="auto"/>
        </w:rPr>
        <w:t>We believe that one of the key elements of our success is our position as the holder of over 3,900 active task orders under IDIQ contract vehicles as of March 31, 2017.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In addition, if the U.S. government elects to use a contract vehicle that we do not hold, we will not be able to compete for work under that contract vehicle as a prime contractor.</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earn less revenue than projected, or no revenue, under certain of our contracts.</w:t>
      </w:r>
    </w:p>
    <w:p>
      <w:pPr>
        <w:spacing w:after="0" w:line="105" w:lineRule="exact"/>
        <w:rPr>
          <w:sz w:val="20"/>
          <w:szCs w:val="20"/>
          <w:color w:val="auto"/>
        </w:rPr>
      </w:pPr>
    </w:p>
    <w:p>
      <w:pPr>
        <w:ind w:right="60" w:firstLine="400"/>
        <w:spacing w:after="0" w:line="289" w:lineRule="auto"/>
        <w:rPr>
          <w:sz w:val="20"/>
          <w:szCs w:val="20"/>
          <w:color w:val="auto"/>
        </w:rPr>
      </w:pPr>
      <w:r>
        <w:rPr>
          <w:rFonts w:ascii="Arial" w:cs="Arial" w:eastAsia="Arial" w:hAnsi="Arial"/>
          <w:sz w:val="15"/>
          <w:szCs w:val="15"/>
          <w:color w:val="auto"/>
        </w:rPr>
        <w:t>Many of our contracts with our clients are IDIQ contracts. 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753" w:right="239" w:bottom="1440" w:gutter="0" w:footer="0" w:header="0"/>
        </w:sectPr>
      </w:pPr>
    </w:p>
    <w:bookmarkStart w:id="21" w:name="page22"/>
    <w:bookmarkEnd w:id="21"/>
    <w:p>
      <w:pPr>
        <w:ind w:right="460" w:firstLine="375"/>
        <w:spacing w:after="0" w:line="266" w:lineRule="auto"/>
        <w:rPr>
          <w:sz w:val="20"/>
          <w:szCs w:val="20"/>
          <w:color w:val="auto"/>
        </w:rPr>
      </w:pPr>
      <w:r>
        <w:rPr>
          <w:rFonts w:ascii="Arial" w:cs="Arial" w:eastAsia="Arial" w:hAnsi="Arial"/>
          <w:sz w:val="17"/>
          <w:szCs w:val="17"/>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67" w:lineRule="exact"/>
        <w:rPr>
          <w:sz w:val="20"/>
          <w:szCs w:val="20"/>
          <w:color w:val="auto"/>
        </w:rPr>
      </w:pPr>
    </w:p>
    <w:p>
      <w:pPr>
        <w:ind w:right="100" w:firstLine="400"/>
        <w:spacing w:after="0" w:line="266" w:lineRule="auto"/>
        <w:rPr>
          <w:sz w:val="20"/>
          <w:szCs w:val="20"/>
          <w:color w:val="auto"/>
        </w:rPr>
      </w:pPr>
      <w:r>
        <w:rPr>
          <w:rFonts w:ascii="Arial" w:cs="Arial" w:eastAsia="Arial" w:hAnsi="Arial"/>
          <w:sz w:val="17"/>
          <w:szCs w:val="17"/>
          <w:color w:val="auto"/>
        </w:rPr>
        <w:t>We enter into three general types of U.S. government contracts for our services: cost-reimbursable, time-and-materials, and fixed-price. For fiscal 2017, we derived 50% of our revenue from cost-reimbursable contracts, 26% from time-and-materials contracts and 24% from fixed-price contracts.</w:t>
      </w:r>
    </w:p>
    <w:p>
      <w:pPr>
        <w:spacing w:after="0" w:line="67" w:lineRule="exact"/>
        <w:rPr>
          <w:sz w:val="20"/>
          <w:szCs w:val="20"/>
          <w:color w:val="auto"/>
        </w:rPr>
      </w:pPr>
    </w:p>
    <w:p>
      <w:pPr>
        <w:ind w:right="60" w:firstLine="400"/>
        <w:spacing w:after="0" w:line="266" w:lineRule="auto"/>
        <w:rPr>
          <w:sz w:val="20"/>
          <w:szCs w:val="20"/>
          <w:color w:val="auto"/>
        </w:rPr>
      </w:pPr>
      <w:r>
        <w:rPr>
          <w:rFonts w:ascii="Arial" w:cs="Arial" w:eastAsia="Arial" w:hAnsi="Arial"/>
          <w:sz w:val="17"/>
          <w:szCs w:val="17"/>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67" w:lineRule="exact"/>
        <w:rPr>
          <w:sz w:val="20"/>
          <w:szCs w:val="20"/>
          <w:color w:val="auto"/>
        </w:rPr>
      </w:pPr>
    </w:p>
    <w:p>
      <w:pPr>
        <w:ind w:right="240" w:firstLine="400"/>
        <w:spacing w:after="0" w:line="289" w:lineRule="auto"/>
        <w:rPr>
          <w:sz w:val="20"/>
          <w:szCs w:val="20"/>
          <w:color w:val="auto"/>
        </w:rPr>
      </w:pPr>
      <w:r>
        <w:rPr>
          <w:rFonts w:ascii="Arial" w:cs="Arial" w:eastAsia="Arial" w:hAnsi="Arial"/>
          <w:sz w:val="15"/>
          <w:szCs w:val="15"/>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 including the adoption of interim rules by federal agencies implementing a section of the Bipartisan Budget Act of 2013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56" w:lineRule="exact"/>
        <w:rPr>
          <w:sz w:val="20"/>
          <w:szCs w:val="20"/>
          <w:color w:val="auto"/>
        </w:rPr>
      </w:pPr>
    </w:p>
    <w:p>
      <w:pPr>
        <w:ind w:right="200" w:firstLine="400"/>
        <w:spacing w:after="0" w:line="266" w:lineRule="auto"/>
        <w:rPr>
          <w:sz w:val="20"/>
          <w:szCs w:val="20"/>
          <w:color w:val="auto"/>
        </w:rPr>
      </w:pPr>
      <w:r>
        <w:rPr>
          <w:rFonts w:ascii="Arial" w:cs="Arial" w:eastAsia="Arial" w:hAnsi="Arial"/>
          <w:sz w:val="17"/>
          <w:szCs w:val="17"/>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67" w:lineRule="exact"/>
        <w:rPr>
          <w:sz w:val="20"/>
          <w:szCs w:val="20"/>
          <w:color w:val="auto"/>
        </w:rPr>
      </w:pPr>
    </w:p>
    <w:p>
      <w:pPr>
        <w:ind w:firstLine="400"/>
        <w:spacing w:after="0" w:line="251" w:lineRule="auto"/>
        <w:rPr>
          <w:sz w:val="20"/>
          <w:szCs w:val="20"/>
          <w:color w:val="auto"/>
        </w:rPr>
      </w:pPr>
      <w:r>
        <w:rPr>
          <w:rFonts w:ascii="Arial" w:cs="Arial" w:eastAsia="Arial" w:hAnsi="Arial"/>
          <w:sz w:val="17"/>
          <w:szCs w:val="17"/>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79" w:lineRule="exact"/>
        <w:rPr>
          <w:sz w:val="20"/>
          <w:szCs w:val="20"/>
          <w:color w:val="auto"/>
        </w:rPr>
      </w:pPr>
    </w:p>
    <w:p>
      <w:pPr>
        <w:ind w:right="380" w:firstLine="375"/>
        <w:spacing w:after="0" w:line="268" w:lineRule="auto"/>
        <w:rPr>
          <w:sz w:val="20"/>
          <w:szCs w:val="20"/>
          <w:color w:val="auto"/>
        </w:rPr>
      </w:pPr>
      <w:r>
        <w:rPr>
          <w:rFonts w:ascii="Arial" w:cs="Arial" w:eastAsia="Arial" w:hAnsi="Arial"/>
          <w:sz w:val="16"/>
          <w:szCs w:val="16"/>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accounting principles generally accepted in the United States, or GAAP, but our contract loss provisions may not be adequate to cover all actual losses that we may incur in the future.</w:t>
      </w:r>
    </w:p>
    <w:p>
      <w:pPr>
        <w:spacing w:after="0" w:line="69" w:lineRule="exact"/>
        <w:rPr>
          <w:sz w:val="20"/>
          <w:szCs w:val="20"/>
          <w:color w:val="auto"/>
        </w:rPr>
      </w:pPr>
    </w:p>
    <w:p>
      <w:pPr>
        <w:ind w:right="40" w:firstLine="375"/>
        <w:spacing w:after="0" w:line="266" w:lineRule="auto"/>
        <w:rPr>
          <w:sz w:val="20"/>
          <w:szCs w:val="20"/>
          <w:color w:val="auto"/>
        </w:rPr>
      </w:pPr>
      <w:r>
        <w:rPr>
          <w:rFonts w:ascii="Arial" w:cs="Arial" w:eastAsia="Arial" w:hAnsi="Arial"/>
          <w:sz w:val="17"/>
          <w:szCs w:val="17"/>
          <w:b w:val="1"/>
          <w:bCs w:val="1"/>
          <w:i w:val="1"/>
          <w:iCs w:val="1"/>
          <w:color w:val="auto"/>
        </w:rPr>
        <w:t>Our professional reputation is critical to our business, and any harm to our reputation could decrease the amount of business the U.S. government does with us, which could have a material adverse effect on our future revenue and growth prospects.</w:t>
      </w:r>
    </w:p>
    <w:p>
      <w:pPr>
        <w:spacing w:after="0" w:line="67" w:lineRule="exact"/>
        <w:rPr>
          <w:sz w:val="20"/>
          <w:szCs w:val="20"/>
          <w:color w:val="auto"/>
        </w:rPr>
      </w:pPr>
    </w:p>
    <w:p>
      <w:pPr>
        <w:ind w:right="40" w:firstLine="375"/>
        <w:spacing w:after="0" w:line="285" w:lineRule="auto"/>
        <w:rPr>
          <w:sz w:val="20"/>
          <w:szCs w:val="20"/>
          <w:color w:val="auto"/>
        </w:rPr>
      </w:pPr>
      <w:r>
        <w:rPr>
          <w:rFonts w:ascii="Arial" w:cs="Arial" w:eastAsia="Arial" w:hAnsi="Arial"/>
          <w:sz w:val="15"/>
          <w:szCs w:val="15"/>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Negative press reports regarding poor contract performance, employee misconduct, information security breaches,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with these agencies is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53" w:right="239" w:bottom="1440" w:gutter="0" w:footer="0" w:header="0"/>
        </w:sectPr>
      </w:pPr>
    </w:p>
    <w:bookmarkStart w:id="22" w:name="page23"/>
    <w:bookmarkEnd w:id="22"/>
    <w:p>
      <w:pPr>
        <w:ind w:left="380"/>
        <w:spacing w:after="0"/>
        <w:rPr>
          <w:sz w:val="20"/>
          <w:szCs w:val="20"/>
          <w:color w:val="auto"/>
        </w:rPr>
      </w:pPr>
      <w:r>
        <w:rPr>
          <w:rFonts w:ascii="Arial" w:cs="Arial" w:eastAsia="Arial" w:hAnsi="Arial"/>
          <w:sz w:val="15"/>
          <w:szCs w:val="15"/>
          <w:b w:val="1"/>
          <w:bCs w:val="1"/>
          <w:i w:val="1"/>
          <w:iCs w:val="1"/>
          <w:color w:val="auto"/>
        </w:rPr>
        <w:t>We use estimates in recognizing revenue and if we make changes to estimates used in recognizing revenue, our profitability may be adversely affected.</w:t>
      </w:r>
    </w:p>
    <w:p>
      <w:pPr>
        <w:spacing w:after="0" w:line="128" w:lineRule="exact"/>
        <w:rPr>
          <w:sz w:val="20"/>
          <w:szCs w:val="20"/>
          <w:color w:val="auto"/>
        </w:rPr>
      </w:pPr>
    </w:p>
    <w:p>
      <w:pPr>
        <w:ind w:firstLine="400"/>
        <w:spacing w:after="0" w:line="292" w:lineRule="auto"/>
        <w:rPr>
          <w:sz w:val="20"/>
          <w:szCs w:val="20"/>
          <w:color w:val="auto"/>
        </w:rPr>
      </w:pPr>
      <w:r>
        <w:rPr>
          <w:rFonts w:ascii="Arial" w:cs="Arial" w:eastAsia="Arial" w:hAnsi="Arial"/>
          <w:sz w:val="15"/>
          <w:szCs w:val="15"/>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52" w:lineRule="exact"/>
        <w:rPr>
          <w:sz w:val="20"/>
          <w:szCs w:val="20"/>
          <w:color w:val="auto"/>
        </w:rPr>
      </w:pPr>
    </w:p>
    <w:p>
      <w:pPr>
        <w:ind w:right="160" w:firstLine="400"/>
        <w:spacing w:after="0" w:line="252" w:lineRule="auto"/>
        <w:rPr>
          <w:sz w:val="20"/>
          <w:szCs w:val="20"/>
          <w:color w:val="auto"/>
        </w:rPr>
      </w:pPr>
      <w:r>
        <w:rPr>
          <w:rFonts w:ascii="Arial" w:cs="Arial" w:eastAsia="Arial" w:hAnsi="Arial"/>
          <w:sz w:val="17"/>
          <w:szCs w:val="17"/>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not realize the full value of our backlog, which may result in lower than expected revenue.</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March 31, 2017, our total backlog was $13.6 billion, of which $2.8 billion was funded. We define backlog to include the following three components:</w:t>
      </w:r>
    </w:p>
    <w:p>
      <w:pPr>
        <w:spacing w:after="0" w:line="116" w:lineRule="exact"/>
        <w:rPr>
          <w:sz w:val="20"/>
          <w:szCs w:val="20"/>
          <w:color w:val="auto"/>
        </w:rPr>
      </w:pPr>
    </w:p>
    <w:p>
      <w:pPr>
        <w:ind w:left="580" w:right="380" w:hanging="292"/>
        <w:spacing w:after="0" w:line="266" w:lineRule="auto"/>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Funded Backlog. </w:t>
      </w:r>
      <w:r>
        <w:rPr>
          <w:rFonts w:ascii="Arial" w:cs="Arial" w:eastAsia="Arial" w:hAnsi="Arial"/>
          <w:sz w:val="17"/>
          <w:szCs w:val="17"/>
          <w:color w:val="auto"/>
        </w:rPr>
        <w:t>Funded backlog represents the revenue value of orders for services under existing contracts for which funding is appropriated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less revenue previously recognized on these contracts.</w:t>
      </w:r>
    </w:p>
    <w:p>
      <w:pPr>
        <w:spacing w:after="0" w:line="67" w:lineRule="exact"/>
        <w:rPr>
          <w:rFonts w:ascii="Arial" w:cs="Arial" w:eastAsia="Arial" w:hAnsi="Arial"/>
          <w:sz w:val="17"/>
          <w:szCs w:val="17"/>
          <w:color w:val="auto"/>
        </w:rPr>
      </w:pPr>
    </w:p>
    <w:p>
      <w:pPr>
        <w:ind w:left="580" w:right="40" w:hanging="292"/>
        <w:spacing w:after="0" w:line="266" w:lineRule="auto"/>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Unfunded Backlog. </w:t>
      </w:r>
      <w:r>
        <w:rPr>
          <w:rFonts w:ascii="Arial" w:cs="Arial" w:eastAsia="Arial" w:hAnsi="Arial"/>
          <w:sz w:val="17"/>
          <w:szCs w:val="17"/>
          <w:color w:val="auto"/>
        </w:rPr>
        <w:t>Unfunded backlog represents the revenue value of orders for services under existing contracts for which funding has not been appropriated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authorized.</w:t>
      </w:r>
    </w:p>
    <w:p>
      <w:pPr>
        <w:spacing w:after="0" w:line="67" w:lineRule="exact"/>
        <w:rPr>
          <w:rFonts w:ascii="Arial" w:cs="Arial" w:eastAsia="Arial" w:hAnsi="Arial"/>
          <w:sz w:val="17"/>
          <w:szCs w:val="17"/>
          <w:color w:val="auto"/>
        </w:rPr>
      </w:pPr>
    </w:p>
    <w:p>
      <w:pPr>
        <w:ind w:left="580" w:hanging="292"/>
        <w:spacing w:after="0" w:line="266" w:lineRule="auto"/>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 that may be exercised at</w:t>
      </w:r>
      <w:r>
        <w:rPr>
          <w:rFonts w:ascii="Arial" w:cs="Arial" w:eastAsia="Arial" w:hAnsi="Arial"/>
          <w:sz w:val="17"/>
          <w:szCs w:val="17"/>
          <w:i w:val="1"/>
          <w:iCs w:val="1"/>
          <w:color w:val="auto"/>
        </w:rPr>
        <w:t xml:space="preserve"> </w:t>
      </w:r>
      <w:r>
        <w:rPr>
          <w:rFonts w:ascii="Arial" w:cs="Arial" w:eastAsia="Arial" w:hAnsi="Arial"/>
          <w:sz w:val="17"/>
          <w:szCs w:val="17"/>
          <w:color w:val="auto"/>
        </w:rPr>
        <w:t>our clients’ option and for which funding has not been appropriated or otherwise authorized.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16" w:lineRule="exact"/>
        <w:rPr>
          <w:sz w:val="20"/>
          <w:szCs w:val="20"/>
          <w:color w:val="auto"/>
        </w:rPr>
      </w:pPr>
    </w:p>
    <w:p>
      <w:pPr>
        <w:ind w:right="280" w:firstLine="400"/>
        <w:spacing w:after="0" w:line="282" w:lineRule="auto"/>
        <w:rPr>
          <w:sz w:val="20"/>
          <w:szCs w:val="20"/>
          <w:color w:val="auto"/>
        </w:rPr>
      </w:pPr>
      <w:r>
        <w:rPr>
          <w:rFonts w:ascii="Arial" w:cs="Arial" w:eastAsia="Arial" w:hAnsi="Arial"/>
          <w:sz w:val="15"/>
          <w:szCs w:val="15"/>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w:t>
      </w:r>
    </w:p>
    <w:p>
      <w:pPr>
        <w:spacing w:after="0" w:line="3"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U.S. government spending and/or the automatic federal defense spending cuts required by sequestration; in the case of funded backlog, the period of performance for the contract has expired;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Furthermore, even if our backlog results in revenue, the contracts may not be profitable.</w:t>
      </w:r>
    </w:p>
    <w:p>
      <w:pPr>
        <w:spacing w:after="0" w:line="57" w:lineRule="exact"/>
        <w:rPr>
          <w:sz w:val="20"/>
          <w:szCs w:val="20"/>
          <w:color w:val="auto"/>
        </w:rPr>
      </w:pPr>
    </w:p>
    <w:p>
      <w:pPr>
        <w:ind w:right="440" w:firstLine="375"/>
        <w:spacing w:after="0" w:line="266" w:lineRule="auto"/>
        <w:rPr>
          <w:sz w:val="20"/>
          <w:szCs w:val="20"/>
          <w:color w:val="auto"/>
        </w:rPr>
      </w:pPr>
      <w:r>
        <w:rPr>
          <w:rFonts w:ascii="Arial" w:cs="Arial" w:eastAsia="Arial" w:hAnsi="Arial"/>
          <w:sz w:val="17"/>
          <w:szCs w:val="17"/>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67" w:lineRule="exact"/>
        <w:rPr>
          <w:sz w:val="20"/>
          <w:szCs w:val="20"/>
          <w:color w:val="auto"/>
        </w:rPr>
      </w:pPr>
    </w:p>
    <w:p>
      <w:pPr>
        <w:ind w:right="120" w:firstLine="400"/>
        <w:spacing w:after="0" w:line="287" w:lineRule="auto"/>
        <w:rPr>
          <w:sz w:val="20"/>
          <w:szCs w:val="20"/>
          <w:color w:val="auto"/>
        </w:rPr>
      </w:pPr>
      <w:r>
        <w:rPr>
          <w:rFonts w:ascii="Arial" w:cs="Arial" w:eastAsia="Arial" w:hAnsi="Arial"/>
          <w:sz w:val="15"/>
          <w:szCs w:val="15"/>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 U.S. government contractors, the</w:t>
      </w:r>
    </w:p>
    <w:p>
      <w:pPr>
        <w:ind w:right="100"/>
        <w:spacing w:after="0" w:line="266" w:lineRule="auto"/>
        <w:rPr>
          <w:sz w:val="20"/>
          <w:szCs w:val="20"/>
          <w:color w:val="auto"/>
        </w:rPr>
      </w:pPr>
      <w:r>
        <w:rPr>
          <w:rFonts w:ascii="Arial" w:cs="Arial" w:eastAsia="Arial" w:hAnsi="Arial"/>
          <w:sz w:val="16"/>
          <w:szCs w:val="16"/>
          <w:color w:val="auto"/>
        </w:rPr>
        <w:t>U.S. government, and private industry, and such competition is intense. Personnel with the requisite skills, qualifications, or security clearance may be in short supply or generally unavailable.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If we are unable to recruit and retain a sufficient number of qualified employees, or fail to deploy such employees or obtain their appropriate security clearances in a timely manner, our ability to maintain and grow our business and to effectively serve our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753" w:right="259" w:bottom="1440" w:gutter="0" w:footer="0" w:header="0"/>
        </w:sectPr>
      </w:pPr>
    </w:p>
    <w:bookmarkStart w:id="23" w:name="page24"/>
    <w:bookmarkEnd w:id="23"/>
    <w:p>
      <w:pPr>
        <w:ind w:right="100"/>
        <w:spacing w:after="0" w:line="256" w:lineRule="auto"/>
        <w:rPr>
          <w:sz w:val="20"/>
          <w:szCs w:val="20"/>
          <w:color w:val="auto"/>
        </w:rPr>
      </w:pPr>
      <w:r>
        <w:rPr>
          <w:rFonts w:ascii="Arial" w:cs="Arial" w:eastAsia="Arial" w:hAnsi="Arial"/>
          <w:sz w:val="17"/>
          <w:szCs w:val="17"/>
          <w:color w:val="auto"/>
        </w:rPr>
        <w:t>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75" w:lineRule="exact"/>
        <w:rPr>
          <w:sz w:val="20"/>
          <w:szCs w:val="20"/>
          <w:color w:val="auto"/>
        </w:rPr>
      </w:pPr>
    </w:p>
    <w:p>
      <w:pPr>
        <w:ind w:right="120" w:firstLine="400"/>
        <w:spacing w:after="0" w:line="252" w:lineRule="auto"/>
        <w:rPr>
          <w:sz w:val="20"/>
          <w:szCs w:val="20"/>
          <w:color w:val="auto"/>
        </w:rPr>
      </w:pPr>
      <w:r>
        <w:rPr>
          <w:rFonts w:ascii="Arial" w:cs="Arial" w:eastAsia="Arial" w:hAnsi="Arial"/>
          <w:sz w:val="17"/>
          <w:szCs w:val="17"/>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fail to obtain and maintain necessary security clearances which may adversely affect our ability to perform on certain contracts.</w:t>
      </w:r>
    </w:p>
    <w:p>
      <w:pPr>
        <w:spacing w:after="0" w:line="105" w:lineRule="exact"/>
        <w:rPr>
          <w:sz w:val="20"/>
          <w:szCs w:val="20"/>
          <w:color w:val="auto"/>
        </w:rPr>
      </w:pPr>
    </w:p>
    <w:p>
      <w:pPr>
        <w:ind w:right="180" w:firstLine="400"/>
        <w:spacing w:after="0" w:line="292" w:lineRule="auto"/>
        <w:rPr>
          <w:sz w:val="20"/>
          <w:szCs w:val="20"/>
          <w:color w:val="auto"/>
        </w:rPr>
      </w:pPr>
      <w:r>
        <w:rPr>
          <w:rFonts w:ascii="Arial" w:cs="Arial" w:eastAsia="Arial" w:hAnsi="Arial"/>
          <w:sz w:val="15"/>
          <w:szCs w:val="15"/>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profitability could suffer if we are not able to timely and effectively utilize our employees or manage our cost structure.</w:t>
      </w:r>
    </w:p>
    <w:p>
      <w:pPr>
        <w:spacing w:after="0" w:line="105" w:lineRule="exact"/>
        <w:rPr>
          <w:sz w:val="20"/>
          <w:szCs w:val="20"/>
          <w:color w:val="auto"/>
        </w:rPr>
      </w:pPr>
    </w:p>
    <w:p>
      <w:pPr>
        <w:ind w:right="100" w:firstLine="400"/>
        <w:spacing w:after="0" w:line="266" w:lineRule="auto"/>
        <w:rPr>
          <w:sz w:val="20"/>
          <w:szCs w:val="20"/>
          <w:color w:val="auto"/>
        </w:rPr>
      </w:pPr>
      <w:r>
        <w:rPr>
          <w:rFonts w:ascii="Arial" w:cs="Arial" w:eastAsia="Arial" w:hAnsi="Arial"/>
          <w:sz w:val="17"/>
          <w:szCs w:val="17"/>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67" w:lineRule="exact"/>
        <w:rPr>
          <w:sz w:val="20"/>
          <w:szCs w:val="20"/>
          <w:color w:val="auto"/>
        </w:rPr>
      </w:pPr>
    </w:p>
    <w:p>
      <w:pPr>
        <w:ind w:left="580" w:hanging="292"/>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transition employees from completed projects to new assignments and to hire, assimilate, and deploy new employees;</w:t>
      </w:r>
    </w:p>
    <w:p>
      <w:pPr>
        <w:spacing w:after="0" w:line="104" w:lineRule="exact"/>
        <w:rPr>
          <w:rFonts w:ascii="Arial" w:cs="Arial" w:eastAsia="Arial" w:hAnsi="Arial"/>
          <w:sz w:val="17"/>
          <w:szCs w:val="17"/>
          <w:color w:val="auto"/>
        </w:rPr>
      </w:pPr>
    </w:p>
    <w:p>
      <w:pPr>
        <w:ind w:left="580" w:hanging="292"/>
        <w:spacing w:after="0" w:line="266"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forecast demand for our services and to maintain and deploy headcount that is aligned with demand, including employees with the right mix of skills and experience to support our projects;</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employees’ inability to obtain or retain necessary security clearances;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manage attrition; and</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need to devote time and resources to training, business development, and other non-chargeable activities.</w:t>
      </w:r>
    </w:p>
    <w:p>
      <w:pPr>
        <w:spacing w:after="0" w:line="105" w:lineRule="exact"/>
        <w:rPr>
          <w:sz w:val="20"/>
          <w:szCs w:val="20"/>
          <w:color w:val="auto"/>
        </w:rPr>
      </w:pPr>
    </w:p>
    <w:p>
      <w:pPr>
        <w:ind w:right="40" w:firstLine="400"/>
        <w:spacing w:after="0" w:line="266"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67" w:lineRule="exact"/>
        <w:rPr>
          <w:sz w:val="20"/>
          <w:szCs w:val="20"/>
          <w:color w:val="auto"/>
        </w:rPr>
      </w:pPr>
    </w:p>
    <w:p>
      <w:pPr>
        <w:jc w:val="both"/>
        <w:ind w:right="480" w:firstLine="400"/>
        <w:spacing w:after="0" w:line="256" w:lineRule="auto"/>
        <w:rPr>
          <w:sz w:val="20"/>
          <w:szCs w:val="20"/>
          <w:color w:val="auto"/>
        </w:rPr>
      </w:pPr>
      <w:r>
        <w:rPr>
          <w:rFonts w:ascii="Arial" w:cs="Arial" w:eastAsia="Arial" w:hAnsi="Arial"/>
          <w:sz w:val="17"/>
          <w:szCs w:val="17"/>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75" w:lineRule="exact"/>
        <w:rPr>
          <w:sz w:val="20"/>
          <w:szCs w:val="20"/>
          <w:color w:val="auto"/>
        </w:rPr>
      </w:pPr>
    </w:p>
    <w:p>
      <w:pPr>
        <w:ind w:right="180" w:firstLine="375"/>
        <w:spacing w:after="0" w:line="266" w:lineRule="auto"/>
        <w:rPr>
          <w:sz w:val="20"/>
          <w:szCs w:val="20"/>
          <w:color w:val="auto"/>
        </w:rPr>
      </w:pPr>
      <w:r>
        <w:rPr>
          <w:rFonts w:ascii="Arial" w:cs="Arial" w:eastAsia="Arial" w:hAnsi="Arial"/>
          <w:sz w:val="17"/>
          <w:szCs w:val="17"/>
          <w:b w:val="1"/>
          <w:bCs w:val="1"/>
          <w:i w:val="1"/>
          <w:iCs w:val="1"/>
          <w:color w:val="auto"/>
        </w:rPr>
        <w:t>We may lose one or more members of our senior management team or fail to develop new leaders, which could cause the disruption of the management of our business.</w:t>
      </w:r>
    </w:p>
    <w:p>
      <w:pPr>
        <w:spacing w:after="0" w:line="67" w:lineRule="exact"/>
        <w:rPr>
          <w:sz w:val="20"/>
          <w:szCs w:val="20"/>
          <w:color w:val="auto"/>
        </w:rPr>
      </w:pPr>
    </w:p>
    <w:p>
      <w:pPr>
        <w:ind w:right="40" w:firstLine="400"/>
        <w:spacing w:after="0" w:line="250" w:lineRule="auto"/>
        <w:rPr>
          <w:sz w:val="20"/>
          <w:szCs w:val="20"/>
          <w:color w:val="auto"/>
        </w:rPr>
      </w:pPr>
      <w:r>
        <w:rPr>
          <w:rFonts w:ascii="Arial" w:cs="Arial" w:eastAsia="Arial" w:hAnsi="Arial"/>
          <w:sz w:val="17"/>
          <w:szCs w:val="17"/>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have employment agreements with only our four most senior executives. The loss of any member of our senior management or our failure to continue to develop new members could impair our ability to identify and secure new contracts, to maintain good client relations, and to otherwise manage our business.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Our employees or subcontractors may engage in misconduct or other improper activities, which could harm our ability to conduct business with the U.S.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w:t>
      </w:r>
    </w:p>
    <w:p>
      <w:pPr>
        <w:spacing w:after="0" w:line="93" w:lineRule="exact"/>
        <w:rPr>
          <w:sz w:val="20"/>
          <w:szCs w:val="20"/>
          <w:color w:val="auto"/>
        </w:rPr>
      </w:pPr>
    </w:p>
    <w:p>
      <w:pPr>
        <w:ind w:firstLine="400"/>
        <w:spacing w:after="0" w:line="306" w:lineRule="auto"/>
        <w:rPr>
          <w:sz w:val="20"/>
          <w:szCs w:val="20"/>
          <w:color w:val="auto"/>
        </w:rPr>
      </w:pPr>
      <w:r>
        <w:rPr>
          <w:rFonts w:ascii="Arial" w:cs="Arial" w:eastAsia="Arial" w:hAnsi="Arial"/>
          <w:sz w:val="15"/>
          <w:szCs w:val="15"/>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753" w:right="239" w:bottom="1440" w:gutter="0" w:footer="0" w:header="0"/>
        </w:sectPr>
      </w:pPr>
    </w:p>
    <w:bookmarkStart w:id="24" w:name="page25"/>
    <w:bookmarkEnd w:id="24"/>
    <w:p>
      <w:pPr>
        <w:ind w:right="260"/>
        <w:spacing w:after="0" w:line="292" w:lineRule="auto"/>
        <w:rPr>
          <w:sz w:val="20"/>
          <w:szCs w:val="20"/>
          <w:color w:val="auto"/>
        </w:rPr>
      </w:pPr>
      <w:r>
        <w:rPr>
          <w:rFonts w:ascii="Arial" w:cs="Arial" w:eastAsia="Arial" w:hAnsi="Arial"/>
          <w:sz w:val="15"/>
          <w:szCs w:val="15"/>
          <w:color w:val="auto"/>
        </w:rPr>
        <w:t>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We face intense competition from many competitors, which could cause us to lose business, lower prices and suffer employee departures.</w:t>
      </w:r>
    </w:p>
    <w:p>
      <w:pPr>
        <w:spacing w:after="0" w:line="116" w:lineRule="exact"/>
        <w:rPr>
          <w:sz w:val="20"/>
          <w:szCs w:val="20"/>
          <w:color w:val="auto"/>
        </w:rPr>
      </w:pPr>
    </w:p>
    <w:p>
      <w:pPr>
        <w:ind w:right="260" w:firstLine="400"/>
        <w:spacing w:after="0" w:line="270" w:lineRule="auto"/>
        <w:rPr>
          <w:sz w:val="20"/>
          <w:szCs w:val="20"/>
          <w:color w:val="auto"/>
        </w:rPr>
      </w:pPr>
      <w:r>
        <w:rPr>
          <w:rFonts w:ascii="Arial" w:cs="Arial" w:eastAsia="Arial" w:hAnsi="Arial"/>
          <w:sz w:val="16"/>
          <w:szCs w:val="16"/>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67" w:lineRule="exact"/>
        <w:rPr>
          <w:sz w:val="20"/>
          <w:szCs w:val="20"/>
          <w:color w:val="auto"/>
        </w:rPr>
      </w:pPr>
    </w:p>
    <w:p>
      <w:pPr>
        <w:ind w:left="580" w:right="100" w:hanging="292"/>
        <w:spacing w:after="0" w:line="266"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divert sales from us by winning very large-scale government contracts, a risk that is enhanced by the recent trend in government procurement practices to bundle services into larger contracts;</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force us to charge lower prices in order to win or maintain contracts;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seek to hire our employees; or</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adversely affect our relationships with current clients, including our ability to continue to win competitively awarded engagements where we are the incumbent.</w:t>
      </w:r>
    </w:p>
    <w:p>
      <w:pPr>
        <w:spacing w:after="0" w:line="128" w:lineRule="exact"/>
        <w:rPr>
          <w:sz w:val="20"/>
          <w:szCs w:val="20"/>
          <w:color w:val="auto"/>
        </w:rPr>
      </w:pPr>
    </w:p>
    <w:p>
      <w:pPr>
        <w:ind w:right="20" w:firstLine="400"/>
        <w:spacing w:after="0" w:line="273" w:lineRule="auto"/>
        <w:rPr>
          <w:sz w:val="20"/>
          <w:szCs w:val="20"/>
          <w:color w:val="auto"/>
        </w:rPr>
      </w:pPr>
      <w:r>
        <w:rPr>
          <w:rFonts w:ascii="Arial" w:cs="Arial" w:eastAsia="Arial" w:hAnsi="Arial"/>
          <w:sz w:val="16"/>
          <w:szCs w:val="16"/>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64" w:lineRule="exact"/>
        <w:rPr>
          <w:sz w:val="20"/>
          <w:szCs w:val="20"/>
          <w:color w:val="auto"/>
        </w:rPr>
      </w:pPr>
    </w:p>
    <w:p>
      <w:pPr>
        <w:ind w:right="360" w:firstLine="375"/>
        <w:spacing w:after="0" w:line="334" w:lineRule="auto"/>
        <w:rPr>
          <w:sz w:val="20"/>
          <w:szCs w:val="20"/>
          <w:color w:val="auto"/>
        </w:rPr>
      </w:pPr>
      <w:r>
        <w:rPr>
          <w:rFonts w:ascii="Arial" w:cs="Arial" w:eastAsia="Arial" w:hAnsi="Arial"/>
          <w:sz w:val="15"/>
          <w:szCs w:val="15"/>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spacing w:after="0" w:line="21" w:lineRule="exact"/>
        <w:rPr>
          <w:sz w:val="20"/>
          <w:szCs w:val="20"/>
          <w:color w:val="auto"/>
        </w:rPr>
      </w:pPr>
    </w:p>
    <w:p>
      <w:pPr>
        <w:ind w:firstLine="400"/>
        <w:spacing w:after="0" w:line="250" w:lineRule="auto"/>
        <w:rPr>
          <w:sz w:val="20"/>
          <w:szCs w:val="20"/>
          <w:color w:val="auto"/>
        </w:rPr>
      </w:pPr>
      <w:r>
        <w:rPr>
          <w:rFonts w:ascii="Arial" w:cs="Arial" w:eastAsia="Arial" w:hAnsi="Arial"/>
          <w:sz w:val="17"/>
          <w:szCs w:val="17"/>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80" w:lineRule="exact"/>
        <w:rPr>
          <w:sz w:val="20"/>
          <w:szCs w:val="20"/>
          <w:color w:val="auto"/>
        </w:rPr>
      </w:pPr>
    </w:p>
    <w:p>
      <w:pPr>
        <w:ind w:right="40" w:firstLine="400"/>
        <w:spacing w:after="0" w:line="266" w:lineRule="auto"/>
        <w:rPr>
          <w:sz w:val="20"/>
          <w:szCs w:val="20"/>
          <w:color w:val="auto"/>
        </w:rPr>
      </w:pPr>
      <w:r>
        <w:rPr>
          <w:rFonts w:ascii="Arial" w:cs="Arial" w:eastAsia="Arial" w:hAnsi="Arial"/>
          <w:sz w:val="16"/>
          <w:szCs w:val="16"/>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71" w:lineRule="exact"/>
        <w:rPr>
          <w:sz w:val="20"/>
          <w:szCs w:val="20"/>
          <w:color w:val="auto"/>
        </w:rPr>
      </w:pPr>
    </w:p>
    <w:p>
      <w:pPr>
        <w:ind w:right="80" w:firstLine="375"/>
        <w:spacing w:after="0" w:line="270" w:lineRule="auto"/>
        <w:rPr>
          <w:sz w:val="20"/>
          <w:szCs w:val="20"/>
          <w:color w:val="auto"/>
        </w:rPr>
      </w:pPr>
      <w:r>
        <w:rPr>
          <w:rFonts w:ascii="Arial" w:cs="Arial" w:eastAsia="Arial" w:hAnsi="Arial"/>
          <w:sz w:val="16"/>
          <w:szCs w:val="16"/>
          <w:color w:val="auto"/>
        </w:rPr>
        <w:t>We estimate that revenue derived from contracts under which we acted as a subcontractor to other companies represented 9% of our revenue for fiscal 2017. 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753" w:right="239" w:bottom="1440" w:gutter="0" w:footer="0" w:header="0"/>
        </w:sectPr>
      </w:pPr>
    </w:p>
    <w:bookmarkStart w:id="25" w:name="page26"/>
    <w:bookmarkEnd w:id="25"/>
    <w:p>
      <w:pPr>
        <w:spacing w:after="0" w:line="279" w:lineRule="auto"/>
        <w:rPr>
          <w:sz w:val="20"/>
          <w:szCs w:val="20"/>
          <w:color w:val="auto"/>
        </w:rPr>
      </w:pPr>
      <w:r>
        <w:rPr>
          <w:rFonts w:ascii="Arial" w:cs="Arial" w:eastAsia="Arial" w:hAnsi="Arial"/>
          <w:sz w:val="16"/>
          <w:szCs w:val="16"/>
          <w:color w:val="auto"/>
        </w:rPr>
        <w:t>to collect payments owed to us by the prime contractor, even if we have performed our obligations under the contract, as a 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Adverse judgments or settlements in legal disputes could result in materially adverse monetary damages or injunctive relief and damage our reputation.</w:t>
      </w:r>
    </w:p>
    <w:p>
      <w:pPr>
        <w:spacing w:after="0" w:line="128" w:lineRule="exact"/>
        <w:rPr>
          <w:sz w:val="20"/>
          <w:szCs w:val="20"/>
          <w:color w:val="auto"/>
        </w:rPr>
      </w:pPr>
    </w:p>
    <w:p>
      <w:pPr>
        <w:ind w:right="20" w:firstLine="400"/>
        <w:spacing w:after="0" w:line="267" w:lineRule="auto"/>
        <w:rPr>
          <w:sz w:val="20"/>
          <w:szCs w:val="20"/>
          <w:color w:val="auto"/>
        </w:rPr>
      </w:pPr>
      <w:r>
        <w:rPr>
          <w:rFonts w:ascii="Arial" w:cs="Arial" w:eastAsia="Arial" w:hAnsi="Arial"/>
          <w:sz w:val="16"/>
          <w:szCs w:val="16"/>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w:t>
      </w:r>
    </w:p>
    <w:p>
      <w:pPr>
        <w:spacing w:after="0" w:line="69" w:lineRule="exact"/>
        <w:rPr>
          <w:sz w:val="20"/>
          <w:szCs w:val="20"/>
          <w:color w:val="auto"/>
        </w:rPr>
      </w:pPr>
    </w:p>
    <w:p>
      <w:pPr>
        <w:ind w:right="20" w:firstLine="400"/>
        <w:spacing w:after="0" w:line="284" w:lineRule="auto"/>
        <w:rPr>
          <w:sz w:val="20"/>
          <w:szCs w:val="20"/>
          <w:color w:val="auto"/>
        </w:rPr>
      </w:pPr>
      <w:r>
        <w:rPr>
          <w:rFonts w:ascii="Arial" w:cs="Arial" w:eastAsia="Arial" w:hAnsi="Arial"/>
          <w:sz w:val="15"/>
          <w:szCs w:val="15"/>
          <w:color w:val="auto"/>
        </w:rPr>
        <w:t>Additionally, over time, we have had disputes with current and former employees involving alleged violations of civil rights, wage and hour, and worker’s compensation laws. Further, as more fully described under “Item 3. Legal Proceedings,” six former officers and stockholders who had departed the company prior to the acquisition of our company by The Carlyle Group have filed a total of nine suits in various jurisdictions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Three of these suits have been dismissed with all appeals exhausted. Two suits were settled on April 16, 2015. One of the remaining suits had its Petition for Writ of Certiorari to the United States Supreme Court denied and the other three remaining suits are awaiting a decision from the United States Court of Appeals for the Second Circuit. The results of litigation and other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claims described under “Item 3. Legal Proceedings” are subject to future developments and management’s view of these matters may change in the future.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face certain significant risk exposures and potential liabilities that may not be adequately covered by indemnity or insurance.</w:t>
      </w:r>
    </w:p>
    <w:p>
      <w:pPr>
        <w:spacing w:after="0" w:line="105" w:lineRule="exact"/>
        <w:rPr>
          <w:sz w:val="20"/>
          <w:szCs w:val="20"/>
          <w:color w:val="auto"/>
        </w:rPr>
      </w:pPr>
    </w:p>
    <w:p>
      <w:pPr>
        <w:ind w:right="20" w:firstLine="375"/>
        <w:spacing w:after="0" w:line="289" w:lineRule="auto"/>
        <w:rPr>
          <w:sz w:val="20"/>
          <w:szCs w:val="20"/>
          <w:color w:val="auto"/>
        </w:rPr>
      </w:pPr>
      <w:r>
        <w:rPr>
          <w:rFonts w:ascii="Arial" w:cs="Arial" w:eastAsia="Arial" w:hAnsi="Arial"/>
          <w:sz w:val="15"/>
          <w:szCs w:val="15"/>
          <w:color w:val="auto"/>
        </w:rPr>
        <w:t>A significant portion of our business relates to designing, developing, and manufacturing advanced defense and technology systems and products, including cybersecurity products and services. New technologies may be untested or unproven. We maintain insurance policies that mitigate against risk and potential liabilities related to our operations.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56" w:lineRule="exact"/>
        <w:rPr>
          <w:sz w:val="20"/>
          <w:szCs w:val="20"/>
          <w:color w:val="auto"/>
        </w:rPr>
      </w:pPr>
    </w:p>
    <w:p>
      <w:pPr>
        <w:ind w:right="180" w:firstLine="375"/>
        <w:spacing w:after="0" w:line="266" w:lineRule="auto"/>
        <w:rPr>
          <w:sz w:val="20"/>
          <w:szCs w:val="20"/>
          <w:color w:val="auto"/>
        </w:rPr>
      </w:pPr>
      <w:r>
        <w:rPr>
          <w:rFonts w:ascii="Arial" w:cs="Arial" w:eastAsia="Arial" w:hAnsi="Arial"/>
          <w:sz w:val="17"/>
          <w:szCs w:val="17"/>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67" w:lineRule="exact"/>
        <w:rPr>
          <w:sz w:val="20"/>
          <w:szCs w:val="20"/>
          <w:color w:val="auto"/>
        </w:rPr>
      </w:pPr>
    </w:p>
    <w:p>
      <w:pPr>
        <w:ind w:right="40" w:firstLine="400"/>
        <w:spacing w:after="0" w:line="267" w:lineRule="auto"/>
        <w:rPr>
          <w:sz w:val="20"/>
          <w:szCs w:val="20"/>
          <w:color w:val="auto"/>
        </w:rPr>
      </w:pPr>
      <w:r>
        <w:rPr>
          <w:rFonts w:ascii="Arial" w:cs="Arial" w:eastAsia="Arial" w:hAnsi="Arial"/>
          <w:sz w:val="16"/>
          <w:szCs w:val="16"/>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U.S. government or commercial clients. Work for non-U.S. 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40"/>
          </w:cols>
          <w:pgMar w:left="240" w:top="753" w:right="319" w:bottom="1440" w:gutter="0" w:footer="0" w:header="0"/>
        </w:sectPr>
      </w:pPr>
    </w:p>
    <w:bookmarkStart w:id="26" w:name="page27"/>
    <w:bookmarkEnd w:id="26"/>
    <w:p>
      <w:pPr>
        <w:ind w:right="20" w:firstLine="400"/>
        <w:spacing w:after="0" w:line="266" w:lineRule="auto"/>
        <w:rPr>
          <w:sz w:val="20"/>
          <w:szCs w:val="20"/>
          <w:color w:val="auto"/>
        </w:rPr>
      </w:pPr>
      <w:r>
        <w:rPr>
          <w:rFonts w:ascii="Arial" w:cs="Arial" w:eastAsia="Arial" w:hAnsi="Arial"/>
          <w:sz w:val="17"/>
          <w:szCs w:val="17"/>
          <w:b w:val="1"/>
          <w:bCs w:val="1"/>
          <w:i w:val="1"/>
          <w:iCs w:val="1"/>
          <w:color w:val="auto"/>
        </w:rPr>
        <w:t>Certain services we provide and technologies we develop are designed to detect and monitor threats to our clients and may require our staff to travel to locations where their physical safety may be at risk.</w:t>
      </w:r>
    </w:p>
    <w:p>
      <w:pPr>
        <w:spacing w:after="0" w:line="67" w:lineRule="exact"/>
        <w:rPr>
          <w:sz w:val="20"/>
          <w:szCs w:val="20"/>
          <w:color w:val="auto"/>
        </w:rPr>
      </w:pPr>
    </w:p>
    <w:p>
      <w:pPr>
        <w:ind w:right="360" w:firstLine="400"/>
        <w:spacing w:after="0" w:line="252" w:lineRule="auto"/>
        <w:rPr>
          <w:sz w:val="20"/>
          <w:szCs w:val="20"/>
          <w:color w:val="auto"/>
        </w:rPr>
      </w:pPr>
      <w:r>
        <w:rPr>
          <w:rFonts w:ascii="Arial" w:cs="Arial" w:eastAsia="Arial" w:hAnsi="Arial"/>
          <w:sz w:val="17"/>
          <w:szCs w:val="17"/>
          <w:color w:val="auto"/>
        </w:rPr>
        <w:t>We help our clients detect, monitor and mitigate threats to their people, information and facilities. These threats may originate from nation states, terrorist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information and facilities may be targeted by a similar group of threat actors and may be at risk for loss, or physical or reputational harm.</w:t>
      </w:r>
    </w:p>
    <w:p>
      <w:pPr>
        <w:spacing w:after="0" w:line="80" w:lineRule="exact"/>
        <w:rPr>
          <w:sz w:val="20"/>
          <w:szCs w:val="20"/>
          <w:color w:val="auto"/>
        </w:rPr>
      </w:pPr>
    </w:p>
    <w:p>
      <w:pPr>
        <w:ind w:right="260" w:firstLine="375"/>
        <w:spacing w:after="0" w:line="256" w:lineRule="auto"/>
        <w:rPr>
          <w:sz w:val="20"/>
          <w:szCs w:val="20"/>
          <w:color w:val="auto"/>
        </w:rPr>
      </w:pPr>
      <w:r>
        <w:rPr>
          <w:rFonts w:ascii="Arial" w:cs="Arial" w:eastAsia="Arial" w:hAnsi="Arial"/>
          <w:sz w:val="17"/>
          <w:szCs w:val="17"/>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75" w:lineRule="exact"/>
        <w:rPr>
          <w:sz w:val="20"/>
          <w:szCs w:val="20"/>
          <w:color w:val="auto"/>
        </w:rPr>
      </w:pPr>
    </w:p>
    <w:p>
      <w:pPr>
        <w:ind w:firstLine="400"/>
        <w:spacing w:after="0" w:line="282" w:lineRule="auto"/>
        <w:rPr>
          <w:sz w:val="20"/>
          <w:szCs w:val="20"/>
          <w:color w:val="auto"/>
        </w:rPr>
      </w:pPr>
      <w:r>
        <w:rPr>
          <w:rFonts w:ascii="Arial" w:cs="Arial" w:eastAsia="Arial" w:hAnsi="Arial"/>
          <w:sz w:val="15"/>
          <w:szCs w:val="15"/>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are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or other sensitive information. As a result, we and our vendors face a heightened risk of a security breach or disruption with respect to sensitive information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expose us or our clients to liability.</w:t>
      </w:r>
    </w:p>
    <w:p>
      <w:pPr>
        <w:spacing w:after="0" w:line="64" w:lineRule="exact"/>
        <w:rPr>
          <w:sz w:val="20"/>
          <w:szCs w:val="20"/>
          <w:color w:val="auto"/>
        </w:rPr>
      </w:pPr>
    </w:p>
    <w:p>
      <w:pPr>
        <w:ind w:right="160" w:firstLine="400"/>
        <w:spacing w:after="0" w:line="266" w:lineRule="auto"/>
        <w:rPr>
          <w:sz w:val="20"/>
          <w:szCs w:val="20"/>
          <w:color w:val="auto"/>
        </w:rPr>
      </w:pPr>
      <w:r>
        <w:rPr>
          <w:rFonts w:ascii="Arial" w:cs="Arial" w:eastAsia="Arial" w:hAnsi="Arial"/>
          <w:sz w:val="17"/>
          <w:szCs w:val="17"/>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67" w:lineRule="exact"/>
        <w:rPr>
          <w:sz w:val="20"/>
          <w:szCs w:val="20"/>
          <w:color w:val="auto"/>
        </w:rPr>
      </w:pPr>
    </w:p>
    <w:p>
      <w:pPr>
        <w:ind w:left="580" w:hanging="292"/>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lose revenue due to adverse client reaction;</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 required to provide additional services to a client at no charge;</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incur additional costs related to remediation, monitoring and increasing our cybersecurity;</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lose revenue due to the deployment of internal staff for remediation efforts instead of client assignments;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clients;</w:t>
      </w:r>
    </w:p>
    <w:p>
      <w:pPr>
        <w:spacing w:after="0" w:line="104" w:lineRule="exact"/>
        <w:rPr>
          <w:rFonts w:ascii="Arial" w:cs="Arial" w:eastAsia="Arial" w:hAnsi="Arial"/>
          <w:sz w:val="17"/>
          <w:szCs w:val="17"/>
          <w:color w:val="auto"/>
        </w:rPr>
      </w:pPr>
    </w:p>
    <w:p>
      <w:pPr>
        <w:ind w:left="580" w:right="680" w:hanging="292"/>
        <w:spacing w:after="0" w:line="266"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 unable to successfully market services that are reliant on the creation and maintaining of secure information technology systems to U.S. government, international, and commercial clients;</w:t>
      </w:r>
    </w:p>
    <w:p>
      <w:pPr>
        <w:spacing w:after="0" w:line="67" w:lineRule="exact"/>
        <w:rPr>
          <w:rFonts w:ascii="Arial" w:cs="Arial" w:eastAsia="Arial" w:hAnsi="Arial"/>
          <w:sz w:val="17"/>
          <w:szCs w:val="17"/>
          <w:color w:val="auto"/>
        </w:rPr>
      </w:pPr>
    </w:p>
    <w:p>
      <w:pPr>
        <w:ind w:left="580" w:right="140" w:hanging="292"/>
        <w:spacing w:after="0" w:line="266"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suffer claims by clients or impacted third parties for substantial damages, particularly as a result of any successful network or systems breach and exfiltration of client and/or third party information; or</w:t>
      </w:r>
    </w:p>
    <w:p>
      <w:pPr>
        <w:spacing w:after="0" w:line="67" w:lineRule="exact"/>
        <w:rPr>
          <w:rFonts w:ascii="Arial" w:cs="Arial" w:eastAsia="Arial" w:hAnsi="Arial"/>
          <w:sz w:val="17"/>
          <w:szCs w:val="17"/>
          <w:color w:val="auto"/>
        </w:rPr>
      </w:pPr>
    </w:p>
    <w:p>
      <w:pPr>
        <w:ind w:left="580" w:right="360" w:hanging="292"/>
        <w:spacing w:after="0" w:line="266"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incur significant costs, including fines from government regulators related to complying with applicable federal or state law, including laws pertaining to the security and protection of personal information.</w:t>
      </w:r>
    </w:p>
    <w:p>
      <w:pPr>
        <w:spacing w:after="0" w:line="67" w:lineRule="exact"/>
        <w:rPr>
          <w:sz w:val="20"/>
          <w:szCs w:val="20"/>
          <w:color w:val="auto"/>
        </w:rPr>
      </w:pPr>
    </w:p>
    <w:p>
      <w:pPr>
        <w:ind w:firstLine="400"/>
        <w:spacing w:after="0" w:line="266" w:lineRule="auto"/>
        <w:rPr>
          <w:sz w:val="20"/>
          <w:szCs w:val="20"/>
          <w:color w:val="auto"/>
        </w:rPr>
      </w:pPr>
      <w:r>
        <w:rPr>
          <w:rFonts w:ascii="Arial" w:cs="Arial" w:eastAsia="Arial" w:hAnsi="Arial"/>
          <w:sz w:val="17"/>
          <w:szCs w:val="17"/>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67" w:lineRule="exact"/>
        <w:rPr>
          <w:sz w:val="20"/>
          <w:szCs w:val="20"/>
          <w:color w:val="auto"/>
        </w:rPr>
      </w:pPr>
    </w:p>
    <w:p>
      <w:pPr>
        <w:ind w:firstLine="400"/>
        <w:spacing w:after="0" w:line="273" w:lineRule="auto"/>
        <w:rPr>
          <w:sz w:val="20"/>
          <w:szCs w:val="20"/>
          <w:color w:val="auto"/>
        </w:rPr>
      </w:pPr>
      <w:r>
        <w:rPr>
          <w:rFonts w:ascii="Arial" w:cs="Arial" w:eastAsia="Arial" w:hAnsi="Arial"/>
          <w:sz w:val="16"/>
          <w:szCs w:val="16"/>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Our errors and omissions insurance coverage may not continue to be available on reasonable terms or in sufficient amounts to cover one or more large claims, or the insurer may disclaim coverage as to some types of future claims. The successful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753" w:right="259" w:bottom="1440" w:gutter="0" w:footer="0" w:header="0"/>
        </w:sectPr>
      </w:pPr>
    </w:p>
    <w:bookmarkStart w:id="27" w:name="page28"/>
    <w:bookmarkEnd w:id="27"/>
    <w:p>
      <w:pPr>
        <w:ind w:right="40"/>
        <w:spacing w:after="0" w:line="256" w:lineRule="auto"/>
        <w:rPr>
          <w:sz w:val="20"/>
          <w:szCs w:val="20"/>
          <w:color w:val="auto"/>
        </w:rPr>
      </w:pPr>
      <w:r>
        <w:rPr>
          <w:rFonts w:ascii="Arial" w:cs="Arial" w:eastAsia="Arial" w:hAnsi="Arial"/>
          <w:sz w:val="17"/>
          <w:szCs w:val="17"/>
          <w:color w:val="auto"/>
        </w:rPr>
        <w:t>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75" w:lineRule="exact"/>
        <w:rPr>
          <w:sz w:val="20"/>
          <w:szCs w:val="20"/>
          <w:color w:val="auto"/>
        </w:rPr>
      </w:pPr>
    </w:p>
    <w:p>
      <w:pPr>
        <w:ind w:right="40" w:firstLine="400"/>
        <w:spacing w:after="0" w:line="297" w:lineRule="auto"/>
        <w:rPr>
          <w:sz w:val="20"/>
          <w:szCs w:val="20"/>
          <w:color w:val="auto"/>
        </w:rPr>
      </w:pPr>
      <w:r>
        <w:rPr>
          <w:rFonts w:ascii="Arial" w:cs="Arial" w:eastAsia="Arial" w:hAnsi="Arial"/>
          <w:sz w:val="15"/>
          <w:szCs w:val="15"/>
          <w:color w:val="auto"/>
        </w:rPr>
        <w:t>As a contractor supporting defense and national security clients, we are also subject to regulatory compliance requirements under the Defense Federal Acquisition Regulation Supplement and other federal regulations requiring that our networks and IT systems comply with the security and privacy controls in National Institute of Standards and Technology Special Publications. Failure to comply with the security and control requirements could result in unauthorized access or disclosure of sensitive information, which could potentially result in a contract termination that has a material adverse effect on our business and financial results and reputational harm.</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Failure to adequately protect, maintain, or enforce our rights in our intellectual property may adversely limit our competitive position.</w:t>
      </w:r>
    </w:p>
    <w:p>
      <w:pPr>
        <w:spacing w:after="0" w:line="105" w:lineRule="exact"/>
        <w:rPr>
          <w:sz w:val="20"/>
          <w:szCs w:val="20"/>
          <w:color w:val="auto"/>
        </w:rPr>
      </w:pPr>
    </w:p>
    <w:p>
      <w:pPr>
        <w:ind w:firstLine="375"/>
        <w:spacing w:after="0" w:line="249" w:lineRule="auto"/>
        <w:rPr>
          <w:sz w:val="20"/>
          <w:szCs w:val="20"/>
          <w:color w:val="auto"/>
        </w:rPr>
      </w:pPr>
      <w:r>
        <w:rPr>
          <w:rFonts w:ascii="Arial" w:cs="Arial" w:eastAsia="Arial" w:hAnsi="Arial"/>
          <w:sz w:val="17"/>
          <w:szCs w:val="17"/>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82" w:lineRule="exact"/>
        <w:rPr>
          <w:sz w:val="20"/>
          <w:szCs w:val="20"/>
          <w:color w:val="auto"/>
        </w:rPr>
      </w:pPr>
    </w:p>
    <w:p>
      <w:pPr>
        <w:ind w:right="260" w:firstLine="375"/>
        <w:spacing w:after="0" w:line="266" w:lineRule="auto"/>
        <w:rPr>
          <w:sz w:val="20"/>
          <w:szCs w:val="20"/>
          <w:color w:val="auto"/>
        </w:rPr>
      </w:pPr>
      <w:r>
        <w:rPr>
          <w:rFonts w:ascii="Arial" w:cs="Arial" w:eastAsia="Arial" w:hAnsi="Arial"/>
          <w:sz w:val="17"/>
          <w:szCs w:val="17"/>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67" w:lineRule="exact"/>
        <w:rPr>
          <w:sz w:val="20"/>
          <w:szCs w:val="20"/>
          <w:color w:val="auto"/>
        </w:rPr>
      </w:pPr>
    </w:p>
    <w:p>
      <w:pPr>
        <w:ind w:firstLine="375"/>
        <w:spacing w:after="0" w:line="297" w:lineRule="auto"/>
        <w:rPr>
          <w:sz w:val="20"/>
          <w:szCs w:val="20"/>
          <w:color w:val="auto"/>
        </w:rPr>
      </w:pPr>
      <w:r>
        <w:rPr>
          <w:rFonts w:ascii="Arial" w:cs="Arial" w:eastAsia="Arial" w:hAnsi="Arial"/>
          <w:sz w:val="15"/>
          <w:szCs w:val="15"/>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47" w:lineRule="exact"/>
        <w:rPr>
          <w:sz w:val="20"/>
          <w:szCs w:val="20"/>
          <w:color w:val="auto"/>
        </w:rPr>
      </w:pPr>
    </w:p>
    <w:p>
      <w:pPr>
        <w:ind w:right="40" w:firstLine="375"/>
        <w:spacing w:after="0" w:line="306" w:lineRule="auto"/>
        <w:rPr>
          <w:sz w:val="20"/>
          <w:szCs w:val="20"/>
          <w:color w:val="auto"/>
        </w:rPr>
      </w:pPr>
      <w:r>
        <w:rPr>
          <w:rFonts w:ascii="Arial" w:cs="Arial" w:eastAsia="Arial" w:hAnsi="Arial"/>
          <w:sz w:val="15"/>
          <w:szCs w:val="15"/>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41" w:lineRule="exact"/>
        <w:rPr>
          <w:sz w:val="20"/>
          <w:szCs w:val="20"/>
          <w:color w:val="auto"/>
        </w:rPr>
      </w:pPr>
    </w:p>
    <w:p>
      <w:pPr>
        <w:ind w:right="540" w:firstLine="375"/>
        <w:spacing w:after="0" w:line="266" w:lineRule="auto"/>
        <w:rPr>
          <w:sz w:val="20"/>
          <w:szCs w:val="20"/>
          <w:color w:val="auto"/>
        </w:rPr>
      </w:pPr>
      <w:r>
        <w:rPr>
          <w:rFonts w:ascii="Arial" w:cs="Arial" w:eastAsia="Arial" w:hAnsi="Arial"/>
          <w:sz w:val="17"/>
          <w:szCs w:val="17"/>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67" w:lineRule="exact"/>
        <w:rPr>
          <w:sz w:val="20"/>
          <w:szCs w:val="20"/>
          <w:color w:val="auto"/>
        </w:rPr>
      </w:pPr>
    </w:p>
    <w:p>
      <w:pPr>
        <w:ind w:firstLine="375"/>
        <w:spacing w:after="0" w:line="282" w:lineRule="auto"/>
        <w:rPr>
          <w:sz w:val="20"/>
          <w:szCs w:val="20"/>
          <w:color w:val="auto"/>
        </w:rPr>
      </w:pPr>
      <w:r>
        <w:rPr>
          <w:rFonts w:ascii="Arial" w:cs="Arial" w:eastAsia="Arial" w:hAnsi="Arial"/>
          <w:sz w:val="15"/>
          <w:szCs w:val="15"/>
          <w:color w:val="auto"/>
        </w:rPr>
        <w:t>We are focused on growing our presence in our addressable markets by: expanding our relationships with existing clients, developing new clients by leveraging our core competencies, further developing our existing capabilities and service offerings, and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67" w:lineRule="exact"/>
        <w:rPr>
          <w:sz w:val="20"/>
          <w:szCs w:val="20"/>
          <w:color w:val="auto"/>
        </w:rPr>
      </w:pPr>
    </w:p>
    <w:p>
      <w:pPr>
        <w:ind w:right="440" w:firstLine="400"/>
        <w:spacing w:after="0" w:line="266" w:lineRule="auto"/>
        <w:rPr>
          <w:sz w:val="20"/>
          <w:szCs w:val="20"/>
          <w:color w:val="auto"/>
        </w:rPr>
      </w:pPr>
      <w:r>
        <w:rPr>
          <w:rFonts w:ascii="Arial" w:cs="Arial" w:eastAsia="Arial" w:hAnsi="Arial"/>
          <w:sz w:val="17"/>
          <w:szCs w:val="17"/>
          <w:color w:val="auto"/>
        </w:rPr>
        <w:t>In addition, our ability to grow our business by leveraging our operating model to efficiently and effectively deploy our people across our client base is largely dependent on our ability to maintain our collaborative culture. To the extent that we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753" w:right="239" w:bottom="1440" w:gutter="0" w:footer="0" w:header="0"/>
        </w:sectPr>
      </w:pPr>
    </w:p>
    <w:bookmarkStart w:id="28" w:name="page29"/>
    <w:bookmarkEnd w:id="28"/>
    <w:p>
      <w:pPr>
        <w:ind w:right="240"/>
        <w:spacing w:after="0" w:line="266" w:lineRule="auto"/>
        <w:rPr>
          <w:sz w:val="20"/>
          <w:szCs w:val="20"/>
          <w:color w:val="auto"/>
        </w:rPr>
      </w:pPr>
      <w:r>
        <w:rPr>
          <w:rFonts w:ascii="Arial" w:cs="Arial" w:eastAsia="Arial" w:hAnsi="Arial"/>
          <w:sz w:val="17"/>
          <w:szCs w:val="17"/>
          <w:color w:val="auto"/>
        </w:rPr>
        <w:t>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67" w:lineRule="exact"/>
        <w:rPr>
          <w:sz w:val="20"/>
          <w:szCs w:val="20"/>
          <w:color w:val="auto"/>
        </w:rPr>
      </w:pPr>
    </w:p>
    <w:p>
      <w:pPr>
        <w:ind w:firstLine="400"/>
        <w:spacing w:after="0" w:line="270" w:lineRule="auto"/>
        <w:rPr>
          <w:sz w:val="20"/>
          <w:szCs w:val="20"/>
          <w:color w:val="auto"/>
        </w:rPr>
      </w:pPr>
      <w:r>
        <w:rPr>
          <w:rFonts w:ascii="Arial" w:cs="Arial" w:eastAsia="Arial" w:hAnsi="Arial"/>
          <w:sz w:val="16"/>
          <w:szCs w:val="16"/>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are subject to risks associated with operating internationally.</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business operations are subject to a variety of risks associated with conducting business internationally, including:</w:t>
      </w:r>
    </w:p>
    <w:p>
      <w:pPr>
        <w:spacing w:after="0" w:line="105" w:lineRule="exact"/>
        <w:rPr>
          <w:sz w:val="20"/>
          <w:szCs w:val="20"/>
          <w:color w:val="auto"/>
        </w:rPr>
      </w:pPr>
    </w:p>
    <w:p>
      <w:pPr>
        <w:ind w:left="1180" w:hanging="291"/>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or interpretations of laws or policies that may adversely affect the performance of our services;</w:t>
      </w:r>
    </w:p>
    <w:p>
      <w:pPr>
        <w:spacing w:after="0" w:line="104" w:lineRule="exact"/>
        <w:rPr>
          <w:rFonts w:ascii="Arial" w:cs="Arial" w:eastAsia="Arial" w:hAnsi="Arial"/>
          <w:sz w:val="17"/>
          <w:szCs w:val="17"/>
          <w:color w:val="auto"/>
        </w:rPr>
      </w:pPr>
    </w:p>
    <w:p>
      <w:pPr>
        <w:ind w:left="1180" w:hanging="291"/>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Political instability in foreign countries;</w:t>
      </w:r>
    </w:p>
    <w:p>
      <w:pPr>
        <w:spacing w:after="0" w:line="104" w:lineRule="exact"/>
        <w:rPr>
          <w:rFonts w:ascii="Arial" w:cs="Arial" w:eastAsia="Arial" w:hAnsi="Arial"/>
          <w:sz w:val="17"/>
          <w:szCs w:val="17"/>
          <w:color w:val="auto"/>
        </w:rPr>
      </w:pPr>
    </w:p>
    <w:p>
      <w:pPr>
        <w:ind w:left="1180" w:hanging="291"/>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Imposition of inconsistent or contradictory laws or regulations;</w:t>
      </w:r>
    </w:p>
    <w:p>
      <w:pPr>
        <w:spacing w:after="0" w:line="104" w:lineRule="exact"/>
        <w:rPr>
          <w:rFonts w:ascii="Arial" w:cs="Arial" w:eastAsia="Arial" w:hAnsi="Arial"/>
          <w:sz w:val="17"/>
          <w:szCs w:val="17"/>
          <w:color w:val="auto"/>
        </w:rPr>
      </w:pPr>
    </w:p>
    <w:p>
      <w:pPr>
        <w:ind w:left="1180" w:hanging="291"/>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Reliance on the U.S. or other governments to authorize us to export products, technology, and services to clients and other business partners;</w:t>
      </w:r>
    </w:p>
    <w:p>
      <w:pPr>
        <w:spacing w:after="0" w:line="116" w:lineRule="exact"/>
        <w:rPr>
          <w:rFonts w:ascii="Arial" w:cs="Arial" w:eastAsia="Arial" w:hAnsi="Arial"/>
          <w:sz w:val="16"/>
          <w:szCs w:val="16"/>
          <w:color w:val="auto"/>
        </w:rPr>
      </w:pPr>
    </w:p>
    <w:p>
      <w:pPr>
        <w:ind w:left="1180" w:hanging="291"/>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Conducting business in places where laws, business practices, and customs are unfamiliar or unknown, and;</w:t>
      </w:r>
    </w:p>
    <w:p>
      <w:pPr>
        <w:spacing w:after="0" w:line="104" w:lineRule="exact"/>
        <w:rPr>
          <w:rFonts w:ascii="Arial" w:cs="Arial" w:eastAsia="Arial" w:hAnsi="Arial"/>
          <w:sz w:val="17"/>
          <w:szCs w:val="17"/>
          <w:color w:val="auto"/>
        </w:rPr>
      </w:pPr>
    </w:p>
    <w:p>
      <w:pPr>
        <w:ind w:left="1180" w:hanging="291"/>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Imposition of limitations on or increase of withholding and other taxes on payments by foreign subsidiaries or joint ventures.</w:t>
      </w:r>
    </w:p>
    <w:p>
      <w:pPr>
        <w:spacing w:after="0" w:line="105" w:lineRule="exact"/>
        <w:rPr>
          <w:sz w:val="20"/>
          <w:szCs w:val="20"/>
          <w:color w:val="auto"/>
        </w:rPr>
      </w:pPr>
    </w:p>
    <w:p>
      <w:pPr>
        <w:ind w:right="20" w:firstLine="400"/>
        <w:spacing w:after="0" w:line="284" w:lineRule="auto"/>
        <w:rPr>
          <w:sz w:val="20"/>
          <w:szCs w:val="20"/>
          <w:color w:val="auto"/>
        </w:rPr>
      </w:pPr>
      <w:r>
        <w:rPr>
          <w:rFonts w:ascii="Arial" w:cs="Arial" w:eastAsia="Arial" w:hAnsi="Arial"/>
          <w:sz w:val="15"/>
          <w:szCs w:val="15"/>
          <w:color w:val="auto"/>
        </w:rPr>
        <w:t>In addition, we are subject to the U.S. Foreign Corrupt Practices Act, or the FCPA, and other laws that prohibit improper payments or offers of payments to foreign governments and their officials and political parties by business entities for the purpose of obtaining or retaining business. We have operations and deal with governmental clients in countries known to experience corruption, including certain emerging countries in the Middle East and Southeast Asia. Our activities in these countries create the risk of unauthorized payments or offers of payments by one of our employees, consultants or contractors that could be in violation of various laws including the FCPA and other anti-corruption laws, even though these parties are not always subject to our control. Our international operations also involve activities involving the transmittal of information, which may include personal data, that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62" w:lineRule="exact"/>
        <w:rPr>
          <w:sz w:val="20"/>
          <w:szCs w:val="20"/>
          <w:color w:val="auto"/>
        </w:rPr>
      </w:pPr>
    </w:p>
    <w:p>
      <w:pPr>
        <w:ind w:right="40" w:firstLine="400"/>
        <w:spacing w:after="0" w:line="306" w:lineRule="auto"/>
        <w:rPr>
          <w:sz w:val="20"/>
          <w:szCs w:val="20"/>
          <w:color w:val="auto"/>
        </w:rPr>
      </w:pPr>
      <w:r>
        <w:rPr>
          <w:rFonts w:ascii="Arial" w:cs="Arial" w:eastAsia="Arial" w:hAnsi="Arial"/>
          <w:sz w:val="15"/>
          <w:szCs w:val="15"/>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41" w:lineRule="exact"/>
        <w:rPr>
          <w:sz w:val="20"/>
          <w:szCs w:val="20"/>
          <w:color w:val="auto"/>
        </w:rPr>
      </w:pPr>
    </w:p>
    <w:p>
      <w:pPr>
        <w:ind w:right="580" w:firstLine="375"/>
        <w:spacing w:after="0" w:line="266" w:lineRule="auto"/>
        <w:rPr>
          <w:sz w:val="20"/>
          <w:szCs w:val="20"/>
          <w:color w:val="auto"/>
        </w:rPr>
      </w:pPr>
      <w:r>
        <w:rPr>
          <w:rFonts w:ascii="Arial" w:cs="Arial" w:eastAsia="Arial" w:hAnsi="Arial"/>
          <w:sz w:val="17"/>
          <w:szCs w:val="17"/>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67" w:lineRule="exact"/>
        <w:rPr>
          <w:sz w:val="20"/>
          <w:szCs w:val="20"/>
          <w:color w:val="auto"/>
        </w:rPr>
      </w:pPr>
    </w:p>
    <w:p>
      <w:pPr>
        <w:ind w:right="140" w:firstLine="400"/>
        <w:spacing w:after="0" w:line="252" w:lineRule="auto"/>
        <w:rPr>
          <w:sz w:val="20"/>
          <w:szCs w:val="20"/>
          <w:color w:val="auto"/>
        </w:rPr>
      </w:pPr>
      <w:r>
        <w:rPr>
          <w:rFonts w:ascii="Arial" w:cs="Arial" w:eastAsia="Arial" w:hAnsi="Arial"/>
          <w:sz w:val="17"/>
          <w:szCs w:val="17"/>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80" w:lineRule="exact"/>
        <w:rPr>
          <w:sz w:val="20"/>
          <w:szCs w:val="20"/>
          <w:color w:val="auto"/>
        </w:rPr>
      </w:pPr>
    </w:p>
    <w:p>
      <w:pPr>
        <w:jc w:val="both"/>
        <w:ind w:right="20" w:firstLine="400"/>
        <w:spacing w:after="0" w:line="256" w:lineRule="auto"/>
        <w:rPr>
          <w:sz w:val="20"/>
          <w:szCs w:val="20"/>
          <w:color w:val="auto"/>
        </w:rPr>
      </w:pPr>
      <w:r>
        <w:rPr>
          <w:rFonts w:ascii="Arial" w:cs="Arial" w:eastAsia="Arial" w:hAnsi="Arial"/>
          <w:sz w:val="17"/>
          <w:szCs w:val="17"/>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753" w:right="239" w:bottom="1440" w:gutter="0" w:footer="0" w:header="0"/>
        </w:sectPr>
      </w:pPr>
    </w:p>
    <w:bookmarkStart w:id="29" w:name="page30"/>
    <w:bookmarkEnd w:id="29"/>
    <w:p>
      <w:pPr>
        <w:ind w:right="420" w:firstLine="375"/>
        <w:spacing w:after="0" w:line="266" w:lineRule="auto"/>
        <w:rPr>
          <w:sz w:val="20"/>
          <w:szCs w:val="20"/>
          <w:color w:val="auto"/>
        </w:rPr>
      </w:pPr>
      <w:r>
        <w:rPr>
          <w:rFonts w:ascii="Arial" w:cs="Arial" w:eastAsia="Arial" w:hAnsi="Arial"/>
          <w:sz w:val="17"/>
          <w:szCs w:val="17"/>
          <w:b w:val="1"/>
          <w:bCs w:val="1"/>
          <w:i w:val="1"/>
          <w:iCs w:val="1"/>
          <w:color w:val="auto"/>
        </w:rPr>
        <w:t>Many of our contracts with the U.S. government are classified or subject to other security restrictions, which may limit investor insight into portions of our business.</w:t>
      </w:r>
    </w:p>
    <w:p>
      <w:pPr>
        <w:spacing w:after="0" w:line="67" w:lineRule="exact"/>
        <w:rPr>
          <w:sz w:val="20"/>
          <w:szCs w:val="20"/>
          <w:color w:val="auto"/>
        </w:rPr>
      </w:pPr>
    </w:p>
    <w:p>
      <w:pPr>
        <w:ind w:right="260" w:firstLine="400"/>
        <w:spacing w:after="0" w:line="268" w:lineRule="auto"/>
        <w:rPr>
          <w:sz w:val="20"/>
          <w:szCs w:val="20"/>
          <w:color w:val="auto"/>
        </w:rPr>
      </w:pPr>
      <w:r>
        <w:rPr>
          <w:rFonts w:ascii="Arial" w:cs="Arial" w:eastAsia="Arial" w:hAnsi="Arial"/>
          <w:sz w:val="16"/>
          <w:szCs w:val="16"/>
          <w:color w:val="auto"/>
        </w:rPr>
        <w:t>We derive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69" w:lineRule="exact"/>
        <w:rPr>
          <w:sz w:val="20"/>
          <w:szCs w:val="20"/>
          <w:color w:val="auto"/>
        </w:rPr>
      </w:pPr>
    </w:p>
    <w:p>
      <w:pPr>
        <w:ind w:right="420" w:firstLine="375"/>
        <w:spacing w:after="0" w:line="266" w:lineRule="auto"/>
        <w:rPr>
          <w:sz w:val="20"/>
          <w:szCs w:val="20"/>
          <w:color w:val="auto"/>
        </w:rPr>
      </w:pPr>
      <w:r>
        <w:rPr>
          <w:rFonts w:ascii="Arial" w:cs="Arial" w:eastAsia="Arial" w:hAnsi="Arial"/>
          <w:sz w:val="17"/>
          <w:szCs w:val="17"/>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67" w:lineRule="exact"/>
        <w:rPr>
          <w:sz w:val="20"/>
          <w:szCs w:val="20"/>
          <w:color w:val="auto"/>
        </w:rPr>
      </w:pPr>
    </w:p>
    <w:p>
      <w:pPr>
        <w:ind w:right="120" w:firstLine="400"/>
        <w:spacing w:after="0" w:line="292" w:lineRule="auto"/>
        <w:rPr>
          <w:sz w:val="20"/>
          <w:szCs w:val="20"/>
          <w:color w:val="auto"/>
        </w:rPr>
      </w:pPr>
      <w:r>
        <w:rPr>
          <w:rFonts w:ascii="Arial" w:cs="Arial" w:eastAsia="Arial" w:hAnsi="Arial"/>
          <w:sz w:val="15"/>
          <w:szCs w:val="15"/>
          <w:color w:val="auto"/>
        </w:rPr>
        <w:t>We depend on the timely collection of our receivables to generate cash flow, provide working capital, and continue our business operations. If the 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52" w:lineRule="exact"/>
        <w:rPr>
          <w:sz w:val="20"/>
          <w:szCs w:val="20"/>
          <w:color w:val="auto"/>
        </w:rPr>
      </w:pPr>
    </w:p>
    <w:p>
      <w:pPr>
        <w:ind w:right="280" w:firstLine="400"/>
        <w:spacing w:after="0" w:line="266" w:lineRule="auto"/>
        <w:rPr>
          <w:sz w:val="20"/>
          <w:szCs w:val="20"/>
          <w:color w:val="auto"/>
        </w:rPr>
      </w:pPr>
      <w:r>
        <w:rPr>
          <w:rFonts w:ascii="Arial" w:cs="Arial" w:eastAsia="Arial" w:hAnsi="Arial"/>
          <w:sz w:val="17"/>
          <w:szCs w:val="17"/>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67" w:lineRule="exact"/>
        <w:rPr>
          <w:sz w:val="20"/>
          <w:szCs w:val="20"/>
          <w:color w:val="auto"/>
        </w:rPr>
      </w:pPr>
    </w:p>
    <w:p>
      <w:pPr>
        <w:ind w:right="180" w:firstLine="400"/>
        <w:spacing w:after="0" w:line="256" w:lineRule="auto"/>
        <w:rPr>
          <w:sz w:val="20"/>
          <w:szCs w:val="20"/>
          <w:color w:val="auto"/>
        </w:rPr>
      </w:pPr>
      <w:r>
        <w:rPr>
          <w:rFonts w:ascii="Arial" w:cs="Arial" w:eastAsia="Arial" w:hAnsi="Arial"/>
          <w:sz w:val="17"/>
          <w:szCs w:val="17"/>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75" w:lineRule="exact"/>
        <w:rPr>
          <w:sz w:val="20"/>
          <w:szCs w:val="20"/>
          <w:color w:val="auto"/>
        </w:rPr>
      </w:pPr>
    </w:p>
    <w:p>
      <w:pPr>
        <w:ind w:left="580" w:hanging="292"/>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impaired objectivity during performance;</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unfair access to non-public information; or</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to set the “ground rules” for another procurement for which the contractor competes.</w:t>
      </w:r>
    </w:p>
    <w:p>
      <w:pPr>
        <w:spacing w:after="0" w:line="105" w:lineRule="exact"/>
        <w:rPr>
          <w:sz w:val="20"/>
          <w:szCs w:val="20"/>
          <w:color w:val="auto"/>
        </w:rPr>
      </w:pPr>
    </w:p>
    <w:p>
      <w:pPr>
        <w:ind w:firstLine="400"/>
        <w:spacing w:after="0" w:line="287" w:lineRule="auto"/>
        <w:rPr>
          <w:sz w:val="20"/>
          <w:szCs w:val="20"/>
          <w:color w:val="auto"/>
        </w:rPr>
      </w:pPr>
      <w:r>
        <w:rPr>
          <w:rFonts w:ascii="Arial" w:cs="Arial" w:eastAsia="Arial" w:hAnsi="Arial"/>
          <w:sz w:val="15"/>
          <w:szCs w:val="15"/>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Acquisitions could result in operating difficulties or other adverse consequences to our business.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part of our operating strategy, we may continue to selectively pursue acquisitions. For example, on January 24, 2017, we acquired eGov Holdings, Inc. (d/b/a</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Aquilent). As a result of the transaction, eGov Holdings, Inc. became a wholly-owned subsidiary of ours. Our acquisition strategy poses many risks, including:</w:t>
      </w:r>
    </w:p>
    <w:p>
      <w:pPr>
        <w:spacing w:after="0" w:line="104" w:lineRule="exact"/>
        <w:rPr>
          <w:sz w:val="20"/>
          <w:szCs w:val="20"/>
          <w:color w:val="auto"/>
        </w:rPr>
      </w:pPr>
    </w:p>
    <w:p>
      <w:pPr>
        <w:ind w:left="580" w:hanging="292"/>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be able to identify suitable acquisition candidates at prices we consider attractive;</w:t>
      </w:r>
    </w:p>
    <w:p>
      <w:pPr>
        <w:spacing w:after="0" w:line="104" w:lineRule="exact"/>
        <w:rPr>
          <w:rFonts w:ascii="Arial" w:cs="Arial" w:eastAsia="Arial" w:hAnsi="Arial"/>
          <w:sz w:val="17"/>
          <w:szCs w:val="17"/>
          <w:color w:val="auto"/>
        </w:rPr>
      </w:pPr>
    </w:p>
    <w:p>
      <w:pPr>
        <w:ind w:left="580" w:right="80" w:hanging="292"/>
        <w:spacing w:after="0" w:line="266"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be able to compete successfully for identified acquisition candidates, complete acquisitions, or accurately estimate the financial effect of acquisitions on our business;</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future acquisitions may require us to issue common stock or spend significant cash, resulting in dilution of ownership or additional debt leverage;</w:t>
      </w:r>
    </w:p>
    <w:p>
      <w:pPr>
        <w:spacing w:after="0" w:line="116" w:lineRule="exact"/>
        <w:rPr>
          <w:rFonts w:ascii="Arial" w:cs="Arial" w:eastAsia="Arial" w:hAnsi="Arial"/>
          <w:sz w:val="16"/>
          <w:szCs w:val="16"/>
          <w:color w:val="auto"/>
        </w:rPr>
      </w:pPr>
    </w:p>
    <w:p>
      <w:pPr>
        <w:ind w:left="580" w:hanging="292"/>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have difficulty retaining an acquired company’s key employees or clients;</w:t>
      </w:r>
    </w:p>
    <w:p>
      <w:pPr>
        <w:spacing w:after="0" w:line="104" w:lineRule="exact"/>
        <w:rPr>
          <w:rFonts w:ascii="Arial" w:cs="Arial" w:eastAsia="Arial" w:hAnsi="Arial"/>
          <w:sz w:val="17"/>
          <w:szCs w:val="17"/>
          <w:color w:val="auto"/>
        </w:rPr>
      </w:pPr>
    </w:p>
    <w:p>
      <w:pPr>
        <w:ind w:left="580" w:right="160" w:hanging="292"/>
        <w:spacing w:after="0" w:line="266"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have difficulty integrating acquired businesses, resulting in unforeseen difficulties, such as incompatible accounting, information management, or other control systems, and greater expenses than expected;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753" w:right="239" w:bottom="1440" w:gutter="0" w:footer="0" w:header="0"/>
        </w:sectPr>
      </w:pPr>
    </w:p>
    <w:bookmarkStart w:id="30" w:name="page31"/>
    <w:bookmarkEnd w:id="30"/>
    <w:p>
      <w:pPr>
        <w:ind w:left="580" w:hanging="29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acquisitions may disrupt our business or distract our management from other responsibilities;</w:t>
      </w:r>
    </w:p>
    <w:p>
      <w:pPr>
        <w:spacing w:after="0" w:line="104" w:lineRule="exact"/>
        <w:rPr>
          <w:rFonts w:ascii="Arial" w:cs="Arial" w:eastAsia="Arial" w:hAnsi="Arial"/>
          <w:sz w:val="17"/>
          <w:szCs w:val="17"/>
          <w:color w:val="auto"/>
        </w:rPr>
      </w:pPr>
    </w:p>
    <w:p>
      <w:pPr>
        <w:ind w:left="580" w:right="240" w:hanging="292"/>
        <w:spacing w:after="0" w:line="266"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a result of an acquisition, we may incur additional debt and we may need to record write-downs from future impairments of intangible assets, each of which could reduce our future reported earnings; and</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have difficulty integrating personnel from the acquired company with our people and our core values.</w:t>
      </w:r>
    </w:p>
    <w:p>
      <w:pPr>
        <w:spacing w:after="0" w:line="105" w:lineRule="exact"/>
        <w:rPr>
          <w:sz w:val="20"/>
          <w:szCs w:val="20"/>
          <w:color w:val="auto"/>
        </w:rPr>
      </w:pPr>
    </w:p>
    <w:p>
      <w:pPr>
        <w:jc w:val="both"/>
        <w:ind w:right="300" w:firstLine="400"/>
        <w:spacing w:after="0" w:line="252" w:lineRule="auto"/>
        <w:rPr>
          <w:sz w:val="20"/>
          <w:szCs w:val="20"/>
          <w:color w:val="auto"/>
        </w:rPr>
      </w:pPr>
      <w:r>
        <w:rPr>
          <w:rFonts w:ascii="Arial" w:cs="Arial" w:eastAsia="Arial" w:hAnsi="Arial"/>
          <w:sz w:val="17"/>
          <w:szCs w:val="17"/>
          <w:color w:val="auto"/>
        </w:rPr>
        <w:t>In connection with any acquisition that we make, there may be liabilities that we fail to discover or that we inadequately assess, and we may fail to discover any failure of a target company to have fulfilled its contractual obligations to the U.S. government or other clients. Acquired entities may not operate profitably or result in improved operating performance. Additionally, we may not realize anticipated synergies, business growth opportunities, cost savings, and other benefits we anticipate, which could have a material adverse effect on our business and results of operations.</w:t>
      </w:r>
    </w:p>
    <w:p>
      <w:pPr>
        <w:spacing w:after="0" w:line="80" w:lineRule="exact"/>
        <w:rPr>
          <w:sz w:val="20"/>
          <w:szCs w:val="20"/>
          <w:color w:val="auto"/>
        </w:rPr>
      </w:pPr>
    </w:p>
    <w:p>
      <w:pPr>
        <w:ind w:right="420" w:firstLine="375"/>
        <w:spacing w:after="0" w:line="266" w:lineRule="auto"/>
        <w:rPr>
          <w:sz w:val="20"/>
          <w:szCs w:val="20"/>
          <w:color w:val="auto"/>
        </w:rPr>
      </w:pPr>
      <w:r>
        <w:rPr>
          <w:rFonts w:ascii="Arial" w:cs="Arial" w:eastAsia="Arial" w:hAnsi="Arial"/>
          <w:sz w:val="17"/>
          <w:szCs w:val="17"/>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spacing w:after="0" w:line="67" w:lineRule="exact"/>
        <w:rPr>
          <w:sz w:val="20"/>
          <w:szCs w:val="20"/>
          <w:color w:val="auto"/>
        </w:rPr>
      </w:pPr>
    </w:p>
    <w:p>
      <w:pPr>
        <w:ind w:firstLine="375"/>
        <w:spacing w:after="0" w:line="289" w:lineRule="auto"/>
        <w:rPr>
          <w:sz w:val="20"/>
          <w:szCs w:val="20"/>
          <w:color w:val="auto"/>
        </w:rPr>
      </w:pPr>
      <w:r>
        <w:rPr>
          <w:rFonts w:ascii="Arial" w:cs="Arial" w:eastAsia="Arial" w:hAnsi="Arial"/>
          <w:sz w:val="15"/>
          <w:szCs w:val="15"/>
          <w:color w:val="auto"/>
        </w:rPr>
        <w:t>As of March 31, 2017, the value of our goodwill was $1.6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charge against operating income. Such non-cash impairment charges could have a material adverse effect on our results of operations in the period in which they are recognized.</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109" w:lineRule="exact"/>
        <w:rPr>
          <w:sz w:val="20"/>
          <w:szCs w:val="20"/>
          <w:color w:val="auto"/>
        </w:rPr>
      </w:pPr>
    </w:p>
    <w:p>
      <w:pPr>
        <w:ind w:right="260" w:firstLine="375"/>
        <w:spacing w:after="0" w:line="334" w:lineRule="auto"/>
        <w:rPr>
          <w:sz w:val="20"/>
          <w:szCs w:val="20"/>
          <w:color w:val="auto"/>
        </w:rPr>
      </w:pPr>
      <w:r>
        <w:rPr>
          <w:rFonts w:ascii="Arial" w:cs="Arial" w:eastAsia="Arial" w:hAnsi="Arial"/>
          <w:sz w:val="15"/>
          <w:szCs w:val="15"/>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21" w:lineRule="exact"/>
        <w:rPr>
          <w:sz w:val="20"/>
          <w:szCs w:val="20"/>
          <w:color w:val="auto"/>
        </w:rPr>
      </w:pPr>
    </w:p>
    <w:p>
      <w:pPr>
        <w:ind w:right="20" w:firstLine="400"/>
        <w:spacing w:after="0" w:line="266" w:lineRule="auto"/>
        <w:rPr>
          <w:sz w:val="20"/>
          <w:szCs w:val="20"/>
          <w:color w:val="auto"/>
        </w:rPr>
      </w:pPr>
      <w:r>
        <w:rPr>
          <w:rFonts w:ascii="Arial" w:cs="Arial" w:eastAsia="Arial" w:hAnsi="Arial"/>
          <w:sz w:val="17"/>
          <w:szCs w:val="17"/>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67" w:lineRule="exact"/>
        <w:rPr>
          <w:sz w:val="20"/>
          <w:szCs w:val="20"/>
          <w:color w:val="auto"/>
        </w:rPr>
      </w:pPr>
    </w:p>
    <w:p>
      <w:pPr>
        <w:ind w:left="580" w:hanging="292"/>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terminate existing contracts, with short notice, for convenience as well as for default;</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 orders under or otherwise modify contracts;</w:t>
      </w:r>
    </w:p>
    <w:p>
      <w:pPr>
        <w:spacing w:after="0" w:line="104" w:lineRule="exact"/>
        <w:rPr>
          <w:rFonts w:ascii="Arial" w:cs="Arial" w:eastAsia="Arial" w:hAnsi="Arial"/>
          <w:sz w:val="17"/>
          <w:szCs w:val="17"/>
          <w:color w:val="auto"/>
        </w:rPr>
      </w:pPr>
    </w:p>
    <w:p>
      <w:pPr>
        <w:ind w:left="580" w:right="20" w:hanging="292"/>
        <w:spacing w:after="0" w:line="266"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spacing w:after="0" w:line="67" w:lineRule="exact"/>
        <w:rPr>
          <w:rFonts w:ascii="Arial" w:cs="Arial" w:eastAsia="Arial" w:hAnsi="Arial"/>
          <w:sz w:val="17"/>
          <w:szCs w:val="17"/>
          <w:color w:val="auto"/>
        </w:rPr>
      </w:pPr>
    </w:p>
    <w:p>
      <w:pPr>
        <w:ind w:left="580" w:right="140" w:hanging="292"/>
        <w:spacing w:after="0" w:line="256"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75" w:lineRule="exact"/>
        <w:rPr>
          <w:rFonts w:ascii="Arial" w:cs="Arial" w:eastAsia="Arial" w:hAnsi="Arial"/>
          <w:sz w:val="17"/>
          <w:szCs w:val="17"/>
          <w:color w:val="auto"/>
        </w:rPr>
      </w:pPr>
    </w:p>
    <w:p>
      <w:pPr>
        <w:ind w:left="580" w:hanging="292"/>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terminate our facility security clearances and thereby prevent us from receiving classified contracts;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cancel multi-year contracts and related orders if funds for contract performance for any subsequent year become unavailable;</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decline to exercise an option to renew a multi-year contract or issue task orders in connection with IDIQ contracts;</w:t>
      </w:r>
    </w:p>
    <w:p>
      <w:pPr>
        <w:spacing w:after="0" w:line="104" w:lineRule="exact"/>
        <w:rPr>
          <w:rFonts w:ascii="Arial" w:cs="Arial" w:eastAsia="Arial" w:hAnsi="Arial"/>
          <w:sz w:val="17"/>
          <w:szCs w:val="17"/>
          <w:color w:val="auto"/>
        </w:rPr>
      </w:pPr>
    </w:p>
    <w:p>
      <w:pPr>
        <w:ind w:left="580" w:right="200" w:hanging="292"/>
        <w:spacing w:after="0" w:line="256"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75" w:lineRule="exact"/>
        <w:rPr>
          <w:rFonts w:ascii="Arial" w:cs="Arial" w:eastAsia="Arial" w:hAnsi="Arial"/>
          <w:sz w:val="17"/>
          <w:szCs w:val="17"/>
          <w:color w:val="auto"/>
        </w:rPr>
      </w:pPr>
    </w:p>
    <w:p>
      <w:pPr>
        <w:ind w:left="580" w:right="200" w:hanging="292"/>
        <w:spacing w:after="0" w:line="256"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75" w:lineRule="exact"/>
        <w:rPr>
          <w:rFonts w:ascii="Arial" w:cs="Arial" w:eastAsia="Arial" w:hAnsi="Arial"/>
          <w:sz w:val="17"/>
          <w:szCs w:val="17"/>
          <w:color w:val="auto"/>
        </w:rPr>
      </w:pPr>
    </w:p>
    <w:p>
      <w:pPr>
        <w:ind w:left="580" w:right="40" w:hanging="292"/>
        <w:spacing w:after="0" w:line="256"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753" w:right="239" w:bottom="1440" w:gutter="0" w:footer="0" w:header="0"/>
        </w:sectPr>
      </w:pPr>
    </w:p>
    <w:bookmarkStart w:id="31" w:name="page32"/>
    <w:bookmarkEnd w:id="31"/>
    <w:p>
      <w:pPr>
        <w:ind w:left="580" w:hanging="292"/>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suspend or debar us from doing business with the U.S. government; and</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control or prohibit the export of our services.</w:t>
      </w:r>
    </w:p>
    <w:p>
      <w:pPr>
        <w:spacing w:after="0" w:line="105" w:lineRule="exact"/>
        <w:rPr>
          <w:sz w:val="20"/>
          <w:szCs w:val="20"/>
          <w:color w:val="auto"/>
        </w:rPr>
      </w:pPr>
    </w:p>
    <w:p>
      <w:pPr>
        <w:jc w:val="both"/>
        <w:ind w:right="380" w:firstLine="400"/>
        <w:spacing w:after="0" w:line="297" w:lineRule="auto"/>
        <w:rPr>
          <w:sz w:val="20"/>
          <w:szCs w:val="20"/>
          <w:color w:val="auto"/>
        </w:rPr>
      </w:pPr>
      <w:r>
        <w:rPr>
          <w:rFonts w:ascii="Arial" w:cs="Arial" w:eastAsia="Arial" w:hAnsi="Arial"/>
          <w:sz w:val="15"/>
          <w:szCs w:val="15"/>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U.S. government may revise its procurement, contract or other practices in a manner adverse to us.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U.S. government may:</w:t>
      </w:r>
    </w:p>
    <w:p>
      <w:pPr>
        <w:spacing w:after="0" w:line="105" w:lineRule="exact"/>
        <w:rPr>
          <w:sz w:val="20"/>
          <w:szCs w:val="20"/>
          <w:color w:val="auto"/>
        </w:rPr>
      </w:pPr>
    </w:p>
    <w:p>
      <w:pPr>
        <w:ind w:left="580" w:right="300" w:hanging="292"/>
        <w:spacing w:after="0" w:line="266"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 delay, or cancel procurement programs resulting from U.S. government efforts to improve procurement practices and efficiency;</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 the creation of new government-wide or agency-specific multiple award contracts;</w:t>
      </w:r>
    </w:p>
    <w:p>
      <w:pPr>
        <w:spacing w:after="0" w:line="104" w:lineRule="exact"/>
        <w:rPr>
          <w:rFonts w:ascii="Arial" w:cs="Arial" w:eastAsia="Arial" w:hAnsi="Arial"/>
          <w:sz w:val="17"/>
          <w:szCs w:val="17"/>
          <w:color w:val="auto"/>
        </w:rPr>
      </w:pPr>
    </w:p>
    <w:p>
      <w:pPr>
        <w:ind w:left="580" w:right="560" w:hanging="292"/>
        <w:spacing w:after="0" w:line="266"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face restrictions or pressure from government employees and their unions regarding the amount of services the U.S. government may obtain from private contractors;</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award contracts on a technically acceptable/lowest cost basis in order to reduce expenditures, and we may not be the lowest cost provider of services;</w:t>
      </w:r>
    </w:p>
    <w:p>
      <w:pPr>
        <w:spacing w:after="0" w:line="116" w:lineRule="exact"/>
        <w:rPr>
          <w:rFonts w:ascii="Arial" w:cs="Arial" w:eastAsia="Arial" w:hAnsi="Arial"/>
          <w:sz w:val="16"/>
          <w:szCs w:val="16"/>
          <w:color w:val="auto"/>
        </w:rPr>
      </w:pPr>
    </w:p>
    <w:p>
      <w:pPr>
        <w:ind w:left="580" w:hanging="292"/>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adopt new socio-economic requirements, including setting aside procurement opportunities to small, disadvantaged businesses;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 the basis upon which it reimburses our compensation and other expenses or otherwise limit such reimbursements; and</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its option, terminate or decline to renew our contracts.</w:t>
      </w:r>
    </w:p>
    <w:p>
      <w:pPr>
        <w:spacing w:after="0" w:line="105" w:lineRule="exact"/>
        <w:rPr>
          <w:sz w:val="20"/>
          <w:szCs w:val="20"/>
          <w:color w:val="auto"/>
        </w:rPr>
      </w:pPr>
    </w:p>
    <w:p>
      <w:pPr>
        <w:ind w:right="160" w:firstLine="400"/>
        <w:spacing w:after="0" w:line="252" w:lineRule="auto"/>
        <w:rPr>
          <w:sz w:val="20"/>
          <w:szCs w:val="20"/>
          <w:color w:val="auto"/>
        </w:rPr>
      </w:pPr>
      <w:r>
        <w:rPr>
          <w:rFonts w:ascii="Arial" w:cs="Arial" w:eastAsia="Arial" w:hAnsi="Arial"/>
          <w:sz w:val="17"/>
          <w:szCs w:val="17"/>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80" w:lineRule="exact"/>
        <w:rPr>
          <w:sz w:val="20"/>
          <w:szCs w:val="20"/>
          <w:color w:val="auto"/>
        </w:rPr>
      </w:pPr>
    </w:p>
    <w:p>
      <w:pPr>
        <w:ind w:right="240" w:firstLine="400"/>
        <w:spacing w:after="0" w:line="252" w:lineRule="auto"/>
        <w:rPr>
          <w:sz w:val="20"/>
          <w:szCs w:val="20"/>
          <w:color w:val="auto"/>
        </w:rPr>
      </w:pPr>
      <w:r>
        <w:rPr>
          <w:rFonts w:ascii="Arial" w:cs="Arial" w:eastAsia="Arial" w:hAnsi="Arial"/>
          <w:sz w:val="17"/>
          <w:szCs w:val="17"/>
          <w:color w:val="auto"/>
        </w:rPr>
        <w:t>As part of its cost-cutting initiative, the Department of Defense has issued guidance regarding changes to the procurement process that is intended to control cost growth throughout the acquisition cycle by developing a competitive strategy for each program. Because this initiative may significantly change the way the U.S. government solicits, negotiates, and manages its contracts, it could result in an increase in competitive pressure and decreased profitability on contracts and have a material adverse effect on our results of operations.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The U.S. government may prefer minority-owned, small and small disadvantaged businesses; therefore, we may have fewer opportunities to bid for.</w:t>
      </w:r>
    </w:p>
    <w:p>
      <w:pPr>
        <w:spacing w:after="0" w:line="128" w:lineRule="exact"/>
        <w:rPr>
          <w:sz w:val="20"/>
          <w:szCs w:val="20"/>
          <w:color w:val="auto"/>
        </w:rPr>
      </w:pPr>
    </w:p>
    <w:p>
      <w:pPr>
        <w:ind w:firstLine="400"/>
        <w:spacing w:after="0" w:line="251" w:lineRule="auto"/>
        <w:rPr>
          <w:sz w:val="20"/>
          <w:szCs w:val="20"/>
          <w:color w:val="auto"/>
        </w:rPr>
      </w:pPr>
      <w:r>
        <w:rPr>
          <w:rFonts w:ascii="Arial" w:cs="Arial" w:eastAsia="Arial" w:hAnsi="Arial"/>
          <w:sz w:val="17"/>
          <w:szCs w:val="17"/>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Our contracts, performance, and administrative processes and systems are subject to audits, reviews, investigations, and cost adjustments by the U.S.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which could reduce our revenue, disrupt our business, or otherwise materially adversely affect our results of operation.</w:t>
      </w:r>
    </w:p>
    <w:p>
      <w:pPr>
        <w:spacing w:after="0" w:line="93" w:lineRule="exact"/>
        <w:rPr>
          <w:sz w:val="20"/>
          <w:szCs w:val="20"/>
          <w:color w:val="auto"/>
        </w:rPr>
      </w:pPr>
    </w:p>
    <w:p>
      <w:pPr>
        <w:ind w:right="140" w:firstLine="400"/>
        <w:spacing w:after="0" w:line="297" w:lineRule="auto"/>
        <w:rPr>
          <w:sz w:val="20"/>
          <w:szCs w:val="20"/>
          <w:color w:val="auto"/>
        </w:rPr>
      </w:pPr>
      <w:r>
        <w:rPr>
          <w:rFonts w:ascii="Arial" w:cs="Arial" w:eastAsia="Arial" w:hAnsi="Arial"/>
          <w:sz w:val="15"/>
          <w:szCs w:val="15"/>
          <w:color w:val="auto"/>
        </w:rPr>
        <w:t>U.S. government agencies routinely audit, review, and investigate government contracts and government contractors’ administrative processes and systems. These agencies review our performance on contracts, pricing practices, cost structure, and compliance with applicable laws, regulations and standards, including applicable government cost accounting standards. These agencies also review our compliance with government regulations and policies, and the DCAA audits, among other areas, the adequacy of our internal control systems and policies, including our purchasing, property, estimating, earned value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753" w:right="279" w:bottom="1440" w:gutter="0" w:footer="0" w:header="0"/>
        </w:sectPr>
      </w:pPr>
    </w:p>
    <w:bookmarkStart w:id="32" w:name="page33"/>
    <w:bookmarkEnd w:id="32"/>
    <w:p>
      <w:pPr>
        <w:spacing w:after="0" w:line="280" w:lineRule="auto"/>
        <w:rPr>
          <w:sz w:val="20"/>
          <w:szCs w:val="20"/>
          <w:color w:val="auto"/>
        </w:rPr>
      </w:pPr>
      <w:r>
        <w:rPr>
          <w:rFonts w:ascii="Arial" w:cs="Arial" w:eastAsia="Arial" w:hAnsi="Arial"/>
          <w:sz w:val="15"/>
          <w:szCs w:val="15"/>
          <w:color w:val="auto"/>
        </w:rPr>
        <w:t>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Recent legislation and regulations implementing new limitations on the amount of allowable executive compensation costs contribute to increased regulatory scrutiny of the allowability of employee compensation costs, which can lead to greater amounts of employee compensation cost being disallowed.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reserves established by management based on estimates and assumptions that are inherently uncertain. Moreover, if any of the administrative processes and business systems, some of which are currently certified as effective, are found not to comply with government imposed requirements, we may be subjected to increased government scrutiny and approval that could delay or otherwise adversely affect our ability to compete for or perform contracts or to be paid timely. Unfavorable U.S. government audit, review, or investigation results could subject us to civil or criminal penalties or administrative sanctions, and could harm our reputation and relationships with our clients and impair our ability to be awarded new contracts, which could affect our future sales and profitability by preventing us, by operation of law or in practice, from receiving new government contracts for some period of time. In addition,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An unfavorable outcome to an audit, review, or investigation by any 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consolidated financial statements as a compliance 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75" w:lineRule="exact"/>
        <w:rPr>
          <w:sz w:val="20"/>
          <w:szCs w:val="20"/>
          <w:color w:val="auto"/>
        </w:rPr>
      </w:pPr>
    </w:p>
    <w:p>
      <w:pPr>
        <w:ind w:right="120" w:firstLine="375"/>
        <w:spacing w:after="0" w:line="266" w:lineRule="auto"/>
        <w:rPr>
          <w:sz w:val="20"/>
          <w:szCs w:val="20"/>
          <w:color w:val="auto"/>
        </w:rPr>
      </w:pPr>
      <w:r>
        <w:rPr>
          <w:rFonts w:ascii="Arial" w:cs="Arial" w:eastAsia="Arial" w:hAnsi="Arial"/>
          <w:sz w:val="17"/>
          <w:szCs w:val="17"/>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67" w:lineRule="exact"/>
        <w:rPr>
          <w:sz w:val="20"/>
          <w:szCs w:val="20"/>
          <w:color w:val="auto"/>
        </w:rPr>
      </w:pPr>
    </w:p>
    <w:p>
      <w:pPr>
        <w:ind w:right="60" w:firstLine="400"/>
        <w:spacing w:after="0" w:line="265" w:lineRule="auto"/>
        <w:rPr>
          <w:sz w:val="20"/>
          <w:szCs w:val="20"/>
          <w:color w:val="auto"/>
        </w:rPr>
      </w:pPr>
      <w:r>
        <w:rPr>
          <w:rFonts w:ascii="Arial" w:cs="Arial" w:eastAsia="Arial" w:hAnsi="Arial"/>
          <w:sz w:val="16"/>
          <w:szCs w:val="16"/>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 operate at spending levels approved in the previous budget cycle. Under a continuing resolution, funding may not be available for new projects. In addition, when government agencies operate on the basis of a continuing resolution, they may delay funding we expect to receive on contracts we are already performing. Any such delays would likely result in new business initiatives being delayed or canceled and a reduction in our backlog, and could have a material adverse effect on our revenue and operating results. In addition, a failure to complete the budget process and fund government operations pursuant to a continuing resolution may result in a federal government shutdown (such as that which occurred during the government fiscal year 2014). A shutdown may result in us incurring substantial costs without reimbursement under our contracts and the delay or cancellation of key programs, which could have a material adverse effect on our revenue and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09" w:lineRule="exact"/>
        <w:rPr>
          <w:sz w:val="20"/>
          <w:szCs w:val="20"/>
          <w:color w:val="auto"/>
        </w:rPr>
      </w:pPr>
    </w:p>
    <w:p>
      <w:pPr>
        <w:ind w:right="360" w:firstLine="601"/>
        <w:spacing w:after="0" w:line="266" w:lineRule="auto"/>
        <w:rPr>
          <w:sz w:val="20"/>
          <w:szCs w:val="20"/>
          <w:color w:val="auto"/>
        </w:rPr>
      </w:pPr>
      <w:r>
        <w:rPr>
          <w:rFonts w:ascii="Arial" w:cs="Arial" w:eastAsia="Arial" w:hAnsi="Arial"/>
          <w:sz w:val="17"/>
          <w:szCs w:val="17"/>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spacing w:after="0" w:line="67" w:lineRule="exact"/>
        <w:rPr>
          <w:sz w:val="20"/>
          <w:szCs w:val="20"/>
          <w:color w:val="auto"/>
        </w:rPr>
      </w:pPr>
    </w:p>
    <w:p>
      <w:pPr>
        <w:ind w:right="320" w:firstLine="601"/>
        <w:spacing w:after="0" w:line="279" w:lineRule="auto"/>
        <w:rPr>
          <w:sz w:val="20"/>
          <w:szCs w:val="20"/>
          <w:color w:val="auto"/>
        </w:rPr>
      </w:pPr>
      <w:r>
        <w:rPr>
          <w:rFonts w:ascii="Arial" w:cs="Arial" w:eastAsia="Arial" w:hAnsi="Arial"/>
          <w:sz w:val="16"/>
          <w:szCs w:val="16"/>
          <w:color w:val="auto"/>
        </w:rPr>
        <w:t>As of March 31, 2017, we had total indebtedness of approximately $1.7 billion and $370 million of availability under our revolving credit facility (the “Revolving Credit Facility”).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753" w:right="239" w:bottom="1440" w:gutter="0" w:footer="0" w:header="0"/>
        </w:sectPr>
      </w:pPr>
    </w:p>
    <w:bookmarkStart w:id="33" w:name="page34"/>
    <w:bookmarkEnd w:id="33"/>
    <w:p>
      <w:pPr>
        <w:ind w:left="580" w:right="80" w:hanging="292"/>
        <w:spacing w:after="0" w:line="306" w:lineRule="auto"/>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making it more difficult for us to satisfy our obligations with respect to our Secured Credit Facility, consisting of a $1,153 million term loan facility (“Term Loan A”), a $398 million term loan facility (“Term Loan B” and, together with Term Loan A, the “Term Loans”) and a $500 million Revolving Credit Facility, with a sublimit for letters of credit of $100 million, our $350 million in aggregate principal amount of 5.125% Senior Notes due 2025 (the “Notes”) and our other debt;</w:t>
      </w:r>
    </w:p>
    <w:p>
      <w:pPr>
        <w:spacing w:after="0" w:line="41" w:lineRule="exact"/>
        <w:rPr>
          <w:rFonts w:ascii="Arial" w:cs="Arial" w:eastAsia="Arial" w:hAnsi="Arial"/>
          <w:sz w:val="15"/>
          <w:szCs w:val="15"/>
          <w:color w:val="auto"/>
        </w:rPr>
      </w:pPr>
    </w:p>
    <w:p>
      <w:pPr>
        <w:ind w:left="580" w:hanging="292"/>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limiting our ability to obtain additional financing to fund future working capital, capital expenditures, acquisitions or other general corporate requirements;</w:t>
      </w:r>
    </w:p>
    <w:p>
      <w:pPr>
        <w:spacing w:after="0" w:line="116" w:lineRule="exact"/>
        <w:rPr>
          <w:rFonts w:ascii="Arial" w:cs="Arial" w:eastAsia="Arial" w:hAnsi="Arial"/>
          <w:sz w:val="16"/>
          <w:szCs w:val="16"/>
          <w:color w:val="auto"/>
        </w:rPr>
      </w:pPr>
    </w:p>
    <w:p>
      <w:pPr>
        <w:ind w:left="580" w:right="240" w:hanging="292"/>
        <w:spacing w:after="0" w:line="266"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exposing us to the risk of increased interest rates as certain of our borrowings, including under the Secured Credit Facility, are at variable rates of interest;</w:t>
      </w:r>
    </w:p>
    <w:p>
      <w:pPr>
        <w:spacing w:after="0" w:line="127" w:lineRule="exact"/>
        <w:rPr>
          <w:rFonts w:ascii="Arial" w:cs="Arial" w:eastAsia="Arial" w:hAnsi="Arial"/>
          <w:sz w:val="15"/>
          <w:szCs w:val="15"/>
          <w:color w:val="auto"/>
        </w:rPr>
      </w:pPr>
    </w:p>
    <w:p>
      <w:pPr>
        <w:ind w:left="580" w:hanging="292"/>
        <w:spacing w:after="0"/>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limiting our flexibility in planning for and reacting to changes in the industry in which we compete;</w:t>
      </w:r>
    </w:p>
    <w:p>
      <w:pPr>
        <w:spacing w:after="0" w:line="104" w:lineRule="exact"/>
        <w:rPr>
          <w:rFonts w:ascii="Arial" w:cs="Arial" w:eastAsia="Arial" w:hAnsi="Arial"/>
          <w:sz w:val="17"/>
          <w:szCs w:val="17"/>
          <w:color w:val="auto"/>
        </w:rPr>
      </w:pPr>
    </w:p>
    <w:p>
      <w:pPr>
        <w:ind w:left="580" w:right="160" w:hanging="292"/>
        <w:spacing w:after="0" w:line="266"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placing us at a disadvantage compared to other, less leveraged competitors or competitors with comparable debt and more favorable terms and thereby affecting our ability to compete; and</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increasing our cost of borrowing.</w:t>
      </w:r>
    </w:p>
    <w:p>
      <w:pPr>
        <w:spacing w:after="0" w:line="105" w:lineRule="exact"/>
        <w:rPr>
          <w:sz w:val="20"/>
          <w:szCs w:val="20"/>
          <w:color w:val="auto"/>
        </w:rPr>
      </w:pPr>
    </w:p>
    <w:p>
      <w:pPr>
        <w:ind w:firstLine="375"/>
        <w:spacing w:after="0" w:line="265" w:lineRule="auto"/>
        <w:rPr>
          <w:sz w:val="20"/>
          <w:szCs w:val="20"/>
          <w:color w:val="auto"/>
        </w:rPr>
      </w:pPr>
      <w:r>
        <w:rPr>
          <w:rFonts w:ascii="Arial" w:cs="Arial" w:eastAsia="Arial" w:hAnsi="Arial"/>
          <w:sz w:val="16"/>
          <w:szCs w:val="16"/>
          <w:color w:val="auto"/>
        </w:rPr>
        <w:t>Although the Secured Credit Facility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the Revolving Credit Facility provides for commitments of $500 million, which as of March 31, 2017, $368.3 million were available and $1.7 million were under open standby letters of credit and bank guarantees. Additionally, subject to specified conditions, without the consent of the then-existing lenders (but subject to the receipt of commitments), the indebtedness under the Secured Credit Facility may be increased by up to (x) $400 million plus (y) an additional amount if, after giving pro forma effect to the incurrence of such additional amount and after giving effect to any acquisition consummated concurrently therewith and all other appropriate pro forma adjustment events, the consolidated net senior secured leverage ratio is equal to or less than 3.50:1.00. If new debt is added to our current debt levels, the related risks that we and the guarantors now face would increase and we may not be able to meet all our debt obligations, including the repayment of the Notes.</w:t>
      </w:r>
    </w:p>
    <w:p>
      <w:pPr>
        <w:spacing w:after="0" w:line="74" w:lineRule="exact"/>
        <w:rPr>
          <w:sz w:val="20"/>
          <w:szCs w:val="20"/>
          <w:color w:val="auto"/>
        </w:rPr>
      </w:pPr>
    </w:p>
    <w:p>
      <w:pPr>
        <w:ind w:right="540" w:firstLine="601"/>
        <w:spacing w:after="0" w:line="266" w:lineRule="auto"/>
        <w:rPr>
          <w:sz w:val="20"/>
          <w:szCs w:val="20"/>
          <w:color w:val="auto"/>
        </w:rPr>
      </w:pPr>
      <w:r>
        <w:rPr>
          <w:rFonts w:ascii="Arial" w:cs="Arial" w:eastAsia="Arial" w:hAnsi="Arial"/>
          <w:sz w:val="17"/>
          <w:szCs w:val="17"/>
          <w:b w:val="1"/>
          <w:bCs w:val="1"/>
          <w:i w:val="1"/>
          <w:iCs w:val="1"/>
          <w:color w:val="auto"/>
        </w:rPr>
        <w:t>We may not be able to generate sufficient cash to service our indebtedness and may be forced to take other actions to satisfy our obligations under our indebtedness, which may not be successful.</w:t>
      </w:r>
    </w:p>
    <w:p>
      <w:pPr>
        <w:spacing w:after="0" w:line="67" w:lineRule="exact"/>
        <w:rPr>
          <w:sz w:val="20"/>
          <w:szCs w:val="20"/>
          <w:color w:val="auto"/>
        </w:rPr>
      </w:pPr>
    </w:p>
    <w:p>
      <w:pPr>
        <w:ind w:right="40" w:firstLine="400"/>
        <w:spacing w:after="0" w:line="297" w:lineRule="auto"/>
        <w:rPr>
          <w:sz w:val="20"/>
          <w:szCs w:val="20"/>
          <w:color w:val="auto"/>
        </w:rPr>
      </w:pPr>
      <w:r>
        <w:rPr>
          <w:rFonts w:ascii="Arial" w:cs="Arial" w:eastAsia="Arial" w:hAnsi="Arial"/>
          <w:sz w:val="15"/>
          <w:szCs w:val="15"/>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Business.”</w:t>
      </w:r>
    </w:p>
    <w:p>
      <w:pPr>
        <w:spacing w:after="0" w:line="47" w:lineRule="exact"/>
        <w:rPr>
          <w:sz w:val="20"/>
          <w:szCs w:val="20"/>
          <w:color w:val="auto"/>
        </w:rPr>
      </w:pPr>
    </w:p>
    <w:p>
      <w:pPr>
        <w:ind w:right="60" w:firstLine="400"/>
        <w:spacing w:after="0" w:line="252"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80" w:lineRule="exact"/>
        <w:rPr>
          <w:sz w:val="20"/>
          <w:szCs w:val="20"/>
          <w:color w:val="auto"/>
        </w:rPr>
      </w:pPr>
    </w:p>
    <w:p>
      <w:pPr>
        <w:ind w:right="120" w:firstLine="400"/>
        <w:spacing w:after="0" w:line="266" w:lineRule="auto"/>
        <w:rPr>
          <w:sz w:val="20"/>
          <w:szCs w:val="20"/>
          <w:color w:val="auto"/>
        </w:rPr>
      </w:pPr>
      <w:r>
        <w:rPr>
          <w:rFonts w:ascii="Arial" w:cs="Arial" w:eastAsia="Arial" w:hAnsi="Arial"/>
          <w:sz w:val="17"/>
          <w:szCs w:val="17"/>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67" w:lineRule="exact"/>
        <w:rPr>
          <w:sz w:val="20"/>
          <w:szCs w:val="20"/>
          <w:color w:val="auto"/>
        </w:rPr>
      </w:pPr>
    </w:p>
    <w:p>
      <w:pPr>
        <w:ind w:right="60" w:firstLine="400"/>
        <w:spacing w:after="0" w:line="252" w:lineRule="auto"/>
        <w:rPr>
          <w:sz w:val="20"/>
          <w:szCs w:val="20"/>
          <w:color w:val="auto"/>
        </w:rPr>
      </w:pPr>
      <w:r>
        <w:rPr>
          <w:rFonts w:ascii="Arial" w:cs="Arial" w:eastAsia="Arial" w:hAnsi="Arial"/>
          <w:sz w:val="17"/>
          <w:szCs w:val="17"/>
          <w:color w:val="auto"/>
        </w:rPr>
        <w:t>We may not be able to consummate those dispositions or to obtain proceeds in an amount sufficient to meet any debt service obligations then due. In addition, under the Secured Credit Facility, we are subject to mandatory prepayments of our Term Loans from a portion of our excess cash flows, which may be stepped down upon the achievement of specified first lien leverage ratios. To the extent that we are required to prepay any amounts under our Term Loans, we may have insufficient cash to make required principal and interest payments on other indebtedness.</w:t>
      </w:r>
    </w:p>
    <w:p>
      <w:pPr>
        <w:spacing w:after="0" w:line="80" w:lineRule="exact"/>
        <w:rPr>
          <w:sz w:val="20"/>
          <w:szCs w:val="20"/>
          <w:color w:val="auto"/>
        </w:rPr>
      </w:pPr>
    </w:p>
    <w:p>
      <w:pPr>
        <w:ind w:right="340" w:firstLine="400"/>
        <w:spacing w:after="0" w:line="298" w:lineRule="auto"/>
        <w:rPr>
          <w:sz w:val="20"/>
          <w:szCs w:val="20"/>
          <w:color w:val="auto"/>
        </w:rPr>
      </w:pPr>
      <w:r>
        <w:rPr>
          <w:rFonts w:ascii="Arial" w:cs="Arial" w:eastAsia="Arial" w:hAnsi="Arial"/>
          <w:sz w:val="16"/>
          <w:szCs w:val="16"/>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753" w:right="239" w:bottom="1440" w:gutter="0" w:footer="0" w:header="0"/>
        </w:sectPr>
      </w:pPr>
    </w:p>
    <w:bookmarkStart w:id="34" w:name="page35"/>
    <w:bookmarkEnd w:id="34"/>
    <w:p>
      <w:pPr>
        <w:ind w:right="180" w:firstLine="400"/>
        <w:spacing w:after="0" w:line="252" w:lineRule="auto"/>
        <w:rPr>
          <w:sz w:val="20"/>
          <w:szCs w:val="20"/>
          <w:color w:val="auto"/>
        </w:rPr>
      </w:pPr>
      <w:r>
        <w:rPr>
          <w:rFonts w:ascii="Arial" w:cs="Arial" w:eastAsia="Arial" w:hAnsi="Arial"/>
          <w:sz w:val="17"/>
          <w:szCs w:val="17"/>
          <w:color w:val="auto"/>
        </w:rPr>
        <w:t>If we cannot make scheduled payments on our debt, we will be in default and lenders under our Secured Credit Facility and holders of the Notes could declare all outstanding principal and interest to be due and payable, the lenders under the Revolving Credit Facility could terminate their commitments to loan money, the lenders could foreclose against the assets securing their loans and we could be forced into bankruptcy or liquidation. All of these events could result in you losing some or all of the value of your investment.</w:t>
      </w:r>
    </w:p>
    <w:p>
      <w:pPr>
        <w:spacing w:after="0" w:line="80" w:lineRule="exact"/>
        <w:rPr>
          <w:sz w:val="20"/>
          <w:szCs w:val="20"/>
          <w:color w:val="auto"/>
        </w:rPr>
      </w:pPr>
    </w:p>
    <w:p>
      <w:pPr>
        <w:ind w:right="160" w:firstLine="601"/>
        <w:spacing w:after="0" w:line="266" w:lineRule="auto"/>
        <w:rPr>
          <w:sz w:val="20"/>
          <w:szCs w:val="20"/>
          <w:color w:val="auto"/>
        </w:rPr>
      </w:pPr>
      <w:r>
        <w:rPr>
          <w:rFonts w:ascii="Arial" w:cs="Arial" w:eastAsia="Arial" w:hAnsi="Arial"/>
          <w:sz w:val="17"/>
          <w:szCs w:val="17"/>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spacing w:after="0" w:line="67" w:lineRule="exact"/>
        <w:rPr>
          <w:sz w:val="20"/>
          <w:szCs w:val="20"/>
          <w:color w:val="auto"/>
        </w:rPr>
      </w:pPr>
    </w:p>
    <w:p>
      <w:pPr>
        <w:ind w:firstLine="400"/>
        <w:spacing w:after="0" w:line="266" w:lineRule="auto"/>
        <w:rPr>
          <w:sz w:val="20"/>
          <w:szCs w:val="20"/>
          <w:color w:val="auto"/>
        </w:rPr>
      </w:pPr>
      <w:r>
        <w:rPr>
          <w:rFonts w:ascii="Arial" w:cs="Arial" w:eastAsia="Arial" w:hAnsi="Arial"/>
          <w:sz w:val="17"/>
          <w:szCs w:val="17"/>
          <w:color w:val="auto"/>
        </w:rPr>
        <w:t>The Secured Credit Facility and the indenture governing the Notes contain covenants that, among other things, impose significant operating and financial restrictions on us and limit our ability to engage in actions that may be in our long-term best interest, including restrictions on our ability to:</w:t>
      </w:r>
    </w:p>
    <w:p>
      <w:pPr>
        <w:spacing w:after="0" w:line="67" w:lineRule="exact"/>
        <w:rPr>
          <w:sz w:val="20"/>
          <w:szCs w:val="20"/>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incur additional indebtedness, guarantee indebtedness or issue disqualified stock or preferred stock;</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pay dividends on or make other distributions in respect of, or repurchase or redeem, our capital stock;</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prepay, redeem or repurchase subordinated indebtedness;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make loans and investments;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sell or otherwise dispose of assets;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incur liens securing indebtedness;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enter into agreements restricting our subsidiaries’ ability to pay dividends to us or the guarantors or make other intercompany transfers;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consolidate, merge or sell all or substantially all of our or any guarantor’s assets;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designate our subsidiaries as unrestricted subsidiaries; and</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enter into certain lines of business.</w:t>
      </w:r>
    </w:p>
    <w:p>
      <w:pPr>
        <w:spacing w:after="0" w:line="55" w:lineRule="exact"/>
        <w:rPr>
          <w:sz w:val="20"/>
          <w:szCs w:val="20"/>
          <w:color w:val="auto"/>
        </w:rPr>
      </w:pPr>
    </w:p>
    <w:p>
      <w:pPr>
        <w:ind w:right="20" w:firstLine="601"/>
        <w:spacing w:after="0" w:line="256" w:lineRule="auto"/>
        <w:rPr>
          <w:sz w:val="20"/>
          <w:szCs w:val="20"/>
          <w:color w:val="auto"/>
        </w:rPr>
      </w:pPr>
      <w:r>
        <w:rPr>
          <w:rFonts w:ascii="Arial" w:cs="Arial" w:eastAsia="Arial" w:hAnsi="Arial"/>
          <w:sz w:val="17"/>
          <w:szCs w:val="17"/>
          <w:color w:val="auto"/>
        </w:rPr>
        <w:t>These covenants are subject to a number of important exceptions and qualifications. In addition, the restrictive covenants in the Secured Credit Facility require us to maintain a consolidated net total leverage ratio and a consolidated net interest coverage ratio that will each be tested at the end of each fiscal quarter. Our ability to satisfy that financial ratio test may be affected by events beyond our control.</w:t>
      </w:r>
    </w:p>
    <w:p>
      <w:pPr>
        <w:spacing w:after="0" w:line="25" w:lineRule="exact"/>
        <w:rPr>
          <w:sz w:val="20"/>
          <w:szCs w:val="20"/>
          <w:color w:val="auto"/>
        </w:rPr>
      </w:pPr>
    </w:p>
    <w:p>
      <w:pPr>
        <w:ind w:right="40" w:firstLine="601"/>
        <w:spacing w:after="0" w:line="250" w:lineRule="auto"/>
        <w:rPr>
          <w:sz w:val="20"/>
          <w:szCs w:val="20"/>
          <w:color w:val="auto"/>
        </w:rPr>
      </w:pPr>
      <w:r>
        <w:rPr>
          <w:rFonts w:ascii="Arial" w:cs="Arial" w:eastAsia="Arial" w:hAnsi="Arial"/>
          <w:sz w:val="17"/>
          <w:szCs w:val="17"/>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Secured Credit Facility would also permit the lenders under the Revolving Credit Facility to terminate all other commitments to extend further credit under that facility. Furthermore, if we were unable to repay the amounts due and payable under the Secured Credit Facility, those lenders could proceed against the collateral granted to them to secure that indebtedness. In the event the lenders accelerate the repayment of our borrowings, we may not have sufficient assets to repay that indebtedness.</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a result of all of these restrictions, we may be:</w:t>
      </w:r>
    </w:p>
    <w:p>
      <w:pPr>
        <w:spacing w:after="0" w:line="105" w:lineRule="exact"/>
        <w:rPr>
          <w:sz w:val="20"/>
          <w:szCs w:val="20"/>
          <w:color w:val="auto"/>
        </w:rPr>
      </w:pPr>
    </w:p>
    <w:p>
      <w:pPr>
        <w:ind w:left="600" w:hanging="249"/>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limited in how we conduct our business;</w:t>
      </w:r>
    </w:p>
    <w:p>
      <w:pPr>
        <w:spacing w:after="0" w:line="104" w:lineRule="exact"/>
        <w:rPr>
          <w:rFonts w:ascii="Arial" w:cs="Arial" w:eastAsia="Arial" w:hAnsi="Arial"/>
          <w:sz w:val="17"/>
          <w:szCs w:val="17"/>
          <w:color w:val="auto"/>
        </w:rPr>
      </w:pPr>
    </w:p>
    <w:p>
      <w:pPr>
        <w:ind w:left="600" w:hanging="249"/>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unable to raise additional debt or equity financing to operate during general economic or business downturns; or</w:t>
      </w:r>
    </w:p>
    <w:p>
      <w:pPr>
        <w:spacing w:after="0" w:line="104" w:lineRule="exact"/>
        <w:rPr>
          <w:rFonts w:ascii="Arial" w:cs="Arial" w:eastAsia="Arial" w:hAnsi="Arial"/>
          <w:sz w:val="17"/>
          <w:szCs w:val="17"/>
          <w:color w:val="auto"/>
        </w:rPr>
      </w:pPr>
    </w:p>
    <w:p>
      <w:pPr>
        <w:ind w:left="600" w:right="5280" w:hanging="249"/>
        <w:spacing w:after="0" w:line="417" w:lineRule="auto"/>
        <w:tabs>
          <w:tab w:leader="none" w:pos="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unable to compete effectively or to take advantage of new business opportunities. These restrictions might hinder our ability to grow in accordance with our strategy.</w:t>
      </w:r>
    </w:p>
    <w:p>
      <w:pPr>
        <w:spacing w:after="0" w:line="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6"/>
          <w:szCs w:val="16"/>
          <w:b w:val="1"/>
          <w:bCs w:val="1"/>
          <w:i w:val="1"/>
          <w:iCs w:val="1"/>
          <w:color w:val="auto"/>
        </w:rPr>
        <w:t>Our variable rate indebtedness subjects us to interest rate risk, which could cause our debt service obligations to increase significantly.</w:t>
      </w:r>
    </w:p>
    <w:p>
      <w:pPr>
        <w:spacing w:after="0" w:line="116" w:lineRule="exact"/>
        <w:rPr>
          <w:sz w:val="20"/>
          <w:szCs w:val="20"/>
          <w:color w:val="auto"/>
        </w:rPr>
      </w:pPr>
    </w:p>
    <w:p>
      <w:pPr>
        <w:ind w:right="200" w:firstLine="601"/>
        <w:spacing w:after="0" w:line="279" w:lineRule="auto"/>
        <w:rPr>
          <w:sz w:val="20"/>
          <w:szCs w:val="20"/>
          <w:color w:val="auto"/>
        </w:rPr>
      </w:pPr>
      <w:r>
        <w:rPr>
          <w:rFonts w:ascii="Arial" w:cs="Arial" w:eastAsia="Arial" w:hAnsi="Arial"/>
          <w:sz w:val="16"/>
          <w:szCs w:val="16"/>
          <w:color w:val="auto"/>
        </w:rPr>
        <w:t>Borrowings under the Secured Credit Facility are at variable rates of interest and expose us to interest rate risk. Interest rates are currently at historically low levels. If interest rates increase, our debt service obligations on the variable rate indebtedness will increase even though the amount borrowed remains the same, and our net income and cash flows, including cash available for servicing our indebtedness, will correspondingly decrease.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Assuming all revolving loans are fully drawn, each quarter point change in interest rates would result in a</w:t>
      </w:r>
    </w:p>
    <w:p>
      <w:pPr>
        <w:spacing w:after="0" w:line="1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$5.1 million change in our projected annual interest expense on our indebtedness under the Secured Credit Facility. In the future, we may enter into interest rate swaps that involve the exchange of floating for fixed rate interest payments in order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753" w:right="239" w:bottom="1440" w:gutter="0" w:footer="0" w:header="0"/>
        </w:sectPr>
      </w:pPr>
    </w:p>
    <w:bookmarkStart w:id="35" w:name="page36"/>
    <w:bookmarkEnd w:id="35"/>
    <w:p>
      <w:pPr>
        <w:ind w:right="240"/>
        <w:spacing w:after="0" w:line="293" w:lineRule="auto"/>
        <w:rPr>
          <w:sz w:val="20"/>
          <w:szCs w:val="20"/>
          <w:color w:val="auto"/>
        </w:rPr>
      </w:pPr>
      <w:r>
        <w:rPr>
          <w:rFonts w:ascii="Arial" w:cs="Arial" w:eastAsia="Arial" w:hAnsi="Arial"/>
          <w:sz w:val="16"/>
          <w:szCs w:val="16"/>
          <w:color w:val="auto"/>
        </w:rPr>
        <w:t>reduce future interest rate volatility. However, due to risks for hedging gains and losses and cash settlement costs, we may not elect to maintain such interest rate swaps with respect to any of our variable rate indebtedness, and any swaps we enter into may not fully mitigate our interest rate risk.</w:t>
      </w:r>
    </w:p>
    <w:p>
      <w:pPr>
        <w:spacing w:after="0" w:line="1" w:lineRule="exact"/>
        <w:rPr>
          <w:sz w:val="20"/>
          <w:szCs w:val="20"/>
          <w:color w:val="auto"/>
        </w:rPr>
      </w:pPr>
    </w:p>
    <w:p>
      <w:pPr>
        <w:ind w:firstLine="601"/>
        <w:spacing w:after="0" w:line="266" w:lineRule="auto"/>
        <w:rPr>
          <w:sz w:val="20"/>
          <w:szCs w:val="20"/>
          <w:color w:val="auto"/>
        </w:rPr>
      </w:pPr>
      <w:r>
        <w:rPr>
          <w:rFonts w:ascii="Arial" w:cs="Arial" w:eastAsia="Arial" w:hAnsi="Arial"/>
          <w:sz w:val="17"/>
          <w:szCs w:val="17"/>
          <w:b w:val="1"/>
          <w:bCs w:val="1"/>
          <w:i w:val="1"/>
          <w:iCs w:val="1"/>
          <w:color w:val="auto"/>
        </w:rPr>
        <w:t>We will need to repay or refinance borrowings under the Secured Credit Facility prior to maturity of the Notes. Failure to do so could have a material adverse effect upon us.</w:t>
      </w:r>
    </w:p>
    <w:p>
      <w:pPr>
        <w:spacing w:after="0" w:line="17" w:lineRule="exact"/>
        <w:rPr>
          <w:sz w:val="20"/>
          <w:szCs w:val="20"/>
          <w:color w:val="auto"/>
        </w:rPr>
      </w:pPr>
    </w:p>
    <w:p>
      <w:pPr>
        <w:ind w:right="20" w:firstLine="601"/>
        <w:spacing w:after="0" w:line="285" w:lineRule="auto"/>
        <w:rPr>
          <w:sz w:val="20"/>
          <w:szCs w:val="20"/>
          <w:color w:val="auto"/>
        </w:rPr>
      </w:pPr>
      <w:r>
        <w:rPr>
          <w:rFonts w:ascii="Arial" w:cs="Arial" w:eastAsia="Arial" w:hAnsi="Arial"/>
          <w:sz w:val="15"/>
          <w:szCs w:val="15"/>
          <w:color w:val="auto"/>
        </w:rPr>
        <w:t>We expect that the Term Loan A and the Revolving Credit Facility will mature in 2021 and the Term Loan B will mature in 2023 and each such maturity date precedes the maturity of the Notes. Consequently, prior to the maturity of the Notes, we will need to repay, refinance, replace or otherwise extend the maturity of the Secured Credit Facility. Our ability to repay, refinance, replace or extend will be dependent on, among other things, business conditions, our financial performance and the general condition of the financial markets. If a financial disruption were to occur at the time that we are required to repay, refinance or replace indebtedness outstanding under the Secured Credit Facility, we could be forced to undertake alternate financings, negotiate for an extension of the maturity of the Secured Credit Facility or sell assets and delay capital expenditures in order to generate proceeds that could be used to repay indebtedness under the Secured Credit Facility. We cannot assure you that we will be able to consummate any such transaction on terms that are commercially reasonable, on terms acceptable to us or at all. Our failure to repay, refinance, replace or otherwise extend the maturity of the Secured Credit Facility could result in an event of default under the indenture governing the Notes and the Secured Credit Facility, which could lead to an acceleration or repayment of substantially all of our outstanding debt.</w:t>
      </w:r>
    </w:p>
    <w:p>
      <w:pPr>
        <w:spacing w:after="0" w:line="59" w:lineRule="exact"/>
        <w:rPr>
          <w:sz w:val="20"/>
          <w:szCs w:val="20"/>
          <w:color w:val="auto"/>
        </w:rPr>
      </w:pPr>
    </w:p>
    <w:p>
      <w:pPr>
        <w:ind w:right="640" w:firstLine="375"/>
        <w:spacing w:after="0" w:line="266" w:lineRule="auto"/>
        <w:rPr>
          <w:sz w:val="20"/>
          <w:szCs w:val="20"/>
          <w:color w:val="auto"/>
        </w:rPr>
      </w:pPr>
      <w:r>
        <w:rPr>
          <w:rFonts w:ascii="Arial" w:cs="Arial" w:eastAsia="Arial" w:hAnsi="Arial"/>
          <w:sz w:val="17"/>
          <w:szCs w:val="17"/>
          <w:b w:val="1"/>
          <w:bCs w:val="1"/>
          <w:i w:val="1"/>
          <w:iCs w:val="1"/>
          <w:color w:val="auto"/>
        </w:rPr>
        <w:t>A downgrade, suspension or withdrawal of the rating assigned by a rating agency to us or our indebtedness could make it more difficult for us to obtain additional debt financing in the future.</w:t>
      </w:r>
    </w:p>
    <w:p>
      <w:pPr>
        <w:spacing w:after="0" w:line="17" w:lineRule="exact"/>
        <w:rPr>
          <w:sz w:val="20"/>
          <w:szCs w:val="20"/>
          <w:color w:val="auto"/>
        </w:rPr>
      </w:pPr>
    </w:p>
    <w:p>
      <w:pPr>
        <w:ind w:right="80" w:firstLine="601"/>
        <w:spacing w:after="0" w:line="251" w:lineRule="auto"/>
        <w:rPr>
          <w:sz w:val="20"/>
          <w:szCs w:val="20"/>
          <w:color w:val="auto"/>
        </w:rPr>
      </w:pPr>
      <w:r>
        <w:rPr>
          <w:rFonts w:ascii="Arial" w:cs="Arial" w:eastAsia="Arial" w:hAnsi="Arial"/>
          <w:sz w:val="17"/>
          <w:szCs w:val="17"/>
          <w:color w:val="auto"/>
        </w:rPr>
        <w:t>Our indebtedness has been rated by nationally recognized rating agencies and may in the future be rated by 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9" w:lineRule="exact"/>
        <w:rPr>
          <w:sz w:val="20"/>
          <w:szCs w:val="20"/>
          <w:color w:val="auto"/>
        </w:rPr>
      </w:pPr>
    </w:p>
    <w:p>
      <w:pPr>
        <w:ind w:right="300" w:firstLine="375"/>
        <w:spacing w:after="0" w:line="266" w:lineRule="auto"/>
        <w:rPr>
          <w:sz w:val="20"/>
          <w:szCs w:val="20"/>
          <w:color w:val="auto"/>
        </w:rPr>
      </w:pPr>
      <w:r>
        <w:rPr>
          <w:rFonts w:ascii="Arial" w:cs="Arial" w:eastAsia="Arial" w:hAnsi="Arial"/>
          <w:sz w:val="17"/>
          <w:szCs w:val="17"/>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67" w:lineRule="exact"/>
        <w:rPr>
          <w:sz w:val="20"/>
          <w:szCs w:val="20"/>
          <w:color w:val="auto"/>
        </w:rPr>
      </w:pPr>
    </w:p>
    <w:p>
      <w:pPr>
        <w:ind w:right="60" w:firstLine="400"/>
        <w:spacing w:after="0" w:line="273" w:lineRule="auto"/>
        <w:rPr>
          <w:sz w:val="20"/>
          <w:szCs w:val="20"/>
          <w:color w:val="auto"/>
        </w:rPr>
      </w:pPr>
      <w:r>
        <w:rPr>
          <w:rFonts w:ascii="Arial" w:cs="Arial" w:eastAsia="Arial" w:hAnsi="Arial"/>
          <w:sz w:val="16"/>
          <w:szCs w:val="16"/>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the Secured Credit Facility and indenture governing the Notes significantly restricts the ability of our subsidiaries to pay dividends or otherwise transfer assets to us. In addition, Delaware law may impose requirements that may restrict our ability to pay dividends to holders of our common stock.</w:t>
      </w:r>
    </w:p>
    <w:p>
      <w:pPr>
        <w:spacing w:after="0" w:line="64" w:lineRule="exact"/>
        <w:rPr>
          <w:sz w:val="20"/>
          <w:szCs w:val="20"/>
          <w:color w:val="auto"/>
        </w:rPr>
      </w:pPr>
    </w:p>
    <w:p>
      <w:pPr>
        <w:jc w:val="both"/>
        <w:ind w:right="200" w:firstLine="375"/>
        <w:spacing w:after="0" w:line="266" w:lineRule="auto"/>
        <w:rPr>
          <w:sz w:val="20"/>
          <w:szCs w:val="20"/>
          <w:color w:val="auto"/>
        </w:rPr>
      </w:pPr>
      <w:r>
        <w:rPr>
          <w:rFonts w:ascii="Arial" w:cs="Arial" w:eastAsia="Arial" w:hAnsi="Arial"/>
          <w:sz w:val="17"/>
          <w:szCs w:val="17"/>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67" w:lineRule="exact"/>
        <w:rPr>
          <w:sz w:val="20"/>
          <w:szCs w:val="20"/>
          <w:color w:val="auto"/>
        </w:rPr>
      </w:pPr>
    </w:p>
    <w:p>
      <w:pPr>
        <w:jc w:val="both"/>
        <w:ind w:right="200" w:firstLine="400"/>
        <w:spacing w:after="0" w:line="256" w:lineRule="auto"/>
        <w:rPr>
          <w:sz w:val="20"/>
          <w:szCs w:val="20"/>
          <w:color w:val="auto"/>
        </w:rPr>
      </w:pPr>
      <w:r>
        <w:rPr>
          <w:rFonts w:ascii="Arial" w:cs="Arial" w:eastAsia="Arial" w:hAnsi="Arial"/>
          <w:sz w:val="17"/>
          <w:szCs w:val="17"/>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75" w:lineRule="exact"/>
        <w:rPr>
          <w:sz w:val="20"/>
          <w:szCs w:val="20"/>
          <w:color w:val="auto"/>
        </w:rPr>
      </w:pPr>
    </w:p>
    <w:p>
      <w:pPr>
        <w:ind w:left="580" w:hanging="292"/>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cause of reduction or delay in U.S. government funding;</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fluctuations in revenue earned on existing contracts;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commencement, completion, or termination of contracts during a particular period;</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potential decline in our overall profit margins if our other direct costs and subcontract revenue grow at a faster rate than labor-related revenue;</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strategic decisions by us or our competitors, such as changes to business strategy, strategic investments, acquisitions, divestitures, spin offs, and joint ventures;</w:t>
      </w:r>
    </w:p>
    <w:p>
      <w:pPr>
        <w:spacing w:after="0" w:line="127" w:lineRule="exact"/>
        <w:rPr>
          <w:rFonts w:ascii="Arial" w:cs="Arial" w:eastAsia="Arial" w:hAnsi="Arial"/>
          <w:sz w:val="15"/>
          <w:szCs w:val="15"/>
          <w:color w:val="auto"/>
        </w:rPr>
      </w:pPr>
    </w:p>
    <w:p>
      <w:pPr>
        <w:ind w:left="580" w:hanging="292"/>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change in our contract mix to less profitable contracts;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policy or budgetary measures that adversely affect U.S. government contracts in general;</w:t>
      </w:r>
    </w:p>
    <w:p>
      <w:pPr>
        <w:spacing w:after="0" w:line="104" w:lineRule="exact"/>
        <w:rPr>
          <w:rFonts w:ascii="Arial" w:cs="Arial" w:eastAsia="Arial" w:hAnsi="Arial"/>
          <w:sz w:val="17"/>
          <w:szCs w:val="17"/>
          <w:color w:val="auto"/>
        </w:rPr>
      </w:pPr>
    </w:p>
    <w:p>
      <w:pPr>
        <w:ind w:left="580" w:right="140" w:hanging="292"/>
        <w:spacing w:after="0" w:line="266"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variable purchasing patterns under U.S. government GSA schedules, blanket purchase agreements, which are agreements that fulfill repetitive needs under GSA schedules, and IDIQ contracts;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653" w:right="239" w:bottom="1440" w:gutter="0" w:footer="0" w:header="0"/>
        </w:sectPr>
      </w:pPr>
    </w:p>
    <w:bookmarkStart w:id="36" w:name="page37"/>
    <w:bookmarkEnd w:id="36"/>
    <w:p>
      <w:pPr>
        <w:ind w:left="580" w:hanging="292"/>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demand for our services and solutions;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fluctuations in the degree to which we are able to utilize our professionals;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seasonality associated with the U.S. government’s fiscal year;</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inability to utilize existing or future tax benefits for any reason, including a change in law;</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alterations to contract requirements; and</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adverse judgments or settlements in legal disputes.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cannot assure you that we will pay special or regular dividends on our stock in the future.</w:t>
      </w:r>
    </w:p>
    <w:p>
      <w:pPr>
        <w:spacing w:after="0" w:line="105" w:lineRule="exact"/>
        <w:rPr>
          <w:sz w:val="20"/>
          <w:szCs w:val="20"/>
          <w:color w:val="auto"/>
        </w:rPr>
      </w:pPr>
    </w:p>
    <w:p>
      <w:pPr>
        <w:ind w:right="20" w:firstLine="451"/>
        <w:spacing w:after="0" w:line="265" w:lineRule="auto"/>
        <w:rPr>
          <w:sz w:val="20"/>
          <w:szCs w:val="20"/>
          <w:color w:val="auto"/>
        </w:rPr>
      </w:pPr>
      <w:r>
        <w:rPr>
          <w:rFonts w:ascii="Arial" w:cs="Arial" w:eastAsia="Arial" w:hAnsi="Arial"/>
          <w:sz w:val="16"/>
          <w:szCs w:val="16"/>
          <w:color w:val="auto"/>
        </w:rPr>
        <w:t>The board of directors has authorized and declared a regular quarterly for each quarter in the last several years. The board of directors also authorized and declared a special cash dividend on May 29, 2012, July 30, 2012, October 29, 2013, January 30, 2014, and July 30, 2014. The declaration of any future dividends and the establishment of the per share amount, record dates and payment dates for any such future dividends are subject to the discretion of the board of directors taking into account future earnings, cash flows, financial requirements and other factors. There can be no assurance that the board of directors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74" w:lineRule="exact"/>
        <w:rPr>
          <w:sz w:val="20"/>
          <w:szCs w:val="20"/>
          <w:color w:val="auto"/>
        </w:rPr>
      </w:pPr>
    </w:p>
    <w:p>
      <w:pPr>
        <w:ind w:right="220" w:firstLine="375"/>
        <w:spacing w:after="0" w:line="256" w:lineRule="auto"/>
        <w:rPr>
          <w:sz w:val="20"/>
          <w:szCs w:val="20"/>
          <w:color w:val="auto"/>
        </w:rPr>
      </w:pPr>
      <w:r>
        <w:rPr>
          <w:rFonts w:ascii="Arial" w:cs="Arial" w:eastAsia="Arial" w:hAnsi="Arial"/>
          <w:sz w:val="17"/>
          <w:szCs w:val="17"/>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75" w:lineRule="exact"/>
        <w:rPr>
          <w:sz w:val="20"/>
          <w:szCs w:val="20"/>
          <w:color w:val="auto"/>
        </w:rPr>
      </w:pPr>
    </w:p>
    <w:p>
      <w:pPr>
        <w:ind w:right="40" w:firstLine="400"/>
        <w:spacing w:after="0" w:line="289" w:lineRule="auto"/>
        <w:rPr>
          <w:sz w:val="20"/>
          <w:szCs w:val="20"/>
          <w:color w:val="auto"/>
        </w:rPr>
      </w:pPr>
      <w:r>
        <w:rPr>
          <w:rFonts w:ascii="Arial" w:cs="Arial" w:eastAsia="Arial" w:hAnsi="Arial"/>
          <w:sz w:val="15"/>
          <w:szCs w:val="15"/>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56" w:lineRule="exact"/>
        <w:rPr>
          <w:sz w:val="20"/>
          <w:szCs w:val="20"/>
          <w:color w:val="auto"/>
        </w:rPr>
      </w:pPr>
    </w:p>
    <w:p>
      <w:pPr>
        <w:ind w:firstLine="400"/>
        <w:spacing w:after="0" w:line="282" w:lineRule="auto"/>
        <w:rPr>
          <w:sz w:val="20"/>
          <w:szCs w:val="20"/>
          <w:color w:val="auto"/>
        </w:rPr>
      </w:pPr>
      <w:r>
        <w:rPr>
          <w:rFonts w:ascii="Arial" w:cs="Arial" w:eastAsia="Arial" w:hAnsi="Arial"/>
          <w:sz w:val="15"/>
          <w:szCs w:val="15"/>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Exchange Act to maintain disclosure controls and procedures and internal control over financial reporting. Because of inherent limitations in any internal control environment, there can be no assurance that all control issues and instances of fraud, errors or misstatements, if any, within our company have been or will be detected on a timely basis. Such deficiencies could result in the correction or restatement of financial statements of one or more periods. Any failure to maintain effective controls or implement new or improved controls, or difficulties encountered in their implementation, could harm our operating results or cause us to fail to meet our reporting obligations. We also rely on third parties for certain calculations and other information that support our accounting and financial reporting, which includes reports from such organizations on their controls and systems that are used to generate this information. The calculations and other information that we receive from such third parties may not be accurate, and we may not receive adequate or timely information related to internal control failures occurring at these organizations. Any failure by such third parties to provide us with accurate information or implement and maintain effective controls may cause us to be unable to meet our reporting obligations as a publicly traded company.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753" w:right="239" w:bottom="1440" w:gutter="0" w:footer="0" w:header="0"/>
        </w:sectPr>
      </w:pPr>
    </w:p>
    <w:bookmarkStart w:id="37" w:name="page38"/>
    <w:bookmarkEnd w:id="37"/>
    <w:p>
      <w:pPr>
        <w:ind w:right="500" w:firstLine="375"/>
        <w:spacing w:after="0" w:line="266" w:lineRule="auto"/>
        <w:rPr>
          <w:sz w:val="20"/>
          <w:szCs w:val="20"/>
          <w:color w:val="auto"/>
        </w:rPr>
      </w:pPr>
      <w:r>
        <w:rPr>
          <w:rFonts w:ascii="Arial" w:cs="Arial" w:eastAsia="Arial" w:hAnsi="Arial"/>
          <w:sz w:val="17"/>
          <w:szCs w:val="17"/>
          <w:b w:val="1"/>
          <w:bCs w:val="1"/>
          <w:i w:val="1"/>
          <w:iCs w:val="1"/>
          <w:color w:val="auto"/>
        </w:rPr>
        <w:t>Provisions in our organizational documents and in the Delaware General Corporation Law may prevent takeover attempts that could be beneficial to our stockholders.</w:t>
      </w:r>
    </w:p>
    <w:p>
      <w:pPr>
        <w:spacing w:after="0" w:line="67" w:lineRule="exact"/>
        <w:rPr>
          <w:sz w:val="20"/>
          <w:szCs w:val="20"/>
          <w:color w:val="auto"/>
        </w:rPr>
      </w:pPr>
    </w:p>
    <w:p>
      <w:pPr>
        <w:ind w:right="100" w:firstLine="400"/>
        <w:spacing w:after="0" w:line="256"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75" w:lineRule="exact"/>
        <w:rPr>
          <w:sz w:val="20"/>
          <w:szCs w:val="20"/>
          <w:color w:val="auto"/>
        </w:rPr>
      </w:pPr>
    </w:p>
    <w:p>
      <w:pPr>
        <w:ind w:left="580" w:hanging="292"/>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establishment of a classified Board, with staggered terms;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granting to the Board the sole power to set the number of directors and to fill any vacancy on the Board;</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limitations on the ability of stockholders to remove directors;</w:t>
      </w:r>
    </w:p>
    <w:p>
      <w:pPr>
        <w:spacing w:after="0" w:line="104" w:lineRule="exact"/>
        <w:rPr>
          <w:rFonts w:ascii="Arial" w:cs="Arial" w:eastAsia="Arial" w:hAnsi="Arial"/>
          <w:sz w:val="17"/>
          <w:szCs w:val="17"/>
          <w:color w:val="auto"/>
        </w:rPr>
      </w:pPr>
    </w:p>
    <w:p>
      <w:pPr>
        <w:ind w:left="580" w:right="20" w:hanging="292"/>
        <w:spacing w:after="0" w:line="266"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granting to the Board the ability to designate and issue one or more series of preferred stock without stockholder approval, the terms of which may be determined at the sole discretion of the Board;</w:t>
      </w:r>
    </w:p>
    <w:p>
      <w:pPr>
        <w:spacing w:after="0" w:line="67" w:lineRule="exact"/>
        <w:rPr>
          <w:rFonts w:ascii="Arial" w:cs="Arial" w:eastAsia="Arial" w:hAnsi="Arial"/>
          <w:sz w:val="17"/>
          <w:szCs w:val="17"/>
          <w:color w:val="auto"/>
        </w:rPr>
      </w:pPr>
    </w:p>
    <w:p>
      <w:pPr>
        <w:ind w:left="580" w:hanging="292"/>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prohibition on stockholders from calling special meetings of stockholders;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establishment of advance notice requirements for stockholder proposals and nominations for election to the Board at stockholder meetings;</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requiring approval of two-thirds of stockholders to amend the bylaws; and</w:t>
      </w:r>
    </w:p>
    <w:p>
      <w:pPr>
        <w:spacing w:after="0" w:line="104" w:lineRule="exact"/>
        <w:rPr>
          <w:rFonts w:ascii="Arial" w:cs="Arial" w:eastAsia="Arial" w:hAnsi="Arial"/>
          <w:sz w:val="17"/>
          <w:szCs w:val="17"/>
          <w:color w:val="auto"/>
        </w:rPr>
      </w:pPr>
    </w:p>
    <w:p>
      <w:pPr>
        <w:ind w:left="580" w:hanging="292"/>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prohibiting our stockholders from acting by written consent.</w:t>
      </w:r>
    </w:p>
    <w:p>
      <w:pPr>
        <w:spacing w:after="0" w:line="105" w:lineRule="exact"/>
        <w:rPr>
          <w:sz w:val="20"/>
          <w:szCs w:val="20"/>
          <w:color w:val="auto"/>
        </w:rPr>
      </w:pPr>
    </w:p>
    <w:p>
      <w:pPr>
        <w:ind w:right="160" w:firstLine="400"/>
        <w:spacing w:after="0" w:line="273" w:lineRule="auto"/>
        <w:rPr>
          <w:sz w:val="20"/>
          <w:szCs w:val="20"/>
          <w:color w:val="auto"/>
        </w:rPr>
      </w:pPr>
      <w:r>
        <w:rPr>
          <w:rFonts w:ascii="Arial" w:cs="Arial" w:eastAsia="Arial" w:hAnsi="Arial"/>
          <w:sz w:val="16"/>
          <w:szCs w:val="16"/>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64" w:lineRule="exact"/>
        <w:rPr>
          <w:sz w:val="20"/>
          <w:szCs w:val="20"/>
          <w:color w:val="auto"/>
        </w:rPr>
      </w:pPr>
    </w:p>
    <w:p>
      <w:pPr>
        <w:ind w:firstLine="400"/>
        <w:spacing w:after="0" w:line="256" w:lineRule="auto"/>
        <w:rPr>
          <w:sz w:val="20"/>
          <w:szCs w:val="20"/>
          <w:color w:val="auto"/>
        </w:rPr>
      </w:pPr>
      <w:r>
        <w:rPr>
          <w:rFonts w:ascii="Arial" w:cs="Arial" w:eastAsia="Arial" w:hAnsi="Arial"/>
          <w:sz w:val="17"/>
          <w:szCs w:val="17"/>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The market for our Class A common stock may be adversely affected by the performance of other companies in the government services market.</w:t>
      </w:r>
    </w:p>
    <w:p>
      <w:pPr>
        <w:spacing w:after="0" w:line="128" w:lineRule="exact"/>
        <w:rPr>
          <w:sz w:val="20"/>
          <w:szCs w:val="20"/>
          <w:color w:val="auto"/>
        </w:rPr>
      </w:pPr>
    </w:p>
    <w:p>
      <w:pPr>
        <w:ind w:right="40" w:firstLine="400"/>
        <w:spacing w:after="0" w:line="292" w:lineRule="auto"/>
        <w:rPr>
          <w:sz w:val="20"/>
          <w:szCs w:val="20"/>
          <w:color w:val="auto"/>
        </w:rPr>
      </w:pPr>
      <w:r>
        <w:rPr>
          <w:rFonts w:ascii="Arial" w:cs="Arial" w:eastAsia="Arial" w:hAnsi="Arial"/>
          <w:sz w:val="15"/>
          <w:szCs w:val="15"/>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1B</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Properties</w:t>
      </w:r>
    </w:p>
    <w:p>
      <w:pPr>
        <w:spacing w:after="0" w:line="109" w:lineRule="exact"/>
        <w:rPr>
          <w:sz w:val="20"/>
          <w:szCs w:val="20"/>
          <w:color w:val="auto"/>
        </w:rPr>
      </w:pPr>
    </w:p>
    <w:p>
      <w:pPr>
        <w:ind w:right="220" w:firstLine="400"/>
        <w:spacing w:after="0" w:line="268" w:lineRule="auto"/>
        <w:rPr>
          <w:sz w:val="20"/>
          <w:szCs w:val="20"/>
          <w:color w:val="auto"/>
        </w:rPr>
      </w:pPr>
      <w:r>
        <w:rPr>
          <w:rFonts w:ascii="Arial" w:cs="Arial" w:eastAsia="Arial" w:hAnsi="Arial"/>
          <w:sz w:val="16"/>
          <w:szCs w:val="16"/>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Rockville, Maryland; Laurel, Maryland; San Diego, California; Herndon, Virginia; Charleston, South Carolina;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2.59 million square feet. We believe our facilities meet our current needs.</w:t>
      </w:r>
    </w:p>
    <w:p>
      <w:pPr>
        <w:spacing w:after="0" w:line="26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Legal Proceedings</w:t>
      </w:r>
    </w:p>
    <w:p>
      <w:pPr>
        <w:spacing w:after="0" w:line="109" w:lineRule="exact"/>
        <w:rPr>
          <w:sz w:val="20"/>
          <w:szCs w:val="20"/>
          <w:color w:val="auto"/>
        </w:rPr>
      </w:pPr>
    </w:p>
    <w:p>
      <w:pPr>
        <w:ind w:right="160" w:firstLine="400"/>
        <w:spacing w:after="0" w:line="266"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753" w:right="279" w:bottom="1440" w:gutter="0" w:footer="0" w:header="0"/>
        </w:sectPr>
      </w:pPr>
    </w:p>
    <w:bookmarkStart w:id="38" w:name="page39"/>
    <w:bookmarkEnd w:id="38"/>
    <w:p>
      <w:pPr>
        <w:ind w:right="120"/>
        <w:spacing w:after="0" w:line="285" w:lineRule="auto"/>
        <w:rPr>
          <w:sz w:val="20"/>
          <w:szCs w:val="20"/>
          <w:color w:val="auto"/>
        </w:rPr>
      </w:pPr>
      <w:r>
        <w:rPr>
          <w:rFonts w:ascii="Arial" w:cs="Arial" w:eastAsia="Arial" w:hAnsi="Arial"/>
          <w:sz w:val="15"/>
          <w:szCs w:val="15"/>
          <w:color w:val="auto"/>
        </w:rPr>
        <w:t>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2017 and 2016, there were no material amounts accrued in the consolidated financial statements related to these proceedings.</w:t>
      </w:r>
    </w:p>
    <w:p>
      <w:pPr>
        <w:spacing w:after="0" w:line="59" w:lineRule="exact"/>
        <w:rPr>
          <w:sz w:val="20"/>
          <w:szCs w:val="20"/>
          <w:color w:val="auto"/>
        </w:rPr>
      </w:pPr>
    </w:p>
    <w:p>
      <w:pPr>
        <w:ind w:firstLine="400"/>
        <w:spacing w:after="0" w:line="282" w:lineRule="auto"/>
        <w:rPr>
          <w:sz w:val="20"/>
          <w:szCs w:val="20"/>
          <w:color w:val="auto"/>
        </w:rPr>
      </w:pPr>
      <w:r>
        <w:rPr>
          <w:rFonts w:ascii="Arial" w:cs="Arial" w:eastAsia="Arial" w:hAnsi="Arial"/>
          <w:sz w:val="15"/>
          <w:szCs w:val="15"/>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are on appeal before the United States Court of Appeals for the Second Circuit. On December 15, 2016, hearings relating to the appeal were held before the United States Court of Appeals for the Second Circuit. As of March 31, 2017, the United States Court of Appeals for the Second Circuit has not ruled on this appeal. As of March 31, 2017, the aggregate alleged damages sought in these three remaining suits was approximately $241.7 million (substantially all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00" w:lineRule="exact"/>
        <w:rPr>
          <w:sz w:val="20"/>
          <w:szCs w:val="20"/>
          <w:color w:val="auto"/>
        </w:rPr>
      </w:pPr>
    </w:p>
    <w:p>
      <w:pPr>
        <w:spacing w:after="0" w:line="25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information about our executive officers as of the date hereof:</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6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760" w:type="dxa"/>
            <w:vAlign w:val="bottom"/>
          </w:tcPr>
          <w:p>
            <w:pPr>
              <w:jc w:val="center"/>
              <w:ind w:left="458"/>
              <w:spacing w:after="0"/>
              <w:rPr>
                <w:sz w:val="20"/>
                <w:szCs w:val="20"/>
                <w:color w:val="auto"/>
              </w:rPr>
            </w:pPr>
            <w:r>
              <w:rPr>
                <w:rFonts w:ascii="Arial" w:cs="Arial" w:eastAsia="Arial" w:hAnsi="Arial"/>
                <w:sz w:val="13"/>
                <w:szCs w:val="13"/>
                <w:b w:val="1"/>
                <w:bCs w:val="1"/>
                <w:color w:val="auto"/>
                <w:w w:val="89"/>
              </w:rPr>
              <w:t>Age</w:t>
            </w:r>
          </w:p>
        </w:tc>
        <w:tc>
          <w:tcPr>
            <w:tcW w:w="6840" w:type="dxa"/>
            <w:vAlign w:val="bottom"/>
          </w:tcPr>
          <w:p>
            <w:pPr>
              <w:ind w:left="500"/>
              <w:spacing w:after="0"/>
              <w:rPr>
                <w:sz w:val="20"/>
                <w:szCs w:val="20"/>
                <w:color w:val="auto"/>
              </w:rPr>
            </w:pPr>
            <w:r>
              <w:rPr>
                <w:rFonts w:ascii="Arial" w:cs="Arial" w:eastAsia="Arial" w:hAnsi="Arial"/>
                <w:sz w:val="13"/>
                <w:szCs w:val="13"/>
                <w:b w:val="1"/>
                <w:bCs w:val="1"/>
                <w:color w:val="auto"/>
              </w:rPr>
              <w:t>Position</w:t>
            </w:r>
          </w:p>
        </w:tc>
      </w:tr>
      <w:tr>
        <w:trPr>
          <w:trHeight w:val="235"/>
        </w:trPr>
        <w:tc>
          <w:tcPr>
            <w:tcW w:w="2660" w:type="dxa"/>
            <w:vAlign w:val="bottom"/>
          </w:tcPr>
          <w:p>
            <w:pPr>
              <w:spacing w:after="0"/>
              <w:rPr>
                <w:sz w:val="20"/>
                <w:szCs w:val="20"/>
                <w:color w:val="auto"/>
              </w:rPr>
            </w:pPr>
            <w:r>
              <w:rPr>
                <w:rFonts w:ascii="Arial" w:cs="Arial" w:eastAsia="Arial" w:hAnsi="Arial"/>
                <w:sz w:val="17"/>
                <w:szCs w:val="17"/>
                <w:color w:val="auto"/>
              </w:rPr>
              <w:t>Horacio D. Rozanski</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49</w:t>
            </w:r>
          </w:p>
        </w:tc>
        <w:tc>
          <w:tcPr>
            <w:tcW w:w="6840" w:type="dxa"/>
            <w:vAlign w:val="bottom"/>
          </w:tcPr>
          <w:p>
            <w:pPr>
              <w:ind w:left="500"/>
              <w:spacing w:after="0"/>
              <w:rPr>
                <w:sz w:val="20"/>
                <w:szCs w:val="20"/>
                <w:color w:val="auto"/>
              </w:rPr>
            </w:pPr>
            <w:r>
              <w:rPr>
                <w:rFonts w:ascii="Arial" w:cs="Arial" w:eastAsia="Arial" w:hAnsi="Arial"/>
                <w:sz w:val="17"/>
                <w:szCs w:val="17"/>
                <w:color w:val="auto"/>
              </w:rPr>
              <w:t>President and Chief Executive Officer</w:t>
            </w:r>
          </w:p>
        </w:tc>
      </w:tr>
      <w:tr>
        <w:trPr>
          <w:trHeight w:val="250"/>
        </w:trPr>
        <w:tc>
          <w:tcPr>
            <w:tcW w:w="2660" w:type="dxa"/>
            <w:vAlign w:val="bottom"/>
          </w:tcPr>
          <w:p>
            <w:pPr>
              <w:spacing w:after="0"/>
              <w:rPr>
                <w:sz w:val="20"/>
                <w:szCs w:val="20"/>
                <w:color w:val="auto"/>
              </w:rPr>
            </w:pPr>
            <w:r>
              <w:rPr>
                <w:rFonts w:ascii="Arial" w:cs="Arial" w:eastAsia="Arial" w:hAnsi="Arial"/>
                <w:sz w:val="17"/>
                <w:szCs w:val="17"/>
                <w:color w:val="auto"/>
              </w:rPr>
              <w:t>Lloyd W. Howell, Jr.</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50</w:t>
            </w:r>
          </w:p>
        </w:tc>
        <w:tc>
          <w:tcPr>
            <w:tcW w:w="6840" w:type="dxa"/>
            <w:vAlign w:val="bottom"/>
          </w:tcPr>
          <w:p>
            <w:pPr>
              <w:ind w:left="500"/>
              <w:spacing w:after="0"/>
              <w:rPr>
                <w:sz w:val="20"/>
                <w:szCs w:val="20"/>
                <w:color w:val="auto"/>
              </w:rPr>
            </w:pPr>
            <w:r>
              <w:rPr>
                <w:rFonts w:ascii="Arial" w:cs="Arial" w:eastAsia="Arial" w:hAnsi="Arial"/>
                <w:sz w:val="17"/>
                <w:szCs w:val="17"/>
                <w:color w:val="auto"/>
              </w:rPr>
              <w:t>Executive Vice President, Chief Financial Officer and Treasurer</w:t>
            </w:r>
          </w:p>
        </w:tc>
      </w:tr>
      <w:tr>
        <w:trPr>
          <w:trHeight w:val="250"/>
        </w:trPr>
        <w:tc>
          <w:tcPr>
            <w:tcW w:w="2660" w:type="dxa"/>
            <w:vAlign w:val="bottom"/>
          </w:tcPr>
          <w:p>
            <w:pPr>
              <w:spacing w:after="0"/>
              <w:rPr>
                <w:sz w:val="20"/>
                <w:szCs w:val="20"/>
                <w:color w:val="auto"/>
              </w:rPr>
            </w:pPr>
            <w:r>
              <w:rPr>
                <w:rFonts w:ascii="Arial" w:cs="Arial" w:eastAsia="Arial" w:hAnsi="Arial"/>
                <w:sz w:val="17"/>
                <w:szCs w:val="17"/>
                <w:color w:val="auto"/>
              </w:rPr>
              <w:t>Karen M. Dahut</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53</w:t>
            </w:r>
          </w:p>
        </w:tc>
        <w:tc>
          <w:tcPr>
            <w:tcW w:w="6840" w:type="dxa"/>
            <w:vAlign w:val="bottom"/>
          </w:tcPr>
          <w:p>
            <w:pPr>
              <w:ind w:left="500"/>
              <w:spacing w:after="0"/>
              <w:rPr>
                <w:sz w:val="20"/>
                <w:szCs w:val="20"/>
                <w:color w:val="auto"/>
              </w:rPr>
            </w:pPr>
            <w:r>
              <w:rPr>
                <w:rFonts w:ascii="Arial" w:cs="Arial" w:eastAsia="Arial" w:hAnsi="Arial"/>
                <w:sz w:val="17"/>
                <w:szCs w:val="17"/>
                <w:color w:val="auto"/>
              </w:rPr>
              <w:t>Executive Vice President</w:t>
            </w:r>
          </w:p>
        </w:tc>
      </w:tr>
      <w:tr>
        <w:trPr>
          <w:trHeight w:val="250"/>
        </w:trPr>
        <w:tc>
          <w:tcPr>
            <w:tcW w:w="2660" w:type="dxa"/>
            <w:vAlign w:val="bottom"/>
          </w:tcPr>
          <w:p>
            <w:pPr>
              <w:spacing w:after="0"/>
              <w:rPr>
                <w:sz w:val="20"/>
                <w:szCs w:val="20"/>
                <w:color w:val="auto"/>
              </w:rPr>
            </w:pPr>
            <w:r>
              <w:rPr>
                <w:rFonts w:ascii="Arial" w:cs="Arial" w:eastAsia="Arial" w:hAnsi="Arial"/>
                <w:sz w:val="17"/>
                <w:szCs w:val="17"/>
                <w:color w:val="auto"/>
              </w:rPr>
              <w:t>Nancy J. Laben</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55</w:t>
            </w:r>
          </w:p>
        </w:tc>
        <w:tc>
          <w:tcPr>
            <w:tcW w:w="6840" w:type="dxa"/>
            <w:vAlign w:val="bottom"/>
          </w:tcPr>
          <w:p>
            <w:pPr>
              <w:ind w:left="500"/>
              <w:spacing w:after="0"/>
              <w:rPr>
                <w:sz w:val="20"/>
                <w:szCs w:val="20"/>
                <w:color w:val="auto"/>
              </w:rPr>
            </w:pPr>
            <w:r>
              <w:rPr>
                <w:rFonts w:ascii="Arial" w:cs="Arial" w:eastAsia="Arial" w:hAnsi="Arial"/>
                <w:sz w:val="17"/>
                <w:szCs w:val="17"/>
                <w:color w:val="auto"/>
              </w:rPr>
              <w:t>Executive Vice President, Chief Legal Officer and Secretary</w:t>
            </w:r>
          </w:p>
        </w:tc>
      </w:tr>
      <w:tr>
        <w:trPr>
          <w:trHeight w:val="250"/>
        </w:trPr>
        <w:tc>
          <w:tcPr>
            <w:tcW w:w="2660" w:type="dxa"/>
            <w:vAlign w:val="bottom"/>
          </w:tcPr>
          <w:p>
            <w:pPr>
              <w:spacing w:after="0"/>
              <w:rPr>
                <w:sz w:val="20"/>
                <w:szCs w:val="20"/>
                <w:color w:val="auto"/>
              </w:rPr>
            </w:pPr>
            <w:r>
              <w:rPr>
                <w:rFonts w:ascii="Arial" w:cs="Arial" w:eastAsia="Arial" w:hAnsi="Arial"/>
                <w:sz w:val="17"/>
                <w:szCs w:val="17"/>
                <w:color w:val="auto"/>
              </w:rPr>
              <w:t>Joseph Logue</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52</w:t>
            </w:r>
          </w:p>
        </w:tc>
        <w:tc>
          <w:tcPr>
            <w:tcW w:w="6840" w:type="dxa"/>
            <w:vAlign w:val="bottom"/>
          </w:tcPr>
          <w:p>
            <w:pPr>
              <w:ind w:left="500"/>
              <w:spacing w:after="0"/>
              <w:rPr>
                <w:sz w:val="20"/>
                <w:szCs w:val="20"/>
                <w:color w:val="auto"/>
              </w:rPr>
            </w:pPr>
            <w:r>
              <w:rPr>
                <w:rFonts w:ascii="Arial" w:cs="Arial" w:eastAsia="Arial" w:hAnsi="Arial"/>
                <w:sz w:val="17"/>
                <w:szCs w:val="17"/>
                <w:color w:val="auto"/>
              </w:rPr>
              <w:t>Executive Vice President</w:t>
            </w:r>
          </w:p>
        </w:tc>
      </w:tr>
      <w:tr>
        <w:trPr>
          <w:trHeight w:val="250"/>
        </w:trPr>
        <w:tc>
          <w:tcPr>
            <w:tcW w:w="2660" w:type="dxa"/>
            <w:vAlign w:val="bottom"/>
          </w:tcPr>
          <w:p>
            <w:pPr>
              <w:spacing w:after="0"/>
              <w:rPr>
                <w:sz w:val="20"/>
                <w:szCs w:val="20"/>
                <w:color w:val="auto"/>
              </w:rPr>
            </w:pPr>
            <w:r>
              <w:rPr>
                <w:rFonts w:ascii="Arial" w:cs="Arial" w:eastAsia="Arial" w:hAnsi="Arial"/>
                <w:sz w:val="17"/>
                <w:szCs w:val="17"/>
                <w:color w:val="auto"/>
              </w:rPr>
              <w:t>Joseph W. Mahaffee</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59</w:t>
            </w:r>
          </w:p>
        </w:tc>
        <w:tc>
          <w:tcPr>
            <w:tcW w:w="6840" w:type="dxa"/>
            <w:vAlign w:val="bottom"/>
          </w:tcPr>
          <w:p>
            <w:pPr>
              <w:ind w:left="500"/>
              <w:spacing w:after="0"/>
              <w:rPr>
                <w:sz w:val="20"/>
                <w:szCs w:val="20"/>
                <w:color w:val="auto"/>
              </w:rPr>
            </w:pPr>
            <w:r>
              <w:rPr>
                <w:rFonts w:ascii="Arial" w:cs="Arial" w:eastAsia="Arial" w:hAnsi="Arial"/>
                <w:sz w:val="17"/>
                <w:szCs w:val="17"/>
                <w:color w:val="auto"/>
                <w:w w:val="91"/>
              </w:rPr>
              <w:t>Executive Vice President, Chief Administrative Officer and Chief Information Security Officer</w:t>
            </w:r>
          </w:p>
        </w:tc>
      </w:tr>
      <w:tr>
        <w:trPr>
          <w:trHeight w:val="250"/>
        </w:trPr>
        <w:tc>
          <w:tcPr>
            <w:tcW w:w="2660" w:type="dxa"/>
            <w:vAlign w:val="bottom"/>
          </w:tcPr>
          <w:p>
            <w:pPr>
              <w:spacing w:after="0"/>
              <w:rPr>
                <w:sz w:val="20"/>
                <w:szCs w:val="20"/>
                <w:color w:val="auto"/>
              </w:rPr>
            </w:pPr>
            <w:r>
              <w:rPr>
                <w:rFonts w:ascii="Arial" w:cs="Arial" w:eastAsia="Arial" w:hAnsi="Arial"/>
                <w:sz w:val="17"/>
                <w:szCs w:val="17"/>
                <w:color w:val="auto"/>
              </w:rPr>
              <w:t>Susan L. Penfield</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55</w:t>
            </w:r>
          </w:p>
        </w:tc>
        <w:tc>
          <w:tcPr>
            <w:tcW w:w="6840" w:type="dxa"/>
            <w:vAlign w:val="bottom"/>
          </w:tcPr>
          <w:p>
            <w:pPr>
              <w:ind w:left="500"/>
              <w:spacing w:after="0"/>
              <w:rPr>
                <w:sz w:val="20"/>
                <w:szCs w:val="20"/>
                <w:color w:val="auto"/>
              </w:rPr>
            </w:pPr>
            <w:r>
              <w:rPr>
                <w:rFonts w:ascii="Arial" w:cs="Arial" w:eastAsia="Arial" w:hAnsi="Arial"/>
                <w:sz w:val="17"/>
                <w:szCs w:val="17"/>
                <w:color w:val="auto"/>
              </w:rPr>
              <w:t>Executive Vice President</w:t>
            </w:r>
          </w:p>
        </w:tc>
      </w:tr>
      <w:tr>
        <w:trPr>
          <w:trHeight w:val="250"/>
        </w:trPr>
        <w:tc>
          <w:tcPr>
            <w:tcW w:w="2660" w:type="dxa"/>
            <w:vAlign w:val="bottom"/>
          </w:tcPr>
          <w:p>
            <w:pPr>
              <w:spacing w:after="0"/>
              <w:rPr>
                <w:sz w:val="20"/>
                <w:szCs w:val="20"/>
                <w:color w:val="auto"/>
              </w:rPr>
            </w:pPr>
            <w:r>
              <w:rPr>
                <w:rFonts w:ascii="Arial" w:cs="Arial" w:eastAsia="Arial" w:hAnsi="Arial"/>
                <w:sz w:val="17"/>
                <w:szCs w:val="17"/>
                <w:color w:val="auto"/>
              </w:rPr>
              <w:t>Elizabeth M. Thompson</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62</w:t>
            </w:r>
          </w:p>
        </w:tc>
        <w:tc>
          <w:tcPr>
            <w:tcW w:w="6840" w:type="dxa"/>
            <w:vAlign w:val="bottom"/>
          </w:tcPr>
          <w:p>
            <w:pPr>
              <w:ind w:left="500"/>
              <w:spacing w:after="0"/>
              <w:rPr>
                <w:sz w:val="20"/>
                <w:szCs w:val="20"/>
                <w:color w:val="auto"/>
              </w:rPr>
            </w:pPr>
            <w:r>
              <w:rPr>
                <w:rFonts w:ascii="Arial" w:cs="Arial" w:eastAsia="Arial" w:hAnsi="Arial"/>
                <w:sz w:val="17"/>
                <w:szCs w:val="17"/>
                <w:color w:val="auto"/>
              </w:rPr>
              <w:t>Executive Vice President and Chief Personnel Officer</w:t>
            </w:r>
          </w:p>
        </w:tc>
      </w:tr>
      <w:tr>
        <w:trPr>
          <w:trHeight w:val="250"/>
        </w:trPr>
        <w:tc>
          <w:tcPr>
            <w:tcW w:w="2660" w:type="dxa"/>
            <w:vAlign w:val="bottom"/>
          </w:tcPr>
          <w:p>
            <w:pPr>
              <w:spacing w:after="0"/>
              <w:rPr>
                <w:sz w:val="20"/>
                <w:szCs w:val="20"/>
                <w:color w:val="auto"/>
              </w:rPr>
            </w:pPr>
            <w:r>
              <w:rPr>
                <w:rFonts w:ascii="Arial" w:cs="Arial" w:eastAsia="Arial" w:hAnsi="Arial"/>
                <w:sz w:val="17"/>
                <w:szCs w:val="17"/>
                <w:color w:val="auto"/>
              </w:rPr>
              <w:t>Laura S. Adams</w:t>
            </w:r>
          </w:p>
        </w:tc>
        <w:tc>
          <w:tcPr>
            <w:tcW w:w="1760" w:type="dxa"/>
            <w:vAlign w:val="bottom"/>
          </w:tcPr>
          <w:p>
            <w:pPr>
              <w:jc w:val="center"/>
              <w:ind w:left="478"/>
              <w:spacing w:after="0"/>
              <w:rPr>
                <w:sz w:val="20"/>
                <w:szCs w:val="20"/>
                <w:color w:val="auto"/>
              </w:rPr>
            </w:pPr>
            <w:r>
              <w:rPr>
                <w:rFonts w:ascii="Arial" w:cs="Arial" w:eastAsia="Arial" w:hAnsi="Arial"/>
                <w:sz w:val="17"/>
                <w:szCs w:val="17"/>
                <w:color w:val="auto"/>
                <w:w w:val="84"/>
              </w:rPr>
              <w:t>44</w:t>
            </w:r>
          </w:p>
        </w:tc>
        <w:tc>
          <w:tcPr>
            <w:tcW w:w="6840" w:type="dxa"/>
            <w:vAlign w:val="bottom"/>
          </w:tcPr>
          <w:p>
            <w:pPr>
              <w:ind w:left="500"/>
              <w:spacing w:after="0"/>
              <w:rPr>
                <w:sz w:val="20"/>
                <w:szCs w:val="20"/>
                <w:color w:val="auto"/>
              </w:rPr>
            </w:pPr>
            <w:r>
              <w:rPr>
                <w:rFonts w:ascii="Arial" w:cs="Arial" w:eastAsia="Arial" w:hAnsi="Arial"/>
                <w:sz w:val="17"/>
                <w:szCs w:val="17"/>
                <w:color w:val="auto"/>
              </w:rPr>
              <w:t>Vice President, Corporate Controller and Chief Accounting Officer</w:t>
            </w:r>
          </w:p>
        </w:tc>
      </w:tr>
      <w:tr>
        <w:trPr>
          <w:trHeight w:val="451"/>
        </w:trPr>
        <w:tc>
          <w:tcPr>
            <w:tcW w:w="2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40" w:type="dxa"/>
            <w:vAlign w:val="bottom"/>
          </w:tcPr>
          <w:p>
            <w:pPr>
              <w:ind w:left="1200"/>
              <w:spacing w:after="0"/>
              <w:rPr>
                <w:sz w:val="20"/>
                <w:szCs w:val="20"/>
                <w:color w:val="auto"/>
              </w:rPr>
            </w:pPr>
            <w:r>
              <w:rPr>
                <w:rFonts w:ascii="Arial" w:cs="Arial" w:eastAsia="Arial" w:hAnsi="Arial"/>
                <w:sz w:val="17"/>
                <w:szCs w:val="17"/>
                <w:color w:val="auto"/>
              </w:rPr>
              <w:t>36</w:t>
            </w:r>
          </w:p>
        </w:tc>
      </w:tr>
    </w:tbl>
    <w:p>
      <w:pPr>
        <w:sectPr>
          <w:pgSz w:w="11900" w:h="16838" w:orient="portrait"/>
          <w:cols w:equalWidth="0" w:num="1">
            <w:col w:w="11360"/>
          </w:cols>
          <w:pgMar w:left="240" w:top="753" w:right="299" w:bottom="1440" w:gutter="0" w:footer="0" w:header="0"/>
        </w:sectPr>
      </w:pPr>
    </w:p>
    <w:bookmarkStart w:id="39" w:name="page40"/>
    <w:bookmarkEnd w:id="39"/>
    <w:p>
      <w:pPr>
        <w:ind w:firstLine="400"/>
        <w:spacing w:after="0" w:line="251" w:lineRule="auto"/>
        <w:rPr>
          <w:sz w:val="20"/>
          <w:szCs w:val="20"/>
          <w:color w:val="auto"/>
        </w:rPr>
      </w:pPr>
      <w:r>
        <w:rPr>
          <w:rFonts w:ascii="Arial" w:cs="Arial" w:eastAsia="Arial" w:hAnsi="Arial"/>
          <w:sz w:val="17"/>
          <w:szCs w:val="17"/>
          <w:i w:val="1"/>
          <w:iCs w:val="1"/>
          <w:color w:val="auto"/>
        </w:rPr>
        <w:t xml:space="preserve">Horacio D. Rozanski </w:t>
      </w:r>
      <w:r>
        <w:rPr>
          <w:rFonts w:ascii="Arial" w:cs="Arial" w:eastAsia="Arial" w:hAnsi="Arial"/>
          <w:sz w:val="17"/>
          <w:szCs w:val="17"/>
          <w:color w:val="auto"/>
        </w:rPr>
        <w:t>is our President and Chief Executive Officer and served as our Chief Operating Officer until January 1, 2015. Mr. Rozanski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Talent Officer in 2010 and, prior to that, Chief Personnel Officer of our company from 2002 through 2010. Mr. Rozanski joined our company in 1992 and became an Executive Vice President in 2009, our President on January 1, 2014 and our Chief Executive Officer on January 1, 2015. He serves on the board of trustees of the Jewish Primary Day School of the Nation’s Capital and the board of directors of The Center for Talent Innovation and the United States Holocaust Memorial Museum's Committee on Conscience.</w:t>
      </w:r>
    </w:p>
    <w:p>
      <w:pPr>
        <w:spacing w:after="0" w:line="79" w:lineRule="exact"/>
        <w:rPr>
          <w:sz w:val="20"/>
          <w:szCs w:val="20"/>
          <w:color w:val="auto"/>
        </w:rPr>
      </w:pPr>
    </w:p>
    <w:p>
      <w:pPr>
        <w:ind w:right="60" w:firstLine="400"/>
        <w:spacing w:after="0" w:line="251" w:lineRule="auto"/>
        <w:rPr>
          <w:sz w:val="20"/>
          <w:szCs w:val="20"/>
          <w:color w:val="auto"/>
        </w:rPr>
      </w:pPr>
      <w:r>
        <w:rPr>
          <w:rFonts w:ascii="Arial" w:cs="Arial" w:eastAsia="Arial" w:hAnsi="Arial"/>
          <w:sz w:val="17"/>
          <w:szCs w:val="17"/>
          <w:i w:val="1"/>
          <w:iCs w:val="1"/>
          <w:color w:val="auto"/>
        </w:rPr>
        <w:t xml:space="preserve">Lloyd W. Howell, Jr. </w:t>
      </w:r>
      <w:r>
        <w:rPr>
          <w:rFonts w:ascii="Arial" w:cs="Arial" w:eastAsia="Arial" w:hAnsi="Arial"/>
          <w:sz w:val="17"/>
          <w:szCs w:val="17"/>
          <w:color w:val="auto"/>
        </w:rPr>
        <w:t>is an Executive Vice President of our company and our Chief Financial Officer and Treasurer since July 1, 2016. Mr. Howell previously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the group leader for our Civil Commercial Group. Mr. Howell joined our company in 1988, left in 1991, rejoined in 1995 and became an Executive Vice President in 2005. He served as chairman of our Ethics &amp; Compliance Committee for over seven years, until April 2014. Mr. Howell serves on the boards of directors of Integra Life Sciences, Partnership for Public Service and Capital Partners for Education. Mr. Howell also serves on the board of overseers for the School of Engineering and Applied Science at the University of Pennsylvania.</w:t>
      </w:r>
    </w:p>
    <w:p>
      <w:pPr>
        <w:spacing w:after="0" w:line="79" w:lineRule="exact"/>
        <w:rPr>
          <w:sz w:val="20"/>
          <w:szCs w:val="20"/>
          <w:color w:val="auto"/>
        </w:rPr>
      </w:pPr>
    </w:p>
    <w:p>
      <w:pPr>
        <w:ind w:right="140" w:firstLine="400"/>
        <w:spacing w:after="0" w:line="273" w:lineRule="auto"/>
        <w:rPr>
          <w:sz w:val="20"/>
          <w:szCs w:val="20"/>
          <w:color w:val="auto"/>
        </w:rPr>
      </w:pPr>
      <w:r>
        <w:rPr>
          <w:rFonts w:ascii="Arial" w:cs="Arial" w:eastAsia="Arial" w:hAnsi="Arial"/>
          <w:sz w:val="16"/>
          <w:szCs w:val="16"/>
          <w:i w:val="1"/>
          <w:iCs w:val="1"/>
          <w:color w:val="auto"/>
        </w:rPr>
        <w:t xml:space="preserve">Karen M. Dahut </w:t>
      </w:r>
      <w:r>
        <w:rPr>
          <w:rFonts w:ascii="Arial" w:cs="Arial" w:eastAsia="Arial" w:hAnsi="Arial"/>
          <w:sz w:val="16"/>
          <w:szCs w:val="16"/>
          <w:color w:val="auto"/>
        </w:rPr>
        <w:t>is an Executive Vice President and is the group leader for the company's Civil Commercial Group. Ms. Dahut joined our company in 2002 and</w:t>
      </w:r>
      <w:r>
        <w:rPr>
          <w:rFonts w:ascii="Arial" w:cs="Arial" w:eastAsia="Arial" w:hAnsi="Arial"/>
          <w:sz w:val="16"/>
          <w:szCs w:val="16"/>
          <w:i w:val="1"/>
          <w:iCs w:val="1"/>
          <w:color w:val="auto"/>
        </w:rPr>
        <w:t xml:space="preserve"> </w:t>
      </w:r>
      <w:r>
        <w:rPr>
          <w:rFonts w:ascii="Arial" w:cs="Arial" w:eastAsia="Arial" w:hAnsi="Arial"/>
          <w:sz w:val="16"/>
          <w:szCs w:val="16"/>
          <w:color w:val="auto"/>
        </w:rPr>
        <w:t>became a Senior Vice President in 2004. Ms. Dahut led the company's Strategic Innovations Group from 2012 to April 2016. Previously, she also led the company's Analytics business and its US Navy and Marine Corps business. Ms. Dahut is a board member of the Tech Data Corporation and Northern Virginia Technology Council. She also serves on the board of trustees for Stone Ridge School of the Sacred Heart in Bethesda, Maryland.</w:t>
      </w:r>
    </w:p>
    <w:p>
      <w:pPr>
        <w:spacing w:after="0" w:line="64" w:lineRule="exact"/>
        <w:rPr>
          <w:sz w:val="20"/>
          <w:szCs w:val="20"/>
          <w:color w:val="auto"/>
        </w:rPr>
      </w:pPr>
    </w:p>
    <w:p>
      <w:pPr>
        <w:ind w:right="160" w:firstLine="400"/>
        <w:spacing w:after="0" w:line="252" w:lineRule="auto"/>
        <w:rPr>
          <w:sz w:val="20"/>
          <w:szCs w:val="20"/>
          <w:color w:val="auto"/>
        </w:rPr>
      </w:pPr>
      <w:r>
        <w:rPr>
          <w:rFonts w:ascii="Arial" w:cs="Arial" w:eastAsia="Arial" w:hAnsi="Arial"/>
          <w:sz w:val="17"/>
          <w:szCs w:val="17"/>
          <w:i w:val="1"/>
          <w:iCs w:val="1"/>
          <w:color w:val="auto"/>
        </w:rPr>
        <w:t xml:space="preserve">Nancy J. Laben </w:t>
      </w:r>
      <w:r>
        <w:rPr>
          <w:rFonts w:ascii="Arial" w:cs="Arial" w:eastAsia="Arial" w:hAnsi="Arial"/>
          <w:sz w:val="17"/>
          <w:szCs w:val="17"/>
          <w:color w:val="auto"/>
        </w:rPr>
        <w:t>is an Executive Vice President of our company and our Chief Legal Officer and Secretary. Ms. Laben joined our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Before joining our company, Ms. Laben served as General Counsel of AECOM Technology Corporation from June 2010 to August 2013, where she was responsible for all legal support. Prior to June 2010, Ms. Laben served as Deputy General Counsel at Accenture plc beginning in 1989. Prior to Accenture, Ms. Laben served in the law department at IBM Corporation.</w:t>
      </w:r>
    </w:p>
    <w:p>
      <w:pPr>
        <w:spacing w:after="0" w:line="80" w:lineRule="exact"/>
        <w:rPr>
          <w:sz w:val="20"/>
          <w:szCs w:val="20"/>
          <w:color w:val="auto"/>
        </w:rPr>
      </w:pPr>
    </w:p>
    <w:p>
      <w:pPr>
        <w:ind w:right="260" w:firstLine="400"/>
        <w:spacing w:after="0" w:line="266" w:lineRule="auto"/>
        <w:rPr>
          <w:sz w:val="20"/>
          <w:szCs w:val="20"/>
          <w:color w:val="auto"/>
        </w:rPr>
      </w:pPr>
      <w:r>
        <w:rPr>
          <w:rFonts w:ascii="Arial" w:cs="Arial" w:eastAsia="Arial" w:hAnsi="Arial"/>
          <w:sz w:val="17"/>
          <w:szCs w:val="17"/>
          <w:i w:val="1"/>
          <w:iCs w:val="1"/>
          <w:color w:val="auto"/>
        </w:rPr>
        <w:t xml:space="preserve">Joseph Logue </w:t>
      </w:r>
      <w:r>
        <w:rPr>
          <w:rFonts w:ascii="Arial" w:cs="Arial" w:eastAsia="Arial" w:hAnsi="Arial"/>
          <w:sz w:val="17"/>
          <w:szCs w:val="17"/>
          <w:color w:val="auto"/>
        </w:rPr>
        <w:t>is an Executive Vice President of our company and is the group leader for our Defense Intelligence Group. Mr. Logue joined our company in 1997</w:t>
      </w:r>
      <w:r>
        <w:rPr>
          <w:rFonts w:ascii="Arial" w:cs="Arial" w:eastAsia="Arial" w:hAnsi="Arial"/>
          <w:sz w:val="17"/>
          <w:szCs w:val="17"/>
          <w:i w:val="1"/>
          <w:iCs w:val="1"/>
          <w:color w:val="auto"/>
        </w:rPr>
        <w:t xml:space="preserve"> </w:t>
      </w:r>
      <w:r>
        <w:rPr>
          <w:rFonts w:ascii="Arial" w:cs="Arial" w:eastAsia="Arial" w:hAnsi="Arial"/>
          <w:sz w:val="17"/>
          <w:szCs w:val="17"/>
          <w:color w:val="auto"/>
        </w:rPr>
        <w:t>and became an Executive Vice President in 2009. Previously, he led our former commercial Information Technology practice.</w:t>
      </w:r>
    </w:p>
    <w:p>
      <w:pPr>
        <w:spacing w:after="0" w:line="67" w:lineRule="exact"/>
        <w:rPr>
          <w:sz w:val="20"/>
          <w:szCs w:val="20"/>
          <w:color w:val="auto"/>
        </w:rPr>
      </w:pPr>
    </w:p>
    <w:p>
      <w:pPr>
        <w:ind w:right="40" w:firstLine="400"/>
        <w:spacing w:after="0" w:line="250" w:lineRule="auto"/>
        <w:rPr>
          <w:sz w:val="20"/>
          <w:szCs w:val="20"/>
          <w:color w:val="auto"/>
        </w:rPr>
      </w:pPr>
      <w:r>
        <w:rPr>
          <w:rFonts w:ascii="Arial" w:cs="Arial" w:eastAsia="Arial" w:hAnsi="Arial"/>
          <w:sz w:val="17"/>
          <w:szCs w:val="17"/>
          <w:i w:val="1"/>
          <w:iCs w:val="1"/>
          <w:color w:val="auto"/>
        </w:rPr>
        <w:t xml:space="preserve">Joseph W. Mahaffee </w:t>
      </w:r>
      <w:r>
        <w:rPr>
          <w:rFonts w:ascii="Arial" w:cs="Arial" w:eastAsia="Arial" w:hAnsi="Arial"/>
          <w:sz w:val="17"/>
          <w:szCs w:val="17"/>
          <w:color w:val="auto"/>
        </w:rPr>
        <w:t>is an Executive Vice President and our Chief Administrative Officer (CAO) and Chief Information Security Officer (CISO). Prior to assuming</w:t>
      </w:r>
      <w:r>
        <w:rPr>
          <w:rFonts w:ascii="Arial" w:cs="Arial" w:eastAsia="Arial" w:hAnsi="Arial"/>
          <w:sz w:val="17"/>
          <w:szCs w:val="17"/>
          <w:i w:val="1"/>
          <w:iCs w:val="1"/>
          <w:color w:val="auto"/>
        </w:rPr>
        <w:t xml:space="preserve"> </w:t>
      </w:r>
      <w:r>
        <w:rPr>
          <w:rFonts w:ascii="Arial" w:cs="Arial" w:eastAsia="Arial" w:hAnsi="Arial"/>
          <w:sz w:val="17"/>
          <w:szCs w:val="17"/>
          <w:color w:val="auto"/>
        </w:rPr>
        <w:t>his CAO and CISO roles, Mr. Mahaffee served in a variety of client/market-facing leadership roles to include Client Service Officer for our NSA account; Assurance and Resilience Capability Leader; and the Northeast Region Leader. Mr. Mahaffee has primarily focused his career serving clients in the Defense and Intelligence Community markets. Altogether, he has more than 36 years of professional experience in Cybersecurity, systems engineering, communications, information assurance, and signals intelligence. Prior to joining our company, Mr. Mahaffee was an information security engineer with the National Security Agency. He is presently serving as the company's representative to the Defense Industrial Base.</w:t>
      </w:r>
    </w:p>
    <w:p>
      <w:pPr>
        <w:spacing w:after="0" w:line="80" w:lineRule="exact"/>
        <w:rPr>
          <w:sz w:val="20"/>
          <w:szCs w:val="20"/>
          <w:color w:val="auto"/>
        </w:rPr>
      </w:pPr>
    </w:p>
    <w:p>
      <w:pPr>
        <w:ind w:right="100" w:firstLine="400"/>
        <w:spacing w:after="0" w:line="292" w:lineRule="auto"/>
        <w:rPr>
          <w:sz w:val="20"/>
          <w:szCs w:val="20"/>
          <w:color w:val="auto"/>
        </w:rPr>
      </w:pPr>
      <w:r>
        <w:rPr>
          <w:rFonts w:ascii="Arial" w:cs="Arial" w:eastAsia="Arial" w:hAnsi="Arial"/>
          <w:sz w:val="15"/>
          <w:szCs w:val="15"/>
          <w:i w:val="1"/>
          <w:iCs w:val="1"/>
          <w:color w:val="auto"/>
        </w:rPr>
        <w:t xml:space="preserve">Susan L. Penfield </w:t>
      </w:r>
      <w:r>
        <w:rPr>
          <w:rFonts w:ascii="Arial" w:cs="Arial" w:eastAsia="Arial" w:hAnsi="Arial"/>
          <w:sz w:val="15"/>
          <w:szCs w:val="15"/>
          <w:color w:val="auto"/>
        </w:rPr>
        <w:t>is an Executive Vice President of our company and is the group leader for our Strategic Innovation Group. Ms. Penfield has over 25 years of</w:t>
      </w:r>
      <w:r>
        <w:rPr>
          <w:rFonts w:ascii="Arial" w:cs="Arial" w:eastAsia="Arial" w:hAnsi="Arial"/>
          <w:sz w:val="15"/>
          <w:szCs w:val="15"/>
          <w:i w:val="1"/>
          <w:iCs w:val="1"/>
          <w:color w:val="auto"/>
        </w:rPr>
        <w:t xml:space="preserve"> </w:t>
      </w:r>
      <w:r>
        <w:rPr>
          <w:rFonts w:ascii="Arial" w:cs="Arial" w:eastAsia="Arial" w:hAnsi="Arial"/>
          <w:sz w:val="15"/>
          <w:szCs w:val="15"/>
          <w:color w:val="auto"/>
        </w:rPr>
        <w:t>strategy, technology, marketing and solutions delivery experience. Prior to becoming the group leader for the Strategic Innovation Group, Ms. Penfield led the company's Health business, where she drove technology and transformation initiatives across the Federal, commercial and non-profit health space. She serves on the board of directors of the Children's Inn at the National Institutes of Health and the national Chapter of the American Red Cross. Ms. Penfield is a member of the Washington Women's Forum and the National Association for Female Executives (NAFE), and was recognized by the NAFE as its 2015 Digital Trailblazer.</w:t>
      </w:r>
    </w:p>
    <w:p>
      <w:pPr>
        <w:spacing w:after="0" w:line="52" w:lineRule="exact"/>
        <w:rPr>
          <w:sz w:val="20"/>
          <w:szCs w:val="20"/>
          <w:color w:val="auto"/>
        </w:rPr>
      </w:pPr>
    </w:p>
    <w:p>
      <w:pPr>
        <w:jc w:val="both"/>
        <w:ind w:right="380" w:firstLine="400"/>
        <w:spacing w:after="0" w:line="306" w:lineRule="auto"/>
        <w:rPr>
          <w:sz w:val="20"/>
          <w:szCs w:val="20"/>
          <w:color w:val="auto"/>
        </w:rPr>
      </w:pPr>
      <w:r>
        <w:rPr>
          <w:rFonts w:ascii="Arial" w:cs="Arial" w:eastAsia="Arial" w:hAnsi="Arial"/>
          <w:sz w:val="15"/>
          <w:szCs w:val="15"/>
          <w:i w:val="1"/>
          <w:iCs w:val="1"/>
          <w:color w:val="auto"/>
        </w:rPr>
        <w:t xml:space="preserve">Elizabeth M. Thompson </w:t>
      </w:r>
      <w:r>
        <w:rPr>
          <w:rFonts w:ascii="Arial" w:cs="Arial" w:eastAsia="Arial" w:hAnsi="Arial"/>
          <w:sz w:val="15"/>
          <w:szCs w:val="15"/>
          <w:color w:val="auto"/>
        </w:rPr>
        <w:t>is an Executive Vice President of our company and serves as our Chief Personnel Officer. Ms. Thompson joined our company in 2008.</w:t>
      </w:r>
      <w:r>
        <w:rPr>
          <w:rFonts w:ascii="Arial" w:cs="Arial" w:eastAsia="Arial" w:hAnsi="Arial"/>
          <w:sz w:val="15"/>
          <w:szCs w:val="15"/>
          <w:i w:val="1"/>
          <w:iCs w:val="1"/>
          <w:color w:val="auto"/>
        </w:rPr>
        <w:t xml:space="preserve"> </w:t>
      </w:r>
      <w:r>
        <w:rPr>
          <w:rFonts w:ascii="Arial" w:cs="Arial" w:eastAsia="Arial" w:hAnsi="Arial"/>
          <w:sz w:val="15"/>
          <w:szCs w:val="15"/>
          <w:color w:val="auto"/>
        </w:rPr>
        <w:t>Ms. Thompson served as Vice President of Human Resources for Fannie Mae from 2000 to 2008. Ms. Thompson holds an M.S. in Human Resources and Personnel Management from American University. Ms. Thompson is also a member of the board of directors of the Thurgood Marshall College Fund.</w:t>
      </w:r>
    </w:p>
    <w:p>
      <w:pPr>
        <w:spacing w:after="0" w:line="41" w:lineRule="exact"/>
        <w:rPr>
          <w:sz w:val="20"/>
          <w:szCs w:val="20"/>
          <w:color w:val="auto"/>
        </w:rPr>
      </w:pPr>
    </w:p>
    <w:p>
      <w:pPr>
        <w:ind w:firstLine="400"/>
        <w:spacing w:after="0" w:line="252" w:lineRule="auto"/>
        <w:rPr>
          <w:sz w:val="20"/>
          <w:szCs w:val="20"/>
          <w:color w:val="auto"/>
        </w:rPr>
      </w:pPr>
      <w:r>
        <w:rPr>
          <w:rFonts w:ascii="Arial" w:cs="Arial" w:eastAsia="Arial" w:hAnsi="Arial"/>
          <w:sz w:val="17"/>
          <w:szCs w:val="17"/>
          <w:i w:val="1"/>
          <w:iCs w:val="1"/>
          <w:color w:val="auto"/>
        </w:rPr>
        <w:t xml:space="preserve">Laura S. Adams </w:t>
      </w:r>
      <w:r>
        <w:rPr>
          <w:rFonts w:ascii="Arial" w:cs="Arial" w:eastAsia="Arial" w:hAnsi="Arial"/>
          <w:sz w:val="17"/>
          <w:szCs w:val="17"/>
          <w:color w:val="auto"/>
        </w:rPr>
        <w:t>is a Vice President of our company and our Corporate Controller and Chief Accounting Officer. Ms. Adams joined Booz Allen in January 2009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the company’s Controller since July 2014. Ms. Adams brings more than 20 years of finance and accounting specialty and industry experience, primarily in aerospace and defense and government and commercial IT management consulting services. Before joining Booz Allen, Ms. Adams was a senior manager in the audit and assurance practice of Ernst &amp; Young from 1995 through 2008.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753"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PART II</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5</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Market for Registrant's Common Equity, Related Stockholder Matters and Issuer Purchases of Equity Securities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84" w:lineRule="exact"/>
        <w:rPr>
          <w:sz w:val="20"/>
          <w:szCs w:val="20"/>
          <w:color w:val="auto"/>
        </w:rPr>
      </w:pPr>
    </w:p>
    <w:p>
      <w:pPr>
        <w:ind w:firstLine="400"/>
        <w:spacing w:after="0" w:line="285" w:lineRule="auto"/>
        <w:rPr>
          <w:sz w:val="20"/>
          <w:szCs w:val="20"/>
          <w:color w:val="auto"/>
        </w:rPr>
      </w:pPr>
      <w:r>
        <w:rPr>
          <w:rFonts w:ascii="Arial" w:cs="Arial" w:eastAsia="Arial" w:hAnsi="Arial"/>
          <w:sz w:val="15"/>
          <w:szCs w:val="15"/>
          <w:color w:val="auto"/>
        </w:rPr>
        <w:t>Our Class A Common Stock began trading on the New York Stock Exchange on November 17, 2010. 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 On September 30, 2015, the Company purchased, at par value, all issued and outstanding shares of Class E special voting common stock in connection with the exercise of the final tranche of rollover options during the second quarter of fiscal 2016. There is no established trading market for each of our Class B Non-Voting Common Stock, Class C Restricted Common Stock, or Class E Special Voting Common Stock. On May 12, 2017, there were 60,370 beneficial holders of our Class A Common Stock. The following table sets forth, for the periods indicated, the high and low sales price per share of our Class A Common Stock as reported by the New York Stock Exchange: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High</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8"/>
              <w:spacing w:after="0"/>
              <w:rPr>
                <w:sz w:val="20"/>
                <w:szCs w:val="20"/>
                <w:color w:val="auto"/>
              </w:rPr>
            </w:pPr>
            <w:r>
              <w:rPr>
                <w:rFonts w:ascii="Arial" w:cs="Arial" w:eastAsia="Arial" w:hAnsi="Arial"/>
                <w:sz w:val="13"/>
                <w:szCs w:val="13"/>
                <w:b w:val="1"/>
                <w:bCs w:val="1"/>
                <w:color w:val="auto"/>
              </w:rPr>
              <w:t>Low</w:t>
            </w:r>
          </w:p>
        </w:tc>
      </w:tr>
      <w:tr>
        <w:trPr>
          <w:trHeight w:val="22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Fiscal 2017</w:t>
            </w:r>
          </w:p>
        </w:tc>
        <w:tc>
          <w:tcPr>
            <w:tcW w:w="1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50"/>
        </w:trPr>
        <w:tc>
          <w:tcPr>
            <w:tcW w:w="7660" w:type="dxa"/>
            <w:vAlign w:val="bottom"/>
          </w:tcPr>
          <w:p>
            <w:pPr>
              <w:ind w:left="360"/>
              <w:spacing w:after="0" w:line="251" w:lineRule="exact"/>
              <w:rPr>
                <w:sz w:val="20"/>
                <w:szCs w:val="20"/>
                <w:color w:val="auto"/>
              </w:rPr>
            </w:pPr>
            <w:r>
              <w:rPr>
                <w:rFonts w:ascii="Arial" w:cs="Arial" w:eastAsia="Arial" w:hAnsi="Arial"/>
                <w:sz w:val="17"/>
                <w:szCs w:val="17"/>
                <w:color w:val="auto"/>
              </w:rPr>
              <w:t>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Quarter</w:t>
            </w:r>
          </w:p>
        </w:tc>
        <w:tc>
          <w:tcPr>
            <w:tcW w:w="1180" w:type="dxa"/>
            <w:vAlign w:val="bottom"/>
          </w:tcPr>
          <w:p>
            <w:pPr>
              <w:jc w:val="right"/>
              <w:ind w:right="1002"/>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37"/>
              <w:spacing w:after="0"/>
              <w:rPr>
                <w:sz w:val="20"/>
                <w:szCs w:val="20"/>
                <w:color w:val="auto"/>
              </w:rPr>
            </w:pPr>
            <w:r>
              <w:rPr>
                <w:rFonts w:ascii="Arial" w:cs="Arial" w:eastAsia="Arial" w:hAnsi="Arial"/>
                <w:sz w:val="17"/>
                <w:szCs w:val="17"/>
                <w:color w:val="auto"/>
              </w:rPr>
              <w:t>30.64</w:t>
            </w:r>
          </w:p>
        </w:tc>
        <w:tc>
          <w:tcPr>
            <w:tcW w:w="100" w:type="dxa"/>
            <w:vAlign w:val="bottom"/>
          </w:tcPr>
          <w:p>
            <w:pPr>
              <w:spacing w:after="0"/>
              <w:rPr>
                <w:sz w:val="21"/>
                <w:szCs w:val="21"/>
                <w:color w:val="auto"/>
              </w:rPr>
            </w:pPr>
          </w:p>
        </w:tc>
        <w:tc>
          <w:tcPr>
            <w:tcW w:w="46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8"/>
              <w:spacing w:after="0"/>
              <w:rPr>
                <w:sz w:val="20"/>
                <w:szCs w:val="20"/>
                <w:color w:val="auto"/>
              </w:rPr>
            </w:pPr>
            <w:r>
              <w:rPr>
                <w:rFonts w:ascii="Arial" w:cs="Arial" w:eastAsia="Arial" w:hAnsi="Arial"/>
                <w:sz w:val="17"/>
                <w:szCs w:val="17"/>
                <w:color w:val="auto"/>
              </w:rPr>
              <w:t>27.02</w:t>
            </w:r>
          </w:p>
        </w:tc>
      </w:tr>
      <w:tr>
        <w:trPr>
          <w:trHeight w:val="250"/>
        </w:trPr>
        <w:tc>
          <w:tcPr>
            <w:tcW w:w="7660" w:type="dxa"/>
            <w:vAlign w:val="bottom"/>
            <w:shd w:val="clear" w:color="auto" w:fill="CCEEFF"/>
          </w:tcPr>
          <w:p>
            <w:pPr>
              <w:ind w:left="360"/>
              <w:spacing w:after="0" w:line="251" w:lineRule="exact"/>
              <w:rPr>
                <w:sz w:val="20"/>
                <w:szCs w:val="20"/>
                <w:color w:val="auto"/>
              </w:rPr>
            </w:pPr>
            <w:r>
              <w:rPr>
                <w:rFonts w:ascii="Arial" w:cs="Arial" w:eastAsia="Arial" w:hAnsi="Arial"/>
                <w:sz w:val="17"/>
                <w:szCs w:val="17"/>
                <w:color w:val="auto"/>
              </w:rPr>
              <w:t>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Quarter</w:t>
            </w:r>
          </w:p>
        </w:tc>
        <w:tc>
          <w:tcPr>
            <w:tcW w:w="1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31.94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29.03</w:t>
            </w:r>
          </w:p>
        </w:tc>
      </w:tr>
      <w:tr>
        <w:trPr>
          <w:trHeight w:val="250"/>
        </w:trPr>
        <w:tc>
          <w:tcPr>
            <w:tcW w:w="7660" w:type="dxa"/>
            <w:vAlign w:val="bottom"/>
          </w:tcPr>
          <w:p>
            <w:pPr>
              <w:ind w:left="360"/>
              <w:spacing w:after="0" w:line="251" w:lineRule="exact"/>
              <w:rPr>
                <w:sz w:val="20"/>
                <w:szCs w:val="20"/>
                <w:color w:val="auto"/>
              </w:rPr>
            </w:pPr>
            <w:r>
              <w:rPr>
                <w:rFonts w:ascii="Arial" w:cs="Arial" w:eastAsia="Arial" w:hAnsi="Arial"/>
                <w:sz w:val="17"/>
                <w:szCs w:val="17"/>
                <w:color w:val="auto"/>
              </w:rPr>
              <w:t>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Quarter</w:t>
            </w:r>
          </w:p>
        </w:tc>
        <w:tc>
          <w:tcPr>
            <w:tcW w:w="1180" w:type="dxa"/>
            <w:vAlign w:val="bottom"/>
          </w:tcPr>
          <w:p>
            <w:pPr>
              <w:spacing w:after="0"/>
              <w:rPr>
                <w:sz w:val="21"/>
                <w:szCs w:val="21"/>
                <w:color w:val="auto"/>
              </w:rPr>
            </w:pPr>
          </w:p>
        </w:tc>
        <w:tc>
          <w:tcPr>
            <w:tcW w:w="640" w:type="dxa"/>
            <w:vAlign w:val="bottom"/>
          </w:tcPr>
          <w:p>
            <w:pPr>
              <w:jc w:val="right"/>
              <w:ind w:right="37"/>
              <w:spacing w:after="0"/>
              <w:rPr>
                <w:sz w:val="20"/>
                <w:szCs w:val="20"/>
                <w:color w:val="auto"/>
              </w:rPr>
            </w:pPr>
            <w:r>
              <w:rPr>
                <w:rFonts w:ascii="Arial" w:cs="Arial" w:eastAsia="Arial" w:hAnsi="Arial"/>
                <w:sz w:val="17"/>
                <w:szCs w:val="17"/>
                <w:color w:val="auto"/>
              </w:rPr>
              <w:t>38.54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7"/>
                <w:szCs w:val="17"/>
                <w:color w:val="auto"/>
              </w:rPr>
              <w:t>29.55</w:t>
            </w:r>
          </w:p>
        </w:tc>
      </w:tr>
      <w:tr>
        <w:trPr>
          <w:trHeight w:val="250"/>
        </w:trPr>
        <w:tc>
          <w:tcPr>
            <w:tcW w:w="7660" w:type="dxa"/>
            <w:vAlign w:val="bottom"/>
            <w:shd w:val="clear" w:color="auto" w:fill="CCEEFF"/>
          </w:tcPr>
          <w:p>
            <w:pPr>
              <w:ind w:left="360"/>
              <w:spacing w:after="0" w:line="251" w:lineRule="exact"/>
              <w:rPr>
                <w:sz w:val="20"/>
                <w:szCs w:val="20"/>
                <w:color w:val="auto"/>
              </w:rPr>
            </w:pPr>
            <w:r>
              <w:rPr>
                <w:rFonts w:ascii="Arial" w:cs="Arial" w:eastAsia="Arial" w:hAnsi="Arial"/>
                <w:sz w:val="17"/>
                <w:szCs w:val="17"/>
                <w:color w:val="auto"/>
              </w:rPr>
              <w:t>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Quarter</w:t>
            </w:r>
          </w:p>
        </w:tc>
        <w:tc>
          <w:tcPr>
            <w:tcW w:w="1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37.69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32.75</w:t>
            </w:r>
          </w:p>
        </w:tc>
      </w:tr>
      <w:tr>
        <w:trPr>
          <w:trHeight w:val="225"/>
        </w:trPr>
        <w:tc>
          <w:tcPr>
            <w:tcW w:w="7660" w:type="dxa"/>
            <w:vAlign w:val="bottom"/>
          </w:tcPr>
          <w:p>
            <w:pPr>
              <w:ind w:left="20"/>
              <w:spacing w:after="0"/>
              <w:rPr>
                <w:sz w:val="20"/>
                <w:szCs w:val="20"/>
                <w:color w:val="auto"/>
              </w:rPr>
            </w:pPr>
            <w:r>
              <w:rPr>
                <w:rFonts w:ascii="Arial" w:cs="Arial" w:eastAsia="Arial" w:hAnsi="Arial"/>
                <w:sz w:val="17"/>
                <w:szCs w:val="17"/>
                <w:color w:val="auto"/>
              </w:rPr>
              <w:t>Fiscal 2016</w:t>
            </w: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shd w:val="clear" w:color="auto" w:fill="CCEEFF"/>
          </w:tcPr>
          <w:p>
            <w:pPr>
              <w:ind w:left="360"/>
              <w:spacing w:after="0" w:line="251" w:lineRule="exact"/>
              <w:rPr>
                <w:sz w:val="20"/>
                <w:szCs w:val="20"/>
                <w:color w:val="auto"/>
              </w:rPr>
            </w:pPr>
            <w:r>
              <w:rPr>
                <w:rFonts w:ascii="Arial" w:cs="Arial" w:eastAsia="Arial" w:hAnsi="Arial"/>
                <w:sz w:val="17"/>
                <w:szCs w:val="17"/>
                <w:color w:val="auto"/>
              </w:rPr>
              <w:t>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Quarter</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29.27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23.87</w:t>
            </w:r>
          </w:p>
        </w:tc>
      </w:tr>
      <w:tr>
        <w:trPr>
          <w:trHeight w:val="250"/>
        </w:trPr>
        <w:tc>
          <w:tcPr>
            <w:tcW w:w="7660" w:type="dxa"/>
            <w:vAlign w:val="bottom"/>
          </w:tcPr>
          <w:p>
            <w:pPr>
              <w:ind w:left="360"/>
              <w:spacing w:after="0" w:line="251" w:lineRule="exact"/>
              <w:rPr>
                <w:sz w:val="20"/>
                <w:szCs w:val="20"/>
                <w:color w:val="auto"/>
              </w:rPr>
            </w:pPr>
            <w:r>
              <w:rPr>
                <w:rFonts w:ascii="Arial" w:cs="Arial" w:eastAsia="Arial" w:hAnsi="Arial"/>
                <w:sz w:val="17"/>
                <w:szCs w:val="17"/>
                <w:color w:val="auto"/>
              </w:rPr>
              <w:t>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Quarter</w:t>
            </w:r>
          </w:p>
        </w:tc>
        <w:tc>
          <w:tcPr>
            <w:tcW w:w="1180" w:type="dxa"/>
            <w:vAlign w:val="bottom"/>
          </w:tcPr>
          <w:p>
            <w:pPr>
              <w:spacing w:after="0"/>
              <w:rPr>
                <w:sz w:val="21"/>
                <w:szCs w:val="21"/>
                <w:color w:val="auto"/>
              </w:rPr>
            </w:pPr>
          </w:p>
        </w:tc>
        <w:tc>
          <w:tcPr>
            <w:tcW w:w="640" w:type="dxa"/>
            <w:vAlign w:val="bottom"/>
          </w:tcPr>
          <w:p>
            <w:pPr>
              <w:jc w:val="right"/>
              <w:ind w:right="37"/>
              <w:spacing w:after="0"/>
              <w:rPr>
                <w:sz w:val="20"/>
                <w:szCs w:val="20"/>
                <w:color w:val="auto"/>
              </w:rPr>
            </w:pPr>
            <w:r>
              <w:rPr>
                <w:rFonts w:ascii="Arial" w:cs="Arial" w:eastAsia="Arial" w:hAnsi="Arial"/>
                <w:sz w:val="17"/>
                <w:szCs w:val="17"/>
                <w:color w:val="auto"/>
              </w:rPr>
              <w:t>28.11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7"/>
                <w:szCs w:val="17"/>
                <w:color w:val="auto"/>
              </w:rPr>
              <w:t>25.10</w:t>
            </w:r>
          </w:p>
        </w:tc>
      </w:tr>
      <w:tr>
        <w:trPr>
          <w:trHeight w:val="250"/>
        </w:trPr>
        <w:tc>
          <w:tcPr>
            <w:tcW w:w="7660" w:type="dxa"/>
            <w:vAlign w:val="bottom"/>
            <w:shd w:val="clear" w:color="auto" w:fill="CCEEFF"/>
          </w:tcPr>
          <w:p>
            <w:pPr>
              <w:ind w:left="360"/>
              <w:spacing w:after="0" w:line="251" w:lineRule="exact"/>
              <w:rPr>
                <w:sz w:val="20"/>
                <w:szCs w:val="20"/>
                <w:color w:val="auto"/>
              </w:rPr>
            </w:pPr>
            <w:r>
              <w:rPr>
                <w:rFonts w:ascii="Arial" w:cs="Arial" w:eastAsia="Arial" w:hAnsi="Arial"/>
                <w:sz w:val="17"/>
                <w:szCs w:val="17"/>
                <w:color w:val="auto"/>
              </w:rPr>
              <w:t>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Quarter</w:t>
            </w:r>
          </w:p>
        </w:tc>
        <w:tc>
          <w:tcPr>
            <w:tcW w:w="1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31.34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25.50</w:t>
            </w:r>
          </w:p>
        </w:tc>
      </w:tr>
      <w:tr>
        <w:trPr>
          <w:trHeight w:val="315"/>
        </w:trPr>
        <w:tc>
          <w:tcPr>
            <w:tcW w:w="7660" w:type="dxa"/>
            <w:vAlign w:val="bottom"/>
          </w:tcPr>
          <w:p>
            <w:pPr>
              <w:ind w:left="360"/>
              <w:spacing w:after="0"/>
              <w:rPr>
                <w:sz w:val="20"/>
                <w:szCs w:val="20"/>
                <w:color w:val="auto"/>
              </w:rPr>
            </w:pPr>
            <w:r>
              <w:rPr>
                <w:rFonts w:ascii="Arial" w:cs="Arial" w:eastAsia="Arial" w:hAnsi="Arial"/>
                <w:sz w:val="17"/>
                <w:szCs w:val="17"/>
                <w:color w:val="auto"/>
              </w:rPr>
              <w:t>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Quarter</w:t>
            </w:r>
          </w:p>
        </w:tc>
        <w:tc>
          <w:tcPr>
            <w:tcW w:w="118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7"/>
                <w:szCs w:val="17"/>
                <w:color w:val="auto"/>
              </w:rPr>
              <w:t>31.03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jc w:val="right"/>
              <w:ind w:right="18"/>
              <w:spacing w:after="0"/>
              <w:rPr>
                <w:sz w:val="20"/>
                <w:szCs w:val="20"/>
                <w:color w:val="auto"/>
              </w:rPr>
            </w:pPr>
            <w:r>
              <w:rPr>
                <w:rFonts w:ascii="Arial" w:cs="Arial" w:eastAsia="Arial" w:hAnsi="Arial"/>
                <w:sz w:val="17"/>
                <w:szCs w:val="17"/>
                <w:color w:val="auto"/>
              </w:rPr>
              <w:t>25.03</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09" w:lineRule="exact"/>
        <w:rPr>
          <w:sz w:val="20"/>
          <w:szCs w:val="20"/>
          <w:color w:val="auto"/>
        </w:rPr>
      </w:pPr>
    </w:p>
    <w:p>
      <w:pPr>
        <w:ind w:right="760" w:firstLine="375"/>
        <w:spacing w:after="0" w:line="266" w:lineRule="auto"/>
        <w:rPr>
          <w:sz w:val="20"/>
          <w:szCs w:val="20"/>
          <w:color w:val="auto"/>
        </w:rPr>
      </w:pPr>
      <w:r>
        <w:rPr>
          <w:rFonts w:ascii="Arial" w:cs="Arial" w:eastAsia="Arial" w:hAnsi="Arial"/>
          <w:sz w:val="17"/>
          <w:szCs w:val="17"/>
          <w:color w:val="auto"/>
        </w:rPr>
        <w:t>On May 18, 2016, we announced a regular quarterly cash dividend in the amount of $0.15 per share. The quarterly dividend was paid on June 30, 2016 to stockholders of record on June 10, 2016.</w:t>
      </w:r>
    </w:p>
    <w:p>
      <w:pPr>
        <w:spacing w:after="0" w:line="67" w:lineRule="exact"/>
        <w:rPr>
          <w:sz w:val="20"/>
          <w:szCs w:val="20"/>
          <w:color w:val="auto"/>
        </w:rPr>
      </w:pPr>
    </w:p>
    <w:p>
      <w:pPr>
        <w:ind w:right="620" w:firstLine="375"/>
        <w:spacing w:after="0" w:line="266" w:lineRule="auto"/>
        <w:rPr>
          <w:sz w:val="20"/>
          <w:szCs w:val="20"/>
          <w:color w:val="auto"/>
        </w:rPr>
      </w:pPr>
      <w:r>
        <w:rPr>
          <w:rFonts w:ascii="Arial" w:cs="Arial" w:eastAsia="Arial" w:hAnsi="Arial"/>
          <w:sz w:val="17"/>
          <w:szCs w:val="17"/>
          <w:color w:val="auto"/>
        </w:rPr>
        <w:t>On July 27, 2016, we announced a regular quarterly cash dividend in the amount of $0.15 per share. The quarterly dividend was paid on August 31, 2016 to stockholders of record on August 10, 2016.</w:t>
      </w:r>
    </w:p>
    <w:p>
      <w:pPr>
        <w:spacing w:after="0" w:line="67" w:lineRule="exact"/>
        <w:rPr>
          <w:sz w:val="20"/>
          <w:szCs w:val="20"/>
          <w:color w:val="auto"/>
        </w:rPr>
      </w:pPr>
    </w:p>
    <w:p>
      <w:pPr>
        <w:ind w:right="60" w:firstLine="375"/>
        <w:spacing w:after="0" w:line="266" w:lineRule="auto"/>
        <w:rPr>
          <w:sz w:val="20"/>
          <w:szCs w:val="20"/>
          <w:color w:val="auto"/>
        </w:rPr>
      </w:pPr>
      <w:r>
        <w:rPr>
          <w:rFonts w:ascii="Arial" w:cs="Arial" w:eastAsia="Arial" w:hAnsi="Arial"/>
          <w:sz w:val="17"/>
          <w:szCs w:val="17"/>
          <w:color w:val="auto"/>
        </w:rPr>
        <w:t>On November 2, 2016, we announced a regular quarterly cash dividend in the amount of $0.15 per share. The quarterly dividend was paid on November 30, 2016 to stockholders of record on November 10, 2016.</w:t>
      </w:r>
    </w:p>
    <w:p>
      <w:pPr>
        <w:spacing w:after="0" w:line="67" w:lineRule="exact"/>
        <w:rPr>
          <w:sz w:val="20"/>
          <w:szCs w:val="20"/>
          <w:color w:val="auto"/>
        </w:rPr>
      </w:pPr>
    </w:p>
    <w:p>
      <w:pPr>
        <w:ind w:right="260" w:firstLine="375"/>
        <w:spacing w:after="0" w:line="266" w:lineRule="auto"/>
        <w:rPr>
          <w:sz w:val="20"/>
          <w:szCs w:val="20"/>
          <w:color w:val="auto"/>
        </w:rPr>
      </w:pPr>
      <w:r>
        <w:rPr>
          <w:rFonts w:ascii="Arial" w:cs="Arial" w:eastAsia="Arial" w:hAnsi="Arial"/>
          <w:sz w:val="17"/>
          <w:szCs w:val="17"/>
          <w:color w:val="auto"/>
        </w:rPr>
        <w:t>On January 30, 2017, we announced a regular quarterly cash dividend in the amount of $0.17 per share. The quarterly dividend was paid on February 28, 2017 to stockholders of record on February 10, 2017.</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649"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shows the share repurchase activity for each of the three months in the quarter ended March 31, 2017:</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0"/>
              </w:rPr>
              <w:t>Total Number of Shares</w:t>
            </w:r>
          </w:p>
        </w:tc>
        <w:tc>
          <w:tcPr>
            <w:tcW w:w="12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Approximate Dollar Value</w:t>
            </w:r>
          </w:p>
        </w:tc>
      </w:tr>
      <w:tr>
        <w:trPr>
          <w:trHeight w:val="188"/>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9"/>
              </w:rPr>
              <w:t>Purchased as Part of</w:t>
            </w:r>
          </w:p>
        </w:tc>
        <w:tc>
          <w:tcPr>
            <w:tcW w:w="12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of Shares that May Yet Be</w:t>
            </w:r>
          </w:p>
        </w:tc>
      </w:tr>
      <w:tr>
        <w:trPr>
          <w:trHeight w:val="188"/>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0"/>
              </w:rPr>
              <w:t>Total Number of Shares</w:t>
            </w:r>
          </w:p>
        </w:tc>
        <w:tc>
          <w:tcPr>
            <w:tcW w:w="120" w:type="dxa"/>
            <w:vAlign w:val="bottom"/>
          </w:tcPr>
          <w:p>
            <w:pPr>
              <w:spacing w:after="0"/>
              <w:rPr>
                <w:sz w:val="16"/>
                <w:szCs w:val="16"/>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Average Price Paid per</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9"/>
              </w:rPr>
              <w:t>Publicly Announced Plans</w:t>
            </w:r>
          </w:p>
        </w:tc>
        <w:tc>
          <w:tcPr>
            <w:tcW w:w="12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Arial" w:cs="Arial" w:eastAsia="Arial" w:hAnsi="Arial"/>
                <w:sz w:val="15"/>
                <w:szCs w:val="15"/>
                <w:b w:val="1"/>
                <w:bCs w:val="1"/>
                <w:color w:val="auto"/>
                <w:w w:val="90"/>
              </w:rPr>
              <w:t>Purchased Under the Plans</w:t>
            </w:r>
          </w:p>
        </w:tc>
      </w:tr>
      <w:tr>
        <w:trPr>
          <w:trHeight w:val="194"/>
        </w:trPr>
        <w:tc>
          <w:tcPr>
            <w:tcW w:w="3800" w:type="dxa"/>
            <w:vAlign w:val="bottom"/>
            <w:gridSpan w:val="2"/>
          </w:tcPr>
          <w:p>
            <w:pPr>
              <w:ind w:left="1620"/>
              <w:spacing w:after="0"/>
              <w:rPr>
                <w:sz w:val="20"/>
                <w:szCs w:val="20"/>
                <w:color w:val="auto"/>
              </w:rPr>
            </w:pPr>
            <w:r>
              <w:rPr>
                <w:rFonts w:ascii="Arial" w:cs="Arial" w:eastAsia="Arial" w:hAnsi="Arial"/>
                <w:sz w:val="15"/>
                <w:szCs w:val="15"/>
                <w:b w:val="1"/>
                <w:bCs w:val="1"/>
                <w:color w:val="auto"/>
              </w:rPr>
              <w:t>Period</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8"/>
              </w:rPr>
              <w:t>Purchased</w:t>
            </w:r>
          </w:p>
        </w:tc>
        <w:tc>
          <w:tcPr>
            <w:tcW w:w="12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Share</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1"/>
              </w:rPr>
              <w:t>or Programs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159"/>
              <w:spacing w:after="0"/>
              <w:rPr>
                <w:sz w:val="20"/>
                <w:szCs w:val="20"/>
                <w:color w:val="auto"/>
              </w:rPr>
            </w:pPr>
            <w:r>
              <w:rPr>
                <w:rFonts w:ascii="Arial" w:cs="Arial" w:eastAsia="Arial" w:hAnsi="Arial"/>
                <w:sz w:val="15"/>
                <w:szCs w:val="15"/>
                <w:b w:val="1"/>
                <w:bCs w:val="1"/>
                <w:color w:val="auto"/>
                <w:w w:val="93"/>
              </w:rPr>
              <w:t>or Programs (1)</w:t>
            </w:r>
          </w:p>
        </w:tc>
      </w:tr>
      <w:tr>
        <w:trPr>
          <w:trHeight w:val="31"/>
        </w:trPr>
        <w:tc>
          <w:tcPr>
            <w:tcW w:w="3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January 2017</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129,400</w:t>
            </w:r>
          </w:p>
        </w:tc>
        <w:tc>
          <w:tcPr>
            <w:tcW w:w="194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88"/>
              </w:rPr>
              <w:t>$33.72</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4,363,433</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295,062,266</w:t>
            </w: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February 2017</w:t>
            </w: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72,067</w:t>
            </w:r>
          </w:p>
        </w:tc>
        <w:tc>
          <w:tcPr>
            <w:tcW w:w="1940" w:type="dxa"/>
            <w:vAlign w:val="bottom"/>
            <w:gridSpan w:val="2"/>
          </w:tcPr>
          <w:p>
            <w:pPr>
              <w:jc w:val="center"/>
              <w:ind w:left="37"/>
              <w:spacing w:after="0"/>
              <w:rPr>
                <w:sz w:val="20"/>
                <w:szCs w:val="20"/>
                <w:color w:val="auto"/>
              </w:rPr>
            </w:pPr>
            <w:r>
              <w:rPr>
                <w:rFonts w:ascii="Arial" w:cs="Arial" w:eastAsia="Arial" w:hAnsi="Arial"/>
                <w:sz w:val="17"/>
                <w:szCs w:val="17"/>
                <w:color w:val="auto"/>
                <w:w w:val="88"/>
              </w:rPr>
              <w:t>$33.72</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87"/>
              </w:rPr>
              <w:t>2,430,114</w:t>
            </w:r>
          </w:p>
        </w:tc>
        <w:tc>
          <w:tcPr>
            <w:tcW w:w="3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9"/>
              <w:spacing w:after="0"/>
              <w:rPr>
                <w:sz w:val="20"/>
                <w:szCs w:val="20"/>
                <w:color w:val="auto"/>
              </w:rPr>
            </w:pPr>
            <w:r>
              <w:rPr>
                <w:rFonts w:ascii="Arial" w:cs="Arial" w:eastAsia="Arial" w:hAnsi="Arial"/>
                <w:sz w:val="17"/>
                <w:szCs w:val="17"/>
                <w:color w:val="auto"/>
              </w:rPr>
              <w:t>292,632,152</w:t>
            </w:r>
          </w:p>
        </w:tc>
      </w:tr>
      <w:tr>
        <w:trPr>
          <w:trHeight w:val="25"/>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March 2017</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1,029,700</w:t>
            </w:r>
          </w:p>
        </w:tc>
        <w:tc>
          <w:tcPr>
            <w:tcW w:w="194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88"/>
              </w:rPr>
              <w:t>$36.23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6"/>
              </w:rPr>
              <w:t>37,306,233</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255,325,918</w:t>
            </w:r>
          </w:p>
        </w:tc>
      </w:tr>
      <w:tr>
        <w:trPr>
          <w:trHeight w:val="237"/>
        </w:trPr>
        <w:tc>
          <w:tcPr>
            <w:tcW w:w="3800" w:type="dxa"/>
            <w:vAlign w:val="bottom"/>
            <w:gridSpan w:val="2"/>
          </w:tcPr>
          <w:p>
            <w:pPr>
              <w:ind w:left="3300"/>
              <w:spacing w:after="0"/>
              <w:rPr>
                <w:sz w:val="20"/>
                <w:szCs w:val="20"/>
                <w:color w:val="auto"/>
              </w:rPr>
            </w:pPr>
            <w:r>
              <w:rPr>
                <w:rFonts w:ascii="Arial" w:cs="Arial" w:eastAsia="Arial" w:hAnsi="Arial"/>
                <w:sz w:val="17"/>
                <w:szCs w:val="17"/>
                <w:color w:val="auto"/>
              </w:rPr>
              <w:t>Total</w:t>
            </w: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7"/>
              </w:rPr>
              <w:t>1,231,167</w:t>
            </w:r>
          </w:p>
        </w:tc>
        <w:tc>
          <w:tcPr>
            <w:tcW w:w="1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6"/>
              </w:rPr>
              <w:t>44,099,780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38" w:lineRule="exact"/>
        <w:rPr>
          <w:sz w:val="20"/>
          <w:szCs w:val="20"/>
          <w:color w:val="auto"/>
        </w:rPr>
      </w:pPr>
    </w:p>
    <w:p>
      <w:pPr>
        <w:ind w:left="600" w:right="40" w:hanging="600"/>
        <w:spacing w:after="0" w:line="270"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December 12, 2011, the Board of Directors approved a $30.0 million share repurchase program. On January 27, 2015, the Board of Directors approved an increase to our share repurchase authorization from $30.0 million to up to $180.0 million. On January 25, 2017, the Board of Directors approved an increase to our share repurchase authorization from $180.0 million to up to $410.0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Registered Securities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724"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Performance</w:t>
      </w:r>
    </w:p>
    <w:p>
      <w:pPr>
        <w:spacing w:after="0" w:line="84" w:lineRule="exact"/>
        <w:rPr>
          <w:sz w:val="20"/>
          <w:szCs w:val="20"/>
          <w:color w:val="auto"/>
        </w:rPr>
      </w:pPr>
    </w:p>
    <w:p>
      <w:pPr>
        <w:ind w:firstLine="400"/>
        <w:spacing w:after="0" w:line="268" w:lineRule="auto"/>
        <w:rPr>
          <w:sz w:val="20"/>
          <w:szCs w:val="20"/>
          <w:color w:val="auto"/>
        </w:rPr>
      </w:pPr>
      <w:r>
        <w:rPr>
          <w:rFonts w:ascii="Arial" w:cs="Arial" w:eastAsia="Arial" w:hAnsi="Arial"/>
          <w:sz w:val="16"/>
          <w:szCs w:val="16"/>
          <w:color w:val="auto"/>
        </w:rPr>
        <w:t>The graph set forth below compares the cumulative shareholder return on our Common Stock between March 31, 2012 and March 31, 2017, to the cumulative return of (i) the Russell 1000 Index, (ii) the Dow Jones US Computer Services Index, and (iii) S&amp;P Software &amp; Services Select Industry Index over the same period. Beginning in fiscal year 2018, we will no longer show the DJ US Computer Services Index for comparative purposes. The Russell 1000 and S&amp;P Software &amp; Services Select Industry Indices represent better comparator groups for relative cumulative return performance to Booz Allen Hamilton. This graph assumes an initial investment of $100 on March 31, 2012 in our common stock, the Russell 1000 Index, and the Dow Jones US Computer Services Index and assumes the reinvestment of dividends, if any. The stock price performance included in this graph is not necessarily indicative of future stock price performance.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CUMULATIVE TOTAL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331470</wp:posOffset>
            </wp:positionV>
            <wp:extent cx="5420360" cy="2646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0360" cy="264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ASSUMES $100 INVESTED ON MARCH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ASSUMES DIVIDEND REINVESTED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Company/Market/Peer Group</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6"/>
              </w:rPr>
              <w:t>3/31/2012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6"/>
              </w:rPr>
              <w:t>3/31/2013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3/31/2014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3/31/2015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3/31/2016</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3"/>
              </w:rPr>
              <w:t>3/31/2017</w:t>
            </w: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Booz Allen Hamilton Holding Corp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100.00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136.39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254.11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356.82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380.98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454.13</w:t>
            </w:r>
          </w:p>
        </w:tc>
      </w:tr>
      <w:tr>
        <w:trPr>
          <w:trHeight w:val="225"/>
        </w:trPr>
        <w:tc>
          <w:tcPr>
            <w:tcW w:w="5380" w:type="dxa"/>
            <w:vAlign w:val="bottom"/>
          </w:tcPr>
          <w:p>
            <w:pPr>
              <w:ind w:left="20"/>
              <w:spacing w:after="0"/>
              <w:rPr>
                <w:sz w:val="20"/>
                <w:szCs w:val="20"/>
                <w:color w:val="auto"/>
              </w:rPr>
            </w:pPr>
            <w:r>
              <w:rPr>
                <w:rFonts w:ascii="Arial" w:cs="Arial" w:eastAsia="Arial" w:hAnsi="Arial"/>
                <w:sz w:val="17"/>
                <w:szCs w:val="17"/>
                <w:color w:val="auto"/>
              </w:rPr>
              <w:t>Russell 1000 Index</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114.43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140.07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40"/>
              <w:spacing w:after="0"/>
              <w:rPr>
                <w:sz w:val="20"/>
                <w:szCs w:val="20"/>
                <w:color w:val="auto"/>
              </w:rPr>
            </w:pPr>
            <w:r>
              <w:rPr>
                <w:rFonts w:ascii="Arial" w:cs="Arial" w:eastAsia="Arial" w:hAnsi="Arial"/>
                <w:sz w:val="17"/>
                <w:szCs w:val="17"/>
                <w:color w:val="auto"/>
              </w:rPr>
              <w:t>157.91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40"/>
              <w:spacing w:after="0"/>
              <w:rPr>
                <w:sz w:val="20"/>
                <w:szCs w:val="20"/>
                <w:color w:val="auto"/>
              </w:rPr>
            </w:pPr>
            <w:r>
              <w:rPr>
                <w:rFonts w:ascii="Arial" w:cs="Arial" w:eastAsia="Arial" w:hAnsi="Arial"/>
                <w:sz w:val="17"/>
                <w:szCs w:val="17"/>
                <w:color w:val="auto"/>
              </w:rPr>
              <w:t>158.70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20"/>
              <w:spacing w:after="0"/>
              <w:rPr>
                <w:sz w:val="20"/>
                <w:szCs w:val="20"/>
                <w:color w:val="auto"/>
              </w:rPr>
            </w:pPr>
            <w:r>
              <w:rPr>
                <w:rFonts w:ascii="Arial" w:cs="Arial" w:eastAsia="Arial" w:hAnsi="Arial"/>
                <w:sz w:val="17"/>
                <w:szCs w:val="17"/>
                <w:color w:val="auto"/>
              </w:rPr>
              <w:t>186.36</w:t>
            </w:r>
          </w:p>
        </w:tc>
      </w:tr>
      <w:tr>
        <w:trPr>
          <w:trHeight w:val="25"/>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DJ US Computer Services Index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105.31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102.92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99.55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98.97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116.36</w:t>
            </w:r>
          </w:p>
        </w:tc>
      </w:tr>
      <w:tr>
        <w:trPr>
          <w:trHeight w:val="225"/>
        </w:trPr>
        <w:tc>
          <w:tcPr>
            <w:tcW w:w="5380" w:type="dxa"/>
            <w:vAlign w:val="bottom"/>
          </w:tcPr>
          <w:p>
            <w:pPr>
              <w:ind w:left="20"/>
              <w:spacing w:after="0"/>
              <w:rPr>
                <w:sz w:val="20"/>
                <w:szCs w:val="20"/>
                <w:color w:val="auto"/>
              </w:rPr>
            </w:pPr>
            <w:r>
              <w:rPr>
                <w:rFonts w:ascii="Arial" w:cs="Arial" w:eastAsia="Arial" w:hAnsi="Arial"/>
                <w:sz w:val="17"/>
                <w:szCs w:val="17"/>
                <w:color w:val="auto"/>
              </w:rPr>
              <w:t>S&amp;P Software &amp; Services Select Industry Index</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113.17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146.17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40"/>
              <w:spacing w:after="0"/>
              <w:rPr>
                <w:sz w:val="20"/>
                <w:szCs w:val="20"/>
                <w:color w:val="auto"/>
              </w:rPr>
            </w:pPr>
            <w:r>
              <w:rPr>
                <w:rFonts w:ascii="Arial" w:cs="Arial" w:eastAsia="Arial" w:hAnsi="Arial"/>
                <w:sz w:val="17"/>
                <w:szCs w:val="17"/>
                <w:color w:val="auto"/>
              </w:rPr>
              <w:t>165.67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40"/>
              <w:spacing w:after="0"/>
              <w:rPr>
                <w:sz w:val="20"/>
                <w:szCs w:val="20"/>
                <w:color w:val="auto"/>
              </w:rPr>
            </w:pPr>
            <w:r>
              <w:rPr>
                <w:rFonts w:ascii="Arial" w:cs="Arial" w:eastAsia="Arial" w:hAnsi="Arial"/>
                <w:sz w:val="17"/>
                <w:szCs w:val="17"/>
                <w:color w:val="auto"/>
              </w:rPr>
              <w:t>160.97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20"/>
              <w:spacing w:after="0"/>
              <w:rPr>
                <w:sz w:val="20"/>
                <w:szCs w:val="20"/>
                <w:color w:val="auto"/>
              </w:rPr>
            </w:pPr>
            <w:r>
              <w:rPr>
                <w:rFonts w:ascii="Arial" w:cs="Arial" w:eastAsia="Arial" w:hAnsi="Arial"/>
                <w:sz w:val="17"/>
                <w:szCs w:val="17"/>
                <w:color w:val="auto"/>
              </w:rPr>
              <w:t>200.11</w:t>
            </w:r>
          </w:p>
        </w:tc>
      </w:tr>
    </w:tbl>
    <w:p>
      <w:pPr>
        <w:spacing w:after="0" w:line="88" w:lineRule="exact"/>
        <w:rPr>
          <w:sz w:val="20"/>
          <w:szCs w:val="20"/>
          <w:color w:val="auto"/>
        </w:rPr>
      </w:pPr>
    </w:p>
    <w:p>
      <w:pPr>
        <w:ind w:right="420" w:firstLine="400"/>
        <w:spacing w:after="0" w:line="298" w:lineRule="auto"/>
        <w:rPr>
          <w:sz w:val="20"/>
          <w:szCs w:val="20"/>
          <w:color w:val="auto"/>
        </w:rPr>
      </w:pPr>
      <w:r>
        <w:rPr>
          <w:rFonts w:ascii="Arial" w:cs="Arial" w:eastAsia="Arial" w:hAnsi="Arial"/>
          <w:sz w:val="16"/>
          <w:szCs w:val="16"/>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6</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Selected Financial Data</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selected consolidated statements of operations data for fiscal 2017, fiscal 2016, and fiscal 2015 and the selected consolidated balance sheet data as of March 31,</w:t>
      </w:r>
    </w:p>
    <w:p>
      <w:pPr>
        <w:spacing w:after="0" w:line="52"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2017 and 2016 have been derived from our audited consolidated financial statements included elsewhere in this Annual Report. The selected consolidated statement of operations data for fiscal 2014 and fiscal 2013 and the selected consolidated balance sheet data as of March 31, 2015, 2014 and 2013 have been derived from audited consolidated financial statements which are not included in this Annual Report. Our historical results are not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649" w:right="239" w:bottom="1440" w:gutter="0" w:footer="0" w:header="0"/>
        </w:sectPr>
      </w:pPr>
    </w:p>
    <w:bookmarkStart w:id="43" w:name="page44"/>
    <w:bookmarkEnd w:id="43"/>
    <w:p>
      <w:pPr>
        <w:ind w:right="100"/>
        <w:spacing w:after="0" w:line="256" w:lineRule="auto"/>
        <w:rPr>
          <w:sz w:val="20"/>
          <w:szCs w:val="20"/>
          <w:color w:val="auto"/>
        </w:rPr>
      </w:pPr>
      <w:r>
        <w:rPr>
          <w:rFonts w:ascii="Arial" w:cs="Arial" w:eastAsia="Arial" w:hAnsi="Arial"/>
          <w:sz w:val="17"/>
          <w:szCs w:val="17"/>
          <w:color w:val="auto"/>
        </w:rPr>
        <w:t>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4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w w:val="97"/>
              </w:rPr>
              <w:t>Fiscal Year Ended March 31,</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40"/>
        </w:trPr>
        <w:tc>
          <w:tcPr>
            <w:tcW w:w="5440" w:type="dxa"/>
            <w:vAlign w:val="bottom"/>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40" w:type="dxa"/>
            <w:vAlign w:val="bottom"/>
          </w:tcPr>
          <w:p>
            <w:pPr>
              <w:jc w:val="right"/>
              <w:ind w:right="313"/>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0"/>
                <w:szCs w:val="20"/>
                <w:color w:val="auto"/>
              </w:rPr>
            </w:pPr>
          </w:p>
        </w:tc>
        <w:tc>
          <w:tcPr>
            <w:tcW w:w="800" w:type="dxa"/>
            <w:vAlign w:val="bottom"/>
          </w:tcPr>
          <w:p>
            <w:pPr>
              <w:jc w:val="right"/>
              <w:ind w:right="93"/>
              <w:spacing w:after="0"/>
              <w:rPr>
                <w:sz w:val="20"/>
                <w:szCs w:val="20"/>
                <w:color w:val="auto"/>
              </w:rPr>
            </w:pPr>
            <w:r>
              <w:rPr>
                <w:rFonts w:ascii="Arial" w:cs="Arial" w:eastAsia="Arial" w:hAnsi="Arial"/>
                <w:sz w:val="13"/>
                <w:szCs w:val="13"/>
                <w:b w:val="1"/>
                <w:bCs w:val="1"/>
                <w:color w:val="auto"/>
              </w:rPr>
              <w:t>2016</w:t>
            </w:r>
          </w:p>
        </w:tc>
        <w:tc>
          <w:tcPr>
            <w:tcW w:w="14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73"/>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Arial" w:cs="Arial" w:eastAsia="Arial" w:hAnsi="Arial"/>
                <w:sz w:val="13"/>
                <w:szCs w:val="13"/>
                <w:b w:val="1"/>
                <w:bCs w:val="1"/>
                <w:color w:val="auto"/>
              </w:rPr>
              <w:t>2013</w:t>
            </w:r>
          </w:p>
        </w:tc>
      </w:tr>
      <w:tr>
        <w:trPr>
          <w:trHeight w:val="165"/>
        </w:trPr>
        <w:tc>
          <w:tcPr>
            <w:tcW w:w="5440" w:type="dxa"/>
            <w:vAlign w:val="bottom"/>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209155"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9155" cy="158750"/>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Revenue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costs and expenses: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Cost of revenue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Billable expenses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1"/>
          <w:szCs w:val="11"/>
          <w:color w:val="auto"/>
        </w:rPr>
        <w:t>General and administrative expenses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Depreciation and amortization</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Total operating costs and expenses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income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expense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income (expense), net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Income before income taxes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Income tax expense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Earnings per common share (1):</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5,804,284</w:t>
            </w:r>
          </w:p>
        </w:tc>
        <w:tc>
          <w:tcPr>
            <w:tcW w:w="120" w:type="dxa"/>
            <w:vAlign w:val="bottom"/>
          </w:tcPr>
          <w:p>
            <w:pPr>
              <w:spacing w:after="0"/>
              <w:rPr>
                <w:sz w:val="14"/>
                <w:szCs w:val="14"/>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5,405,738</w:t>
            </w:r>
          </w:p>
        </w:tc>
        <w:tc>
          <w:tcPr>
            <w:tcW w:w="100" w:type="dxa"/>
            <w:vAlign w:val="bottom"/>
          </w:tcPr>
          <w:p>
            <w:pPr>
              <w:spacing w:after="0"/>
              <w:rPr>
                <w:sz w:val="14"/>
                <w:szCs w:val="14"/>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5,274,770</w:t>
            </w:r>
          </w:p>
        </w:tc>
        <w:tc>
          <w:tcPr>
            <w:tcW w:w="100" w:type="dxa"/>
            <w:vAlign w:val="bottom"/>
          </w:tcPr>
          <w:p>
            <w:pPr>
              <w:spacing w:after="0"/>
              <w:rPr>
                <w:sz w:val="14"/>
                <w:szCs w:val="14"/>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5,478,693</w:t>
            </w:r>
          </w:p>
        </w:tc>
        <w:tc>
          <w:tcPr>
            <w:tcW w:w="100" w:type="dxa"/>
            <w:vAlign w:val="bottom"/>
          </w:tcPr>
          <w:p>
            <w:pPr>
              <w:spacing w:after="0"/>
              <w:rPr>
                <w:sz w:val="14"/>
                <w:szCs w:val="14"/>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5,758,059</w:t>
            </w:r>
          </w:p>
        </w:tc>
      </w:tr>
      <w:tr>
        <w:trPr>
          <w:trHeight w:val="501"/>
        </w:trPr>
        <w:tc>
          <w:tcPr>
            <w:tcW w:w="260" w:type="dxa"/>
            <w:vAlign w:val="bottom"/>
          </w:tcPr>
          <w:p>
            <w:pPr>
              <w:spacing w:after="0"/>
              <w:rPr>
                <w:sz w:val="24"/>
                <w:szCs w:val="24"/>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2,691,982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2,580,026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2,593,849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2,716,113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2,871,240</w:t>
            </w:r>
          </w:p>
        </w:tc>
      </w:tr>
      <w:tr>
        <w:trPr>
          <w:trHeight w:val="250"/>
        </w:trPr>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1,751,077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1,513,083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1,406,527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1,487,115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1,532,590</w:t>
            </w:r>
          </w:p>
        </w:tc>
      </w:tr>
      <w:tr>
        <w:trPr>
          <w:trHeight w:val="250"/>
        </w:trPr>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817,434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806,509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752,912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742,527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833,986</w:t>
            </w:r>
          </w:p>
        </w:tc>
      </w:tr>
      <w:tr>
        <w:trPr>
          <w:trHeight w:val="255"/>
        </w:trPr>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59,544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61,536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62,660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72,327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74,009</w:t>
            </w:r>
          </w:p>
        </w:tc>
      </w:tr>
      <w:tr>
        <w:trPr>
          <w:trHeight w:val="230"/>
        </w:trPr>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5,320,037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4,961,154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4,815,948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5,018,082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5,311,825</w:t>
            </w:r>
          </w:p>
        </w:tc>
      </w:tr>
      <w:tr>
        <w:trPr>
          <w:trHeight w:val="225"/>
        </w:trPr>
        <w:tc>
          <w:tcPr>
            <w:tcW w:w="26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484,247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444,584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458,822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460,611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446,234</w:t>
            </w:r>
          </w:p>
        </w:tc>
      </w:tr>
      <w:tr>
        <w:trPr>
          <w:trHeight w:val="250"/>
        </w:trPr>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(70,815)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(71,832)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(78,030)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(70,284)</w:t>
            </w:r>
          </w:p>
        </w:tc>
      </w:tr>
      <w:tr>
        <w:trPr>
          <w:trHeight w:val="255"/>
        </w:trPr>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(10,049)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5,693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(1,072)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(1,794)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(7,639)</w:t>
            </w:r>
          </w:p>
        </w:tc>
      </w:tr>
      <w:tr>
        <w:trPr>
          <w:trHeight w:val="225"/>
        </w:trPr>
        <w:tc>
          <w:tcPr>
            <w:tcW w:w="26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411,900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379,462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385,918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380,787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368,311</w:t>
            </w:r>
          </w:p>
        </w:tc>
      </w:tr>
      <w:tr>
        <w:trPr>
          <w:trHeight w:val="255"/>
        </w:trPr>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159,410</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85,368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153,349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148,599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149,253</w:t>
            </w:r>
          </w:p>
        </w:tc>
      </w:tr>
      <w:tr>
        <w:trPr>
          <w:trHeight w:val="218"/>
        </w:trPr>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252,490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294,094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232,569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232,188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219,058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-1764030</wp:posOffset>
            </wp:positionV>
            <wp:extent cx="7209155" cy="158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9155" cy="15875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-1445895</wp:posOffset>
            </wp:positionV>
            <wp:extent cx="7209155" cy="158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9155" cy="15875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-1127760</wp:posOffset>
            </wp:positionV>
            <wp:extent cx="7209155"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155" cy="15875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-810260</wp:posOffset>
            </wp:positionV>
            <wp:extent cx="720915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9155" cy="15875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-492125</wp:posOffset>
            </wp:positionV>
            <wp:extent cx="7209155" cy="158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9155" cy="15875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-173990</wp:posOffset>
            </wp:positionV>
            <wp:extent cx="7209155" cy="158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9155" cy="158750"/>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4740" w:space="720"/>
            <w:col w:w="5960"/>
          </w:cols>
          <w:pgMar w:left="240" w:top="728"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Basic</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5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900" w:type="dxa"/>
            <w:vAlign w:val="bottom"/>
            <w:tcBorders>
              <w:bottom w:val="single" w:sz="8" w:color="CCEEFF"/>
            </w:tcBorders>
            <w:shd w:val="clear" w:color="auto" w:fill="CCEEFF"/>
          </w:tcPr>
          <w:p>
            <w:pPr>
              <w:jc w:val="center"/>
              <w:ind w:right="373"/>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1.62</w:t>
            </w:r>
          </w:p>
        </w:tc>
        <w:tc>
          <w:tcPr>
            <w:tcW w:w="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140" w:type="dxa"/>
            <w:vAlign w:val="bottom"/>
          </w:tcPr>
          <w:p>
            <w:pPr>
              <w:ind w:left="160"/>
              <w:spacing w:after="0"/>
              <w:rPr>
                <w:sz w:val="20"/>
                <w:szCs w:val="20"/>
                <w:color w:val="auto"/>
              </w:rPr>
            </w:pPr>
            <w:r>
              <w:rPr>
                <w:rFonts w:ascii="Arial" w:cs="Arial" w:eastAsia="Arial" w:hAnsi="Arial"/>
                <w:sz w:val="13"/>
                <w:szCs w:val="13"/>
                <w:color w:val="auto"/>
              </w:rPr>
              <w:t>Diluted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1.67</w:t>
            </w:r>
          </w:p>
        </w:tc>
        <w:tc>
          <w:tcPr>
            <w:tcW w:w="580" w:type="dxa"/>
            <w:vAlign w:val="bottom"/>
            <w:vMerge w:val="restart"/>
          </w:tcPr>
          <w:p>
            <w:pPr>
              <w:jc w:val="right"/>
              <w:ind w:right="2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1.94</w:t>
            </w:r>
          </w:p>
        </w:tc>
        <w:tc>
          <w:tcPr>
            <w:tcW w:w="900" w:type="dxa"/>
            <w:vAlign w:val="bottom"/>
            <w:vMerge w:val="restart"/>
          </w:tcPr>
          <w:p>
            <w:pPr>
              <w:jc w:val="center"/>
              <w:ind w:right="373"/>
              <w:spacing w:after="0"/>
              <w:rPr>
                <w:sz w:val="20"/>
                <w:szCs w:val="20"/>
                <w:color w:val="auto"/>
              </w:rPr>
            </w:pPr>
            <w:r>
              <w:rPr>
                <w:rFonts w:ascii="Arial" w:cs="Arial" w:eastAsia="Arial" w:hAnsi="Arial"/>
                <w:sz w:val="13"/>
                <w:szCs w:val="13"/>
                <w:color w:val="auto"/>
                <w:w w:val="82"/>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1.52</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1.54</w:t>
            </w:r>
          </w:p>
        </w:tc>
        <w:tc>
          <w:tcPr>
            <w:tcW w:w="3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53"/>
              <w:spacing w:after="0"/>
              <w:rPr>
                <w:sz w:val="20"/>
                <w:szCs w:val="20"/>
                <w:color w:val="auto"/>
              </w:rPr>
            </w:pPr>
            <w:r>
              <w:rPr>
                <w:rFonts w:ascii="Arial" w:cs="Arial" w:eastAsia="Arial" w:hAnsi="Arial"/>
                <w:sz w:val="13"/>
                <w:szCs w:val="13"/>
                <w:color w:val="auto"/>
              </w:rPr>
              <w:t>1.45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 (1):</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140" w:type="dxa"/>
            <w:vAlign w:val="bottom"/>
          </w:tcPr>
          <w:p>
            <w:pPr>
              <w:ind w:left="160"/>
              <w:spacing w:after="0"/>
              <w:rPr>
                <w:sz w:val="20"/>
                <w:szCs w:val="20"/>
                <w:color w:val="auto"/>
              </w:rPr>
            </w:pPr>
            <w:r>
              <w:rPr>
                <w:rFonts w:ascii="Arial" w:cs="Arial" w:eastAsia="Arial" w:hAnsi="Arial"/>
                <w:sz w:val="13"/>
                <w:szCs w:val="13"/>
                <w:color w:val="auto"/>
              </w:rPr>
              <w:t>Basic</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1"/>
              </w:rPr>
              <w:t>148,218,968</w:t>
            </w:r>
          </w:p>
        </w:tc>
        <w:tc>
          <w:tcPr>
            <w:tcW w:w="1160" w:type="dxa"/>
            <w:vAlign w:val="bottom"/>
            <w:gridSpan w:val="3"/>
            <w:vMerge w:val="restart"/>
          </w:tcPr>
          <w:p>
            <w:pPr>
              <w:jc w:val="right"/>
              <w:spacing w:after="0"/>
              <w:rPr>
                <w:sz w:val="20"/>
                <w:szCs w:val="20"/>
                <w:color w:val="auto"/>
              </w:rPr>
            </w:pPr>
            <w:r>
              <w:rPr>
                <w:rFonts w:ascii="Arial" w:cs="Arial" w:eastAsia="Arial" w:hAnsi="Arial"/>
                <w:sz w:val="13"/>
                <w:szCs w:val="13"/>
                <w:color w:val="auto"/>
              </w:rPr>
              <w:t>146,494,407</w:t>
            </w:r>
          </w:p>
        </w:tc>
        <w:tc>
          <w:tcPr>
            <w:tcW w:w="130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145,414,120</w:t>
            </w:r>
          </w:p>
        </w:tc>
        <w:tc>
          <w:tcPr>
            <w:tcW w:w="220" w:type="dxa"/>
            <w:vAlign w:val="bottom"/>
          </w:tcPr>
          <w:p>
            <w:pPr>
              <w:spacing w:after="0"/>
              <w:rPr>
                <w:sz w:val="15"/>
                <w:szCs w:val="15"/>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141,314,544</w:t>
            </w:r>
          </w:p>
        </w:tc>
        <w:tc>
          <w:tcPr>
            <w:tcW w:w="380" w:type="dxa"/>
            <w:vAlign w:val="bottom"/>
          </w:tcPr>
          <w:p>
            <w:pPr>
              <w:spacing w:after="0"/>
              <w:rPr>
                <w:sz w:val="15"/>
                <w:szCs w:val="15"/>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3"/>
                <w:szCs w:val="13"/>
                <w:color w:val="auto"/>
              </w:rPr>
              <w:t>134,402,729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Diluted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150,274,640</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149,719,137</w:t>
            </w:r>
          </w:p>
        </w:tc>
        <w:tc>
          <w:tcPr>
            <w:tcW w:w="13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150,375,531</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148,681,074</w:t>
            </w:r>
          </w:p>
        </w:tc>
        <w:tc>
          <w:tcPr>
            <w:tcW w:w="3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144,854,724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160" w:type="dxa"/>
            <w:vAlign w:val="bottom"/>
            <w:gridSpan w:val="3"/>
            <w:vMerge w:val="continue"/>
            <w:shd w:val="clear" w:color="auto" w:fill="CCEEFF"/>
          </w:tcPr>
          <w:p>
            <w:pPr>
              <w:spacing w:after="0"/>
              <w:rPr>
                <w:sz w:val="6"/>
                <w:szCs w:val="6"/>
                <w:color w:val="auto"/>
              </w:rPr>
            </w:pPr>
          </w:p>
        </w:tc>
        <w:tc>
          <w:tcPr>
            <w:tcW w:w="1300" w:type="dxa"/>
            <w:vAlign w:val="bottom"/>
            <w:gridSpan w:val="3"/>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140" w:type="dxa"/>
            <w:vAlign w:val="bottom"/>
          </w:tcPr>
          <w:p>
            <w:pPr>
              <w:ind w:left="20"/>
              <w:spacing w:after="0"/>
              <w:rPr>
                <w:sz w:val="20"/>
                <w:szCs w:val="20"/>
                <w:color w:val="auto"/>
              </w:rPr>
            </w:pPr>
            <w:r>
              <w:rPr>
                <w:rFonts w:ascii="Arial" w:cs="Arial" w:eastAsia="Arial" w:hAnsi="Arial"/>
                <w:sz w:val="13"/>
                <w:szCs w:val="13"/>
                <w:color w:val="auto"/>
              </w:rPr>
              <w:t>Dividends declared per share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0.62</w:t>
            </w:r>
          </w:p>
        </w:tc>
        <w:tc>
          <w:tcPr>
            <w:tcW w:w="580" w:type="dxa"/>
            <w:vAlign w:val="bottom"/>
            <w:vMerge w:val="restart"/>
          </w:tcPr>
          <w:p>
            <w:pPr>
              <w:jc w:val="right"/>
              <w:ind w:right="2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0.54</w:t>
            </w:r>
          </w:p>
        </w:tc>
        <w:tc>
          <w:tcPr>
            <w:tcW w:w="900" w:type="dxa"/>
            <w:vAlign w:val="bottom"/>
            <w:vMerge w:val="restart"/>
          </w:tcPr>
          <w:p>
            <w:pPr>
              <w:jc w:val="center"/>
              <w:ind w:right="373"/>
              <w:spacing w:after="0"/>
              <w:rPr>
                <w:sz w:val="20"/>
                <w:szCs w:val="20"/>
                <w:color w:val="auto"/>
              </w:rPr>
            </w:pPr>
            <w:r>
              <w:rPr>
                <w:rFonts w:ascii="Arial" w:cs="Arial" w:eastAsia="Arial" w:hAnsi="Arial"/>
                <w:sz w:val="13"/>
                <w:szCs w:val="13"/>
                <w:color w:val="auto"/>
                <w:w w:val="82"/>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1.46</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2.40</w:t>
            </w:r>
          </w:p>
        </w:tc>
        <w:tc>
          <w:tcPr>
            <w:tcW w:w="3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53"/>
              <w:spacing w:after="0"/>
              <w:rPr>
                <w:sz w:val="20"/>
                <w:szCs w:val="20"/>
                <w:color w:val="auto"/>
              </w:rPr>
            </w:pPr>
            <w:r>
              <w:rPr>
                <w:rFonts w:ascii="Arial" w:cs="Arial" w:eastAsia="Arial" w:hAnsi="Arial"/>
                <w:sz w:val="13"/>
                <w:szCs w:val="13"/>
                <w:color w:val="auto"/>
              </w:rPr>
              <w:t>8.36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4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1"/>
        </w:trPr>
        <w:tc>
          <w:tcPr>
            <w:tcW w:w="4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As of March 31,</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5"/>
                <w:szCs w:val="15"/>
                <w:b w:val="1"/>
                <w:bCs w:val="1"/>
                <w:color w:val="auto"/>
              </w:rPr>
              <w:t>2017</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5"/>
                <w:szCs w:val="15"/>
                <w:b w:val="1"/>
                <w:bCs w:val="1"/>
                <w:color w:val="auto"/>
              </w:rPr>
              <w:t>2016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413"/>
              <w:spacing w:after="0"/>
              <w:rPr>
                <w:sz w:val="20"/>
                <w:szCs w:val="20"/>
                <w:color w:val="auto"/>
              </w:rPr>
            </w:pPr>
            <w:r>
              <w:rPr>
                <w:rFonts w:ascii="Arial" w:cs="Arial" w:eastAsia="Arial" w:hAnsi="Arial"/>
                <w:sz w:val="15"/>
                <w:szCs w:val="15"/>
                <w:b w:val="1"/>
                <w:bCs w:val="1"/>
                <w:color w:val="auto"/>
                <w:w w:val="89"/>
              </w:rPr>
              <w:t>2015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5"/>
                <w:szCs w:val="15"/>
                <w:b w:val="1"/>
                <w:bCs w:val="1"/>
                <w:color w:val="auto"/>
                <w:w w:val="89"/>
              </w:rPr>
              <w:t>2014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5"/>
                <w:szCs w:val="15"/>
                <w:b w:val="1"/>
                <w:bCs w:val="1"/>
                <w:color w:val="auto"/>
              </w:rPr>
              <w:t>2013</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Balance Sheets: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4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14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300" w:type="dxa"/>
            <w:vAlign w:val="bottom"/>
            <w:vMerge w:val="restart"/>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217,417</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3"/>
                <w:szCs w:val="13"/>
                <w:color w:val="auto"/>
                <w:w w:val="93"/>
              </w:rPr>
              <w:t>187,529</w:t>
            </w:r>
          </w:p>
        </w:tc>
        <w:tc>
          <w:tcPr>
            <w:tcW w:w="100" w:type="dxa"/>
            <w:vAlign w:val="bottom"/>
          </w:tcPr>
          <w:p>
            <w:pPr>
              <w:spacing w:after="0"/>
              <w:rPr>
                <w:sz w:val="15"/>
                <w:szCs w:val="15"/>
                <w:color w:val="auto"/>
              </w:rPr>
            </w:pPr>
          </w:p>
        </w:tc>
        <w:tc>
          <w:tcPr>
            <w:tcW w:w="480" w:type="dxa"/>
            <w:vAlign w:val="bottom"/>
            <w:vMerge w:val="restart"/>
          </w:tcPr>
          <w:p>
            <w:pPr>
              <w:jc w:val="right"/>
              <w:ind w:right="313"/>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53"/>
              <w:spacing w:after="0"/>
              <w:rPr>
                <w:sz w:val="20"/>
                <w:szCs w:val="20"/>
                <w:color w:val="auto"/>
              </w:rPr>
            </w:pPr>
            <w:r>
              <w:rPr>
                <w:rFonts w:ascii="Arial" w:cs="Arial" w:eastAsia="Arial" w:hAnsi="Arial"/>
                <w:sz w:val="13"/>
                <w:szCs w:val="13"/>
                <w:color w:val="auto"/>
              </w:rPr>
              <w:t>207,217</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color w:val="auto"/>
              </w:rPr>
              <w:t>259,994</w:t>
            </w:r>
          </w:p>
        </w:tc>
        <w:tc>
          <w:tcPr>
            <w:tcW w:w="100" w:type="dxa"/>
            <w:vAlign w:val="bottom"/>
          </w:tcPr>
          <w:p>
            <w:pPr>
              <w:spacing w:after="0"/>
              <w:rPr>
                <w:sz w:val="15"/>
                <w:szCs w:val="15"/>
                <w:color w:val="auto"/>
              </w:rPr>
            </w:pPr>
          </w:p>
        </w:tc>
        <w:tc>
          <w:tcPr>
            <w:tcW w:w="380" w:type="dxa"/>
            <w:vAlign w:val="bottom"/>
            <w:vMerge w:val="restart"/>
          </w:tcPr>
          <w:p>
            <w:pPr>
              <w:jc w:val="right"/>
              <w:ind w:right="213"/>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350,384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Working capital</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193,079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w w:val="93"/>
              </w:rPr>
              <w:t>249,858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299,675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309,186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469,992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1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3,373,105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restart"/>
          </w:tcPr>
          <w:p>
            <w:pPr>
              <w:jc w:val="right"/>
              <w:ind w:right="53"/>
              <w:spacing w:after="0"/>
              <w:rPr>
                <w:sz w:val="20"/>
                <w:szCs w:val="20"/>
                <w:color w:val="auto"/>
              </w:rPr>
            </w:pPr>
            <w:r>
              <w:rPr>
                <w:rFonts w:ascii="Arial" w:cs="Arial" w:eastAsia="Arial" w:hAnsi="Arial"/>
                <w:sz w:val="13"/>
                <w:szCs w:val="13"/>
                <w:color w:val="auto"/>
              </w:rPr>
              <w:t>3,010,171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3"/>
                <w:szCs w:val="13"/>
                <w:color w:val="auto"/>
              </w:rPr>
              <w:t>2,863,982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color w:val="auto"/>
              </w:rPr>
              <w:t>2,915,229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3,144,983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net of current portion</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1,470,174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1,484,448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1,555,761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1,567,893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1,637,098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14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573,591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3"/>
                <w:szCs w:val="13"/>
                <w:color w:val="auto"/>
                <w:w w:val="93"/>
              </w:rPr>
              <w:t>408,488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3"/>
                <w:szCs w:val="13"/>
                <w:color w:val="auto"/>
              </w:rPr>
              <w:t>186,498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color w:val="auto"/>
              </w:rPr>
              <w:t>171,636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226,793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4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right="140" w:hanging="307"/>
        <w:spacing w:after="0" w:line="275" w:lineRule="auto"/>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Basic earnings per share for the Company has been computed using the weighted average number of shares of Class A Common Stock, Class B Non- 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84" w:lineRule="exact"/>
        <w:rPr>
          <w:sz w:val="20"/>
          <w:szCs w:val="20"/>
          <w:color w:val="auto"/>
        </w:rPr>
      </w:pPr>
    </w:p>
    <w:p>
      <w:pPr>
        <w:ind w:right="280" w:firstLine="400"/>
        <w:spacing w:after="0" w:line="256" w:lineRule="auto"/>
        <w:rPr>
          <w:sz w:val="20"/>
          <w:szCs w:val="20"/>
          <w:color w:val="auto"/>
        </w:rPr>
      </w:pPr>
      <w:r>
        <w:rPr>
          <w:rFonts w:ascii="Arial" w:cs="Arial" w:eastAsia="Arial" w:hAnsi="Arial"/>
          <w:sz w:val="17"/>
          <w:szCs w:val="17"/>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125" w:lineRule="exact"/>
        <w:rPr>
          <w:sz w:val="20"/>
          <w:szCs w:val="20"/>
          <w:color w:val="auto"/>
        </w:rPr>
      </w:pPr>
    </w:p>
    <w:p>
      <w:pPr>
        <w:ind w:right="160" w:firstLine="400"/>
        <w:spacing w:after="0" w:line="273"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728" w:right="239" w:bottom="1440" w:gutter="0" w:footer="0" w:header="0"/>
          <w:type w:val="continuous"/>
        </w:sectPr>
      </w:pPr>
    </w:p>
    <w:bookmarkStart w:id="44" w:name="page45"/>
    <w:bookmarkEnd w:id="44"/>
    <w:p>
      <w:pPr>
        <w:ind w:right="500" w:firstLine="400"/>
        <w:spacing w:after="0" w:line="368" w:lineRule="auto"/>
        <w:rPr>
          <w:sz w:val="20"/>
          <w:szCs w:val="20"/>
          <w:color w:val="auto"/>
        </w:rPr>
      </w:pPr>
      <w:r>
        <w:rPr>
          <w:rFonts w:ascii="Arial" w:cs="Arial" w:eastAsia="Arial" w:hAnsi="Arial"/>
          <w:sz w:val="17"/>
          <w:szCs w:val="17"/>
          <w:i w:val="1"/>
          <w:iCs w:val="1"/>
          <w:color w:val="auto"/>
        </w:rPr>
        <w:t xml:space="preserve">Our fiscal year ends March 31 and, unless otherwise noted, references to years or fiscal are for fiscal years ended March 31. See “— Results of Operations.” </w:t>
      </w:r>
      <w:r>
        <w:rPr>
          <w:rFonts w:ascii="Arial" w:cs="Arial" w:eastAsia="Arial" w:hAnsi="Arial"/>
          <w:sz w:val="17"/>
          <w:szCs w:val="17"/>
          <w:b w:val="1"/>
          <w:bCs w:val="1"/>
          <w:color w:val="auto"/>
        </w:rPr>
        <w:t>Overview</w:t>
      </w:r>
    </w:p>
    <w:p>
      <w:pPr>
        <w:spacing w:after="0" w:line="1" w:lineRule="exact"/>
        <w:rPr>
          <w:sz w:val="20"/>
          <w:szCs w:val="20"/>
          <w:color w:val="auto"/>
        </w:rPr>
      </w:pPr>
    </w:p>
    <w:p>
      <w:pPr>
        <w:ind w:right="120" w:firstLine="375"/>
        <w:spacing w:after="0" w:line="270" w:lineRule="auto"/>
        <w:rPr>
          <w:sz w:val="20"/>
          <w:szCs w:val="20"/>
          <w:color w:val="auto"/>
        </w:rPr>
      </w:pPr>
      <w:r>
        <w:rPr>
          <w:rFonts w:ascii="Arial" w:cs="Arial" w:eastAsia="Arial" w:hAnsi="Arial"/>
          <w:sz w:val="16"/>
          <w:szCs w:val="16"/>
          <w:color w:val="auto"/>
        </w:rPr>
        <w:t>We are a leading provider of management and technology consulting, engineering, analytics, digital solutions, mission operations, and cyber expertise to U.S. and international governments, major corporations, and not-for-profit organizations. Our ability to deliver value to our clients has always been, and continues to be, a product of the strong character, deep expertise and tremendous passion of our people. Our talent base of approximately 23,300 employees endeavor to solve problems that matter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67" w:lineRule="exact"/>
        <w:rPr>
          <w:sz w:val="20"/>
          <w:szCs w:val="20"/>
          <w:color w:val="auto"/>
        </w:rPr>
      </w:pPr>
    </w:p>
    <w:p>
      <w:pPr>
        <w:ind w:right="100" w:firstLine="375"/>
        <w:spacing w:after="0" w:line="267"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client needs, we have longstanding and deep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these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Our U.S. commercial clients are primarily in the financial services, healthcare and life sciences, energy, high-tech manufacturing, retail, and automotive industries. Our international clients are primarily in the Middle East, along with a growing presence in Southeast Asia.</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and Other Highlights</w:t>
      </w:r>
    </w:p>
    <w:p>
      <w:pPr>
        <w:spacing w:after="0" w:line="109" w:lineRule="exact"/>
        <w:rPr>
          <w:sz w:val="20"/>
          <w:szCs w:val="20"/>
          <w:color w:val="auto"/>
        </w:rPr>
      </w:pPr>
    </w:p>
    <w:p>
      <w:pPr>
        <w:ind w:right="40" w:firstLine="375"/>
        <w:spacing w:after="0" w:line="270" w:lineRule="auto"/>
        <w:rPr>
          <w:sz w:val="20"/>
          <w:szCs w:val="20"/>
          <w:color w:val="auto"/>
        </w:rPr>
      </w:pPr>
      <w:r>
        <w:rPr>
          <w:rFonts w:ascii="Arial" w:cs="Arial" w:eastAsia="Arial" w:hAnsi="Arial"/>
          <w:sz w:val="16"/>
          <w:szCs w:val="16"/>
          <w:color w:val="auto"/>
        </w:rPr>
        <w:t>During fiscal 2017, the Company continued to invest in its long term growth strategy by investing in key capabilities and markets while also increasing headcount to deploy against the strong pipeline of captured opportunities that translated into an increase in total backlog. Revenue increased 7.4% from fiscal 2016 to fiscal 2017 primarily driven by stronger client demand, as evidenced by our backlog growth. The increase in client demand coupled with our increased client staff headcount and staff billability, resulted in increases in our direct labor and corresponding generation of revenue growth. Revenue growth was also driven by an increase in billable expenses, including subcontractors and direct material and other direct cost purchases for clients.</w:t>
      </w:r>
    </w:p>
    <w:p>
      <w:pPr>
        <w:spacing w:after="0" w:line="117" w:lineRule="exact"/>
        <w:rPr>
          <w:sz w:val="20"/>
          <w:szCs w:val="20"/>
          <w:color w:val="auto"/>
        </w:rPr>
      </w:pPr>
    </w:p>
    <w:p>
      <w:pPr>
        <w:ind w:firstLine="375"/>
        <w:spacing w:after="0" w:line="267" w:lineRule="auto"/>
        <w:rPr>
          <w:sz w:val="20"/>
          <w:szCs w:val="20"/>
          <w:color w:val="auto"/>
        </w:rPr>
      </w:pPr>
      <w:r>
        <w:rPr>
          <w:rFonts w:ascii="Arial" w:cs="Arial" w:eastAsia="Arial" w:hAnsi="Arial"/>
          <w:sz w:val="16"/>
          <w:szCs w:val="16"/>
          <w:color w:val="auto"/>
        </w:rPr>
        <w:t>Operating income increased 8.9% to $484.2 million in fiscal 2017 from $444.6 million in fiscal 2016, which reflects an increase in operating margin to 8.3% from 8.2% in the comparable period. The increases in operating income and operating margin were primarily the result of the same factors driving revenue as well as positive results from improved contract performance and profitability, management's focus on indirect spending reduction initiatives, and efficiencies in general and administrative activities. Operating income was also impacted by slightly higher year-over-year net favorable revenue adjustments on contracts accounted for under the percentage of completion method along with the overall increase in revenue discussed above. These increases in operating income were partially offset by a reduction in the net decrease in the Company's provisions for the potential recovery of allowable expenses recorded during fiscal 2017 as compared to fiscal 2016, as well as an increase in certain non-routine business transaction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803"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Non GAAP Measures</w:t>
      </w:r>
    </w:p>
    <w:p>
      <w:pPr>
        <w:spacing w:after="0" w:line="109" w:lineRule="exact"/>
        <w:rPr>
          <w:sz w:val="20"/>
          <w:szCs w:val="20"/>
          <w:color w:val="auto"/>
        </w:rPr>
      </w:pPr>
    </w:p>
    <w:p>
      <w:pPr>
        <w:ind w:firstLine="375"/>
        <w:spacing w:after="0" w:line="281" w:lineRule="auto"/>
        <w:rPr>
          <w:sz w:val="20"/>
          <w:szCs w:val="20"/>
          <w:color w:val="auto"/>
        </w:rPr>
      </w:pPr>
      <w:r>
        <w:rPr>
          <w:rFonts w:ascii="Arial" w:cs="Arial" w:eastAsia="Arial" w:hAnsi="Arial"/>
          <w:sz w:val="15"/>
          <w:szCs w:val="15"/>
          <w:color w:val="auto"/>
        </w:rPr>
        <w:t>We publicly disclose certain non-GAAP financial measurements, including Revenue, Excluding Billable Expenses, Adjusted Operating Income, Adjusted EBITDA, Adjusted EBITDA Margin,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Adjusted Net Income and Adjusted Diluted Earnings Per Share, and net cash provided by operating activities to Free Cash Flow, (ii) use Revenue, Excluding Billable Expenses, Adjusted Operating Income, Adjusted EBITDA, Adjusted EBITDA Margin,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66" w:lineRule="exact"/>
        <w:rPr>
          <w:sz w:val="20"/>
          <w:szCs w:val="20"/>
          <w:color w:val="auto"/>
        </w:rPr>
      </w:pPr>
    </w:p>
    <w:p>
      <w:pPr>
        <w:ind w:left="1200" w:right="200" w:hanging="599"/>
        <w:spacing w:after="0" w:line="252" w:lineRule="auto"/>
        <w:tabs>
          <w:tab w:leader="none" w:pos="1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80" w:lineRule="exact"/>
        <w:rPr>
          <w:rFonts w:ascii="Arial" w:cs="Arial" w:eastAsia="Arial" w:hAnsi="Arial"/>
          <w:sz w:val="17"/>
          <w:szCs w:val="17"/>
          <w:color w:val="auto"/>
        </w:rPr>
      </w:pPr>
    </w:p>
    <w:p>
      <w:pPr>
        <w:ind w:left="1200" w:right="140" w:hanging="599"/>
        <w:spacing w:after="0" w:line="297" w:lineRule="auto"/>
        <w:tabs>
          <w:tab w:leader="none" w:pos="1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"Adjusted Operating Income" represents operating income before: (i) adjustments related to the amortization of intangible assets resulting from the acquisition of our Company by The Carlyle Group,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47" w:lineRule="exact"/>
        <w:rPr>
          <w:rFonts w:ascii="Arial" w:cs="Arial" w:eastAsia="Arial" w:hAnsi="Arial"/>
          <w:sz w:val="15"/>
          <w:szCs w:val="15"/>
          <w:color w:val="auto"/>
        </w:rPr>
      </w:pPr>
    </w:p>
    <w:p>
      <w:pPr>
        <w:ind w:left="1200" w:right="20" w:hanging="599"/>
        <w:spacing w:after="0" w:line="251" w:lineRule="auto"/>
        <w:tabs>
          <w:tab w:leader="none" w:pos="1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transaction costs, fees, losses, and expenses, including fees associated with debt prepayments. “Adjusted EBITDA Margin” is calculated as Adjusted EBITDA divided by revenue. The Company prepares Adjusted EBITDA and Adjusted EBITDA Margin to eliminate the impact of items it does not consider indicative of ongoing operating performance due to their inherent unusual, extraordinary or non-recurring nature or because they result from an event of a similar nature.</w:t>
      </w:r>
    </w:p>
    <w:p>
      <w:pPr>
        <w:spacing w:after="0" w:line="79" w:lineRule="exact"/>
        <w:rPr>
          <w:rFonts w:ascii="Arial" w:cs="Arial" w:eastAsia="Arial" w:hAnsi="Arial"/>
          <w:sz w:val="17"/>
          <w:szCs w:val="17"/>
          <w:color w:val="auto"/>
        </w:rPr>
      </w:pPr>
    </w:p>
    <w:p>
      <w:pPr>
        <w:ind w:left="1200" w:right="20" w:hanging="599"/>
        <w:spacing w:after="0" w:line="250" w:lineRule="auto"/>
        <w:tabs>
          <w:tab w:leader="none" w:pos="12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"Adjusted Net Income" represents net income before: (i) adjustments related to the amortization of intangible assets resulting from the acquisition of our Company by The Carlyle Group,, (ii) transaction costs, fees, losses, and expenses, including fees associated with debt prepayments, (iii) amortization or write-off of debt issuance costs and write-off of original issue discount, and (iv) release of income tax reserves,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799" w:right="239" w:bottom="1440" w:gutter="0" w:footer="0" w:header="0"/>
        </w:sectPr>
      </w:pPr>
    </w:p>
    <w:bookmarkStart w:id="46" w:name="page47"/>
    <w:bookmarkEnd w:id="46"/>
    <w:p>
      <w:pPr>
        <w:jc w:val="both"/>
        <w:ind w:left="600" w:hanging="599"/>
        <w:spacing w:after="0" w:line="256" w:lineRule="auto"/>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spacing w:after="0" w:line="75" w:lineRule="exact"/>
        <w:rPr>
          <w:rFonts w:ascii="Arial" w:cs="Arial" w:eastAsia="Arial" w:hAnsi="Arial"/>
          <w:sz w:val="17"/>
          <w:szCs w:val="17"/>
          <w:color w:val="auto"/>
        </w:rPr>
      </w:pPr>
    </w:p>
    <w:p>
      <w:pPr>
        <w:ind w:left="600" w:hanging="599"/>
        <w:spacing w:after="0"/>
        <w:tabs>
          <w:tab w:leader="none" w:pos="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42"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600"/>
          </w:cols>
          <w:pgMar w:left="840" w:top="753" w:right="459" w:bottom="1440" w:gutter="0" w:footer="0" w:header="0"/>
        </w:sectPr>
      </w:pPr>
    </w:p>
    <w:bookmarkStart w:id="47" w:name="page48"/>
    <w:bookmarkEnd w:id="47"/>
    <w:p>
      <w:pPr>
        <w:ind w:right="440" w:firstLine="375"/>
        <w:spacing w:after="0" w:line="334" w:lineRule="auto"/>
        <w:rPr>
          <w:sz w:val="20"/>
          <w:szCs w:val="20"/>
          <w:color w:val="auto"/>
        </w:rPr>
      </w:pPr>
      <w:r>
        <w:rPr>
          <w:rFonts w:ascii="Arial" w:cs="Arial" w:eastAsia="Arial" w:hAnsi="Arial"/>
          <w:sz w:val="15"/>
          <w:szCs w:val="15"/>
          <w:color w:val="auto"/>
        </w:rPr>
        <w:t>Below is a reconciliation of Revenue, Excluding Billable Expenses, Adjusted Operating Income, Adjusted EBITDA, Adjusted EBITDA Margin, Adjusted Net Income, Adjusted Diluted EPS, and Free Cash Flow to the most directly comparable financial measure calculated and presented in accordance with GAAP.</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20" w:type="dxa"/>
            <w:vAlign w:val="bottom"/>
            <w:gridSpan w:val="6"/>
          </w:tcPr>
          <w:p>
            <w:pPr>
              <w:jc w:val="center"/>
              <w:ind w:right="277"/>
              <w:spacing w:after="0"/>
              <w:rPr>
                <w:sz w:val="20"/>
                <w:szCs w:val="20"/>
                <w:color w:val="auto"/>
              </w:rPr>
            </w:pPr>
            <w:r>
              <w:rPr>
                <w:rFonts w:ascii="Arial" w:cs="Arial" w:eastAsia="Arial" w:hAnsi="Arial"/>
                <w:sz w:val="17"/>
                <w:szCs w:val="17"/>
                <w:b w:val="1"/>
                <w:bCs w:val="1"/>
                <w:color w:val="auto"/>
                <w:w w:val="89"/>
              </w:rPr>
              <w:t>Fiscal Year Ended March 31,</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(Amounts in thousands, except share and per share data)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7"/>
                <w:szCs w:val="17"/>
                <w:b w:val="1"/>
                <w:bCs w:val="1"/>
                <w:color w:val="auto"/>
              </w:rPr>
              <w:t>2017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right="197"/>
              <w:spacing w:after="0"/>
              <w:rPr>
                <w:sz w:val="20"/>
                <w:szCs w:val="20"/>
                <w:color w:val="auto"/>
              </w:rPr>
            </w:pPr>
            <w:r>
              <w:rPr>
                <w:rFonts w:ascii="Arial" w:cs="Arial" w:eastAsia="Arial" w:hAnsi="Arial"/>
                <w:sz w:val="17"/>
                <w:szCs w:val="17"/>
                <w:b w:val="1"/>
                <w:bCs w:val="1"/>
                <w:color w:val="auto"/>
                <w:w w:val="84"/>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18"/>
        </w:trPr>
        <w:tc>
          <w:tcPr>
            <w:tcW w:w="59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7"/>
                <w:szCs w:val="17"/>
                <w:b w:val="1"/>
                <w:bCs w:val="1"/>
                <w:color w:val="auto"/>
                <w:w w:val="91"/>
              </w:rPr>
              <w:t>(Unaudited)</w:t>
            </w: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Revenue, Excluding Billable Expenses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Revenue</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5,804,284</w:t>
            </w:r>
          </w:p>
        </w:tc>
        <w:tc>
          <w:tcPr>
            <w:tcW w:w="420" w:type="dxa"/>
            <w:vAlign w:val="bottom"/>
            <w:gridSpan w:val="3"/>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97"/>
              <w:spacing w:after="0"/>
              <w:rPr>
                <w:sz w:val="20"/>
                <w:szCs w:val="20"/>
                <w:color w:val="auto"/>
              </w:rPr>
            </w:pPr>
            <w:r>
              <w:rPr>
                <w:rFonts w:ascii="Arial" w:cs="Arial" w:eastAsia="Arial" w:hAnsi="Arial"/>
                <w:sz w:val="17"/>
                <w:szCs w:val="17"/>
                <w:color w:val="auto"/>
              </w:rPr>
              <w:t>5,405,738</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5,274,770</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Billable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1,751,077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1,513,083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1,406,527</w:t>
            </w:r>
          </w:p>
        </w:tc>
        <w:tc>
          <w:tcPr>
            <w:tcW w:w="0" w:type="dxa"/>
            <w:vAlign w:val="bottom"/>
          </w:tcPr>
          <w:p>
            <w:pPr>
              <w:spacing w:after="0"/>
              <w:rPr>
                <w:sz w:val="1"/>
                <w:szCs w:val="1"/>
                <w:color w:val="auto"/>
              </w:rPr>
            </w:pPr>
          </w:p>
        </w:tc>
      </w:tr>
      <w:tr>
        <w:trPr>
          <w:trHeight w:val="218"/>
        </w:trPr>
        <w:tc>
          <w:tcPr>
            <w:tcW w:w="5920" w:type="dxa"/>
            <w:vAlign w:val="bottom"/>
          </w:tcPr>
          <w:p>
            <w:pPr>
              <w:ind w:left="460"/>
              <w:spacing w:after="0"/>
              <w:rPr>
                <w:sz w:val="20"/>
                <w:szCs w:val="20"/>
                <w:color w:val="auto"/>
              </w:rPr>
            </w:pPr>
            <w:r>
              <w:rPr>
                <w:rFonts w:ascii="Arial" w:cs="Arial" w:eastAsia="Arial" w:hAnsi="Arial"/>
                <w:sz w:val="17"/>
                <w:szCs w:val="17"/>
                <w:color w:val="auto"/>
              </w:rPr>
              <w:t>Revenue, Excluding Billable Expenses</w:t>
            </w:r>
          </w:p>
        </w:tc>
        <w:tc>
          <w:tcPr>
            <w:tcW w:w="4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4,053,207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3,892,655</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3,868,243</w:t>
            </w:r>
          </w:p>
        </w:tc>
        <w:tc>
          <w:tcPr>
            <w:tcW w:w="0" w:type="dxa"/>
            <w:vAlign w:val="bottom"/>
          </w:tcPr>
          <w:p>
            <w:pPr>
              <w:spacing w:after="0"/>
              <w:rPr>
                <w:sz w:val="1"/>
                <w:szCs w:val="1"/>
                <w:color w:val="auto"/>
              </w:rPr>
            </w:pPr>
          </w:p>
        </w:tc>
      </w:tr>
      <w:tr>
        <w:trPr>
          <w:trHeight w:val="65"/>
        </w:trPr>
        <w:tc>
          <w:tcPr>
            <w:tcW w:w="5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592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7"/>
                <w:szCs w:val="17"/>
                <w:b w:val="1"/>
                <w:bCs w:val="1"/>
                <w:i w:val="1"/>
                <w:iCs w:val="1"/>
                <w:color w:val="auto"/>
              </w:rPr>
              <w:t>Adjusted Operating Income</w:t>
            </w: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Operating Income</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484,247</w:t>
            </w:r>
          </w:p>
        </w:tc>
        <w:tc>
          <w:tcPr>
            <w:tcW w:w="420" w:type="dxa"/>
            <w:vAlign w:val="bottom"/>
            <w:gridSpan w:val="3"/>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97"/>
              <w:spacing w:after="0"/>
              <w:rPr>
                <w:sz w:val="20"/>
                <w:szCs w:val="20"/>
                <w:color w:val="auto"/>
              </w:rPr>
            </w:pPr>
            <w:r>
              <w:rPr>
                <w:rFonts w:ascii="Arial" w:cs="Arial" w:eastAsia="Arial" w:hAnsi="Arial"/>
                <w:sz w:val="17"/>
                <w:szCs w:val="17"/>
                <w:color w:val="auto"/>
              </w:rPr>
              <w:t>444,584</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458,822</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intangible assets (a)</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4,225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4,225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4,225</w:t>
            </w: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Transaction expenses (b)</w:t>
            </w:r>
          </w:p>
        </w:tc>
        <w:tc>
          <w:tcPr>
            <w:tcW w:w="400" w:type="dxa"/>
            <w:vAlign w:val="bottom"/>
          </w:tcPr>
          <w:p>
            <w:pPr>
              <w:spacing w:after="0"/>
              <w:rPr>
                <w:sz w:val="19"/>
                <w:szCs w:val="19"/>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3,354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2,039</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Adjusted Operating Income</w:t>
            </w: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491,826</w:t>
            </w:r>
          </w:p>
        </w:tc>
        <w:tc>
          <w:tcPr>
            <w:tcW w:w="42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448,809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465,086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i w:val="1"/>
                <w:iCs w:val="1"/>
                <w:color w:val="auto"/>
              </w:rPr>
              <w:t>EBITDA, Adjusted EBITDA, &amp; Adjusted EBITDA Margin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252,490</w:t>
            </w:r>
          </w:p>
        </w:tc>
        <w:tc>
          <w:tcPr>
            <w:tcW w:w="42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294,094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232,569</w:t>
            </w: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Income tax expense</w:t>
            </w:r>
          </w:p>
        </w:tc>
        <w:tc>
          <w:tcPr>
            <w:tcW w:w="400" w:type="dxa"/>
            <w:vAlign w:val="bottom"/>
          </w:tcPr>
          <w:p>
            <w:pPr>
              <w:spacing w:after="0"/>
              <w:rPr>
                <w:sz w:val="19"/>
                <w:szCs w:val="19"/>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159,410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97"/>
              <w:spacing w:after="0"/>
              <w:rPr>
                <w:sz w:val="20"/>
                <w:szCs w:val="20"/>
                <w:color w:val="auto"/>
              </w:rPr>
            </w:pPr>
            <w:r>
              <w:rPr>
                <w:rFonts w:ascii="Arial" w:cs="Arial" w:eastAsia="Arial" w:hAnsi="Arial"/>
                <w:sz w:val="17"/>
                <w:szCs w:val="17"/>
                <w:color w:val="auto"/>
              </w:rPr>
              <w:t>85,368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153,349</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and other, net (c)</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72,347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65,122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72,904</w:t>
            </w: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Depreciation and amortization</w:t>
            </w:r>
          </w:p>
        </w:tc>
        <w:tc>
          <w:tcPr>
            <w:tcW w:w="400" w:type="dxa"/>
            <w:vAlign w:val="bottom"/>
          </w:tcPr>
          <w:p>
            <w:pPr>
              <w:spacing w:after="0"/>
              <w:rPr>
                <w:sz w:val="19"/>
                <w:szCs w:val="19"/>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59,544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97"/>
              <w:spacing w:after="0"/>
              <w:rPr>
                <w:sz w:val="20"/>
                <w:szCs w:val="20"/>
                <w:color w:val="auto"/>
              </w:rPr>
            </w:pPr>
            <w:r>
              <w:rPr>
                <w:rFonts w:ascii="Arial" w:cs="Arial" w:eastAsia="Arial" w:hAnsi="Arial"/>
                <w:sz w:val="17"/>
                <w:szCs w:val="17"/>
                <w:color w:val="auto"/>
              </w:rPr>
              <w:t>61,536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62,660</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EBITDA</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543,791</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506,120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521,482</w:t>
            </w: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Transaction expenses (b)</w:t>
            </w:r>
          </w:p>
        </w:tc>
        <w:tc>
          <w:tcPr>
            <w:tcW w:w="400" w:type="dxa"/>
            <w:vAlign w:val="bottom"/>
          </w:tcPr>
          <w:p>
            <w:pPr>
              <w:spacing w:after="0"/>
              <w:rPr>
                <w:sz w:val="19"/>
                <w:szCs w:val="19"/>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3,354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2,039</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Adjusted EBITDA</w:t>
            </w: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547,145</w:t>
            </w:r>
          </w:p>
        </w:tc>
        <w:tc>
          <w:tcPr>
            <w:tcW w:w="42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506,120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523,521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7"/>
                <w:szCs w:val="17"/>
                <w:color w:val="auto"/>
              </w:rPr>
              <w:t>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tcPr>
          <w:p>
            <w:pPr>
              <w:spacing w:after="0"/>
              <w:rPr>
                <w:sz w:val="17"/>
                <w:szCs w:val="17"/>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5,804,284</w:t>
            </w:r>
          </w:p>
        </w:tc>
        <w:tc>
          <w:tcPr>
            <w:tcW w:w="420" w:type="dxa"/>
            <w:vAlign w:val="bottom"/>
            <w:gridSpan w:val="3"/>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97"/>
              <w:spacing w:after="0"/>
              <w:rPr>
                <w:sz w:val="20"/>
                <w:szCs w:val="20"/>
                <w:color w:val="auto"/>
              </w:rPr>
            </w:pPr>
            <w:r>
              <w:rPr>
                <w:rFonts w:ascii="Arial" w:cs="Arial" w:eastAsia="Arial" w:hAnsi="Arial"/>
                <w:sz w:val="17"/>
                <w:szCs w:val="17"/>
                <w:color w:val="auto"/>
              </w:rPr>
              <w:t>5,405,738</w:t>
            </w:r>
          </w:p>
        </w:tc>
        <w:tc>
          <w:tcPr>
            <w:tcW w:w="120" w:type="dxa"/>
            <w:vAlign w:val="bottom"/>
          </w:tcPr>
          <w:p>
            <w:pPr>
              <w:spacing w:after="0"/>
              <w:rPr>
                <w:sz w:val="17"/>
                <w:szCs w:val="17"/>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5,274,770</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Adjusted EBITDA Margin</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5"/>
        </w:trPr>
        <w:tc>
          <w:tcPr>
            <w:tcW w:w="59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Adjusted Net Income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252,490</w:t>
            </w:r>
          </w:p>
        </w:tc>
        <w:tc>
          <w:tcPr>
            <w:tcW w:w="42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294,094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232,569</w:t>
            </w: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Amortization of intangible assets (a)</w:t>
            </w:r>
          </w:p>
        </w:tc>
        <w:tc>
          <w:tcPr>
            <w:tcW w:w="400" w:type="dxa"/>
            <w:vAlign w:val="bottom"/>
          </w:tcPr>
          <w:p>
            <w:pPr>
              <w:spacing w:after="0"/>
              <w:rPr>
                <w:sz w:val="19"/>
                <w:szCs w:val="19"/>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4,225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97"/>
              <w:spacing w:after="0"/>
              <w:rPr>
                <w:sz w:val="20"/>
                <w:szCs w:val="20"/>
                <w:color w:val="auto"/>
              </w:rPr>
            </w:pPr>
            <w:r>
              <w:rPr>
                <w:rFonts w:ascii="Arial" w:cs="Arial" w:eastAsia="Arial" w:hAnsi="Arial"/>
                <w:sz w:val="17"/>
                <w:szCs w:val="17"/>
                <w:color w:val="auto"/>
              </w:rPr>
              <w:t>4,225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4,225</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Transaction expenses (b)</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3,354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2,039</w:t>
            </w: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Release of income tax reserves (d)</w:t>
            </w:r>
          </w:p>
        </w:tc>
        <w:tc>
          <w:tcPr>
            <w:tcW w:w="400" w:type="dxa"/>
            <w:vAlign w:val="bottom"/>
          </w:tcPr>
          <w:p>
            <w:pPr>
              <w:spacing w:after="0"/>
              <w:rPr>
                <w:sz w:val="19"/>
                <w:szCs w:val="19"/>
                <w:color w:val="auto"/>
              </w:rPr>
            </w:pP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(53,301)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8"/>
              </w:rPr>
              <w:t>Amortization or write-off of debt issuance costs and write-off of original issue</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discount</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8,866</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5,201</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6,545</w:t>
            </w: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Adjustments for tax effect (e)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(3,770)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Arial" w:cs="Arial" w:eastAsia="Arial" w:hAnsi="Arial"/>
                <w:sz w:val="17"/>
                <w:szCs w:val="17"/>
                <w:color w:val="auto"/>
              </w:rPr>
              <w:t>(5,124)</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Adjusted Net Income</w:t>
            </w: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262,357</w:t>
            </w:r>
          </w:p>
        </w:tc>
        <w:tc>
          <w:tcPr>
            <w:tcW w:w="42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246,449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240,254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i w:val="1"/>
                <w:iCs w:val="1"/>
                <w:color w:val="auto"/>
              </w:rPr>
              <w:t>Adjusted Diluted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Weighted-average number of diluted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150,274,640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149,719,137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150,375,531</w:t>
            </w:r>
          </w:p>
        </w:tc>
        <w:tc>
          <w:tcPr>
            <w:tcW w:w="0" w:type="dxa"/>
            <w:vAlign w:val="bottom"/>
          </w:tcPr>
          <w:p>
            <w:pPr>
              <w:spacing w:after="0"/>
              <w:rPr>
                <w:sz w:val="1"/>
                <w:szCs w:val="1"/>
                <w:color w:val="auto"/>
              </w:rPr>
            </w:pPr>
          </w:p>
        </w:tc>
      </w:tr>
      <w:tr>
        <w:trPr>
          <w:trHeight w:val="218"/>
        </w:trPr>
        <w:tc>
          <w:tcPr>
            <w:tcW w:w="5920" w:type="dxa"/>
            <w:vAlign w:val="bottom"/>
          </w:tcPr>
          <w:p>
            <w:pPr>
              <w:ind w:left="260"/>
              <w:spacing w:after="0"/>
              <w:rPr>
                <w:sz w:val="20"/>
                <w:szCs w:val="20"/>
                <w:color w:val="auto"/>
              </w:rPr>
            </w:pPr>
            <w:r>
              <w:rPr>
                <w:rFonts w:ascii="Arial" w:cs="Arial" w:eastAsia="Arial" w:hAnsi="Arial"/>
                <w:sz w:val="17"/>
                <w:szCs w:val="17"/>
                <w:color w:val="auto"/>
              </w:rPr>
              <w:t>Adjusted Net Income Per Diluted Share (f)</w:t>
            </w:r>
          </w:p>
        </w:tc>
        <w:tc>
          <w:tcPr>
            <w:tcW w:w="4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1.75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65"/>
        </w:trPr>
        <w:tc>
          <w:tcPr>
            <w:tcW w:w="5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92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7"/>
                <w:szCs w:val="17"/>
                <w:b w:val="1"/>
                <w:bCs w:val="1"/>
                <w:i w:val="1"/>
                <w:iCs w:val="1"/>
                <w:color w:val="auto"/>
              </w:rPr>
              <w:t>Free Cash Flow</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20" w:type="dxa"/>
            <w:vAlign w:val="bottom"/>
          </w:tcPr>
          <w:p>
            <w:pPr>
              <w:ind w:left="260"/>
              <w:spacing w:after="0"/>
              <w:rPr>
                <w:sz w:val="20"/>
                <w:szCs w:val="20"/>
                <w:color w:val="auto"/>
              </w:rPr>
            </w:pPr>
            <w:r>
              <w:rPr>
                <w:rFonts w:ascii="Arial" w:cs="Arial" w:eastAsia="Arial" w:hAnsi="Arial"/>
                <w:sz w:val="17"/>
                <w:szCs w:val="17"/>
                <w:color w:val="auto"/>
              </w:rPr>
              <w:t>Net cash provided by operating activities</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57"/>
              <w:spacing w:after="0"/>
              <w:rPr>
                <w:sz w:val="20"/>
                <w:szCs w:val="20"/>
                <w:color w:val="auto"/>
              </w:rPr>
            </w:pPr>
            <w:r>
              <w:rPr>
                <w:rFonts w:ascii="Arial" w:cs="Arial" w:eastAsia="Arial" w:hAnsi="Arial"/>
                <w:sz w:val="17"/>
                <w:szCs w:val="17"/>
                <w:color w:val="auto"/>
              </w:rPr>
              <w:t>382,277</w:t>
            </w:r>
          </w:p>
        </w:tc>
        <w:tc>
          <w:tcPr>
            <w:tcW w:w="420" w:type="dxa"/>
            <w:vAlign w:val="bottom"/>
            <w:gridSpan w:val="3"/>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97"/>
              <w:spacing w:after="0"/>
              <w:rPr>
                <w:sz w:val="20"/>
                <w:szCs w:val="20"/>
                <w:color w:val="auto"/>
              </w:rPr>
            </w:pPr>
            <w:r>
              <w:rPr>
                <w:rFonts w:ascii="Arial" w:cs="Arial" w:eastAsia="Arial" w:hAnsi="Arial"/>
                <w:sz w:val="17"/>
                <w:szCs w:val="17"/>
                <w:color w:val="auto"/>
              </w:rPr>
              <w:t>249,234</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97"/>
              <w:spacing w:after="0"/>
              <w:rPr>
                <w:sz w:val="20"/>
                <w:szCs w:val="20"/>
                <w:color w:val="auto"/>
              </w:rPr>
            </w:pPr>
            <w:r>
              <w:rPr>
                <w:rFonts w:ascii="Arial" w:cs="Arial" w:eastAsia="Arial" w:hAnsi="Arial"/>
                <w:sz w:val="17"/>
                <w:szCs w:val="17"/>
                <w:color w:val="auto"/>
              </w:rPr>
              <w:t>309,958</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Less: Purchases of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(53,919)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(66,635)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(36,041)</w:t>
            </w:r>
          </w:p>
        </w:tc>
        <w:tc>
          <w:tcPr>
            <w:tcW w:w="0" w:type="dxa"/>
            <w:vAlign w:val="bottom"/>
          </w:tcPr>
          <w:p>
            <w:pPr>
              <w:spacing w:after="0"/>
              <w:rPr>
                <w:sz w:val="1"/>
                <w:szCs w:val="1"/>
                <w:color w:val="auto"/>
              </w:rPr>
            </w:pPr>
          </w:p>
        </w:tc>
      </w:tr>
      <w:tr>
        <w:trPr>
          <w:trHeight w:val="218"/>
        </w:trPr>
        <w:tc>
          <w:tcPr>
            <w:tcW w:w="5920" w:type="dxa"/>
            <w:vAlign w:val="bottom"/>
          </w:tcPr>
          <w:p>
            <w:pPr>
              <w:ind w:left="460"/>
              <w:spacing w:after="0"/>
              <w:rPr>
                <w:sz w:val="20"/>
                <w:szCs w:val="20"/>
                <w:color w:val="auto"/>
              </w:rPr>
            </w:pPr>
            <w:r>
              <w:rPr>
                <w:rFonts w:ascii="Arial" w:cs="Arial" w:eastAsia="Arial" w:hAnsi="Arial"/>
                <w:sz w:val="17"/>
                <w:szCs w:val="17"/>
                <w:color w:val="auto"/>
              </w:rPr>
              <w:t>Free Cash Flow</w:t>
            </w:r>
          </w:p>
        </w:tc>
        <w:tc>
          <w:tcPr>
            <w:tcW w:w="4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328,358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182,599</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273,917</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hanging="600"/>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Reflects amortization of intangible assets resulting from the acquisition of our Company by The Carlyle Group.</w:t>
      </w:r>
    </w:p>
    <w:p>
      <w:pPr>
        <w:spacing w:after="0" w:line="17" w:lineRule="exact"/>
        <w:rPr>
          <w:rFonts w:ascii="Arial" w:cs="Arial" w:eastAsia="Arial" w:hAnsi="Arial"/>
          <w:sz w:val="17"/>
          <w:szCs w:val="17"/>
          <w:color w:val="auto"/>
        </w:rPr>
      </w:pPr>
    </w:p>
    <w:p>
      <w:pPr>
        <w:ind w:left="600" w:right="440" w:hanging="600"/>
        <w:spacing w:after="0" w:line="245" w:lineRule="auto"/>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Fiscal 2017 reflects debt refinancing costs incurred in connection with the refinancing transaction consummated on July 13, 2016. Fiscal 2015 reflects debt refinancing costs incurred in connection with the refinancing transaction consummated on May 7, 2014.</w:t>
      </w:r>
    </w:p>
    <w:p>
      <w:pPr>
        <w:spacing w:after="0" w:line="1" w:lineRule="exact"/>
        <w:rPr>
          <w:rFonts w:ascii="Arial" w:cs="Arial" w:eastAsia="Arial" w:hAnsi="Arial"/>
          <w:sz w:val="17"/>
          <w:szCs w:val="17"/>
          <w:color w:val="auto"/>
        </w:rPr>
      </w:pPr>
    </w:p>
    <w:p>
      <w:pPr>
        <w:ind w:left="600" w:hanging="600"/>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consolidated income statement.</w:t>
      </w:r>
    </w:p>
    <w:p>
      <w:pPr>
        <w:spacing w:after="0" w:line="4" w:lineRule="exact"/>
        <w:rPr>
          <w:rFonts w:ascii="Arial" w:cs="Arial" w:eastAsia="Arial" w:hAnsi="Arial"/>
          <w:sz w:val="17"/>
          <w:szCs w:val="17"/>
          <w:color w:val="auto"/>
        </w:rPr>
      </w:pPr>
    </w:p>
    <w:p>
      <w:pPr>
        <w:ind w:left="600" w:hanging="600"/>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Release of pre-acquisition income tax reserves assumed by the Company in connection with the acquisition of our Company by The Carlyle Group.</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653" w:right="259" w:bottom="1440" w:gutter="0" w:footer="0" w:header="0"/>
        </w:sectPr>
      </w:pPr>
    </w:p>
    <w:bookmarkStart w:id="48" w:name="page49"/>
    <w:bookmarkEnd w:id="48"/>
    <w:p>
      <w:pPr>
        <w:ind w:left="600" w:hanging="600"/>
        <w:spacing w:after="0"/>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tax effect of adjustments at an assumed marginal tax rate of 40%.</w:t>
      </w:r>
    </w:p>
    <w:p>
      <w:pPr>
        <w:spacing w:after="0" w:line="17" w:lineRule="exact"/>
        <w:rPr>
          <w:rFonts w:ascii="Arial" w:cs="Arial" w:eastAsia="Arial" w:hAnsi="Arial"/>
          <w:sz w:val="17"/>
          <w:szCs w:val="17"/>
          <w:color w:val="auto"/>
        </w:rPr>
      </w:pPr>
    </w:p>
    <w:p>
      <w:pPr>
        <w:ind w:left="600" w:right="300" w:hanging="600"/>
        <w:spacing w:after="0" w:line="251" w:lineRule="auto"/>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Excludes an adjustment of approximately $2.3 million, $3.5 million, and $3.4 million of net earnings for fiscal 2017, 2016, and 2015, respectively, associated with the application of the two-class method for computing diluted earnings per share.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and Trends Affecting Our Results of Operations</w:t>
      </w:r>
    </w:p>
    <w:p>
      <w:pPr>
        <w:spacing w:after="0" w:line="109" w:lineRule="exact"/>
        <w:rPr>
          <w:sz w:val="20"/>
          <w:szCs w:val="20"/>
          <w:color w:val="auto"/>
        </w:rPr>
      </w:pPr>
    </w:p>
    <w:p>
      <w:pPr>
        <w:ind w:right="340" w:firstLine="375"/>
        <w:spacing w:after="0" w:line="266" w:lineRule="auto"/>
        <w:rPr>
          <w:sz w:val="20"/>
          <w:szCs w:val="20"/>
          <w:color w:val="auto"/>
        </w:rPr>
      </w:pPr>
      <w:r>
        <w:rPr>
          <w:rFonts w:ascii="Arial" w:cs="Arial" w:eastAsia="Arial" w:hAnsi="Arial"/>
          <w:sz w:val="17"/>
          <w:szCs w:val="17"/>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Business Environment and Key Trends in Our Markets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believe that the following trends and developments in the U.S. government services industry and our markets may influence our future results of operations:</w:t>
      </w:r>
    </w:p>
    <w:p>
      <w:pPr>
        <w:spacing w:after="0" w:line="128" w:lineRule="exact"/>
        <w:rPr>
          <w:sz w:val="20"/>
          <w:szCs w:val="20"/>
          <w:color w:val="auto"/>
        </w:rPr>
      </w:pPr>
    </w:p>
    <w:p>
      <w:pPr>
        <w:ind w:left="1200" w:hanging="599"/>
        <w:spacing w:after="0" w:line="251" w:lineRule="auto"/>
        <w:tabs>
          <w:tab w:leader="none" w:pos="1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uncertainty around the timing, extent, nature and effect of Congressional and other U.S. government actions to address budgetary constraints,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the ability of Congress to determine how to allocate the available budget authority and pass appropriations bills to fund both U.S. government departments and agencies that are, and those that are not, subject to the caps.</w:t>
      </w:r>
    </w:p>
    <w:p>
      <w:pPr>
        <w:spacing w:after="0" w:line="79" w:lineRule="exact"/>
        <w:rPr>
          <w:rFonts w:ascii="Arial" w:cs="Arial" w:eastAsia="Arial" w:hAnsi="Arial"/>
          <w:sz w:val="17"/>
          <w:szCs w:val="17"/>
          <w:color w:val="auto"/>
        </w:rPr>
      </w:pPr>
    </w:p>
    <w:p>
      <w:pPr>
        <w:ind w:left="1200" w:right="300" w:hanging="599"/>
        <w:spacing w:after="0" w:line="266" w:lineRule="auto"/>
        <w:tabs>
          <w:tab w:leader="none" w:pos="1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7" w:lineRule="exact"/>
        <w:rPr>
          <w:rFonts w:ascii="Arial" w:cs="Arial" w:eastAsia="Arial" w:hAnsi="Arial"/>
          <w:sz w:val="17"/>
          <w:szCs w:val="17"/>
          <w:color w:val="auto"/>
        </w:rPr>
      </w:pPr>
    </w:p>
    <w:p>
      <w:pPr>
        <w:ind w:left="1200" w:right="20" w:hanging="599"/>
        <w:spacing w:after="0" w:line="286" w:lineRule="auto"/>
        <w:tabs>
          <w:tab w:leader="none" w:pos="1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7" w:lineRule="exact"/>
        <w:rPr>
          <w:rFonts w:ascii="Arial" w:cs="Arial" w:eastAsia="Arial" w:hAnsi="Arial"/>
          <w:sz w:val="15"/>
          <w:szCs w:val="15"/>
          <w:color w:val="auto"/>
        </w:rPr>
      </w:pPr>
    </w:p>
    <w:p>
      <w:pPr>
        <w:ind w:left="1200" w:hanging="599"/>
        <w:spacing w:after="0" w:line="266" w:lineRule="auto"/>
        <w:tabs>
          <w:tab w:leader="none" w:pos="1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delays in the completion of future U.S. government’s budget processes, which have in the past and could in the future delay procurement of the products, services, and solutions we provide;</w:t>
      </w:r>
    </w:p>
    <w:p>
      <w:pPr>
        <w:spacing w:after="0" w:line="67" w:lineRule="exact"/>
        <w:rPr>
          <w:rFonts w:ascii="Arial" w:cs="Arial" w:eastAsia="Arial" w:hAnsi="Arial"/>
          <w:sz w:val="17"/>
          <w:szCs w:val="17"/>
          <w:color w:val="auto"/>
        </w:rPr>
      </w:pPr>
    </w:p>
    <w:p>
      <w:pPr>
        <w:ind w:left="1200" w:right="140" w:hanging="599"/>
        <w:spacing w:after="0" w:line="306" w:lineRule="auto"/>
        <w:tabs>
          <w:tab w:leader="none" w:pos="1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41" w:lineRule="exact"/>
        <w:rPr>
          <w:rFonts w:ascii="Arial" w:cs="Arial" w:eastAsia="Arial" w:hAnsi="Arial"/>
          <w:sz w:val="15"/>
          <w:szCs w:val="15"/>
          <w:color w:val="auto"/>
        </w:rPr>
      </w:pPr>
    </w:p>
    <w:p>
      <w:pPr>
        <w:ind w:left="1200" w:right="40" w:hanging="599"/>
        <w:spacing w:after="0" w:line="252" w:lineRule="auto"/>
        <w:tabs>
          <w:tab w:leader="none" w:pos="1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legislative and regulatory changes to limitations on the amount of allowable executive compensation permitted under flexibly priced contracts following adoption of interim rules adopted by federal agencies implementing a section of the Bipartisan Budget Act of 2013, which substantially further reduce the amount of allowable executive compensation under these contracts and extend these limitations to a larger segment of our executives and our entire contract base;</w:t>
      </w:r>
    </w:p>
    <w:p>
      <w:pPr>
        <w:spacing w:after="0" w:line="80" w:lineRule="exact"/>
        <w:rPr>
          <w:rFonts w:ascii="Arial" w:cs="Arial" w:eastAsia="Arial" w:hAnsi="Arial"/>
          <w:sz w:val="17"/>
          <w:szCs w:val="17"/>
          <w:color w:val="auto"/>
        </w:rPr>
      </w:pPr>
    </w:p>
    <w:p>
      <w:pPr>
        <w:ind w:left="1200" w:hanging="599"/>
        <w:spacing w:after="0"/>
        <w:tabs>
          <w:tab w:leader="none" w:pos="1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efforts by the U.S. government to address organizational conflicts of interest and related issues and the impact of those efforts on us and our competitors;</w:t>
      </w:r>
    </w:p>
    <w:p>
      <w:pPr>
        <w:spacing w:after="0" w:line="127" w:lineRule="exact"/>
        <w:rPr>
          <w:rFonts w:ascii="Arial" w:cs="Arial" w:eastAsia="Arial" w:hAnsi="Arial"/>
          <w:sz w:val="15"/>
          <w:szCs w:val="15"/>
          <w:color w:val="auto"/>
        </w:rPr>
      </w:pPr>
    </w:p>
    <w:p>
      <w:pPr>
        <w:ind w:left="1200" w:right="40" w:hanging="599"/>
        <w:spacing w:after="0" w:line="266" w:lineRule="auto"/>
        <w:tabs>
          <w:tab w:leader="none" w:pos="1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653" w:right="239" w:bottom="1440" w:gutter="0" w:footer="0" w:header="0"/>
        </w:sectPr>
      </w:pPr>
    </w:p>
    <w:bookmarkStart w:id="49" w:name="page50"/>
    <w:bookmarkEnd w:id="49"/>
    <w:p>
      <w:pPr>
        <w:ind w:left="1200" w:right="220" w:hanging="599"/>
        <w:spacing w:after="0" w:line="334" w:lineRule="auto"/>
        <w:tabs>
          <w:tab w:leader="none" w:pos="1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20" w:lineRule="exact"/>
        <w:rPr>
          <w:rFonts w:ascii="Arial" w:cs="Arial" w:eastAsia="Arial" w:hAnsi="Arial"/>
          <w:sz w:val="15"/>
          <w:szCs w:val="15"/>
          <w:color w:val="auto"/>
        </w:rPr>
      </w:pPr>
    </w:p>
    <w:p>
      <w:pPr>
        <w:ind w:left="1200" w:right="260" w:hanging="599"/>
        <w:spacing w:after="0" w:line="266" w:lineRule="auto"/>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7" w:lineRule="exact"/>
        <w:rPr>
          <w:rFonts w:ascii="Arial" w:cs="Arial" w:eastAsia="Arial" w:hAnsi="Arial"/>
          <w:sz w:val="17"/>
          <w:szCs w:val="17"/>
          <w:color w:val="auto"/>
        </w:rPr>
      </w:pPr>
    </w:p>
    <w:p>
      <w:pPr>
        <w:ind w:left="1200" w:right="240" w:hanging="599"/>
        <w:spacing w:after="0" w:line="266" w:lineRule="auto"/>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U.S. government agencies awarding contracts on a technically acceptable/lowest cost basis, which could have a negative impact on our ability to win certain contracts;</w:t>
      </w:r>
    </w:p>
    <w:p>
      <w:pPr>
        <w:spacing w:after="0" w:line="67" w:lineRule="exact"/>
        <w:rPr>
          <w:rFonts w:ascii="Arial" w:cs="Arial" w:eastAsia="Arial" w:hAnsi="Arial"/>
          <w:sz w:val="17"/>
          <w:szCs w:val="17"/>
          <w:color w:val="auto"/>
        </w:rPr>
      </w:pPr>
    </w:p>
    <w:p>
      <w:pPr>
        <w:ind w:left="1200" w:right="240" w:hanging="599"/>
        <w:spacing w:after="0" w:line="334" w:lineRule="auto"/>
        <w:tabs>
          <w:tab w:leader="none" w:pos="1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20" w:lineRule="exact"/>
        <w:rPr>
          <w:rFonts w:ascii="Arial" w:cs="Arial" w:eastAsia="Arial" w:hAnsi="Arial"/>
          <w:sz w:val="15"/>
          <w:szCs w:val="15"/>
          <w:color w:val="auto"/>
        </w:rPr>
      </w:pPr>
    </w:p>
    <w:p>
      <w:pPr>
        <w:ind w:left="1200" w:right="100" w:hanging="599"/>
        <w:spacing w:after="0" w:line="279" w:lineRule="auto"/>
        <w:tabs>
          <w:tab w:leader="none" w:pos="1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9" w:lineRule="exact"/>
        <w:rPr>
          <w:rFonts w:ascii="Arial" w:cs="Arial" w:eastAsia="Arial" w:hAnsi="Arial"/>
          <w:sz w:val="16"/>
          <w:szCs w:val="16"/>
          <w:color w:val="auto"/>
        </w:rPr>
      </w:pPr>
    </w:p>
    <w:p>
      <w:pPr>
        <w:ind w:left="1200" w:right="440" w:hanging="599"/>
        <w:spacing w:after="0" w:line="298" w:lineRule="auto"/>
        <w:tabs>
          <w:tab w:leader="none" w:pos="1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43" w:lineRule="exact"/>
        <w:rPr>
          <w:rFonts w:ascii="Arial" w:cs="Arial" w:eastAsia="Arial" w:hAnsi="Arial"/>
          <w:sz w:val="16"/>
          <w:szCs w:val="16"/>
          <w:color w:val="auto"/>
        </w:rPr>
      </w:pPr>
    </w:p>
    <w:p>
      <w:pPr>
        <w:jc w:val="both"/>
        <w:ind w:left="1200" w:right="420" w:hanging="599"/>
        <w:spacing w:after="0" w:line="256" w:lineRule="auto"/>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5" w:lineRule="exact"/>
        <w:rPr>
          <w:rFonts w:ascii="Arial" w:cs="Arial" w:eastAsia="Arial" w:hAnsi="Arial"/>
          <w:sz w:val="17"/>
          <w:szCs w:val="17"/>
          <w:color w:val="auto"/>
        </w:rPr>
      </w:pPr>
    </w:p>
    <w:p>
      <w:pPr>
        <w:ind w:left="1200" w:right="280" w:hanging="599"/>
        <w:spacing w:after="0" w:line="256" w:lineRule="auto"/>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traction-agencies are required to meet high small business set aside targets, and large business prime contractors are required to subcontract in accordance with considerable small business participation goals necessary for contract award; and</w:t>
      </w:r>
    </w:p>
    <w:p>
      <w:pPr>
        <w:spacing w:after="0" w:line="75" w:lineRule="exact"/>
        <w:rPr>
          <w:rFonts w:ascii="Arial" w:cs="Arial" w:eastAsia="Arial" w:hAnsi="Arial"/>
          <w:sz w:val="17"/>
          <w:szCs w:val="17"/>
          <w:color w:val="auto"/>
        </w:rPr>
      </w:pPr>
    </w:p>
    <w:p>
      <w:pPr>
        <w:ind w:left="1200" w:right="940" w:hanging="599"/>
        <w:spacing w:after="0" w:line="266" w:lineRule="auto"/>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agency and mission priorities anticipated in the Department of Defense and Civilian agency landscape with the presidential and administration transition.</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Sources of Revenue</w:t>
      </w:r>
    </w:p>
    <w:p>
      <w:pPr>
        <w:spacing w:after="0" w:line="105" w:lineRule="exact"/>
        <w:rPr>
          <w:sz w:val="20"/>
          <w:szCs w:val="20"/>
          <w:color w:val="auto"/>
        </w:rPr>
      </w:pPr>
    </w:p>
    <w:p>
      <w:pPr>
        <w:ind w:firstLine="375"/>
        <w:spacing w:after="0" w:line="283" w:lineRule="auto"/>
        <w:rPr>
          <w:sz w:val="20"/>
          <w:szCs w:val="20"/>
          <w:color w:val="auto"/>
        </w:rPr>
      </w:pPr>
      <w:r>
        <w:rPr>
          <w:rFonts w:ascii="Arial" w:cs="Arial" w:eastAsia="Arial" w:hAnsi="Arial"/>
          <w:sz w:val="15"/>
          <w:szCs w:val="15"/>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the Bipartisan Budget Act of 2013 and the Bipartisan Budget Act of 2015), provides for automatic spending cuts (referred to as sequestration) totaling approximately $1.2 trillion between 2013 and 2021, including an estimated $500 billion in federal defense spending cuts over this time period. The Bipartisan Budget Act of 2015 raised existing spending caps on defense spending by $15 billion for government fiscal 2017, but did not address spending caps beyond the government fiscal 2017. For example, under the Budget Control Act of 2011, as amended, approximately $91 billion in spending cuts are anticipated for the government fiscal year 2018.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Contract Types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generate revenue under the following three basic types of contracts:</w:t>
      </w:r>
    </w:p>
    <w:p>
      <w:pPr>
        <w:spacing w:after="0" w:line="105" w:lineRule="exact"/>
        <w:rPr>
          <w:sz w:val="20"/>
          <w:szCs w:val="20"/>
          <w:color w:val="auto"/>
        </w:rPr>
      </w:pPr>
    </w:p>
    <w:p>
      <w:pPr>
        <w:ind w:left="1800" w:right="100" w:hanging="598"/>
        <w:spacing w:after="0" w:line="251" w:lineRule="auto"/>
        <w:tabs>
          <w:tab w:leader="none" w:pos="1800" w:val="left"/>
        </w:tabs>
        <w:numPr>
          <w:ilvl w:val="0"/>
          <w:numId w:val="5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 performance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753" w:right="259" w:bottom="1440" w:gutter="0" w:footer="0" w:header="0"/>
        </w:sectPr>
      </w:pPr>
    </w:p>
    <w:bookmarkStart w:id="50" w:name="page51"/>
    <w:bookmarkEnd w:id="50"/>
    <w:p>
      <w:pPr>
        <w:ind w:left="1800" w:right="20"/>
        <w:spacing w:after="0" w:line="322" w:lineRule="auto"/>
        <w:rPr>
          <w:sz w:val="20"/>
          <w:szCs w:val="20"/>
          <w:color w:val="auto"/>
        </w:rPr>
      </w:pPr>
      <w:r>
        <w:rPr>
          <w:rFonts w:ascii="Arial" w:cs="Arial" w:eastAsia="Arial" w:hAnsi="Arial"/>
          <w:sz w:val="16"/>
          <w:szCs w:val="16"/>
          <w:color w:val="auto"/>
        </w:rPr>
        <w:t>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39" w:lineRule="exact"/>
        <w:rPr>
          <w:sz w:val="20"/>
          <w:szCs w:val="20"/>
          <w:color w:val="auto"/>
        </w:rPr>
      </w:pPr>
    </w:p>
    <w:p>
      <w:pPr>
        <w:jc w:val="both"/>
        <w:ind w:left="1800" w:right="160" w:hanging="598"/>
        <w:spacing w:after="0" w:line="273" w:lineRule="auto"/>
        <w:tabs>
          <w:tab w:leader="none" w:pos="180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Time-and-Materials Contracts. </w:t>
      </w:r>
      <w:r>
        <w:rPr>
          <w:rFonts w:ascii="Arial" w:cs="Arial" w:eastAsia="Arial" w:hAnsi="Arial"/>
          <w:sz w:val="16"/>
          <w:szCs w:val="16"/>
          <w:color w:val="auto"/>
        </w:rPr>
        <w:t>Under a time-and-materials contract, we are paid a fixed hourly rate for each direct labor hour expended,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64" w:lineRule="exact"/>
        <w:rPr>
          <w:rFonts w:ascii="Arial" w:cs="Arial" w:eastAsia="Arial" w:hAnsi="Arial"/>
          <w:sz w:val="16"/>
          <w:szCs w:val="16"/>
          <w:i w:val="1"/>
          <w:iCs w:val="1"/>
          <w:color w:val="auto"/>
        </w:rPr>
      </w:pPr>
    </w:p>
    <w:p>
      <w:pPr>
        <w:ind w:left="1800" w:hanging="598"/>
        <w:spacing w:after="0" w:line="270" w:lineRule="auto"/>
        <w:tabs>
          <w:tab w:leader="none" w:pos="180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Under a fixed-price contract, we agree to perform the specified work for a pre-determined price. To the extent our actual</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67" w:lineRule="exact"/>
        <w:rPr>
          <w:sz w:val="20"/>
          <w:szCs w:val="20"/>
          <w:color w:val="auto"/>
        </w:rPr>
      </w:pPr>
    </w:p>
    <w:p>
      <w:pPr>
        <w:ind w:firstLine="375"/>
        <w:spacing w:after="0" w:line="265"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an unanticipated way.</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presents the percentage of total revenue for each type of contract:</w:t>
      </w:r>
    </w:p>
    <w:p>
      <w:pPr>
        <w:spacing w:after="0" w:line="247" w:lineRule="exact"/>
        <w:rPr>
          <w:sz w:val="20"/>
          <w:szCs w:val="20"/>
          <w:color w:val="auto"/>
        </w:rPr>
      </w:pPr>
    </w:p>
    <w:tbl>
      <w:tblPr>
        <w:tblLayout w:type="fixed"/>
        <w:tblInd w:w="2400" w:type="dxa"/>
        <w:tblCellMar>
          <w:top w:w="0" w:type="dxa"/>
          <w:left w:w="0" w:type="dxa"/>
          <w:bottom w:w="0" w:type="dxa"/>
          <w:right w:w="0" w:type="dxa"/>
        </w:tblCellMar>
      </w:tblPr>
      <w:tr>
        <w:trPr>
          <w:trHeight w:val="178"/>
        </w:trPr>
        <w:tc>
          <w:tcPr>
            <w:tcW w:w="2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Fiscal Year Ended March 31,</w:t>
            </w:r>
          </w:p>
        </w:tc>
        <w:tc>
          <w:tcPr>
            <w:tcW w:w="1180" w:type="dxa"/>
            <w:vAlign w:val="bottom"/>
            <w:tcBorders>
              <w:bottom w:val="single" w:sz="8" w:color="auto"/>
            </w:tcBorders>
          </w:tcPr>
          <w:p>
            <w:pPr>
              <w:spacing w:after="0"/>
              <w:rPr>
                <w:sz w:val="15"/>
                <w:szCs w:val="15"/>
                <w:color w:val="auto"/>
              </w:rPr>
            </w:pPr>
          </w:p>
        </w:tc>
      </w:tr>
      <w:tr>
        <w:trPr>
          <w:trHeight w:val="243"/>
        </w:trPr>
        <w:tc>
          <w:tcPr>
            <w:tcW w:w="2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ind w:left="201"/>
              <w:spacing w:after="0"/>
              <w:rPr>
                <w:sz w:val="20"/>
                <w:szCs w:val="20"/>
                <w:color w:val="auto"/>
              </w:rPr>
            </w:pPr>
            <w:r>
              <w:rPr>
                <w:rFonts w:ascii="Arial" w:cs="Arial" w:eastAsia="Arial" w:hAnsi="Arial"/>
                <w:sz w:val="13"/>
                <w:szCs w:val="13"/>
                <w:b w:val="1"/>
                <w:bCs w:val="1"/>
                <w:color w:val="auto"/>
                <w:w w:val="89"/>
              </w:rPr>
              <w:t>2017</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w w:val="89"/>
              </w:rPr>
              <w:t>2015</w:t>
            </w:r>
          </w:p>
        </w:tc>
      </w:tr>
      <w:tr>
        <w:trPr>
          <w:trHeight w:val="22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Cost-reimbursable (1)</w:t>
            </w:r>
          </w:p>
        </w:tc>
        <w:tc>
          <w:tcPr>
            <w:tcW w:w="1140" w:type="dxa"/>
            <w:vAlign w:val="bottom"/>
            <w:tcBorders>
              <w:bottom w:val="single" w:sz="8" w:color="CCEEFF"/>
            </w:tcBorders>
            <w:shd w:val="clear" w:color="auto" w:fill="CCEEFF"/>
          </w:tcPr>
          <w:p>
            <w:pPr>
              <w:jc w:val="center"/>
              <w:ind w:left="201"/>
              <w:spacing w:after="0"/>
              <w:rPr>
                <w:sz w:val="20"/>
                <w:szCs w:val="20"/>
                <w:color w:val="auto"/>
              </w:rPr>
            </w:pPr>
            <w:r>
              <w:rPr>
                <w:rFonts w:ascii="Arial" w:cs="Arial" w:eastAsia="Arial" w:hAnsi="Arial"/>
                <w:sz w:val="17"/>
                <w:szCs w:val="17"/>
                <w:color w:val="auto"/>
                <w:w w:val="88"/>
              </w:rPr>
              <w:t>50%</w:t>
            </w:r>
          </w:p>
        </w:tc>
        <w:tc>
          <w:tcPr>
            <w:tcW w:w="1840" w:type="dxa"/>
            <w:vAlign w:val="bottom"/>
            <w:tcBorders>
              <w:bottom w:val="single" w:sz="8" w:color="CCEEFF"/>
            </w:tcBorders>
            <w:gridSpan w:val="3"/>
            <w:shd w:val="clear" w:color="auto" w:fill="CCEEFF"/>
          </w:tcPr>
          <w:p>
            <w:pPr>
              <w:jc w:val="center"/>
              <w:ind w:left="301"/>
              <w:spacing w:after="0"/>
              <w:rPr>
                <w:sz w:val="20"/>
                <w:szCs w:val="20"/>
                <w:color w:val="auto"/>
              </w:rPr>
            </w:pPr>
            <w:r>
              <w:rPr>
                <w:rFonts w:ascii="Arial" w:cs="Arial" w:eastAsia="Arial" w:hAnsi="Arial"/>
                <w:sz w:val="17"/>
                <w:szCs w:val="17"/>
                <w:color w:val="auto"/>
                <w:w w:val="88"/>
              </w:rPr>
              <w:t>51%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ind w:right="201"/>
              <w:spacing w:after="0"/>
              <w:rPr>
                <w:sz w:val="20"/>
                <w:szCs w:val="20"/>
                <w:color w:val="auto"/>
              </w:rPr>
            </w:pPr>
            <w:r>
              <w:rPr>
                <w:rFonts w:ascii="Arial" w:cs="Arial" w:eastAsia="Arial" w:hAnsi="Arial"/>
                <w:sz w:val="17"/>
                <w:szCs w:val="17"/>
                <w:color w:val="auto"/>
                <w:w w:val="88"/>
              </w:rPr>
              <w:t>55%</w:t>
            </w:r>
          </w:p>
        </w:tc>
      </w:tr>
      <w:tr>
        <w:trPr>
          <w:trHeight w:val="225"/>
        </w:trPr>
        <w:tc>
          <w:tcPr>
            <w:tcW w:w="2100" w:type="dxa"/>
            <w:vAlign w:val="bottom"/>
          </w:tcPr>
          <w:p>
            <w:pPr>
              <w:ind w:left="20"/>
              <w:spacing w:after="0"/>
              <w:rPr>
                <w:sz w:val="20"/>
                <w:szCs w:val="20"/>
                <w:color w:val="auto"/>
              </w:rPr>
            </w:pPr>
            <w:r>
              <w:rPr>
                <w:rFonts w:ascii="Arial" w:cs="Arial" w:eastAsia="Arial" w:hAnsi="Arial"/>
                <w:sz w:val="17"/>
                <w:szCs w:val="17"/>
                <w:color w:val="auto"/>
              </w:rPr>
              <w:t>Time-and-materials</w:t>
            </w:r>
          </w:p>
        </w:tc>
        <w:tc>
          <w:tcPr>
            <w:tcW w:w="1140" w:type="dxa"/>
            <w:vAlign w:val="bottom"/>
          </w:tcPr>
          <w:p>
            <w:pPr>
              <w:jc w:val="center"/>
              <w:ind w:left="201"/>
              <w:spacing w:after="0"/>
              <w:rPr>
                <w:sz w:val="20"/>
                <w:szCs w:val="20"/>
                <w:color w:val="auto"/>
              </w:rPr>
            </w:pPr>
            <w:r>
              <w:rPr>
                <w:rFonts w:ascii="Arial" w:cs="Arial" w:eastAsia="Arial" w:hAnsi="Arial"/>
                <w:sz w:val="17"/>
                <w:szCs w:val="17"/>
                <w:color w:val="auto"/>
                <w:w w:val="88"/>
              </w:rPr>
              <w:t>26%</w:t>
            </w:r>
          </w:p>
        </w:tc>
        <w:tc>
          <w:tcPr>
            <w:tcW w:w="1840" w:type="dxa"/>
            <w:vAlign w:val="bottom"/>
            <w:gridSpan w:val="3"/>
          </w:tcPr>
          <w:p>
            <w:pPr>
              <w:jc w:val="center"/>
              <w:ind w:left="301"/>
              <w:spacing w:after="0"/>
              <w:rPr>
                <w:sz w:val="20"/>
                <w:szCs w:val="20"/>
                <w:color w:val="auto"/>
              </w:rPr>
            </w:pPr>
            <w:r>
              <w:rPr>
                <w:rFonts w:ascii="Arial" w:cs="Arial" w:eastAsia="Arial" w:hAnsi="Arial"/>
                <w:sz w:val="17"/>
                <w:szCs w:val="17"/>
                <w:color w:val="auto"/>
                <w:w w:val="88"/>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right="201"/>
              <w:spacing w:after="0"/>
              <w:rPr>
                <w:sz w:val="20"/>
                <w:szCs w:val="20"/>
                <w:color w:val="auto"/>
              </w:rPr>
            </w:pPr>
            <w:r>
              <w:rPr>
                <w:rFonts w:ascii="Arial" w:cs="Arial" w:eastAsia="Arial" w:hAnsi="Arial"/>
                <w:sz w:val="17"/>
                <w:szCs w:val="17"/>
                <w:color w:val="auto"/>
                <w:w w:val="88"/>
              </w:rPr>
              <w:t>25%</w:t>
            </w:r>
          </w:p>
        </w:tc>
      </w:tr>
      <w:tr>
        <w:trPr>
          <w:trHeight w:val="25"/>
        </w:trPr>
        <w:tc>
          <w:tcPr>
            <w:tcW w:w="2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Fixed-price (2)</w:t>
            </w:r>
          </w:p>
        </w:tc>
        <w:tc>
          <w:tcPr>
            <w:tcW w:w="1140" w:type="dxa"/>
            <w:vAlign w:val="bottom"/>
            <w:shd w:val="clear" w:color="auto" w:fill="CCEEFF"/>
          </w:tcPr>
          <w:p>
            <w:pPr>
              <w:jc w:val="center"/>
              <w:ind w:left="201"/>
              <w:spacing w:after="0"/>
              <w:rPr>
                <w:sz w:val="20"/>
                <w:szCs w:val="20"/>
                <w:color w:val="auto"/>
              </w:rPr>
            </w:pPr>
            <w:r>
              <w:rPr>
                <w:rFonts w:ascii="Arial" w:cs="Arial" w:eastAsia="Arial" w:hAnsi="Arial"/>
                <w:sz w:val="17"/>
                <w:szCs w:val="17"/>
                <w:color w:val="auto"/>
                <w:w w:val="88"/>
              </w:rPr>
              <w:t>24%</w:t>
            </w:r>
          </w:p>
        </w:tc>
        <w:tc>
          <w:tcPr>
            <w:tcW w:w="1840" w:type="dxa"/>
            <w:vAlign w:val="bottom"/>
            <w:gridSpan w:val="3"/>
            <w:shd w:val="clear" w:color="auto" w:fill="CCEEFF"/>
          </w:tcPr>
          <w:p>
            <w:pPr>
              <w:jc w:val="center"/>
              <w:ind w:left="301"/>
              <w:spacing w:after="0"/>
              <w:rPr>
                <w:sz w:val="20"/>
                <w:szCs w:val="20"/>
                <w:color w:val="auto"/>
              </w:rPr>
            </w:pPr>
            <w:r>
              <w:rPr>
                <w:rFonts w:ascii="Arial" w:cs="Arial" w:eastAsia="Arial" w:hAnsi="Arial"/>
                <w:sz w:val="17"/>
                <w:szCs w:val="17"/>
                <w:color w:val="auto"/>
                <w:w w:val="88"/>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01"/>
              <w:spacing w:after="0"/>
              <w:rPr>
                <w:sz w:val="20"/>
                <w:szCs w:val="20"/>
                <w:color w:val="auto"/>
              </w:rPr>
            </w:pPr>
            <w:r>
              <w:rPr>
                <w:rFonts w:ascii="Arial" w:cs="Arial" w:eastAsia="Arial" w:hAnsi="Arial"/>
                <w:sz w:val="17"/>
                <w:szCs w:val="17"/>
                <w:color w:val="auto"/>
                <w:w w:val="88"/>
              </w:rPr>
              <w:t>20%</w:t>
            </w:r>
          </w:p>
        </w:tc>
      </w:tr>
      <w:tr>
        <w:trPr>
          <w:trHeight w:val="25"/>
        </w:trPr>
        <w:tc>
          <w:tcPr>
            <w:tcW w:w="2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600" w:hanging="600"/>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both cost-plus-fixed-fee and cost-plus-award-fee contracts.</w:t>
      </w:r>
    </w:p>
    <w:p>
      <w:pPr>
        <w:spacing w:after="0" w:line="104" w:lineRule="exact"/>
        <w:rPr>
          <w:rFonts w:ascii="Arial" w:cs="Arial" w:eastAsia="Arial" w:hAnsi="Arial"/>
          <w:sz w:val="17"/>
          <w:szCs w:val="17"/>
          <w:color w:val="auto"/>
        </w:rPr>
      </w:pPr>
    </w:p>
    <w:p>
      <w:pPr>
        <w:ind w:left="600" w:hanging="600"/>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fixed-price level of effort contracts.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Contract Diversity and Revenue Mix</w:t>
      </w:r>
    </w:p>
    <w:p>
      <w:pPr>
        <w:spacing w:after="0" w:line="105" w:lineRule="exact"/>
        <w:rPr>
          <w:sz w:val="20"/>
          <w:szCs w:val="20"/>
          <w:color w:val="auto"/>
        </w:rPr>
      </w:pPr>
    </w:p>
    <w:p>
      <w:pPr>
        <w:ind w:firstLine="375"/>
        <w:spacing w:after="0" w:line="289" w:lineRule="auto"/>
        <w:rPr>
          <w:sz w:val="20"/>
          <w:szCs w:val="20"/>
          <w:color w:val="auto"/>
        </w:rPr>
      </w:pPr>
      <w:r>
        <w:rPr>
          <w:rFonts w:ascii="Arial" w:cs="Arial" w:eastAsia="Arial" w:hAnsi="Arial"/>
          <w:sz w:val="15"/>
          <w:szCs w:val="15"/>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2.7% of our revenue in fiscal 2017. No single definite contract accounted for more than 3% of our revenue in fiscal 2017.</w:t>
      </w:r>
    </w:p>
    <w:p>
      <w:pPr>
        <w:spacing w:after="0" w:line="56" w:lineRule="exact"/>
        <w:rPr>
          <w:sz w:val="20"/>
          <w:szCs w:val="20"/>
          <w:color w:val="auto"/>
        </w:rPr>
      </w:pPr>
    </w:p>
    <w:p>
      <w:pPr>
        <w:ind w:right="640" w:firstLine="400"/>
        <w:spacing w:after="0" w:line="266" w:lineRule="auto"/>
        <w:rPr>
          <w:sz w:val="20"/>
          <w:szCs w:val="20"/>
          <w:color w:val="auto"/>
        </w:rPr>
      </w:pPr>
      <w:r>
        <w:rPr>
          <w:rFonts w:ascii="Arial" w:cs="Arial" w:eastAsia="Arial" w:hAnsi="Arial"/>
          <w:sz w:val="17"/>
          <w:szCs w:val="17"/>
          <w:color w:val="auto"/>
        </w:rPr>
        <w:t>We generate revenue under our contracts and task orders through our provision of services as both a prime contractor and subcontractor, as well as from the provision of services by subcontractors under contracts and task orders for which we act as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778" w:right="239" w:bottom="1440" w:gutter="0" w:footer="0" w:header="0"/>
        </w:sectPr>
      </w:pPr>
    </w:p>
    <w:bookmarkStart w:id="51" w:name="page52"/>
    <w:bookmarkEnd w:id="51"/>
    <w:p>
      <w:pPr>
        <w:spacing w:after="0" w:line="268" w:lineRule="auto"/>
        <w:rPr>
          <w:sz w:val="20"/>
          <w:szCs w:val="20"/>
          <w:color w:val="auto"/>
        </w:rPr>
      </w:pPr>
      <w:r>
        <w:rPr>
          <w:rFonts w:ascii="Arial" w:cs="Arial" w:eastAsia="Arial" w:hAnsi="Arial"/>
          <w:sz w:val="16"/>
          <w:szCs w:val="16"/>
          <w:color w:val="auto"/>
        </w:rPr>
        <w:t>the prime contractor. For fiscal 2017, 2016, and 2015, 91%, 90%, and 91%, respectively, of our revenue was generated by contracts and task orders for which we served as a prime contractor; 9%, 10%, and 9%, respectively, of our revenue was generated by contracts and task orders for which we served as a subcontractor; and 25%, 24%, and 23%, respectively, of our revenue was generated by services provided by our subcontractors.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Our People</w:t>
      </w:r>
    </w:p>
    <w:p>
      <w:pPr>
        <w:spacing w:after="0" w:line="105" w:lineRule="exact"/>
        <w:rPr>
          <w:sz w:val="20"/>
          <w:szCs w:val="20"/>
          <w:color w:val="auto"/>
        </w:rPr>
      </w:pPr>
    </w:p>
    <w:p>
      <w:pPr>
        <w:ind w:right="80" w:firstLine="375"/>
        <w:spacing w:after="0" w:line="292" w:lineRule="auto"/>
        <w:rPr>
          <w:sz w:val="20"/>
          <w:szCs w:val="20"/>
          <w:color w:val="auto"/>
        </w:rPr>
      </w:pPr>
      <w:r>
        <w:rPr>
          <w:rFonts w:ascii="Arial" w:cs="Arial" w:eastAsia="Arial" w:hAnsi="Arial"/>
          <w:sz w:val="15"/>
          <w:szCs w:val="15"/>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2017, 2016, and 2015 we employed approximately 23,300, 22,600, and 22,500 people, respectively, of which approximately 21,000, 20,300, and 20,500, respectively, were consulting staff.</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Contract Backlog</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define backlog to include the following three components:</w:t>
      </w:r>
    </w:p>
    <w:p>
      <w:pPr>
        <w:spacing w:after="0" w:line="105" w:lineRule="exact"/>
        <w:rPr>
          <w:sz w:val="20"/>
          <w:szCs w:val="20"/>
          <w:color w:val="auto"/>
        </w:rPr>
      </w:pPr>
    </w:p>
    <w:p>
      <w:pPr>
        <w:ind w:left="1200" w:right="480" w:hanging="599"/>
        <w:spacing w:after="0" w:line="266" w:lineRule="auto"/>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Funded Backlog. </w:t>
      </w:r>
      <w:r>
        <w:rPr>
          <w:rFonts w:ascii="Arial" w:cs="Arial" w:eastAsia="Arial" w:hAnsi="Arial"/>
          <w:sz w:val="17"/>
          <w:szCs w:val="17"/>
          <w:color w:val="auto"/>
        </w:rPr>
        <w:t>Funded backlog represents the revenue value of orders for services under existing contracts for which funding is appropriated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authorized less revenue previously recognized on these contracts.</w:t>
      </w:r>
    </w:p>
    <w:p>
      <w:pPr>
        <w:spacing w:after="0" w:line="67" w:lineRule="exact"/>
        <w:rPr>
          <w:rFonts w:ascii="Arial" w:cs="Arial" w:eastAsia="Arial" w:hAnsi="Arial"/>
          <w:sz w:val="17"/>
          <w:szCs w:val="17"/>
          <w:color w:val="auto"/>
        </w:rPr>
      </w:pPr>
    </w:p>
    <w:p>
      <w:pPr>
        <w:ind w:left="1200" w:right="500" w:hanging="599"/>
        <w:spacing w:after="0" w:line="266" w:lineRule="auto"/>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Unfunded Backlog. </w:t>
      </w:r>
      <w:r>
        <w:rPr>
          <w:rFonts w:ascii="Arial" w:cs="Arial" w:eastAsia="Arial" w:hAnsi="Arial"/>
          <w:sz w:val="17"/>
          <w:szCs w:val="17"/>
          <w:color w:val="auto"/>
        </w:rPr>
        <w:t>Unfunded backlog represents the revenue value of orders for services under existing contracts for which funding has not been</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appropriated or otherwise authorized.</w:t>
      </w:r>
    </w:p>
    <w:p>
      <w:pPr>
        <w:spacing w:after="0" w:line="67" w:lineRule="exact"/>
        <w:rPr>
          <w:rFonts w:ascii="Arial" w:cs="Arial" w:eastAsia="Arial" w:hAnsi="Arial"/>
          <w:sz w:val="17"/>
          <w:szCs w:val="17"/>
          <w:color w:val="auto"/>
        </w:rPr>
      </w:pPr>
    </w:p>
    <w:p>
      <w:pPr>
        <w:ind w:left="1200" w:right="240" w:hanging="599"/>
        <w:spacing w:after="0" w:line="266" w:lineRule="auto"/>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 that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exercised at our clients’ option and for which funding has not been appropriated or otherwise authorized.</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value of our contract backlog at the respective dates presented:</w:t>
      </w:r>
    </w:p>
    <w:p>
      <w:pPr>
        <w:spacing w:after="0" w:line="247" w:lineRule="exact"/>
        <w:rPr>
          <w:sz w:val="20"/>
          <w:szCs w:val="20"/>
          <w:color w:val="auto"/>
        </w:rPr>
      </w:pPr>
    </w:p>
    <w:p>
      <w:pPr>
        <w:ind w:left="7540"/>
        <w:spacing w:after="0"/>
        <w:rPr>
          <w:sz w:val="20"/>
          <w:szCs w:val="20"/>
          <w:color w:val="auto"/>
        </w:rPr>
      </w:pPr>
      <w:r>
        <w:rPr>
          <w:rFonts w:ascii="Arial" w:cs="Arial" w:eastAsia="Arial" w:hAnsi="Arial"/>
          <w:sz w:val="13"/>
          <w:szCs w:val="13"/>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20955</wp:posOffset>
            </wp:positionV>
            <wp:extent cx="2972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93" w:lineRule="exact"/>
        <w:rPr>
          <w:sz w:val="20"/>
          <w:szCs w:val="20"/>
          <w:color w:val="auto"/>
        </w:rPr>
      </w:pPr>
    </w:p>
    <w:tbl>
      <w:tblPr>
        <w:tblLayout w:type="fixed"/>
        <w:tblInd w:w="740" w:type="dxa"/>
        <w:tblCellMar>
          <w:top w:w="0" w:type="dxa"/>
          <w:left w:w="0" w:type="dxa"/>
          <w:bottom w:w="0" w:type="dxa"/>
          <w:right w:w="0" w:type="dxa"/>
        </w:tblCellMar>
      </w:tblPr>
      <w:tr>
        <w:trPr>
          <w:trHeight w:val="178"/>
        </w:trPr>
        <w:tc>
          <w:tcPr>
            <w:tcW w:w="52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2015</w:t>
            </w:r>
          </w:p>
        </w:tc>
      </w:tr>
      <w:tr>
        <w:trPr>
          <w:trHeight w:val="175"/>
        </w:trPr>
        <w:tc>
          <w:tcPr>
            <w:tcW w:w="5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5"/>
        </w:trPr>
        <w:tc>
          <w:tcPr>
            <w:tcW w:w="5280" w:type="dxa"/>
            <w:vAlign w:val="bottom"/>
          </w:tcPr>
          <w:p>
            <w:pPr>
              <w:ind w:left="20"/>
              <w:spacing w:after="0"/>
              <w:rPr>
                <w:sz w:val="20"/>
                <w:szCs w:val="20"/>
                <w:color w:val="auto"/>
              </w:rPr>
            </w:pPr>
            <w:r>
              <w:rPr>
                <w:rFonts w:ascii="Arial" w:cs="Arial" w:eastAsia="Arial" w:hAnsi="Arial"/>
                <w:sz w:val="17"/>
                <w:szCs w:val="17"/>
                <w:color w:val="auto"/>
              </w:rPr>
              <w:t>Backlog:</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Funded</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2,673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2,691</w:t>
            </w:r>
          </w:p>
        </w:tc>
      </w:tr>
      <w:tr>
        <w:trPr>
          <w:trHeight w:val="225"/>
        </w:trPr>
        <w:tc>
          <w:tcPr>
            <w:tcW w:w="5280" w:type="dxa"/>
            <w:vAlign w:val="bottom"/>
          </w:tcPr>
          <w:p>
            <w:pPr>
              <w:ind w:left="340"/>
              <w:spacing w:after="0"/>
              <w:rPr>
                <w:sz w:val="20"/>
                <w:szCs w:val="20"/>
                <w:color w:val="auto"/>
              </w:rPr>
            </w:pPr>
            <w:r>
              <w:rPr>
                <w:rFonts w:ascii="Arial" w:cs="Arial" w:eastAsia="Arial" w:hAnsi="Arial"/>
                <w:sz w:val="17"/>
                <w:szCs w:val="17"/>
                <w:color w:val="auto"/>
              </w:rPr>
              <w:t>Unfunded (1)</w:t>
            </w:r>
          </w:p>
        </w:tc>
        <w:tc>
          <w:tcPr>
            <w:tcW w:w="920" w:type="dxa"/>
            <w:vAlign w:val="bottom"/>
          </w:tcPr>
          <w:p>
            <w:pPr>
              <w:spacing w:after="0"/>
              <w:rPr>
                <w:sz w:val="19"/>
                <w:szCs w:val="19"/>
                <w:color w:val="auto"/>
              </w:rPr>
            </w:pPr>
          </w:p>
        </w:tc>
        <w:tc>
          <w:tcPr>
            <w:tcW w:w="580" w:type="dxa"/>
            <w:vAlign w:val="bottom"/>
          </w:tcPr>
          <w:p>
            <w:pPr>
              <w:jc w:val="right"/>
              <w:ind w:right="17"/>
              <w:spacing w:after="0"/>
              <w:rPr>
                <w:sz w:val="20"/>
                <w:szCs w:val="20"/>
                <w:color w:val="auto"/>
              </w:rPr>
            </w:pPr>
            <w:r>
              <w:rPr>
                <w:rFonts w:ascii="Arial" w:cs="Arial" w:eastAsia="Arial" w:hAnsi="Arial"/>
                <w:sz w:val="17"/>
                <w:szCs w:val="17"/>
                <w:color w:val="auto"/>
              </w:rPr>
              <w:t>3,098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Arial" w:cs="Arial" w:eastAsia="Arial" w:hAnsi="Arial"/>
                <w:sz w:val="17"/>
                <w:szCs w:val="17"/>
                <w:color w:val="auto"/>
              </w:rPr>
              <w:t>2,546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2,121</w:t>
            </w:r>
          </w:p>
        </w:tc>
      </w:tr>
      <w:tr>
        <w:trPr>
          <w:trHeight w:val="25"/>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Priced options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4,548</w:t>
            </w:r>
          </w:p>
        </w:tc>
      </w:tr>
      <w:tr>
        <w:trPr>
          <w:trHeight w:val="218"/>
        </w:trPr>
        <w:tc>
          <w:tcPr>
            <w:tcW w:w="5280" w:type="dxa"/>
            <w:vAlign w:val="bottom"/>
          </w:tcPr>
          <w:p>
            <w:pPr>
              <w:ind w:left="640"/>
              <w:spacing w:after="0"/>
              <w:rPr>
                <w:sz w:val="20"/>
                <w:szCs w:val="20"/>
                <w:color w:val="auto"/>
              </w:rPr>
            </w:pPr>
            <w:r>
              <w:rPr>
                <w:rFonts w:ascii="Arial" w:cs="Arial" w:eastAsia="Arial" w:hAnsi="Arial"/>
                <w:sz w:val="17"/>
                <w:szCs w:val="17"/>
                <w:color w:val="auto"/>
              </w:rPr>
              <w:t>Total backlog</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8"/>
              </w:rPr>
              <w:t>13,592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11,814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9,360</w:t>
            </w:r>
          </w:p>
        </w:tc>
      </w:tr>
      <w:tr>
        <w:trPr>
          <w:trHeight w:val="25"/>
        </w:trPr>
        <w:tc>
          <w:tcPr>
            <w:tcW w:w="5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1200" w:right="360" w:hanging="599"/>
        <w:spacing w:after="0" w:line="334" w:lineRule="auto"/>
        <w:tabs>
          <w:tab w:leader="none" w:pos="12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Amounts as of fiscal 2015 reflect a reduction by management to the revenue value of orders for services under one then-existing single award IDIQ contract the Company had for several years, based on an established pattern of funding under this contract by the U.S. government.</w:t>
      </w:r>
    </w:p>
    <w:p>
      <w:pPr>
        <w:spacing w:after="0" w:line="21" w:lineRule="exact"/>
        <w:rPr>
          <w:sz w:val="20"/>
          <w:szCs w:val="20"/>
          <w:color w:val="auto"/>
        </w:rPr>
      </w:pPr>
    </w:p>
    <w:p>
      <w:pPr>
        <w:jc w:val="both"/>
        <w:ind w:right="160" w:firstLine="375"/>
        <w:spacing w:after="0" w:line="252"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80" w:lineRule="exact"/>
        <w:rPr>
          <w:sz w:val="20"/>
          <w:szCs w:val="20"/>
          <w:color w:val="auto"/>
        </w:rPr>
      </w:pPr>
    </w:p>
    <w:p>
      <w:pPr>
        <w:ind w:right="40" w:firstLine="375"/>
        <w:spacing w:after="0" w:line="273"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15.1% from March 31, 2016 to March 31, 2017 and increased 26.2% from March 31, 2015 to March 31, 2016. Additions to funded backlog, during fiscal 2017 and 2016 totaled $5.9 billion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753" w:right="239" w:bottom="1440" w:gutter="0" w:footer="0" w:header="0"/>
        </w:sectPr>
      </w:pPr>
    </w:p>
    <w:bookmarkStart w:id="52" w:name="page53"/>
    <w:bookmarkEnd w:id="52"/>
    <w:p>
      <w:pPr>
        <w:ind w:right="120"/>
        <w:spacing w:after="0" w:line="256" w:lineRule="auto"/>
        <w:rPr>
          <w:sz w:val="20"/>
          <w:szCs w:val="20"/>
          <w:color w:val="auto"/>
        </w:rPr>
      </w:pPr>
      <w:r>
        <w:rPr>
          <w:rFonts w:ascii="Arial" w:cs="Arial" w:eastAsia="Arial" w:hAnsi="Arial"/>
          <w:sz w:val="17"/>
          <w:szCs w:val="17"/>
          <w:color w:val="auto"/>
        </w:rPr>
        <w:t xml:space="preserve">$5.4 billion, respectively, </w:t>
      </w:r>
      <w:r>
        <w:rPr>
          <w:rFonts w:ascii="Arial" w:cs="Arial" w:eastAsia="Arial" w:hAnsi="Arial"/>
          <w:sz w:val="17"/>
          <w:szCs w:val="17"/>
          <w:color w:val="231F20"/>
        </w:rPr>
        <w:t>with the increase from fiscal 2016 to fiscal 2017 due to</w:t>
      </w:r>
      <w:r>
        <w:rPr>
          <w:rFonts w:ascii="Arial" w:cs="Arial" w:eastAsia="Arial" w:hAnsi="Arial"/>
          <w:sz w:val="17"/>
          <w:szCs w:val="17"/>
          <w:color w:val="auto"/>
        </w:rPr>
        <w:t xml:space="preserve"> the conversion of unfunded backlog to funded backlog, the award of new contracts and task orders under which funding was appropriated, and the subsequent funding of priced options. We report internally on our backlog on a monthly basis and review backlog upon occurrence of certain events to determine if any adjustments are necessary.</w:t>
      </w:r>
    </w:p>
    <w:p>
      <w:pPr>
        <w:spacing w:after="0" w:line="75" w:lineRule="exact"/>
        <w:rPr>
          <w:sz w:val="20"/>
          <w:szCs w:val="20"/>
          <w:color w:val="auto"/>
        </w:rPr>
      </w:pPr>
    </w:p>
    <w:p>
      <w:pPr>
        <w:ind w:right="100" w:firstLine="375"/>
        <w:spacing w:after="0" w:line="283" w:lineRule="auto"/>
        <w:rPr>
          <w:sz w:val="20"/>
          <w:szCs w:val="20"/>
          <w:color w:val="auto"/>
        </w:rPr>
      </w:pPr>
      <w:r>
        <w:rPr>
          <w:rFonts w:ascii="Arial" w:cs="Arial" w:eastAsia="Arial" w:hAnsi="Arial"/>
          <w:sz w:val="15"/>
          <w:szCs w:val="15"/>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7.8% of funded backlog as of the end of any of the four fiscal quarters preceding the fiscal quarter ended March 31, 2017.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05" w:lineRule="exact"/>
        <w:rPr>
          <w:sz w:val="20"/>
          <w:szCs w:val="20"/>
          <w:color w:val="auto"/>
        </w:rPr>
      </w:pPr>
    </w:p>
    <w:p>
      <w:pPr>
        <w:ind w:right="200" w:firstLine="375"/>
        <w:spacing w:after="0" w:line="279" w:lineRule="auto"/>
        <w:rPr>
          <w:sz w:val="20"/>
          <w:szCs w:val="20"/>
          <w:color w:val="auto"/>
        </w:rPr>
      </w:pPr>
      <w:r>
        <w:rPr>
          <w:rFonts w:ascii="Arial" w:cs="Arial" w:eastAsia="Arial" w:hAnsi="Arial"/>
          <w:sz w:val="16"/>
          <w:szCs w:val="16"/>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most significant operating costs and expenses are described below.</w:t>
      </w:r>
    </w:p>
    <w:p>
      <w:pPr>
        <w:spacing w:after="0" w:line="105" w:lineRule="exact"/>
        <w:rPr>
          <w:sz w:val="20"/>
          <w:szCs w:val="20"/>
          <w:color w:val="auto"/>
        </w:rPr>
      </w:pPr>
    </w:p>
    <w:p>
      <w:pPr>
        <w:ind w:left="1200" w:right="100" w:hanging="599"/>
        <w:spacing w:after="0" w:line="266" w:lineRule="auto"/>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includes direct labor, related employee benefits, and overhead. Overhead consists of indirect costs, including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labor relating to infrastructure, management and administration, and other expenses.</w:t>
      </w:r>
    </w:p>
    <w:p>
      <w:pPr>
        <w:spacing w:after="0" w:line="67" w:lineRule="exact"/>
        <w:rPr>
          <w:rFonts w:ascii="Arial" w:cs="Arial" w:eastAsia="Arial" w:hAnsi="Arial"/>
          <w:sz w:val="17"/>
          <w:szCs w:val="17"/>
          <w:color w:val="auto"/>
        </w:rPr>
      </w:pPr>
    </w:p>
    <w:p>
      <w:pPr>
        <w:ind w:left="1200" w:hanging="599"/>
        <w:spacing w:after="0"/>
        <w:tabs>
          <w:tab w:leader="none" w:pos="120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Billable Expenses. </w:t>
      </w:r>
      <w:r>
        <w:rPr>
          <w:rFonts w:ascii="Arial" w:cs="Arial" w:eastAsia="Arial" w:hAnsi="Arial"/>
          <w:sz w:val="15"/>
          <w:szCs w:val="15"/>
          <w:color w:val="auto"/>
        </w:rPr>
        <w:t>Billable expenses include direct subcontractor expenses, travel expenses, and other expenses incurred to perform on contracts.</w:t>
      </w:r>
    </w:p>
    <w:p>
      <w:pPr>
        <w:spacing w:after="0" w:line="127" w:lineRule="exact"/>
        <w:rPr>
          <w:rFonts w:ascii="Arial" w:cs="Arial" w:eastAsia="Arial" w:hAnsi="Arial"/>
          <w:sz w:val="15"/>
          <w:szCs w:val="15"/>
          <w:color w:val="auto"/>
        </w:rPr>
      </w:pPr>
    </w:p>
    <w:p>
      <w:pPr>
        <w:ind w:left="1200" w:right="940" w:hanging="599"/>
        <w:spacing w:after="0" w:line="298" w:lineRule="auto"/>
        <w:tabs>
          <w:tab w:leader="none" w:pos="12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indirect labor of executive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functions, marketing and bid and proposal costs, and other discretionary spending.</w:t>
      </w:r>
    </w:p>
    <w:p>
      <w:pPr>
        <w:spacing w:after="0" w:line="43" w:lineRule="exact"/>
        <w:rPr>
          <w:rFonts w:ascii="Arial" w:cs="Arial" w:eastAsia="Arial" w:hAnsi="Arial"/>
          <w:sz w:val="16"/>
          <w:szCs w:val="16"/>
          <w:color w:val="auto"/>
        </w:rPr>
      </w:pPr>
    </w:p>
    <w:p>
      <w:pPr>
        <w:ind w:left="1200" w:right="220" w:hanging="599"/>
        <w:spacing w:after="0" w:line="256" w:lineRule="auto"/>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includes the depreciation of computers, leasehold improvements, furniture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the amortization of internally developed software, as well as third-party software that we use internally, and of identifiable long-lived intangible assets over their estimated useful lives.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Seasonality</w:t>
      </w:r>
    </w:p>
    <w:p>
      <w:pPr>
        <w:spacing w:after="0" w:line="105" w:lineRule="exact"/>
        <w:rPr>
          <w:sz w:val="20"/>
          <w:szCs w:val="20"/>
          <w:color w:val="auto"/>
        </w:rPr>
      </w:pPr>
    </w:p>
    <w:p>
      <w:pPr>
        <w:ind w:firstLine="375"/>
        <w:spacing w:after="0" w:line="289" w:lineRule="auto"/>
        <w:rPr>
          <w:sz w:val="20"/>
          <w:szCs w:val="20"/>
          <w:color w:val="auto"/>
        </w:rPr>
      </w:pPr>
      <w:r>
        <w:rPr>
          <w:rFonts w:ascii="Arial" w:cs="Arial" w:eastAsia="Arial" w:hAnsi="Arial"/>
          <w:sz w:val="15"/>
          <w:szCs w:val="15"/>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Seasonality is just one of a number of factors, many of which are outside of our control, which may affect our results in any period. See "Item 1A. Risk Factors."</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80"/>
          </w:cols>
          <w:pgMar w:left="240" w:top="753" w:right="27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Critical Accounting Estimates and Policies</w:t>
      </w:r>
    </w:p>
    <w:p>
      <w:pPr>
        <w:spacing w:after="0" w:line="109" w:lineRule="exact"/>
        <w:rPr>
          <w:sz w:val="20"/>
          <w:szCs w:val="20"/>
          <w:color w:val="auto"/>
        </w:rPr>
      </w:pPr>
    </w:p>
    <w:p>
      <w:pPr>
        <w:ind w:firstLine="400"/>
        <w:spacing w:after="0" w:line="250"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80" w:lineRule="exact"/>
        <w:rPr>
          <w:sz w:val="20"/>
          <w:szCs w:val="20"/>
          <w:color w:val="auto"/>
        </w:rPr>
      </w:pPr>
    </w:p>
    <w:p>
      <w:pPr>
        <w:ind w:right="120" w:firstLine="400"/>
        <w:spacing w:after="0" w:line="252" w:lineRule="auto"/>
        <w:rPr>
          <w:sz w:val="20"/>
          <w:szCs w:val="20"/>
          <w:color w:val="auto"/>
        </w:rPr>
      </w:pPr>
      <w:r>
        <w:rPr>
          <w:rFonts w:ascii="Arial" w:cs="Arial" w:eastAsia="Arial" w:hAnsi="Arial"/>
          <w:sz w:val="17"/>
          <w:szCs w:val="17"/>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Revenue Recognition and Cost Estimation</w:t>
      </w:r>
    </w:p>
    <w:p>
      <w:pPr>
        <w:spacing w:after="0" w:line="105" w:lineRule="exact"/>
        <w:rPr>
          <w:sz w:val="20"/>
          <w:szCs w:val="20"/>
          <w:color w:val="auto"/>
        </w:rPr>
      </w:pPr>
    </w:p>
    <w:p>
      <w:pPr>
        <w:ind w:firstLine="400"/>
        <w:spacing w:after="0" w:line="264" w:lineRule="auto"/>
        <w:rPr>
          <w:sz w:val="20"/>
          <w:szCs w:val="20"/>
          <w:color w:val="auto"/>
        </w:rPr>
      </w:pPr>
      <w:r>
        <w:rPr>
          <w:rFonts w:ascii="Arial" w:cs="Arial" w:eastAsia="Arial" w:hAnsi="Arial"/>
          <w:sz w:val="16"/>
          <w:szCs w:val="16"/>
          <w:color w:val="auto"/>
        </w:rPr>
        <w:t>Substantially all of our revenue is derived from contracts to provide professional services to the U.S. government and its agencies. In most cases, we recognize revenue as work is performed. We recognize revenue for cost-reimbursable-plus-fixed-fee contracts with the U.S. government as hours are worked based on reimbursable and allowable costs, recoverable indirect costs and an accrual for the fixed fee component of these contracts. Executive compensation that we determine to be allowable for cost reimbursement based on management's estimates is recognized as revenue, net of reserves.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Many of our U.S. government contracts include award fees, which are earned based on the client’s evaluation of our performance. We have significant history with the client for the majority of contracts on which we earn award fees. That history and management's evaluation and monitoring of performance form the basis for our ability to estimate such fees over the life of the contract. Based on these estimates, we recognize award fees as work on the contracts is performed. Revisions to these estimates may result in increases or decreases to revenue and income, and are reflected in the consolidated financial statements in periods in which they are identified. Historically, revisions to these estimates have not had a material effect on our results of operations.</w:t>
      </w:r>
    </w:p>
    <w:p>
      <w:pPr>
        <w:spacing w:after="0" w:line="77" w:lineRule="exact"/>
        <w:rPr>
          <w:sz w:val="20"/>
          <w:szCs w:val="20"/>
          <w:color w:val="auto"/>
        </w:rPr>
      </w:pPr>
    </w:p>
    <w:p>
      <w:pPr>
        <w:jc w:val="both"/>
        <w:ind w:right="60" w:firstLine="400"/>
        <w:spacing w:after="0" w:line="256" w:lineRule="auto"/>
        <w:rPr>
          <w:sz w:val="20"/>
          <w:szCs w:val="20"/>
          <w:color w:val="auto"/>
        </w:rPr>
      </w:pPr>
      <w:r>
        <w:rPr>
          <w:rFonts w:ascii="Arial" w:cs="Arial" w:eastAsia="Arial" w:hAnsi="Arial"/>
          <w:sz w:val="17"/>
          <w:szCs w:val="17"/>
          <w:color w:val="auto"/>
        </w:rPr>
        <w:t>Revenue for time-and-materials contracts is recognized as services are performed, generally on the basis of contract allowable labor hours worked multiplied by the contract-defined billing rates, plus allowable direct costs and indirect cost allocations associated with materials used and other direct expenses incurred in connection with the performance of the contract.</w:t>
      </w:r>
    </w:p>
    <w:p>
      <w:pPr>
        <w:spacing w:after="0" w:line="75" w:lineRule="exact"/>
        <w:rPr>
          <w:sz w:val="20"/>
          <w:szCs w:val="20"/>
          <w:color w:val="auto"/>
        </w:rPr>
      </w:pPr>
    </w:p>
    <w:p>
      <w:pPr>
        <w:ind w:firstLine="400"/>
        <w:spacing w:after="0" w:line="282" w:lineRule="auto"/>
        <w:rPr>
          <w:sz w:val="20"/>
          <w:szCs w:val="20"/>
          <w:color w:val="auto"/>
        </w:rPr>
      </w:pPr>
      <w:r>
        <w:rPr>
          <w:rFonts w:ascii="Arial" w:cs="Arial" w:eastAsia="Arial" w:hAnsi="Arial"/>
          <w:sz w:val="15"/>
          <w:szCs w:val="15"/>
          <w:color w:val="auto"/>
        </w:rPr>
        <w:t>For fixed-price contracts, we primarily recognize revenue on the percentage-of-completion basis with progress toward completion of a particular contract based on actual costs incurred relative to total estimated costs to be incurred over the life of the contract. On some fixed-price contracts we may use an alternative input method to calculate the percent complete, such as labor hours or labor dollars. This method is used when a contract contains significant, up-front material purchases resulting in costs incurred that are not representative of the actual progress on the contract. Profits on fixed-price contracts result from the difference between the incurred costs used to calculate the percentage of completion and the revenue earned. These methods are followed where reasonably dependable estimates of revenue and costs under the contract can be made. If we are unable to reasonably estimate revenue or cost, the completed contract method is used. Historically, we have been able to reasonably estimate total contract revenue and costs and such estimates are regularly reviewed. Recorded revenue and costs are subject to revision as the contract progresses. Such revisions may result in increases or decreases to revenue and income, and are reflected in the consolidated financial statements in the periods in which they are first identified. If our estimates indicate that a contract loss will occur, a loss provision is recorded in the period in which the loss first becomes probable and reasonably estimable. Estimating costs under our long-term contracts is complex and involves significant judgment. Factors that must be considered in making estimates include labor productivity and availability, the nature and technical complexity of the work to be performed, potential performance delays, warranty obligations, availability and timing of funding from the client, progress toward completion, and recoverability of claims. Adjustments to original estimates are often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We have procedures and processes in place to monitor the actual progress of a project against estimates and our estimates are updated if circumstances are warranted. Historically, revisions to our estimates have not had a material effect on our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749" w:right="239" w:bottom="1440" w:gutter="0" w:footer="0" w:header="0"/>
        </w:sectPr>
      </w:pPr>
    </w:p>
    <w:bookmarkStart w:id="54" w:name="page55"/>
    <w:bookmarkEnd w:id="54"/>
    <w:p>
      <w:pPr>
        <w:ind w:left="20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5" w:lineRule="exact"/>
        <w:rPr>
          <w:sz w:val="20"/>
          <w:szCs w:val="20"/>
          <w:color w:val="auto"/>
        </w:rPr>
      </w:pPr>
    </w:p>
    <w:p>
      <w:pPr>
        <w:ind w:right="120" w:firstLine="400"/>
        <w:spacing w:after="0" w:line="270" w:lineRule="auto"/>
        <w:rPr>
          <w:sz w:val="20"/>
          <w:szCs w:val="20"/>
          <w:color w:val="auto"/>
        </w:rPr>
      </w:pPr>
      <w:r>
        <w:rPr>
          <w:rFonts w:ascii="Arial" w:cs="Arial" w:eastAsia="Arial" w:hAnsi="Arial"/>
          <w:sz w:val="16"/>
          <w:szCs w:val="16"/>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over time, which may cause final amounts to differ materially from original estimates. We have up to one year from the acquisition date to use additional information obtained to adjust the fair value of the acquired assets and liabilities which may result in changes to the recorded values with an offsetting adjustment to goodwill.</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Goodwill and Intangible Assets Impairment</w:t>
      </w:r>
    </w:p>
    <w:p>
      <w:pPr>
        <w:spacing w:after="0" w:line="105" w:lineRule="exact"/>
        <w:rPr>
          <w:sz w:val="20"/>
          <w:szCs w:val="20"/>
          <w:color w:val="auto"/>
        </w:rPr>
      </w:pPr>
    </w:p>
    <w:p>
      <w:pPr>
        <w:ind w:firstLine="400"/>
        <w:spacing w:after="0" w:line="270" w:lineRule="auto"/>
        <w:rPr>
          <w:sz w:val="20"/>
          <w:szCs w:val="20"/>
          <w:color w:val="auto"/>
        </w:rPr>
      </w:pPr>
      <w:r>
        <w:rPr>
          <w:rFonts w:ascii="Arial" w:cs="Arial" w:eastAsia="Arial" w:hAnsi="Arial"/>
          <w:sz w:val="16"/>
          <w:szCs w:val="16"/>
          <w:color w:val="auto"/>
        </w:rPr>
        <w:t>We test goodwill for impairment at the reporting unit level on an annual basis and more frequently if an event occurs or circumstances change that would more likely than not reduce the fair value of a reporting unit below its carrying value.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goodwill and other intangible assets.</w:t>
      </w:r>
    </w:p>
    <w:p>
      <w:pPr>
        <w:spacing w:after="0" w:line="67" w:lineRule="exact"/>
        <w:rPr>
          <w:sz w:val="20"/>
          <w:szCs w:val="20"/>
          <w:color w:val="auto"/>
        </w:rPr>
      </w:pPr>
    </w:p>
    <w:p>
      <w:pPr>
        <w:ind w:right="100" w:firstLine="400"/>
        <w:spacing w:after="0" w:line="251" w:lineRule="auto"/>
        <w:rPr>
          <w:sz w:val="20"/>
          <w:szCs w:val="20"/>
          <w:color w:val="auto"/>
        </w:rPr>
      </w:pPr>
      <w:r>
        <w:rPr>
          <w:rFonts w:ascii="Arial" w:cs="Arial" w:eastAsia="Arial" w:hAnsi="Arial"/>
          <w:sz w:val="17"/>
          <w:szCs w:val="17"/>
          <w:color w:val="auto"/>
        </w:rPr>
        <w:t>As our business is highly integrated and all of our components have similar economic characteristics, we concluded that we have one reporting unit at the consolidated entity level, which is the same as our single operating segment. We test goodwill for impairment using the quantitative method (primarily based on market capitalization). We test the trade name for impairment using the relief from royalty method. Our other amortizable intangible assets are tested by comparing revenue projections to actuals and assessing qualitative factors. We perform our annual testing for impairment of goodwill, the trade name, and other amortizable intangible assets as of January 1 of each year.</w:t>
      </w:r>
    </w:p>
    <w:p>
      <w:pPr>
        <w:spacing w:after="0" w:line="79" w:lineRule="exact"/>
        <w:rPr>
          <w:sz w:val="20"/>
          <w:szCs w:val="20"/>
          <w:color w:val="auto"/>
        </w:rPr>
      </w:pPr>
    </w:p>
    <w:p>
      <w:pPr>
        <w:jc w:val="both"/>
        <w:ind w:right="300" w:firstLine="400"/>
        <w:spacing w:after="0" w:line="256" w:lineRule="auto"/>
        <w:rPr>
          <w:sz w:val="20"/>
          <w:szCs w:val="20"/>
          <w:color w:val="auto"/>
        </w:rPr>
      </w:pPr>
      <w:r>
        <w:rPr>
          <w:rFonts w:ascii="Arial" w:cs="Arial" w:eastAsia="Arial" w:hAnsi="Arial"/>
          <w:sz w:val="17"/>
          <w:szCs w:val="17"/>
          <w:color w:val="auto"/>
        </w:rPr>
        <w:t>During the fiscal year ended March 31, 2017, the Company recorded impairment charges related to intangible assets acquired in an acquisition. During the fiscal years ended March 31, 2016, and 2015, the Company did not record any impairment of intangible assets. We do not consider any of the goodwill, trade name, or other amortizable intangible assets at risk of impairment.</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Share-Based Payments</w:t>
      </w:r>
    </w:p>
    <w:p>
      <w:pPr>
        <w:spacing w:after="0" w:line="105" w:lineRule="exact"/>
        <w:rPr>
          <w:sz w:val="20"/>
          <w:szCs w:val="20"/>
          <w:color w:val="auto"/>
        </w:rPr>
      </w:pPr>
    </w:p>
    <w:p>
      <w:pPr>
        <w:ind w:right="60" w:firstLine="400"/>
        <w:spacing w:after="0" w:line="256" w:lineRule="auto"/>
        <w:rPr>
          <w:sz w:val="20"/>
          <w:szCs w:val="20"/>
          <w:color w:val="auto"/>
        </w:rPr>
      </w:pPr>
      <w:r>
        <w:rPr>
          <w:rFonts w:ascii="Arial" w:cs="Arial" w:eastAsia="Arial" w:hAnsi="Arial"/>
          <w:sz w:val="17"/>
          <w:szCs w:val="17"/>
          <w:color w:val="auto"/>
        </w:rPr>
        <w:t>We use the Black-Scholes option-pricing model to estimate the fair value for stock options. Critical inputs into the Black-Scholes option-pricing model include the following: option exercise price, fair value of the stock price, expected life of the option, annualized volatility of the stock, annual rate of quarterly dividends on the stock, and the risk-free interest rate.</w:t>
      </w:r>
    </w:p>
    <w:p>
      <w:pPr>
        <w:spacing w:after="0" w:line="75" w:lineRule="exact"/>
        <w:rPr>
          <w:sz w:val="20"/>
          <w:szCs w:val="20"/>
          <w:color w:val="auto"/>
        </w:rPr>
      </w:pPr>
    </w:p>
    <w:p>
      <w:pPr>
        <w:ind w:firstLine="400"/>
        <w:spacing w:after="0" w:line="266" w:lineRule="auto"/>
        <w:rPr>
          <w:sz w:val="20"/>
          <w:szCs w:val="20"/>
          <w:color w:val="auto"/>
        </w:rPr>
      </w:pPr>
      <w:r>
        <w:rPr>
          <w:rFonts w:ascii="Arial" w:cs="Arial" w:eastAsia="Arial" w:hAnsi="Arial"/>
          <w:sz w:val="16"/>
          <w:szCs w:val="16"/>
          <w:color w:val="auto"/>
        </w:rPr>
        <w:t>During fiscal 2017, the Company’s Board of Directors authorized and declared recurring cash dividends in the amount of $0.15 per share (declared in the first three quarters) and $0.17 per share (declared in the fourth quarter) to holders of Booz Allen Holding’s Class A Common Stock. Therefore, an annualized dividend yield between 1.90% and 1.94% was used in the Black-Scholes option-pricing model for all grants made during the fiscal year. Implied volatility is calculated as of each grant date based on our historical volatility along with an assessment of the historical volatility of a peer group of publicly traded companies. Until the historical volatility of the Company is available for a period consistent with the expected option term, we will continue to compare to a peer group volatility data to estimate expected volatility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 The expected term is estimated using historical exercise patterns of our equity award recipients.</w:t>
      </w:r>
    </w:p>
    <w:p>
      <w:pPr>
        <w:spacing w:after="0" w:line="71" w:lineRule="exact"/>
        <w:rPr>
          <w:sz w:val="20"/>
          <w:szCs w:val="20"/>
          <w:color w:val="auto"/>
        </w:rPr>
      </w:pPr>
    </w:p>
    <w:p>
      <w:pPr>
        <w:ind w:right="140" w:firstLine="400"/>
        <w:spacing w:after="0" w:line="266" w:lineRule="auto"/>
        <w:rPr>
          <w:sz w:val="20"/>
          <w:szCs w:val="20"/>
          <w:color w:val="auto"/>
        </w:rPr>
      </w:pPr>
      <w:r>
        <w:rPr>
          <w:rFonts w:ascii="Arial" w:cs="Arial" w:eastAsia="Arial" w:hAnsi="Arial"/>
          <w:sz w:val="17"/>
          <w:szCs w:val="17"/>
          <w:color w:val="auto"/>
        </w:rPr>
        <w:t>The risk-free interest rate used in the Black-Scholes option-pricing model is determined by referencing the U.S. Treasury yield curve rates with the remaining term equal to the expected life assumed at the date of grant.</w:t>
      </w:r>
    </w:p>
    <w:p>
      <w:pPr>
        <w:spacing w:after="0" w:line="67" w:lineRule="exact"/>
        <w:rPr>
          <w:sz w:val="20"/>
          <w:szCs w:val="20"/>
          <w:color w:val="auto"/>
        </w:rPr>
      </w:pPr>
    </w:p>
    <w:p>
      <w:pPr>
        <w:ind w:right="240" w:firstLine="400"/>
        <w:spacing w:after="0" w:line="266" w:lineRule="auto"/>
        <w:rPr>
          <w:sz w:val="20"/>
          <w:szCs w:val="20"/>
          <w:color w:val="auto"/>
        </w:rPr>
      </w:pPr>
      <w:r>
        <w:rPr>
          <w:rFonts w:ascii="Arial" w:cs="Arial" w:eastAsia="Arial" w:hAnsi="Arial"/>
          <w:sz w:val="17"/>
          <w:szCs w:val="17"/>
          <w:color w:val="auto"/>
        </w:rPr>
        <w:t>Forfeitures are estimated based on our historical analysis of attrition levels. Forfeiture estimates are updated quarterly for actual forfeitures. We do not expect this assumption to change materially, as attrition levels associated with new option grants have not materially changed.</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a public company, we use the closing price of our Class A Common Stock on the grant date for valuation purposes.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05" w:lineRule="exact"/>
        <w:rPr>
          <w:sz w:val="20"/>
          <w:szCs w:val="20"/>
          <w:color w:val="auto"/>
        </w:rPr>
      </w:pPr>
    </w:p>
    <w:p>
      <w:pPr>
        <w:ind w:right="40" w:firstLine="400"/>
        <w:spacing w:after="0" w:line="252" w:lineRule="auto"/>
        <w:rPr>
          <w:sz w:val="20"/>
          <w:szCs w:val="20"/>
          <w:color w:val="auto"/>
        </w:rPr>
      </w:pPr>
      <w:r>
        <w:rPr>
          <w:rFonts w:ascii="Arial" w:cs="Arial" w:eastAsia="Arial" w:hAnsi="Arial"/>
          <w:sz w:val="17"/>
          <w:szCs w:val="17"/>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753" w:right="239" w:bottom="1440" w:gutter="0" w:footer="0" w:header="0"/>
        </w:sectPr>
      </w:pPr>
    </w:p>
    <w:bookmarkStart w:id="55" w:name="page56"/>
    <w:bookmarkEnd w:id="55"/>
    <w:p>
      <w:pPr>
        <w:jc w:val="both"/>
        <w:ind w:right="120" w:firstLine="400"/>
        <w:spacing w:after="0" w:line="292" w:lineRule="auto"/>
        <w:rPr>
          <w:sz w:val="20"/>
          <w:szCs w:val="20"/>
          <w:color w:val="auto"/>
        </w:rPr>
      </w:pPr>
      <w:r>
        <w:rPr>
          <w:rFonts w:ascii="Arial" w:cs="Arial" w:eastAsia="Arial" w:hAnsi="Arial"/>
          <w:sz w:val="15"/>
          <w:szCs w:val="15"/>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52" w:lineRule="exact"/>
        <w:rPr>
          <w:sz w:val="20"/>
          <w:szCs w:val="20"/>
          <w:color w:val="auto"/>
        </w:rPr>
      </w:pPr>
    </w:p>
    <w:p>
      <w:pPr>
        <w:ind w:right="120" w:firstLine="400"/>
        <w:spacing w:after="0" w:line="256" w:lineRule="auto"/>
        <w:rPr>
          <w:sz w:val="20"/>
          <w:szCs w:val="20"/>
          <w:color w:val="auto"/>
        </w:rPr>
      </w:pPr>
      <w:r>
        <w:rPr>
          <w:rFonts w:ascii="Arial" w:cs="Arial" w:eastAsia="Arial" w:hAnsi="Arial"/>
          <w:sz w:val="17"/>
          <w:szCs w:val="17"/>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05" w:lineRule="exact"/>
        <w:rPr>
          <w:sz w:val="20"/>
          <w:szCs w:val="20"/>
          <w:color w:val="auto"/>
        </w:rPr>
      </w:pPr>
    </w:p>
    <w:p>
      <w:pPr>
        <w:ind w:right="140" w:firstLine="375"/>
        <w:spacing w:after="0" w:line="266" w:lineRule="auto"/>
        <w:rPr>
          <w:sz w:val="20"/>
          <w:szCs w:val="20"/>
          <w:color w:val="auto"/>
        </w:rPr>
      </w:pPr>
      <w:r>
        <w:rPr>
          <w:rFonts w:ascii="Arial" w:cs="Arial" w:eastAsia="Arial" w:hAnsi="Arial"/>
          <w:sz w:val="17"/>
          <w:szCs w:val="17"/>
          <w:color w:val="auto"/>
        </w:rPr>
        <w:t>See Note 2 to our accompanying audited consolidated financial statements for information related to our adoption of new accounting standards and for information on our anticipated adoption of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w:t>
      </w:r>
    </w:p>
    <w:p>
      <w:pPr>
        <w:spacing w:after="0" w:line="159" w:lineRule="exact"/>
        <w:rPr>
          <w:sz w:val="20"/>
          <w:szCs w:val="20"/>
          <w:color w:val="auto"/>
        </w:rPr>
      </w:pPr>
    </w:p>
    <w:p>
      <w:pPr>
        <w:ind w:firstLine="400"/>
        <w:spacing w:after="0" w:line="273" w:lineRule="auto"/>
        <w:rPr>
          <w:sz w:val="20"/>
          <w:szCs w:val="20"/>
          <w:color w:val="auto"/>
        </w:rPr>
      </w:pPr>
      <w:r>
        <w:rPr>
          <w:rFonts w:ascii="Arial" w:cs="Arial" w:eastAsia="Arial" w:hAnsi="Arial"/>
          <w:sz w:val="16"/>
          <w:szCs w:val="16"/>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59" w:lineRule="exact"/>
        <w:rPr>
          <w:sz w:val="20"/>
          <w:szCs w:val="20"/>
          <w:color w:val="auto"/>
        </w:rPr>
      </w:pPr>
    </w:p>
    <w:p>
      <w:pPr>
        <w:ind w:firstLine="400"/>
        <w:spacing w:after="0" w:line="256"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wholly-owned subsidiaries, and have been prepared in accordance with GAAP, and the rules and regulations of the U.S. Securities and Exchange Commission, or SEC. All intercompany balances and transactions have been eliminated in consolidation.</w:t>
      </w:r>
    </w:p>
    <w:p>
      <w:pPr>
        <w:spacing w:after="0" w:line="75" w:lineRule="exact"/>
        <w:rPr>
          <w:sz w:val="20"/>
          <w:szCs w:val="20"/>
          <w:color w:val="auto"/>
        </w:rPr>
      </w:pPr>
    </w:p>
    <w:p>
      <w:pPr>
        <w:ind w:right="180" w:firstLine="375"/>
        <w:spacing w:after="0" w:line="256" w:lineRule="auto"/>
        <w:rPr>
          <w:sz w:val="20"/>
          <w:szCs w:val="20"/>
          <w:color w:val="auto"/>
        </w:rPr>
      </w:pPr>
      <w:r>
        <w:rPr>
          <w:rFonts w:ascii="Arial" w:cs="Arial" w:eastAsia="Arial" w:hAnsi="Arial"/>
          <w:sz w:val="17"/>
          <w:szCs w:val="17"/>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polices.</w:t>
      </w:r>
    </w:p>
    <w:p>
      <w:pPr>
        <w:spacing w:after="0" w:line="75" w:lineRule="exact"/>
        <w:rPr>
          <w:sz w:val="20"/>
          <w:szCs w:val="20"/>
          <w:color w:val="auto"/>
        </w:rPr>
      </w:pPr>
    </w:p>
    <w:p>
      <w:pPr>
        <w:jc w:val="both"/>
        <w:ind w:right="120" w:firstLine="375"/>
        <w:spacing w:after="0" w:line="256" w:lineRule="auto"/>
        <w:rPr>
          <w:sz w:val="20"/>
          <w:szCs w:val="20"/>
          <w:color w:val="auto"/>
        </w:rPr>
      </w:pPr>
      <w:r>
        <w:rPr>
          <w:rFonts w:ascii="Arial" w:cs="Arial" w:eastAsia="Arial" w:hAnsi="Arial"/>
          <w:sz w:val="17"/>
          <w:szCs w:val="17"/>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2017 and 2016 and the Company’s results of operations for fiscal 2017, fiscal 2016, and fiscal 2015.</w:t>
      </w:r>
    </w:p>
    <w:p>
      <w:pPr>
        <w:spacing w:after="0" w:line="12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Certain amounts reported in the Company's prior year consolidated financial statements have been reclassified to conform to the current year presentation.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753" w:right="25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Results of Operations</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items from our consolidated statements of operations for the periods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40" w:type="dxa"/>
            <w:vAlign w:val="bottom"/>
            <w:gridSpan w:val="6"/>
          </w:tcPr>
          <w:p>
            <w:pPr>
              <w:jc w:val="center"/>
              <w:ind w:right="173"/>
              <w:spacing w:after="0"/>
              <w:rPr>
                <w:sz w:val="20"/>
                <w:szCs w:val="20"/>
                <w:color w:val="auto"/>
              </w:rPr>
            </w:pPr>
            <w:r>
              <w:rPr>
                <w:rFonts w:ascii="Arial" w:cs="Arial" w:eastAsia="Arial" w:hAnsi="Arial"/>
                <w:sz w:val="13"/>
                <w:szCs w:val="13"/>
                <w:b w:val="1"/>
                <w:bCs w:val="1"/>
                <w:color w:val="auto"/>
                <w:w w:val="94"/>
              </w:rPr>
              <w:t>Fiscal Year Ended March 31,</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Fiscal 2017</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9"/>
              </w:rPr>
              <w:t>Fiscal 2016</w:t>
            </w: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2"/>
            <w:vMerge w:val="restart"/>
          </w:tcPr>
          <w:p>
            <w:pPr>
              <w:jc w:val="center"/>
              <w:ind w:right="120"/>
              <w:spacing w:after="0" w:line="130" w:lineRule="exact"/>
              <w:rPr>
                <w:sz w:val="20"/>
                <w:szCs w:val="20"/>
                <w:color w:val="auto"/>
              </w:rPr>
            </w:pPr>
            <w:r>
              <w:rPr>
                <w:rFonts w:ascii="Arial" w:cs="Arial" w:eastAsia="Arial" w:hAnsi="Arial"/>
                <w:sz w:val="13"/>
                <w:szCs w:val="13"/>
                <w:b w:val="1"/>
                <w:bCs w:val="1"/>
                <w:color w:val="auto"/>
                <w:w w:val="87"/>
              </w:rPr>
              <w:t>Versus</w:t>
            </w:r>
          </w:p>
        </w:tc>
        <w:tc>
          <w:tcPr>
            <w:tcW w:w="1440" w:type="dxa"/>
            <w:vAlign w:val="bottom"/>
            <w:vMerge w:val="restart"/>
          </w:tcPr>
          <w:p>
            <w:pPr>
              <w:jc w:val="center"/>
              <w:spacing w:after="0" w:line="130" w:lineRule="exact"/>
              <w:rPr>
                <w:sz w:val="20"/>
                <w:szCs w:val="20"/>
                <w:color w:val="auto"/>
              </w:rPr>
            </w:pPr>
            <w:r>
              <w:rPr>
                <w:rFonts w:ascii="Arial" w:cs="Arial" w:eastAsia="Arial" w:hAnsi="Arial"/>
                <w:sz w:val="13"/>
                <w:szCs w:val="13"/>
                <w:b w:val="1"/>
                <w:bCs w:val="1"/>
                <w:color w:val="auto"/>
                <w:w w:val="87"/>
              </w:rPr>
              <w:t>Versus</w:t>
            </w:r>
          </w:p>
        </w:tc>
        <w:tc>
          <w:tcPr>
            <w:tcW w:w="0" w:type="dxa"/>
            <w:vAlign w:val="bottom"/>
          </w:tcPr>
          <w:p>
            <w:pPr>
              <w:spacing w:after="0"/>
              <w:rPr>
                <w:sz w:val="1"/>
                <w:szCs w:val="1"/>
                <w:color w:val="auto"/>
              </w:rPr>
            </w:pPr>
          </w:p>
        </w:tc>
      </w:tr>
      <w:tr>
        <w:trPr>
          <w:trHeight w:val="60"/>
        </w:trPr>
        <w:tc>
          <w:tcPr>
            <w:tcW w:w="4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restart"/>
          </w:tcPr>
          <w:p>
            <w:pPr>
              <w:jc w:val="center"/>
              <w:ind w:right="113"/>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73"/>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Fiscal 2016</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9"/>
              </w:rPr>
              <w:t>Fiscal 2015</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1"/>
              </w:rPr>
              <w:t>(In thousands)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2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5,804,284</w:t>
            </w:r>
          </w:p>
        </w:tc>
        <w:tc>
          <w:tcPr>
            <w:tcW w:w="3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5,405,738</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5,274,770</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7.4 %</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73"/>
        </w:trPr>
        <w:tc>
          <w:tcPr>
            <w:tcW w:w="404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60" w:type="dxa"/>
            <w:vAlign w:val="bottom"/>
            <w:gridSpan w:val="3"/>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tcPr>
          <w:p>
            <w:pPr>
              <w:ind w:left="20"/>
              <w:spacing w:after="0"/>
              <w:rPr>
                <w:sz w:val="20"/>
                <w:szCs w:val="20"/>
                <w:color w:val="auto"/>
              </w:rPr>
            </w:pPr>
            <w:r>
              <w:rPr>
                <w:rFonts w:ascii="Arial" w:cs="Arial" w:eastAsia="Arial" w:hAnsi="Arial"/>
                <w:sz w:val="13"/>
                <w:szCs w:val="13"/>
                <w:color w:val="auto"/>
              </w:rPr>
              <w:t>Operating costs and expenses: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Cost of revenue</w:t>
            </w: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2,691,982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2,580,026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2,593,849</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73"/>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tcPr>
          <w:p>
            <w:pPr>
              <w:ind w:left="360"/>
              <w:spacing w:after="0"/>
              <w:rPr>
                <w:sz w:val="20"/>
                <w:szCs w:val="20"/>
                <w:color w:val="auto"/>
              </w:rPr>
            </w:pPr>
            <w:r>
              <w:rPr>
                <w:rFonts w:ascii="Arial" w:cs="Arial" w:eastAsia="Arial" w:hAnsi="Arial"/>
                <w:sz w:val="13"/>
                <w:szCs w:val="13"/>
                <w:color w:val="auto"/>
              </w:rPr>
              <w:t>Billable expenses</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1,751,077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ind w:right="53"/>
              <w:spacing w:after="0"/>
              <w:rPr>
                <w:sz w:val="20"/>
                <w:szCs w:val="20"/>
                <w:color w:val="auto"/>
              </w:rPr>
            </w:pPr>
            <w:r>
              <w:rPr>
                <w:rFonts w:ascii="Arial" w:cs="Arial" w:eastAsia="Arial" w:hAnsi="Arial"/>
                <w:sz w:val="13"/>
                <w:szCs w:val="13"/>
                <w:color w:val="auto"/>
              </w:rPr>
              <w:t>1,513,083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1,406,527</w:t>
            </w:r>
          </w:p>
        </w:tc>
        <w:tc>
          <w:tcPr>
            <w:tcW w:w="1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15.7 %</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General and administrative expenses</w:t>
            </w: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817,434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806,509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752,912</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1.4 %</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0" w:type="dxa"/>
            <w:vAlign w:val="bottom"/>
          </w:tcPr>
          <w:p>
            <w:pPr>
              <w:spacing w:after="0"/>
              <w:rPr>
                <w:sz w:val="1"/>
                <w:szCs w:val="1"/>
                <w:color w:val="auto"/>
              </w:rPr>
            </w:pPr>
          </w:p>
        </w:tc>
      </w:tr>
      <w:tr>
        <w:trPr>
          <w:trHeight w:val="73"/>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59,544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ind w:right="53"/>
              <w:spacing w:after="0"/>
              <w:rPr>
                <w:sz w:val="20"/>
                <w:szCs w:val="20"/>
                <w:color w:val="auto"/>
              </w:rPr>
            </w:pPr>
            <w:r>
              <w:rPr>
                <w:rFonts w:ascii="Arial" w:cs="Arial" w:eastAsia="Arial" w:hAnsi="Arial"/>
                <w:sz w:val="13"/>
                <w:szCs w:val="13"/>
                <w:color w:val="auto"/>
              </w:rPr>
              <w:t>61,536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62,660</w:t>
            </w:r>
          </w:p>
        </w:tc>
        <w:tc>
          <w:tcPr>
            <w:tcW w:w="1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68"/>
        </w:trPr>
        <w:tc>
          <w:tcPr>
            <w:tcW w:w="40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Total operating costs and expenses</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5,320,037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4,961,154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4,815,948</w:t>
            </w:r>
          </w:p>
        </w:tc>
        <w:tc>
          <w:tcPr>
            <w:tcW w:w="1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73"/>
        </w:trPr>
        <w:tc>
          <w:tcPr>
            <w:tcW w:w="404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3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484,247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53"/>
              <w:spacing w:after="0"/>
              <w:rPr>
                <w:sz w:val="20"/>
                <w:szCs w:val="20"/>
                <w:color w:val="auto"/>
              </w:rPr>
            </w:pPr>
            <w:r>
              <w:rPr>
                <w:rFonts w:ascii="Arial" w:cs="Arial" w:eastAsia="Arial" w:hAnsi="Arial"/>
                <w:sz w:val="13"/>
                <w:szCs w:val="13"/>
                <w:color w:val="auto"/>
              </w:rPr>
              <w:t>444,584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458,822</w:t>
            </w:r>
          </w:p>
        </w:tc>
        <w:tc>
          <w:tcPr>
            <w:tcW w:w="12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8.9 %</w:t>
            </w:r>
          </w:p>
        </w:tc>
        <w:tc>
          <w:tcPr>
            <w:tcW w:w="1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(62,298)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(70,815)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(71,832)</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73"/>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(10,049)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ind w:right="53"/>
              <w:spacing w:after="0"/>
              <w:rPr>
                <w:sz w:val="20"/>
                <w:szCs w:val="20"/>
                <w:color w:val="auto"/>
              </w:rPr>
            </w:pPr>
            <w:r>
              <w:rPr>
                <w:rFonts w:ascii="Arial" w:cs="Arial" w:eastAsia="Arial" w:hAnsi="Arial"/>
                <w:sz w:val="13"/>
                <w:szCs w:val="13"/>
                <w:color w:val="auto"/>
              </w:rPr>
              <w:t>5,693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(1,072)</w:t>
            </w:r>
          </w:p>
        </w:tc>
        <w:tc>
          <w:tcPr>
            <w:tcW w:w="120" w:type="dxa"/>
            <w:vAlign w:val="bottom"/>
          </w:tcPr>
          <w:p>
            <w:pPr>
              <w:spacing w:after="0"/>
              <w:rPr>
                <w:sz w:val="15"/>
                <w:szCs w:val="15"/>
                <w:color w:val="auto"/>
              </w:rPr>
            </w:pPr>
          </w:p>
        </w:tc>
        <w:tc>
          <w:tcPr>
            <w:tcW w:w="1540" w:type="dxa"/>
            <w:vAlign w:val="bottom"/>
            <w:gridSpan w:val="2"/>
            <w:vMerge w:val="restart"/>
          </w:tcPr>
          <w:p>
            <w:pPr>
              <w:ind w:left="1040"/>
              <w:spacing w:after="0"/>
              <w:rPr>
                <w:sz w:val="20"/>
                <w:szCs w:val="20"/>
                <w:color w:val="auto"/>
              </w:rPr>
            </w:pPr>
            <w:r>
              <w:rPr>
                <w:rFonts w:ascii="Arial" w:cs="Arial" w:eastAsia="Arial" w:hAnsi="Arial"/>
                <w:sz w:val="13"/>
                <w:szCs w:val="13"/>
                <w:color w:val="auto"/>
              </w:rPr>
              <w:t>NM</w:t>
            </w:r>
          </w:p>
        </w:tc>
        <w:tc>
          <w:tcPr>
            <w:tcW w:w="1440" w:type="dxa"/>
            <w:vAlign w:val="bottom"/>
            <w:vMerge w:val="restart"/>
          </w:tcPr>
          <w:p>
            <w:pPr>
              <w:jc w:val="right"/>
              <w:ind w:right="113"/>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3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411,900</w:t>
            </w: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379,462</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385,918</w:t>
            </w: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8.5 %</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73"/>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159,410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ind w:right="53"/>
              <w:spacing w:after="0"/>
              <w:rPr>
                <w:sz w:val="20"/>
                <w:szCs w:val="20"/>
                <w:color w:val="auto"/>
              </w:rPr>
            </w:pPr>
            <w:r>
              <w:rPr>
                <w:rFonts w:ascii="Arial" w:cs="Arial" w:eastAsia="Arial" w:hAnsi="Arial"/>
                <w:sz w:val="13"/>
                <w:szCs w:val="13"/>
                <w:color w:val="auto"/>
              </w:rPr>
              <w:t>85,368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153,349</w:t>
            </w:r>
          </w:p>
        </w:tc>
        <w:tc>
          <w:tcPr>
            <w:tcW w:w="1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86.7 %</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68"/>
        </w:trPr>
        <w:tc>
          <w:tcPr>
            <w:tcW w:w="40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252,490</w:t>
            </w:r>
          </w:p>
        </w:tc>
        <w:tc>
          <w:tcPr>
            <w:tcW w:w="3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294,094</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232,569</w:t>
            </w:r>
          </w:p>
        </w:tc>
        <w:tc>
          <w:tcPr>
            <w:tcW w:w="1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26.5 %</w:t>
            </w:r>
          </w:p>
        </w:tc>
        <w:tc>
          <w:tcPr>
            <w:tcW w:w="0" w:type="dxa"/>
            <w:vAlign w:val="bottom"/>
          </w:tcPr>
          <w:p>
            <w:pPr>
              <w:spacing w:after="0"/>
              <w:rPr>
                <w:sz w:val="1"/>
                <w:szCs w:val="1"/>
                <w:color w:val="auto"/>
              </w:rPr>
            </w:pPr>
          </w:p>
        </w:tc>
      </w:tr>
      <w:tr>
        <w:trPr>
          <w:trHeight w:val="55"/>
        </w:trPr>
        <w:tc>
          <w:tcPr>
            <w:tcW w:w="4040" w:type="dxa"/>
            <w:vAlign w:val="bottom"/>
            <w:shd w:val="clear" w:color="auto" w:fill="CCEEFF"/>
          </w:tcPr>
          <w:p>
            <w:pPr>
              <w:spacing w:after="0"/>
              <w:rPr>
                <w:sz w:val="4"/>
                <w:szCs w:val="4"/>
                <w:color w:val="auto"/>
              </w:rPr>
            </w:pPr>
          </w:p>
        </w:tc>
        <w:tc>
          <w:tcPr>
            <w:tcW w:w="320" w:type="dxa"/>
            <w:vAlign w:val="bottom"/>
            <w:vMerge w:val="continue"/>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360" w:type="dxa"/>
            <w:vAlign w:val="bottom"/>
            <w:gridSpan w:val="3"/>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2017 Compared to Fiscal 2016</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Revenue</w:t>
      </w:r>
    </w:p>
    <w:p>
      <w:pPr>
        <w:spacing w:after="0" w:line="55" w:lineRule="exact"/>
        <w:rPr>
          <w:sz w:val="20"/>
          <w:szCs w:val="20"/>
          <w:color w:val="auto"/>
        </w:rPr>
      </w:pPr>
    </w:p>
    <w:p>
      <w:pPr>
        <w:ind w:right="100" w:firstLine="400"/>
        <w:spacing w:after="0" w:line="250" w:lineRule="auto"/>
        <w:rPr>
          <w:sz w:val="20"/>
          <w:szCs w:val="20"/>
          <w:color w:val="auto"/>
        </w:rPr>
      </w:pPr>
      <w:r>
        <w:rPr>
          <w:rFonts w:ascii="Arial" w:cs="Arial" w:eastAsia="Arial" w:hAnsi="Arial"/>
          <w:sz w:val="17"/>
          <w:szCs w:val="17"/>
          <w:color w:val="auto"/>
        </w:rPr>
        <w:t xml:space="preserve">Revenue increased to $5,804.3 million from $5,405.7 million, or a 7.4% increase, primarily driven by stronger client demand, as evidenced by our backlog growth. The increase in client demand coupled with our increased client staff headcount and staff billability, resulted in increases in our direct labor and corresponding generation of revenue growth. Revenue growth was also driven by an increase in billable expenses, including subcontractors and direct material and other direct cost purchases for clients. Conversions to funded backlog during fiscal 2017 totaled $5.9 billion in comparison to $5.4 billion for the comparable year </w:t>
      </w:r>
      <w:r>
        <w:rPr>
          <w:rFonts w:ascii="Arial" w:cs="Arial" w:eastAsia="Arial" w:hAnsi="Arial"/>
          <w:sz w:val="17"/>
          <w:szCs w:val="17"/>
          <w:color w:val="231F20"/>
        </w:rPr>
        <w:t>with the increase from fiscal 2016 to</w:t>
      </w:r>
      <w:r>
        <w:rPr>
          <w:rFonts w:ascii="Arial" w:cs="Arial" w:eastAsia="Arial" w:hAnsi="Arial"/>
          <w:sz w:val="17"/>
          <w:szCs w:val="17"/>
          <w:color w:val="auto"/>
        </w:rPr>
        <w:t xml:space="preserve"> </w:t>
      </w:r>
      <w:r>
        <w:rPr>
          <w:rFonts w:ascii="Arial" w:cs="Arial" w:eastAsia="Arial" w:hAnsi="Arial"/>
          <w:sz w:val="17"/>
          <w:szCs w:val="17"/>
          <w:color w:val="231F20"/>
        </w:rPr>
        <w:t xml:space="preserve">fiscal 2017 due to </w:t>
      </w:r>
      <w:r>
        <w:rPr>
          <w:rFonts w:ascii="Arial" w:cs="Arial" w:eastAsia="Arial" w:hAnsi="Arial"/>
          <w:sz w:val="17"/>
          <w:szCs w:val="17"/>
          <w:color w:val="000000"/>
        </w:rPr>
        <w:t>the conversion of unfunded backlog to funded backlog, the award of new contracts and task orders under which funding was appropriated, and the</w:t>
      </w:r>
      <w:r>
        <w:rPr>
          <w:rFonts w:ascii="Arial" w:cs="Arial" w:eastAsia="Arial" w:hAnsi="Arial"/>
          <w:sz w:val="17"/>
          <w:szCs w:val="17"/>
          <w:color w:val="231F20"/>
        </w:rPr>
        <w:t xml:space="preserve"> </w:t>
      </w:r>
      <w:r>
        <w:rPr>
          <w:rFonts w:ascii="Arial" w:cs="Arial" w:eastAsia="Arial" w:hAnsi="Arial"/>
          <w:sz w:val="17"/>
          <w:szCs w:val="17"/>
          <w:color w:val="000000"/>
        </w:rPr>
        <w:t>subsequent funding of priced options.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Cost of Revenue</w:t>
      </w:r>
    </w:p>
    <w:p>
      <w:pPr>
        <w:spacing w:after="0" w:line="55" w:lineRule="exact"/>
        <w:rPr>
          <w:sz w:val="20"/>
          <w:szCs w:val="20"/>
          <w:color w:val="auto"/>
        </w:rPr>
      </w:pPr>
    </w:p>
    <w:p>
      <w:pPr>
        <w:ind w:right="20" w:firstLine="400"/>
        <w:spacing w:after="0" w:line="252" w:lineRule="auto"/>
        <w:rPr>
          <w:sz w:val="20"/>
          <w:szCs w:val="20"/>
          <w:color w:val="auto"/>
        </w:rPr>
      </w:pPr>
      <w:r>
        <w:rPr>
          <w:rFonts w:ascii="Arial" w:cs="Arial" w:eastAsia="Arial" w:hAnsi="Arial"/>
          <w:sz w:val="17"/>
          <w:szCs w:val="17"/>
          <w:color w:val="auto"/>
        </w:rPr>
        <w:t>Cost of revenue increased to $2,692.0 million from $2,580.0 million, or a 4.3% increase. This increase was primarily due to an increase in salaries and salary-related benefits of $98.4 million and an increase in incentive compensation of $5.4 million. The increase in salaries and salary-related benefits was driven by an increase in headcount growth, annual base salary increases and consulting staff spending more time on direct contract activities. Cost of revenue as a percentage of revenue was 46.4% and 47.7% in fiscal 2017 and fiscal 2016, respectively.</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Billable Expenses</w:t>
      </w:r>
    </w:p>
    <w:p>
      <w:pPr>
        <w:spacing w:after="0" w:line="55" w:lineRule="exact"/>
        <w:rPr>
          <w:sz w:val="20"/>
          <w:szCs w:val="20"/>
          <w:color w:val="auto"/>
        </w:rPr>
      </w:pPr>
    </w:p>
    <w:p>
      <w:pPr>
        <w:ind w:right="160" w:firstLine="400"/>
        <w:spacing w:after="0" w:line="306" w:lineRule="auto"/>
        <w:rPr>
          <w:sz w:val="20"/>
          <w:szCs w:val="20"/>
          <w:color w:val="auto"/>
        </w:rPr>
      </w:pPr>
      <w:r>
        <w:rPr>
          <w:rFonts w:ascii="Arial" w:cs="Arial" w:eastAsia="Arial" w:hAnsi="Arial"/>
          <w:sz w:val="15"/>
          <w:szCs w:val="15"/>
          <w:color w:val="auto"/>
        </w:rPr>
        <w:t>Billable expenses increased to $1,751.1 million from $1,513.1 million, or a 15.7% increase. The overall increase was primarily attributable to an increase in use of subcontractors in the current year driven by client demand. In addition, contracts which require the Company to incur direct expenses on behalf of our clients have increased over the prior year period. Billable expenses as a percentage of revenue were 30.2% and 28.0% in fiscal 2017 and fiscal 2016, respectively.</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5" w:lineRule="exact"/>
        <w:rPr>
          <w:sz w:val="20"/>
          <w:szCs w:val="20"/>
          <w:color w:val="auto"/>
        </w:rPr>
      </w:pPr>
    </w:p>
    <w:p>
      <w:pPr>
        <w:ind w:right="340" w:firstLine="400"/>
        <w:spacing w:after="0" w:line="297" w:lineRule="auto"/>
        <w:rPr>
          <w:sz w:val="20"/>
          <w:szCs w:val="20"/>
          <w:color w:val="auto"/>
        </w:rPr>
      </w:pPr>
      <w:r>
        <w:rPr>
          <w:rFonts w:ascii="Arial" w:cs="Arial" w:eastAsia="Arial" w:hAnsi="Arial"/>
          <w:sz w:val="15"/>
          <w:szCs w:val="15"/>
          <w:color w:val="auto"/>
        </w:rPr>
        <w:t>General and administrative expenses increased to $817.4 million from $806.5 million, or a 1.4% increase, primarily due to the correction of an immaterial misstatement discussed in Note 13. In addition the Company recorded an impairment charge of $3.8 million for the technologies, customer relationships and other intangible assets related to a business acquisition. These increases were partially offset by decreases in occupancy costs and other business expenses of approximately $11.6 million. General and administrative expenses as a percentage of revenue were 14.1% and 14.9% for fiscal 2017 and fiscal 2016,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799" w:right="239" w:bottom="1440" w:gutter="0" w:footer="0" w:header="0"/>
        </w:sectPr>
      </w:pPr>
    </w:p>
    <w:bookmarkStart w:id="57" w:name="page58"/>
    <w:bookmarkEnd w:id="57"/>
    <w:p>
      <w:pPr>
        <w:ind w:left="220"/>
        <w:spacing w:after="0"/>
        <w:rPr>
          <w:sz w:val="20"/>
          <w:szCs w:val="20"/>
          <w:color w:val="auto"/>
        </w:rPr>
      </w:pPr>
      <w:r>
        <w:rPr>
          <w:rFonts w:ascii="Arial" w:cs="Arial" w:eastAsia="Arial" w:hAnsi="Arial"/>
          <w:sz w:val="17"/>
          <w:szCs w:val="17"/>
          <w:i w:val="1"/>
          <w:iCs w:val="1"/>
          <w:color w:val="auto"/>
        </w:rPr>
        <w:t>Depreciation and Amortization Expense</w:t>
      </w:r>
    </w:p>
    <w:p>
      <w:pPr>
        <w:spacing w:after="0" w:line="55" w:lineRule="exact"/>
        <w:rPr>
          <w:sz w:val="20"/>
          <w:szCs w:val="20"/>
          <w:color w:val="auto"/>
        </w:rPr>
      </w:pPr>
    </w:p>
    <w:p>
      <w:pPr>
        <w:ind w:right="440" w:firstLine="400"/>
        <w:spacing w:after="0" w:line="266" w:lineRule="auto"/>
        <w:rPr>
          <w:sz w:val="20"/>
          <w:szCs w:val="20"/>
          <w:color w:val="auto"/>
        </w:rPr>
      </w:pPr>
      <w:r>
        <w:rPr>
          <w:rFonts w:ascii="Arial" w:cs="Arial" w:eastAsia="Arial" w:hAnsi="Arial"/>
          <w:sz w:val="17"/>
          <w:szCs w:val="17"/>
          <w:color w:val="auto"/>
        </w:rPr>
        <w:t>Depreciation and amortization expense decreased to $59.5 million from $61.5 million, or a 3.2% decrease, primarily due to a decrease in depreciation expense resulting from the effect of lower capital expenditures in prior years.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Interest Expense</w:t>
      </w:r>
    </w:p>
    <w:p>
      <w:pPr>
        <w:spacing w:after="0" w:line="55" w:lineRule="exact"/>
        <w:rPr>
          <w:sz w:val="20"/>
          <w:szCs w:val="20"/>
          <w:color w:val="auto"/>
        </w:rPr>
      </w:pPr>
    </w:p>
    <w:p>
      <w:pPr>
        <w:ind w:right="620" w:firstLine="400"/>
        <w:spacing w:after="0" w:line="266" w:lineRule="auto"/>
        <w:rPr>
          <w:sz w:val="20"/>
          <w:szCs w:val="20"/>
          <w:color w:val="auto"/>
        </w:rPr>
      </w:pPr>
      <w:r>
        <w:rPr>
          <w:rFonts w:ascii="Arial" w:cs="Arial" w:eastAsia="Arial" w:hAnsi="Arial"/>
          <w:sz w:val="17"/>
          <w:szCs w:val="17"/>
          <w:color w:val="auto"/>
        </w:rPr>
        <w:t>Interest expense decreased to $62.3 million from $70.8 million, or a 12.0% decrease, primarily as a result of the Third Amendment to the Credit Agreement consummated in July 2016, which reduced interest expense for fiscal 2017 as compared to fiscal 2016.</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Income Tax Expense</w:t>
      </w:r>
    </w:p>
    <w:p>
      <w:pPr>
        <w:spacing w:after="0" w:line="55" w:lineRule="exact"/>
        <w:rPr>
          <w:sz w:val="20"/>
          <w:szCs w:val="20"/>
          <w:color w:val="auto"/>
        </w:rPr>
      </w:pPr>
    </w:p>
    <w:p>
      <w:pPr>
        <w:ind w:right="260" w:firstLine="400"/>
        <w:spacing w:after="0" w:line="266" w:lineRule="auto"/>
        <w:rPr>
          <w:sz w:val="20"/>
          <w:szCs w:val="20"/>
          <w:color w:val="auto"/>
        </w:rPr>
      </w:pPr>
      <w:r>
        <w:rPr>
          <w:rFonts w:ascii="Arial" w:cs="Arial" w:eastAsia="Arial" w:hAnsi="Arial"/>
          <w:sz w:val="17"/>
          <w:szCs w:val="17"/>
          <w:color w:val="auto"/>
        </w:rPr>
        <w:t>Income tax expense increased to $159.4 million from $85.4 million, or an 86.7% increase. The effective tax rate increased from 22.5% in fiscal 2016 to 38.7% in fiscal 2017, primarily due to the release of uncertain tax position reserves in the prior year.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Fiscal 2016 Compared to Fiscal 2015</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Revenue</w:t>
      </w:r>
    </w:p>
    <w:p>
      <w:pPr>
        <w:spacing w:after="0" w:line="55" w:lineRule="exact"/>
        <w:rPr>
          <w:sz w:val="20"/>
          <w:szCs w:val="20"/>
          <w:color w:val="auto"/>
        </w:rPr>
      </w:pPr>
    </w:p>
    <w:p>
      <w:pPr>
        <w:ind w:right="20" w:firstLine="400"/>
        <w:spacing w:after="0" w:line="286" w:lineRule="auto"/>
        <w:rPr>
          <w:sz w:val="20"/>
          <w:szCs w:val="20"/>
          <w:color w:val="auto"/>
        </w:rPr>
      </w:pPr>
      <w:r>
        <w:rPr>
          <w:rFonts w:ascii="Arial" w:cs="Arial" w:eastAsia="Arial" w:hAnsi="Arial"/>
          <w:sz w:val="15"/>
          <w:szCs w:val="15"/>
          <w:color w:val="auto"/>
        </w:rPr>
        <w:t>Revenue increased to $5,405.7 million from $5,274.8 million, or a 2.5% increase as a result of an increase in client demand, which includes an increase in billable expenses, as well as the increase in indirect spending over the prior year period which had the effect of increasing revenue on cost reimbursable contracts. The increase in billable expenses was due to an increased use of subcontractors on contracts, which includes the impact of an increase in small business procurement goals set by the government. In addition, contracts which require the Company to incur direct expenses on behalf of our clients increased over the prior year period. The growth in indirect spending for the year was primarily driven by increased marketing, administrative, and bid and proposal activities in order to drive continued growth in fiscal 2017. The increase in revenue also benefitted from a net decrease in the Company's provisions for the potential recovery of allowable expenses recorded during fiscal 2016 without a similar net change for fiscal 2015. Conversions to funded backlog during fiscal 2016 totaled $5.4 billion in comparison to $5.7 billion for the comparable year with the decrease from fiscal 2015 to fiscal 2016 due to the increase in burn rate of funded backlog compared to awarded task orders under which funding was appropriated.</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Cost of Revenue</w:t>
      </w:r>
    </w:p>
    <w:p>
      <w:pPr>
        <w:spacing w:after="0" w:line="55" w:lineRule="exact"/>
        <w:rPr>
          <w:sz w:val="20"/>
          <w:szCs w:val="20"/>
          <w:color w:val="auto"/>
        </w:rPr>
      </w:pPr>
    </w:p>
    <w:p>
      <w:pPr>
        <w:ind w:firstLine="400"/>
        <w:spacing w:after="0" w:line="270" w:lineRule="auto"/>
        <w:rPr>
          <w:sz w:val="20"/>
          <w:szCs w:val="20"/>
          <w:color w:val="auto"/>
        </w:rPr>
      </w:pPr>
      <w:r>
        <w:rPr>
          <w:rFonts w:ascii="Arial" w:cs="Arial" w:eastAsia="Arial" w:hAnsi="Arial"/>
          <w:sz w:val="16"/>
          <w:szCs w:val="16"/>
          <w:color w:val="auto"/>
        </w:rPr>
        <w:t>Cost of revenue decreased to $2,580.0 million from $2,593.8 million, or a 0.5% decrease. This decrease was primarily due to a decrease in salaries and salary-related benefits of $5.8 million and a decrease in incentive compensation of $10.1 million. The decrease in salaries and salary-related benefits was due to a decrease in medical insurance expense as well as an increase in consulting staff time spent on strategic investment and bid and proposal activities, in lieu of direct contract activities, over the prior year. As proposal activity is a general and administrative activity, this contributes to a decrease within cost of revenue. Cost of revenue as a percentage of revenue was 47.7% and 49.2% in fiscal 2016 and fiscal 2015,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Billable Expenses</w:t>
      </w:r>
    </w:p>
    <w:p>
      <w:pPr>
        <w:spacing w:after="0" w:line="55" w:lineRule="exact"/>
        <w:rPr>
          <w:sz w:val="20"/>
          <w:szCs w:val="20"/>
          <w:color w:val="auto"/>
        </w:rPr>
      </w:pPr>
    </w:p>
    <w:p>
      <w:pPr>
        <w:ind w:right="40" w:firstLine="400"/>
        <w:spacing w:after="0" w:line="252" w:lineRule="auto"/>
        <w:rPr>
          <w:sz w:val="20"/>
          <w:szCs w:val="20"/>
          <w:color w:val="auto"/>
        </w:rPr>
      </w:pPr>
      <w:r>
        <w:rPr>
          <w:rFonts w:ascii="Arial" w:cs="Arial" w:eastAsia="Arial" w:hAnsi="Arial"/>
          <w:sz w:val="17"/>
          <w:szCs w:val="17"/>
          <w:color w:val="auto"/>
        </w:rPr>
        <w:t>Billable expenses increased to $1,513.1 million from $1,406.5 million, or a 7.6% increase. The overall increase was primarily attributable to an increase in small business procurement goals set by the government which required the Company to utilize more subcontractors in the current year. In addition, contracts which require the Company to incur direct expenses on behalf of our clients has increased over the prior year period. Billable expenses as a percentage of revenue were 28.0% and 26.7% in fiscal 2016 and fiscal 2015, respectively.</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5" w:lineRule="exact"/>
        <w:rPr>
          <w:sz w:val="20"/>
          <w:szCs w:val="20"/>
          <w:color w:val="auto"/>
        </w:rPr>
      </w:pPr>
    </w:p>
    <w:p>
      <w:pPr>
        <w:ind w:right="100" w:firstLine="400"/>
        <w:spacing w:after="0" w:line="251" w:lineRule="auto"/>
        <w:rPr>
          <w:sz w:val="20"/>
          <w:szCs w:val="20"/>
          <w:color w:val="auto"/>
        </w:rPr>
      </w:pPr>
      <w:r>
        <w:rPr>
          <w:rFonts w:ascii="Arial" w:cs="Arial" w:eastAsia="Arial" w:hAnsi="Arial"/>
          <w:sz w:val="17"/>
          <w:szCs w:val="17"/>
          <w:color w:val="auto"/>
        </w:rPr>
        <w:t>General and administrative expenses increased to $806.5 million from $752.9 million, or a 7.1% increase. This increase was mainly due to an increase in salaries and salary-related benefits of $43.5 million, primarily due to an increase in consulting staff time spent on strategic investment and bid and proposal activities, in lieu of direct contract activities, over the prior year. In addition, there was an increase in professional fees and other business expenses of $18.5 million. The increases were partially offset by a decrease in incentive compensation of $6.4 million. General and administrative expenses as a percentage of revenue were 14.9% and 14.3% for fiscal 2016 and fiscal 2015, respectively.</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Depreciation and Amortization Expense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Depreciation and amortization expense decreased to $61.5 million from $62.7 million, or a 1.8% decrease.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Interest Expense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Interest expense decreased to $70.8 million from $71.8 million, or a 1.4% decrease.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Income Tax Expense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803" w:right="239" w:bottom="1440" w:gutter="0" w:footer="0" w:header="0"/>
        </w:sectPr>
      </w:pPr>
    </w:p>
    <w:bookmarkStart w:id="58" w:name="page59"/>
    <w:bookmarkEnd w:id="58"/>
    <w:p>
      <w:pPr>
        <w:ind w:right="220" w:firstLine="400"/>
        <w:spacing w:after="0" w:line="334" w:lineRule="auto"/>
        <w:rPr>
          <w:sz w:val="20"/>
          <w:szCs w:val="20"/>
          <w:color w:val="auto"/>
        </w:rPr>
      </w:pPr>
      <w:r>
        <w:rPr>
          <w:rFonts w:ascii="Arial" w:cs="Arial" w:eastAsia="Arial" w:hAnsi="Arial"/>
          <w:sz w:val="15"/>
          <w:szCs w:val="15"/>
          <w:color w:val="auto"/>
        </w:rPr>
        <w:t>Income tax expense decreased to $85.4 million from $153.3 million, or a 44.3% decrease, primarily due to a decrease in the effective tax rate in fiscal 2016 from 39.7% to 22.5%. The effective tax rate decreased primarily due to the release of uncertain tax position reserves and certain income tax credits recognized in fiscal 2016.</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As of March 31, 2017, our total liquidity was $587.4 million, consisting of $217.4 million of cash and cash equivalents and $370.0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selected financial information for the periods presented:</w:t>
      </w:r>
    </w:p>
    <w:p>
      <w:pPr>
        <w:spacing w:after="0" w:line="347" w:lineRule="exact"/>
        <w:rPr>
          <w:sz w:val="20"/>
          <w:szCs w:val="20"/>
          <w:color w:val="auto"/>
        </w:rPr>
      </w:pPr>
    </w:p>
    <w:tbl>
      <w:tblPr>
        <w:tblLayout w:type="fixed"/>
        <w:tblInd w:w="720" w:type="dxa"/>
        <w:tblCellMar>
          <w:top w:w="0" w:type="dxa"/>
          <w:left w:w="0" w:type="dxa"/>
          <w:bottom w:w="0" w:type="dxa"/>
          <w:right w:w="0" w:type="dxa"/>
        </w:tblCellMar>
      </w:tblPr>
      <w:tr>
        <w:trPr>
          <w:trHeight w:val="178"/>
        </w:trPr>
        <w:tc>
          <w:tcPr>
            <w:tcW w:w="5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4"/>
              </w:rPr>
              <w:t>Fiscal Year Ended March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43"/>
        </w:trPr>
        <w:tc>
          <w:tcPr>
            <w:tcW w:w="5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2015</w:t>
            </w:r>
          </w:p>
        </w:tc>
      </w:tr>
      <w:tr>
        <w:trPr>
          <w:trHeight w:val="180"/>
        </w:trPr>
        <w:tc>
          <w:tcPr>
            <w:tcW w:w="5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(In thousands)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217,417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187,529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207,217</w:t>
            </w:r>
          </w:p>
        </w:tc>
      </w:tr>
      <w:tr>
        <w:trPr>
          <w:trHeight w:val="225"/>
        </w:trPr>
        <w:tc>
          <w:tcPr>
            <w:tcW w:w="530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1,663,324</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
              <w:spacing w:after="0"/>
              <w:rPr>
                <w:sz w:val="20"/>
                <w:szCs w:val="20"/>
                <w:color w:val="auto"/>
              </w:rPr>
            </w:pPr>
            <w:r>
              <w:rPr>
                <w:rFonts w:ascii="Arial" w:cs="Arial" w:eastAsia="Arial" w:hAnsi="Arial"/>
                <w:sz w:val="17"/>
                <w:szCs w:val="17"/>
                <w:color w:val="auto"/>
              </w:rPr>
              <w:t>1,597,261</w:t>
            </w:r>
          </w:p>
        </w:tc>
        <w:tc>
          <w:tcPr>
            <w:tcW w:w="10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1,612,824</w:t>
            </w:r>
          </w:p>
        </w:tc>
      </w:tr>
      <w:tr>
        <w:trPr>
          <w:trHeight w:val="25"/>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5"/>
        </w:trPr>
        <w:tc>
          <w:tcPr>
            <w:tcW w:w="530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382,277</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
              <w:spacing w:after="0"/>
              <w:rPr>
                <w:sz w:val="20"/>
                <w:szCs w:val="20"/>
                <w:color w:val="auto"/>
              </w:rPr>
            </w:pPr>
            <w:r>
              <w:rPr>
                <w:rFonts w:ascii="Arial" w:cs="Arial" w:eastAsia="Arial" w:hAnsi="Arial"/>
                <w:sz w:val="17"/>
                <w:szCs w:val="17"/>
                <w:color w:val="auto"/>
              </w:rPr>
              <w:t>249,234</w:t>
            </w:r>
          </w:p>
        </w:tc>
        <w:tc>
          <w:tcPr>
            <w:tcW w:w="10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309,958</w:t>
            </w:r>
          </w:p>
        </w:tc>
      </w:tr>
      <w:tr>
        <w:trPr>
          <w:trHeight w:val="25"/>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(300,896)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(60,575)</w:t>
            </w:r>
          </w:p>
        </w:tc>
      </w:tr>
      <w:tr>
        <w:trPr>
          <w:trHeight w:val="225"/>
        </w:trPr>
        <w:tc>
          <w:tcPr>
            <w:tcW w:w="5300" w:type="dxa"/>
            <w:vAlign w:val="bottom"/>
          </w:tcPr>
          <w:p>
            <w:pPr>
              <w:ind w:left="20"/>
              <w:spacing w:after="0"/>
              <w:rPr>
                <w:sz w:val="20"/>
                <w:szCs w:val="20"/>
                <w:color w:val="auto"/>
              </w:rPr>
            </w:pPr>
            <w:r>
              <w:rPr>
                <w:rFonts w:ascii="Arial" w:cs="Arial" w:eastAsia="Arial" w:hAnsi="Arial"/>
                <w:sz w:val="17"/>
                <w:szCs w:val="17"/>
                <w:color w:val="auto"/>
              </w:rPr>
              <w:t>Net cash used in financing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(51,493)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(151,169)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(302,160)</w:t>
            </w:r>
          </w:p>
        </w:tc>
      </w:tr>
      <w:tr>
        <w:trPr>
          <w:trHeight w:val="25"/>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increase (decrease) in cash and cash equivalents</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29,888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(52,777)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375"/>
        <w:spacing w:after="0" w:line="273" w:lineRule="auto"/>
        <w:rPr>
          <w:sz w:val="20"/>
          <w:szCs w:val="20"/>
          <w:color w:val="auto"/>
        </w:rPr>
      </w:pPr>
      <w:r>
        <w:rPr>
          <w:rFonts w:ascii="Arial" w:cs="Arial" w:eastAsia="Arial" w:hAnsi="Arial"/>
          <w:sz w:val="16"/>
          <w:szCs w:val="16"/>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recurring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64" w:lineRule="exact"/>
        <w:rPr>
          <w:sz w:val="20"/>
          <w:szCs w:val="20"/>
          <w:color w:val="auto"/>
        </w:rPr>
      </w:pPr>
    </w:p>
    <w:p>
      <w:pPr>
        <w:ind w:firstLine="375"/>
        <w:spacing w:after="0" w:line="266" w:lineRule="auto"/>
        <w:rPr>
          <w:sz w:val="20"/>
          <w:szCs w:val="20"/>
          <w:color w:val="auto"/>
        </w:rPr>
      </w:pPr>
      <w:r>
        <w:rPr>
          <w:rFonts w:ascii="Arial" w:cs="Arial" w:eastAsia="Arial" w:hAnsi="Arial"/>
          <w:sz w:val="16"/>
          <w:szCs w:val="16"/>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71" w:lineRule="exact"/>
        <w:rPr>
          <w:sz w:val="20"/>
          <w:szCs w:val="20"/>
          <w:color w:val="auto"/>
        </w:rPr>
      </w:pPr>
    </w:p>
    <w:p>
      <w:pPr>
        <w:ind w:left="1200" w:hanging="599"/>
        <w:spacing w:after="0"/>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operating expenses, including salaries;</w:t>
      </w:r>
    </w:p>
    <w:p>
      <w:pPr>
        <w:spacing w:after="0" w:line="205" w:lineRule="exact"/>
        <w:rPr>
          <w:rFonts w:ascii="Arial" w:cs="Arial" w:eastAsia="Arial" w:hAnsi="Arial"/>
          <w:sz w:val="17"/>
          <w:szCs w:val="17"/>
          <w:color w:val="auto"/>
        </w:rPr>
      </w:pPr>
    </w:p>
    <w:p>
      <w:pPr>
        <w:ind w:left="1200" w:hanging="599"/>
        <w:spacing w:after="0"/>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working capital requirements to fund the growth of our business;</w:t>
      </w:r>
    </w:p>
    <w:p>
      <w:pPr>
        <w:spacing w:after="0" w:line="205" w:lineRule="exact"/>
        <w:rPr>
          <w:rFonts w:ascii="Arial" w:cs="Arial" w:eastAsia="Arial" w:hAnsi="Arial"/>
          <w:sz w:val="17"/>
          <w:szCs w:val="17"/>
          <w:color w:val="auto"/>
        </w:rPr>
      </w:pPr>
    </w:p>
    <w:p>
      <w:pPr>
        <w:ind w:left="1200" w:right="580" w:hanging="599"/>
        <w:spacing w:after="0" w:line="266" w:lineRule="auto"/>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capital expenditures which primarily relate to the purchase of computers, business systems, furniture and leasehold improvements to support our operations;</w:t>
      </w:r>
    </w:p>
    <w:p>
      <w:pPr>
        <w:spacing w:after="0" w:line="167" w:lineRule="exact"/>
        <w:rPr>
          <w:rFonts w:ascii="Arial" w:cs="Arial" w:eastAsia="Arial" w:hAnsi="Arial"/>
          <w:sz w:val="17"/>
          <w:szCs w:val="17"/>
          <w:color w:val="auto"/>
        </w:rPr>
      </w:pPr>
    </w:p>
    <w:p>
      <w:pPr>
        <w:ind w:left="1200" w:hanging="599"/>
        <w:spacing w:after="0"/>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commitments and other discretionary investments;</w:t>
      </w:r>
    </w:p>
    <w:p>
      <w:pPr>
        <w:spacing w:after="0" w:line="205" w:lineRule="exact"/>
        <w:rPr>
          <w:rFonts w:ascii="Arial" w:cs="Arial" w:eastAsia="Arial" w:hAnsi="Arial"/>
          <w:sz w:val="17"/>
          <w:szCs w:val="17"/>
          <w:color w:val="auto"/>
        </w:rPr>
      </w:pPr>
    </w:p>
    <w:p>
      <w:pPr>
        <w:ind w:left="1200" w:hanging="599"/>
        <w:spacing w:after="0"/>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debt service requirements for borrowings under our Secured Credit Facility and interest payments for the Notes; and</w:t>
      </w:r>
    </w:p>
    <w:p>
      <w:pPr>
        <w:spacing w:after="0" w:line="205" w:lineRule="exact"/>
        <w:rPr>
          <w:rFonts w:ascii="Arial" w:cs="Arial" w:eastAsia="Arial" w:hAnsi="Arial"/>
          <w:sz w:val="17"/>
          <w:szCs w:val="17"/>
          <w:color w:val="auto"/>
        </w:rPr>
      </w:pPr>
    </w:p>
    <w:p>
      <w:pPr>
        <w:ind w:left="1200" w:hanging="599"/>
        <w:spacing w:after="0"/>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cash taxes to be paid.</w:t>
      </w:r>
    </w:p>
    <w:p>
      <w:pPr>
        <w:spacing w:after="0" w:line="205" w:lineRule="exact"/>
        <w:rPr>
          <w:sz w:val="20"/>
          <w:szCs w:val="20"/>
          <w:color w:val="auto"/>
        </w:rPr>
      </w:pPr>
    </w:p>
    <w:p>
      <w:pPr>
        <w:ind w:right="180" w:firstLine="375"/>
        <w:spacing w:after="0" w:line="266" w:lineRule="auto"/>
        <w:rPr>
          <w:sz w:val="20"/>
          <w:szCs w:val="20"/>
          <w:color w:val="auto"/>
        </w:rPr>
      </w:pPr>
      <w:r>
        <w:rPr>
          <w:rFonts w:ascii="Arial" w:cs="Arial" w:eastAsia="Arial" w:hAnsi="Arial"/>
          <w:sz w:val="17"/>
          <w:szCs w:val="17"/>
          <w:color w:val="auto"/>
        </w:rPr>
        <w:t>Our ability to fund our operating needs depends, in part, on our ability to continue to generate positive cash flows from operations or, if necessary, raise cash in the capital markets.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703" w:right="239" w:bottom="1440" w:gutter="0" w:footer="0" w:header="0"/>
        </w:sectPr>
      </w:pPr>
    </w:p>
    <w:bookmarkStart w:id="59" w:name="page60"/>
    <w:bookmarkEnd w:id="59"/>
    <w:p>
      <w:pPr>
        <w:ind w:left="220"/>
        <w:spacing w:after="0"/>
        <w:rPr>
          <w:sz w:val="20"/>
          <w:szCs w:val="20"/>
          <w:color w:val="auto"/>
        </w:rPr>
      </w:pPr>
      <w:r>
        <w:rPr>
          <w:rFonts w:ascii="Arial" w:cs="Arial" w:eastAsia="Arial" w:hAnsi="Arial"/>
          <w:sz w:val="17"/>
          <w:szCs w:val="17"/>
          <w:b w:val="1"/>
          <w:bCs w:val="1"/>
          <w:i w:val="1"/>
          <w:iCs w:val="1"/>
          <w:color w:val="auto"/>
        </w:rPr>
        <w:t>Cash Flows</w:t>
      </w:r>
    </w:p>
    <w:p>
      <w:pPr>
        <w:spacing w:after="0" w:line="205" w:lineRule="exact"/>
        <w:rPr>
          <w:sz w:val="20"/>
          <w:szCs w:val="20"/>
          <w:color w:val="auto"/>
        </w:rPr>
      </w:pPr>
    </w:p>
    <w:p>
      <w:pPr>
        <w:ind w:right="240" w:firstLine="375"/>
        <w:spacing w:after="0" w:line="268"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69" w:lineRule="exact"/>
        <w:rPr>
          <w:sz w:val="20"/>
          <w:szCs w:val="20"/>
          <w:color w:val="auto"/>
        </w:rPr>
      </w:pPr>
    </w:p>
    <w:p>
      <w:pPr>
        <w:ind w:firstLine="375"/>
        <w:spacing w:after="0" w:line="267"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60 for both March 31, 2017 and 2016.</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Operating Cash Flow</w:t>
      </w:r>
    </w:p>
    <w:p>
      <w:pPr>
        <w:spacing w:after="0" w:line="205" w:lineRule="exact"/>
        <w:rPr>
          <w:sz w:val="20"/>
          <w:szCs w:val="20"/>
          <w:color w:val="auto"/>
        </w:rPr>
      </w:pPr>
    </w:p>
    <w:p>
      <w:pPr>
        <w:ind w:right="80" w:firstLine="375"/>
        <w:spacing w:after="0" w:line="268" w:lineRule="auto"/>
        <w:rPr>
          <w:sz w:val="20"/>
          <w:szCs w:val="20"/>
          <w:color w:val="auto"/>
        </w:rPr>
      </w:pPr>
      <w:r>
        <w:rPr>
          <w:rFonts w:ascii="Arial" w:cs="Arial" w:eastAsia="Arial" w:hAnsi="Arial"/>
          <w:sz w:val="16"/>
          <w:szCs w:val="16"/>
          <w:color w:val="auto"/>
        </w:rPr>
        <w:t>Net cash provided by operations is primarily affected by the overall profitability of our contracts, our ability to invoice and collect from clients in a timely manner, and our ability to manage our vendor payments. Continued uncertainty in global economic conditions may also affect our business as customers and suppliers may decide to downsize, defer, or cancel contracts, which could negatively affect the operating cash flows. Net cash provided by operations was $382.3 million in fiscal 2017 compared to $249.2 million in the same prior year period, or a 53.4% increase. The increase in net cash provided by operations was primarily due to overall revenue and profitability growth while managing working capital needs inclusive of maintaining timely collections of cash at a DSO of 60 as of March 31, 2017 while managing vendor payments. Cash from operations also benefited from a reduction in cash taxes paid.</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Investing Cash Flow</w:t>
      </w:r>
    </w:p>
    <w:p>
      <w:pPr>
        <w:spacing w:after="0" w:line="205" w:lineRule="exact"/>
        <w:rPr>
          <w:sz w:val="20"/>
          <w:szCs w:val="20"/>
          <w:color w:val="auto"/>
        </w:rPr>
      </w:pPr>
    </w:p>
    <w:p>
      <w:pPr>
        <w:ind w:right="80" w:firstLine="375"/>
        <w:spacing w:after="0" w:line="298" w:lineRule="auto"/>
        <w:rPr>
          <w:sz w:val="20"/>
          <w:szCs w:val="20"/>
          <w:color w:val="auto"/>
        </w:rPr>
      </w:pPr>
      <w:r>
        <w:rPr>
          <w:rFonts w:ascii="Arial" w:cs="Arial" w:eastAsia="Arial" w:hAnsi="Arial"/>
          <w:sz w:val="16"/>
          <w:szCs w:val="16"/>
          <w:color w:val="auto"/>
        </w:rPr>
        <w:t>Net cash used in investing activities was $300.9 million in fiscal 2017 compared to $117.8 million in the prior year period, or a 155.5% increase. The increase in net cash used in investing activities was primarily due to the Company's acquisition of eGov Holdings, Inc. (d/b/a Aquilent) on January 24, 2017.</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Financing Cash Flow</w:t>
      </w:r>
    </w:p>
    <w:p>
      <w:pPr>
        <w:spacing w:after="0" w:line="205" w:lineRule="exact"/>
        <w:rPr>
          <w:sz w:val="20"/>
          <w:szCs w:val="20"/>
          <w:color w:val="auto"/>
        </w:rPr>
      </w:pPr>
    </w:p>
    <w:p>
      <w:pPr>
        <w:ind w:right="100" w:firstLine="375"/>
        <w:spacing w:after="0" w:line="251" w:lineRule="auto"/>
        <w:rPr>
          <w:sz w:val="20"/>
          <w:szCs w:val="20"/>
          <w:color w:val="auto"/>
        </w:rPr>
      </w:pPr>
      <w:r>
        <w:rPr>
          <w:rFonts w:ascii="Arial" w:cs="Arial" w:eastAsia="Arial" w:hAnsi="Arial"/>
          <w:sz w:val="17"/>
          <w:szCs w:val="17"/>
          <w:color w:val="auto"/>
        </w:rPr>
        <w:t>Net cash used in financing activities was $51.5 million in fiscal 2017 compared to $151.2 million in the prior year period, or a 65.9% decrease. The decrease in net cash used in financing activities was primarily due to a decrease in payments of dividend equivalents to option holders of $29.5 million primarily as a result of the final exercise or termination of all remaining rollover options. In addition, during fiscal 2017, the Company borrowed $575.0 million on its Revolving Credit Facility of which $480.0 million was repaid as of March 31, 2017, as compared to fiscal 2016 where the Company borrowed $273.0 million and repaid $238.0 million as of March 31, 2016, resulting in an increase in cash of $60.0 million year over year.</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Dividends and Share Repurchases</w:t>
      </w:r>
    </w:p>
    <w:p>
      <w:pPr>
        <w:spacing w:after="0" w:line="205" w:lineRule="exact"/>
        <w:rPr>
          <w:sz w:val="20"/>
          <w:szCs w:val="20"/>
          <w:color w:val="auto"/>
        </w:rPr>
      </w:pPr>
    </w:p>
    <w:p>
      <w:pPr>
        <w:ind w:right="560" w:firstLine="375"/>
        <w:spacing w:after="0" w:line="298" w:lineRule="auto"/>
        <w:rPr>
          <w:sz w:val="20"/>
          <w:szCs w:val="20"/>
          <w:color w:val="auto"/>
        </w:rPr>
      </w:pPr>
      <w:r>
        <w:rPr>
          <w:rFonts w:ascii="Arial" w:cs="Arial" w:eastAsia="Arial" w:hAnsi="Arial"/>
          <w:sz w:val="16"/>
          <w:szCs w:val="16"/>
          <w:color w:val="auto"/>
        </w:rPr>
        <w:t>The Company paid $0.62 in dividends per share to shareholders of record in fiscal 2017. On May 22, 2017, the Company announced a regular quarterly cash dividend in the amount of $0.17 per share. The quarterly dividend is payable on June 30, 2017 to stockholders of record on June 10, 2017.</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cash distributions recognized in the consolidated statement of cash flows:</w:t>
      </w:r>
    </w:p>
    <w:p>
      <w:pPr>
        <w:spacing w:after="0" w:line="200" w:lineRule="exact"/>
        <w:rPr>
          <w:sz w:val="20"/>
          <w:szCs w:val="20"/>
          <w:color w:val="auto"/>
        </w:rPr>
      </w:pPr>
    </w:p>
    <w:p>
      <w:pPr>
        <w:spacing w:after="0" w:line="210" w:lineRule="exact"/>
        <w:rPr>
          <w:sz w:val="20"/>
          <w:szCs w:val="20"/>
          <w:color w:val="auto"/>
        </w:rPr>
      </w:pPr>
    </w:p>
    <w:tbl>
      <w:tblPr>
        <w:tblLayout w:type="fixed"/>
        <w:tblInd w:w="1420" w:type="dxa"/>
        <w:tblCellMar>
          <w:top w:w="0" w:type="dxa"/>
          <w:left w:w="0" w:type="dxa"/>
          <w:bottom w:w="0" w:type="dxa"/>
          <w:right w:w="0" w:type="dxa"/>
        </w:tblCellMar>
      </w:tblPr>
      <w:tr>
        <w:trPr>
          <w:trHeight w:val="178"/>
        </w:trPr>
        <w:tc>
          <w:tcPr>
            <w:tcW w:w="2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3"/>
                <w:szCs w:val="13"/>
                <w:b w:val="1"/>
                <w:bCs w:val="1"/>
                <w:color w:val="auto"/>
                <w:w w:val="93"/>
              </w:rPr>
              <w:t>Fiscal Year Ended March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thousands)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Recurring dividends (1)</w:t>
            </w:r>
          </w:p>
        </w:tc>
        <w:tc>
          <w:tcPr>
            <w:tcW w:w="2100" w:type="dxa"/>
            <w:vAlign w:val="bottom"/>
            <w:tcBorders>
              <w:bottom w:val="single" w:sz="8" w:color="BFE4FF"/>
            </w:tcBorders>
            <w:gridSpan w:val="2"/>
            <w:shd w:val="clear" w:color="auto" w:fill="BFE4FF"/>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BFE4FF"/>
            </w:tcBorders>
            <w:shd w:val="clear" w:color="auto" w:fill="BFE4FF"/>
          </w:tcPr>
          <w:p>
            <w:pPr>
              <w:jc w:val="right"/>
              <w:ind w:right="2"/>
              <w:spacing w:after="0"/>
              <w:rPr>
                <w:sz w:val="20"/>
                <w:szCs w:val="20"/>
                <w:color w:val="auto"/>
              </w:rPr>
            </w:pPr>
            <w:r>
              <w:rPr>
                <w:rFonts w:ascii="Arial" w:cs="Arial" w:eastAsia="Arial" w:hAnsi="Arial"/>
                <w:sz w:val="17"/>
                <w:szCs w:val="17"/>
                <w:color w:val="auto"/>
              </w:rPr>
              <w:t>92,925</w:t>
            </w:r>
          </w:p>
        </w:tc>
        <w:tc>
          <w:tcPr>
            <w:tcW w:w="10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BFE4FF"/>
            </w:tcBorders>
            <w:shd w:val="clear" w:color="auto" w:fill="BFE4FF"/>
          </w:tcPr>
          <w:p>
            <w:pPr>
              <w:jc w:val="right"/>
              <w:ind w:right="2"/>
              <w:spacing w:after="0"/>
              <w:rPr>
                <w:sz w:val="20"/>
                <w:szCs w:val="20"/>
                <w:color w:val="auto"/>
              </w:rPr>
            </w:pPr>
            <w:r>
              <w:rPr>
                <w:rFonts w:ascii="Arial" w:cs="Arial" w:eastAsia="Arial" w:hAnsi="Arial"/>
                <w:sz w:val="17"/>
                <w:szCs w:val="17"/>
                <w:color w:val="auto"/>
              </w:rPr>
              <w:t>80,015</w:t>
            </w: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67,846</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Arial" w:cs="Arial" w:eastAsia="Arial" w:hAnsi="Arial"/>
                <w:sz w:val="17"/>
                <w:szCs w:val="17"/>
                <w:color w:val="auto"/>
              </w:rPr>
              <w:t>Special dividends (2)</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147,248</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Dividend equivalents (3)</w:t>
            </w:r>
          </w:p>
        </w:tc>
        <w:tc>
          <w:tcPr>
            <w:tcW w:w="18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2"/>
              <w:spacing w:after="0"/>
              <w:rPr>
                <w:sz w:val="20"/>
                <w:szCs w:val="20"/>
                <w:color w:val="auto"/>
              </w:rPr>
            </w:pPr>
            <w:r>
              <w:rPr>
                <w:rFonts w:ascii="Arial" w:cs="Arial" w:eastAsia="Arial" w:hAnsi="Arial"/>
                <w:sz w:val="17"/>
                <w:szCs w:val="17"/>
                <w:color w:val="auto"/>
              </w:rPr>
              <w:t>2,254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2"/>
              <w:spacing w:after="0"/>
              <w:rPr>
                <w:sz w:val="20"/>
                <w:szCs w:val="20"/>
                <w:color w:val="auto"/>
              </w:rPr>
            </w:pPr>
            <w:r>
              <w:rPr>
                <w:rFonts w:ascii="Arial" w:cs="Arial" w:eastAsia="Arial" w:hAnsi="Arial"/>
                <w:sz w:val="17"/>
                <w:szCs w:val="17"/>
                <w:color w:val="auto"/>
              </w:rPr>
              <w:t>31,802</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47,110</w:t>
            </w:r>
          </w:p>
        </w:tc>
        <w:tc>
          <w:tcPr>
            <w:tcW w:w="0" w:type="dxa"/>
            <w:vAlign w:val="bottom"/>
          </w:tcPr>
          <w:p>
            <w:pPr>
              <w:spacing w:after="0"/>
              <w:rPr>
                <w:sz w:val="1"/>
                <w:szCs w:val="1"/>
                <w:color w:val="auto"/>
              </w:rPr>
            </w:pPr>
          </w:p>
        </w:tc>
      </w:tr>
      <w:tr>
        <w:trPr>
          <w:trHeight w:val="235"/>
        </w:trPr>
        <w:tc>
          <w:tcPr>
            <w:tcW w:w="2940" w:type="dxa"/>
            <w:vAlign w:val="bottom"/>
          </w:tcPr>
          <w:p>
            <w:pPr>
              <w:ind w:left="160"/>
              <w:spacing w:after="0"/>
              <w:rPr>
                <w:sz w:val="20"/>
                <w:szCs w:val="20"/>
                <w:color w:val="auto"/>
              </w:rPr>
            </w:pPr>
            <w:r>
              <w:rPr>
                <w:rFonts w:ascii="Arial" w:cs="Arial" w:eastAsia="Arial" w:hAnsi="Arial"/>
                <w:sz w:val="17"/>
                <w:szCs w:val="17"/>
                <w:color w:val="auto"/>
              </w:rPr>
              <w:t>Total distributions</w:t>
            </w:r>
          </w:p>
        </w:tc>
        <w:tc>
          <w:tcPr>
            <w:tcW w:w="18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rPr>
              <w:t>95,179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rPr>
              <w:t>111,817</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262,204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20" w:type="dxa"/>
            <w:vAlign w:val="bottom"/>
            <w:vMerge w:val="restart"/>
          </w:tcPr>
          <w:p>
            <w:pPr>
              <w:jc w:val="right"/>
              <w:ind w:right="297"/>
              <w:spacing w:after="0"/>
              <w:rPr>
                <w:sz w:val="20"/>
                <w:szCs w:val="20"/>
                <w:color w:val="auto"/>
              </w:rPr>
            </w:pPr>
            <w:r>
              <w:rPr>
                <w:rFonts w:ascii="Arial" w:cs="Arial" w:eastAsia="Arial" w:hAnsi="Arial"/>
                <w:sz w:val="17"/>
                <w:szCs w:val="17"/>
                <w:color w:val="auto"/>
              </w:rPr>
              <w:t>57</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29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3" w:right="239" w:bottom="1440" w:gutter="0" w:footer="0" w:header="0"/>
        </w:sectPr>
      </w:pPr>
    </w:p>
    <w:bookmarkStart w:id="60" w:name="page61"/>
    <w:bookmarkEnd w:id="60"/>
    <w:p>
      <w:pPr>
        <w:ind w:left="240" w:hanging="240"/>
        <w:spacing w:after="0"/>
        <w:tabs>
          <w:tab w:leader="none" w:pos="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Amounts represent recurring dividends that were declared and paid for during each quarter of fiscal 2017, 2016, and 2015, respectively.</w:t>
      </w:r>
    </w:p>
    <w:p>
      <w:pPr>
        <w:spacing w:after="0" w:line="205" w:lineRule="exact"/>
        <w:rPr>
          <w:rFonts w:ascii="Arial" w:cs="Arial" w:eastAsia="Arial" w:hAnsi="Arial"/>
          <w:sz w:val="17"/>
          <w:szCs w:val="17"/>
          <w:color w:val="auto"/>
        </w:rPr>
      </w:pPr>
    </w:p>
    <w:p>
      <w:pPr>
        <w:ind w:left="240" w:hanging="240"/>
        <w:spacing w:after="0"/>
        <w:tabs>
          <w:tab w:leader="none" w:pos="2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Amounts represent aggregate special dividends of $1.00 per share ($1.00 paid on August 29, 2014) that were declared and paid for during fiscal 2015, respectively.</w:t>
      </w:r>
    </w:p>
    <w:p>
      <w:pPr>
        <w:spacing w:after="0" w:line="228" w:lineRule="exact"/>
        <w:rPr>
          <w:rFonts w:ascii="Arial" w:cs="Arial" w:eastAsia="Arial" w:hAnsi="Arial"/>
          <w:sz w:val="15"/>
          <w:szCs w:val="15"/>
          <w:color w:val="auto"/>
        </w:rPr>
      </w:pPr>
    </w:p>
    <w:p>
      <w:pPr>
        <w:ind w:left="240" w:hanging="240"/>
        <w:spacing w:after="0"/>
        <w:tabs>
          <w:tab w:leader="none" w:pos="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Dividend equivalents are distributions made to option holders equal to the previously declared special dividends.</w:t>
      </w:r>
    </w:p>
    <w:p>
      <w:pPr>
        <w:spacing w:after="0" w:line="205" w:lineRule="exact"/>
        <w:rPr>
          <w:sz w:val="20"/>
          <w:szCs w:val="20"/>
          <w:color w:val="auto"/>
        </w:rPr>
      </w:pPr>
    </w:p>
    <w:p>
      <w:pPr>
        <w:ind w:right="60" w:firstLine="375"/>
        <w:spacing w:after="0" w:line="267" w:lineRule="auto"/>
        <w:rPr>
          <w:sz w:val="20"/>
          <w:szCs w:val="20"/>
          <w:color w:val="auto"/>
        </w:rPr>
      </w:pPr>
      <w:r>
        <w:rPr>
          <w:rFonts w:ascii="Arial" w:cs="Arial" w:eastAsia="Arial" w:hAnsi="Arial"/>
          <w:sz w:val="16"/>
          <w:szCs w:val="16"/>
          <w:color w:val="auto"/>
        </w:rPr>
        <w:t>On December 12, 2011, the Board of Directors authorized the repurchase of up to $30.0 million of our shares. On January 27, 2015, the share repurchase authorization was increased to $180.0 million. On January 25, 2017, the Board of Directors approved an increase to share repurchase authorization from $180.0 million to $410.0 million. During fiscal 2017 and 2016, the Company purchased 1.3 million and 2.1 million shares of the Company’s Class A Common Stock for an aggregate of $46.4 million and $54.9 million respectively. Following the aforementioned repurchases, as of March 31, 2017, the Company had $255.3 million remaining under the repurchase program.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Indebtedness</w:t>
      </w:r>
    </w:p>
    <w:p>
      <w:pPr>
        <w:spacing w:after="0" w:line="205" w:lineRule="exact"/>
        <w:rPr>
          <w:sz w:val="20"/>
          <w:szCs w:val="20"/>
          <w:color w:val="auto"/>
        </w:rPr>
      </w:pPr>
    </w:p>
    <w:p>
      <w:pPr>
        <w:ind w:right="520" w:firstLine="375"/>
        <w:spacing w:after="0" w:line="266" w:lineRule="auto"/>
        <w:rPr>
          <w:sz w:val="20"/>
          <w:szCs w:val="20"/>
          <w:color w:val="auto"/>
        </w:rPr>
      </w:pPr>
      <w:r>
        <w:rPr>
          <w:rFonts w:ascii="Arial" w:cs="Arial" w:eastAsia="Arial" w:hAnsi="Arial"/>
          <w:sz w:val="17"/>
          <w:szCs w:val="17"/>
          <w:color w:val="auto"/>
        </w:rPr>
        <w:t>Our debt totaled $1,663.3 million and $1,597.3 million as of March 31, 2017 and 2016, respectively. Our debt bears interest at specified rates and is held by a syndicate of lenders (see Note 11 in our consolidated financial statements).</w:t>
      </w:r>
    </w:p>
    <w:p>
      <w:pPr>
        <w:spacing w:after="0" w:line="168" w:lineRule="exact"/>
        <w:rPr>
          <w:sz w:val="20"/>
          <w:szCs w:val="20"/>
          <w:color w:val="auto"/>
        </w:rPr>
      </w:pPr>
    </w:p>
    <w:p>
      <w:pPr>
        <w:ind w:firstLine="375"/>
        <w:spacing w:after="0" w:line="285" w:lineRule="auto"/>
        <w:rPr>
          <w:sz w:val="20"/>
          <w:szCs w:val="20"/>
          <w:color w:val="auto"/>
        </w:rPr>
      </w:pPr>
      <w:r>
        <w:rPr>
          <w:rFonts w:ascii="Arial" w:cs="Arial" w:eastAsia="Arial" w:hAnsi="Arial"/>
          <w:sz w:val="15"/>
          <w:szCs w:val="15"/>
          <w:color w:val="auto"/>
        </w:rPr>
        <w:t>On July 13, 2016 and February 6, 2017, Booz Allen Hamilton Inc. ("Booz Allen Hamilton"), Booz Allen Hamilton Investor Corporation ("Investor") and certain wholly-owned subsidiaries of Booz Allen Hamilton entered into the Third Amendment (the “Third Amendment”) and the Fourth Amendment (the "Fourth Amendment), respectively, to the Credit Agreement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and the Second Amendment to the Credit Agreement, dated as of May 7, 2014). Pursuant to the Third Amendment, Booz Allen Hamilton borrowed approximately $441 million of additional Term Loan A, with such funds used to pay off a portion of the Term Loan B facility. The Third Amendment also extended the maturity date of Term Loan A and the termination date for the revolving credit facility to June 30, 2021 and extended the maturity date of Term Loan B to June 30, 2023. The Third Amendment also amended certain existing debt covenants to provide greater operational and financial flexibility. Pursuant to the Fourth Amendment, the Company reduced the interest rate spread applicable to Term Loan B. The interest rate spread applicable to Term Loan A remained unchanged.</w:t>
      </w:r>
    </w:p>
    <w:p>
      <w:pPr>
        <w:spacing w:after="0" w:line="59" w:lineRule="exact"/>
        <w:rPr>
          <w:sz w:val="20"/>
          <w:szCs w:val="20"/>
          <w:color w:val="auto"/>
        </w:rPr>
      </w:pPr>
    </w:p>
    <w:p>
      <w:pPr>
        <w:ind w:right="20" w:firstLine="375"/>
        <w:spacing w:after="0" w:line="306" w:lineRule="auto"/>
        <w:rPr>
          <w:sz w:val="20"/>
          <w:szCs w:val="20"/>
          <w:color w:val="auto"/>
        </w:rPr>
      </w:pPr>
      <w:r>
        <w:rPr>
          <w:rFonts w:ascii="Arial" w:cs="Arial" w:eastAsia="Arial" w:hAnsi="Arial"/>
          <w:sz w:val="15"/>
          <w:szCs w:val="15"/>
          <w:color w:val="auto"/>
        </w:rPr>
        <w:t>Prior to the Fourth Amendment, $399 million was outstanding under Term Loan B. Pursuant to the Fourth Amendment, certain lenders converted their existing Term Loan B loans into a new tranche of Term Loan B loans in an aggregate amount, along with Term Loan B loans advanced by certain new lenders, of approximately $399 million. The proceeds from the new lenders were used to prepay in full all of the Existing Term Loan B loans that were not converted into the new Term Loan B tranche.</w:t>
      </w:r>
    </w:p>
    <w:p>
      <w:pPr>
        <w:spacing w:after="0" w:line="41" w:lineRule="exact"/>
        <w:rPr>
          <w:sz w:val="20"/>
          <w:szCs w:val="20"/>
          <w:color w:val="auto"/>
        </w:rPr>
      </w:pPr>
    </w:p>
    <w:p>
      <w:pPr>
        <w:ind w:firstLine="375"/>
        <w:spacing w:after="0" w:line="267" w:lineRule="auto"/>
        <w:rPr>
          <w:sz w:val="20"/>
          <w:szCs w:val="20"/>
          <w:color w:val="auto"/>
        </w:rPr>
      </w:pPr>
      <w:r>
        <w:rPr>
          <w:rFonts w:ascii="Arial" w:cs="Arial" w:eastAsia="Arial" w:hAnsi="Arial"/>
          <w:sz w:val="16"/>
          <w:szCs w:val="16"/>
          <w:color w:val="auto"/>
        </w:rPr>
        <w:t>As of March 31, 2017, the Credit Agreement, as amended, provided the Company with a $1,153 million Term Loan A and a $398.0 million Term Loan B, and a $500.0 million Revolving Credit Facility, with a sublimit for letters of credit of $100.0 million.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 (ii) the aggregate principal amount under which pro forma consolidated net secured leverage remains less than or equal to 3.50:1.00.</w:t>
      </w:r>
    </w:p>
    <w:p>
      <w:pPr>
        <w:spacing w:after="0" w:line="69" w:lineRule="exact"/>
        <w:rPr>
          <w:sz w:val="20"/>
          <w:szCs w:val="20"/>
          <w:color w:val="auto"/>
        </w:rPr>
      </w:pPr>
    </w:p>
    <w:p>
      <w:pPr>
        <w:jc w:val="both"/>
        <w:ind w:right="60" w:firstLine="375"/>
        <w:spacing w:after="0" w:line="256" w:lineRule="auto"/>
        <w:rPr>
          <w:sz w:val="20"/>
          <w:szCs w:val="20"/>
          <w:color w:val="auto"/>
        </w:rPr>
      </w:pPr>
      <w:r>
        <w:rPr>
          <w:rFonts w:ascii="Arial" w:cs="Arial" w:eastAsia="Arial" w:hAnsi="Arial"/>
          <w:sz w:val="17"/>
          <w:szCs w:val="17"/>
          <w:color w:val="auto"/>
        </w:rPr>
        <w:t>Booz Allen Hamilton occasionally borrows under the Revolving Credit Facility in anticipation of cash demands. During fiscal 2017 and 2016, Booz Allen Hamilton accessed a total of $575.0 million and $273.0 million, respectively of its $500.0 million Revolving Credit Facility. As of March 31, 2017, $130.0 million was outstanding on the Revolving Credit Facility. As of March 31, 2016, $35.0 million was outstanding on the Revolving Credit Facility.</w:t>
      </w:r>
    </w:p>
    <w:p>
      <w:pPr>
        <w:spacing w:after="0" w:line="176" w:lineRule="exact"/>
        <w:rPr>
          <w:sz w:val="20"/>
          <w:szCs w:val="20"/>
          <w:color w:val="auto"/>
        </w:rPr>
      </w:pPr>
    </w:p>
    <w:p>
      <w:pPr>
        <w:ind w:right="380" w:firstLine="375"/>
        <w:spacing w:after="0" w:line="266" w:lineRule="auto"/>
        <w:rPr>
          <w:sz w:val="20"/>
          <w:szCs w:val="20"/>
          <w:color w:val="auto"/>
        </w:rPr>
      </w:pPr>
      <w:r>
        <w:rPr>
          <w:rFonts w:ascii="Arial" w:cs="Arial" w:eastAsia="Arial" w:hAnsi="Arial"/>
          <w:sz w:val="17"/>
          <w:szCs w:val="17"/>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7" w:lineRule="exact"/>
        <w:rPr>
          <w:sz w:val="20"/>
          <w:szCs w:val="20"/>
          <w:color w:val="auto"/>
        </w:rPr>
      </w:pPr>
    </w:p>
    <w:p>
      <w:pPr>
        <w:ind w:right="100" w:firstLine="375"/>
        <w:spacing w:after="0" w:line="266" w:lineRule="auto"/>
        <w:rPr>
          <w:sz w:val="20"/>
          <w:szCs w:val="20"/>
          <w:color w:val="auto"/>
        </w:rPr>
      </w:pPr>
      <w:r>
        <w:rPr>
          <w:rFonts w:ascii="Arial" w:cs="Arial" w:eastAsia="Arial" w:hAnsi="Arial"/>
          <w:sz w:val="17"/>
          <w:szCs w:val="17"/>
          <w:color w:val="auto"/>
        </w:rPr>
        <w:t>At our option, borrowings under the Secured Credit Facility bear interest based either on LIBOR (adjusted for maximum reserves, and subject to a floor of zero) for the applicable interest period or a base rate (equal to the highest of (x) the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753" w:right="239" w:bottom="1440" w:gutter="0" w:footer="0" w:header="0"/>
        </w:sectPr>
      </w:pPr>
    </w:p>
    <w:bookmarkStart w:id="61" w:name="page62"/>
    <w:bookmarkEnd w:id="61"/>
    <w:p>
      <w:pPr>
        <w:ind w:right="100"/>
        <w:spacing w:after="0" w:line="250" w:lineRule="auto"/>
        <w:rPr>
          <w:sz w:val="20"/>
          <w:szCs w:val="20"/>
          <w:color w:val="auto"/>
        </w:rPr>
      </w:pPr>
      <w:r>
        <w:rPr>
          <w:rFonts w:ascii="Arial" w:cs="Arial" w:eastAsia="Arial" w:hAnsi="Arial"/>
          <w:sz w:val="17"/>
          <w:szCs w:val="17"/>
          <w:color w:val="auto"/>
        </w:rPr>
        <w:t>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B is 2.25% for LIBOR loans and 1.25% for base rate loans.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80" w:lineRule="exact"/>
        <w:rPr>
          <w:sz w:val="20"/>
          <w:szCs w:val="20"/>
          <w:color w:val="auto"/>
        </w:rPr>
      </w:pPr>
    </w:p>
    <w:p>
      <w:pPr>
        <w:ind w:right="20" w:firstLine="375"/>
        <w:spacing w:after="0" w:line="250" w:lineRule="auto"/>
        <w:rPr>
          <w:sz w:val="20"/>
          <w:szCs w:val="20"/>
          <w:color w:val="auto"/>
        </w:rPr>
      </w:pPr>
      <w:r>
        <w:rPr>
          <w:rFonts w:ascii="Arial" w:cs="Arial" w:eastAsia="Arial" w:hAnsi="Arial"/>
          <w:sz w:val="17"/>
          <w:szCs w:val="17"/>
          <w:color w:val="auto"/>
        </w:rPr>
        <w:t>We also have agreed to pay customary letter of credit and agency fees. As of March 31, 2017 and 2016, we were contingently liable under open standby letters of credit and bank guarantees issued by our banks in favor of third parties that totaled $8.6 million and $6.6 million, respectively. These letters of credit and bank guarantees primarily support insurance and bid and performance obligations. At March 31, 2017 and 2016, approximately $1.7 million and $1.8 million of these instruments reduce our available borrowings under the Revolving Credit Facility. The remainder is guaranteed under a separate $10.0 million facility established in fiscal 2015, of which $3.1 million and $5.2 million, respectively, was available to us at March 31, 2017 and 2016. As of March 31, 2017, we had $368.3 million of capacity available for additional borrowings under the Revolving Credit Facility.</w:t>
      </w:r>
    </w:p>
    <w:p>
      <w:pPr>
        <w:spacing w:after="0" w:line="80" w:lineRule="exact"/>
        <w:rPr>
          <w:sz w:val="20"/>
          <w:szCs w:val="20"/>
          <w:color w:val="auto"/>
        </w:rPr>
      </w:pPr>
    </w:p>
    <w:p>
      <w:pPr>
        <w:ind w:right="100" w:firstLine="375"/>
        <w:spacing w:after="0" w:line="282" w:lineRule="auto"/>
        <w:rPr>
          <w:sz w:val="20"/>
          <w:szCs w:val="20"/>
          <w:color w:val="auto"/>
        </w:rPr>
      </w:pPr>
      <w:r>
        <w:rPr>
          <w:rFonts w:ascii="Arial" w:cs="Arial" w:eastAsia="Arial" w:hAnsi="Arial"/>
          <w:sz w:val="15"/>
          <w:szCs w:val="15"/>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sale and lease back transactions; (viii) change in fiscal periods; (ix) negative pledges; (x) restrictive agreements; (xi) line of business; and (xii) speculative hedging. The events of default include the following, in each case subject to certain exceptions: (a) failure to make required payments under the Secured Credit Facility;</w:t>
      </w:r>
    </w:p>
    <w:p>
      <w:pPr>
        <w:ind w:left="240" w:hanging="240"/>
        <w:spacing w:after="0"/>
        <w:tabs>
          <w:tab w:leader="none" w:pos="2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material breaches of representations or warranties under the Secured Credit Facility; (c) failure to observe covenants or agreements under the Secured Credit Facility;</w:t>
      </w:r>
    </w:p>
    <w:p>
      <w:pPr>
        <w:spacing w:after="0" w:line="27" w:lineRule="exact"/>
        <w:rPr>
          <w:rFonts w:ascii="Arial" w:cs="Arial" w:eastAsia="Arial" w:hAnsi="Arial"/>
          <w:sz w:val="15"/>
          <w:szCs w:val="15"/>
          <w:color w:val="auto"/>
        </w:rPr>
      </w:pPr>
    </w:p>
    <w:p>
      <w:pPr>
        <w:ind w:right="40"/>
        <w:spacing w:after="0" w:line="247" w:lineRule="auto"/>
        <w:tabs>
          <w:tab w:leader="none" w:pos="236" w:val="left"/>
        </w:tabs>
        <w:numPr>
          <w:ilvl w:val="0"/>
          <w:numId w:val="59"/>
        </w:numPr>
        <w:rPr>
          <w:rFonts w:ascii="Arial" w:cs="Arial" w:eastAsia="Arial" w:hAnsi="Arial"/>
          <w:sz w:val="17"/>
          <w:szCs w:val="17"/>
          <w:color w:val="auto"/>
        </w:rPr>
      </w:pPr>
      <w:r>
        <w:rPr>
          <w:rFonts w:ascii="Arial" w:cs="Arial" w:eastAsia="Arial" w:hAnsi="Arial"/>
          <w:sz w:val="17"/>
          <w:szCs w:val="17"/>
          <w:color w:val="auto"/>
        </w:rPr>
        <w:t>failure to pay or default under certain other material indebtedness; (e) bankruptcy or insolvency; (f) certain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March 31, 2017, we were compliant with these covenants.</w:t>
      </w:r>
    </w:p>
    <w:p>
      <w:pPr>
        <w:spacing w:after="0" w:line="184" w:lineRule="exact"/>
        <w:rPr>
          <w:sz w:val="20"/>
          <w:szCs w:val="20"/>
          <w:color w:val="auto"/>
        </w:rPr>
      </w:pPr>
    </w:p>
    <w:p>
      <w:pPr>
        <w:ind w:right="320" w:firstLine="375"/>
        <w:spacing w:after="0" w:line="298" w:lineRule="auto"/>
        <w:rPr>
          <w:sz w:val="20"/>
          <w:szCs w:val="20"/>
          <w:color w:val="auto"/>
        </w:rPr>
      </w:pPr>
      <w:r>
        <w:rPr>
          <w:rFonts w:ascii="Arial" w:cs="Arial" w:eastAsia="Arial" w:hAnsi="Arial"/>
          <w:sz w:val="16"/>
          <w:szCs w:val="16"/>
          <w:color w:val="auto"/>
        </w:rPr>
        <w:t>During fiscal 2017, interest payments of $28.8 million and $19.5 million were made for the Term Loan A and Term Loan B facilities, respectively. During fiscal 2016, interest payments of $22.0 million and $34.7 million were made for the Term Loan A and Term Loan B facilities, respectively.</w:t>
      </w:r>
    </w:p>
    <w:p>
      <w:pPr>
        <w:spacing w:after="0" w:line="144"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The total outstanding debt balance is recorded in the accompanying consolidated balance sheets net of unamortized discount and debt issuance costs of $18.1 million and $20.7 million as of March 31, 2017 and 2016, respectively.</w:t>
      </w:r>
    </w:p>
    <w:p>
      <w:pPr>
        <w:spacing w:after="0" w:line="168" w:lineRule="exact"/>
        <w:rPr>
          <w:sz w:val="20"/>
          <w:szCs w:val="20"/>
          <w:color w:val="auto"/>
        </w:rPr>
      </w:pPr>
    </w:p>
    <w:p>
      <w:pPr>
        <w:ind w:right="280" w:firstLine="375"/>
        <w:spacing w:after="0" w:line="268" w:lineRule="auto"/>
        <w:rPr>
          <w:sz w:val="20"/>
          <w:szCs w:val="20"/>
          <w:color w:val="auto"/>
        </w:rPr>
      </w:pPr>
      <w:r>
        <w:rPr>
          <w:rFonts w:ascii="Arial" w:cs="Arial" w:eastAsia="Arial" w:hAnsi="Arial"/>
          <w:sz w:val="16"/>
          <w:szCs w:val="16"/>
          <w:color w:val="auto"/>
        </w:rPr>
        <w:t>On April 25, 2017, Booz Allen Hamilton issued $350 million aggregate principal amount of its 5.125% Senior Notes (the "Notes") due 2025 under an Indenture, dated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The proceeds from the sale have been used to repay all outstanding loans under the Revolving Credit Facility. Booz Allen Hamilton intends to use the remaining proceeds for working capital and other general corporate purposes, which may include the repayment of a portion or all of the outstanding DPO. (See Note 24 in our consolidated financial statements).</w:t>
      </w:r>
    </w:p>
    <w:p>
      <w:pPr>
        <w:spacing w:after="0" w:line="169" w:lineRule="exact"/>
        <w:rPr>
          <w:sz w:val="20"/>
          <w:szCs w:val="20"/>
          <w:color w:val="auto"/>
        </w:rPr>
      </w:pPr>
    </w:p>
    <w:p>
      <w:pPr>
        <w:ind w:right="160" w:firstLine="375"/>
        <w:spacing w:after="0" w:line="256" w:lineRule="auto"/>
        <w:rPr>
          <w:sz w:val="20"/>
          <w:szCs w:val="20"/>
          <w:color w:val="auto"/>
        </w:rPr>
      </w:pPr>
      <w:r>
        <w:rPr>
          <w:rFonts w:ascii="Arial" w:cs="Arial" w:eastAsia="Arial" w:hAnsi="Arial"/>
          <w:sz w:val="17"/>
          <w:szCs w:val="17"/>
          <w:color w:val="auto"/>
        </w:rPr>
        <w:t>On April 6, 2017, Booz Allen Hamilton executed a series of interest rate swaps totaling $300 million in order to manage the interest rate risk related to the floating portion of its term loan debt. The Company's objectives in using cash flow hedges are to reduce volatility to interest rate movements and to add stability to interest expense (See Note 24 in our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Structure and Resources</w:t>
      </w:r>
    </w:p>
    <w:p>
      <w:pPr>
        <w:spacing w:after="0" w:line="159" w:lineRule="exact"/>
        <w:rPr>
          <w:sz w:val="20"/>
          <w:szCs w:val="20"/>
          <w:color w:val="auto"/>
        </w:rPr>
      </w:pPr>
    </w:p>
    <w:p>
      <w:pPr>
        <w:ind w:right="120" w:firstLine="375"/>
        <w:spacing w:after="0" w:line="252" w:lineRule="auto"/>
        <w:rPr>
          <w:sz w:val="20"/>
          <w:szCs w:val="20"/>
          <w:color w:val="auto"/>
        </w:rPr>
      </w:pPr>
      <w:r>
        <w:rPr>
          <w:rFonts w:ascii="Arial" w:cs="Arial" w:eastAsia="Arial" w:hAnsi="Arial"/>
          <w:sz w:val="17"/>
          <w:szCs w:val="17"/>
          <w:color w:val="auto"/>
        </w:rPr>
        <w:t xml:space="preserve">Our stockholders’ equity amounted to $573.6 million as of March 31, 2017, an increase of $165.1 million compared to stockholders’ equity of $408.5 million as of March 31, 2016. The increase was </w:t>
      </w:r>
      <w:r>
        <w:rPr>
          <w:rFonts w:ascii="Arial" w:cs="Arial" w:eastAsia="Arial" w:hAnsi="Arial"/>
          <w:sz w:val="17"/>
          <w:szCs w:val="17"/>
          <w:color w:val="231F20"/>
        </w:rPr>
        <w:t>primarily due to</w:t>
      </w:r>
      <w:r>
        <w:rPr>
          <w:rFonts w:ascii="Arial" w:cs="Arial" w:eastAsia="Arial" w:hAnsi="Arial"/>
          <w:sz w:val="17"/>
          <w:szCs w:val="17"/>
          <w:color w:val="auto"/>
        </w:rPr>
        <w:t xml:space="preserve"> net income of $252.5 million in fiscal 2017, $18.2 million in excess tax benefits for the exercise of stock options, and stock-based compensation expense of $21.2 million, partially offset by $92.9 million in dividend payments and a $46.5 million increase in treasury stock resulting from the repurchase of shares of our Class A Common stock during fiscal 2017.</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00"/>
          </w:cols>
          <w:pgMar w:left="240" w:top="753" w:right="259" w:bottom="1440" w:gutter="0" w:footer="0" w:header="0"/>
        </w:sectPr>
      </w:pPr>
    </w:p>
    <w:bookmarkStart w:id="62" w:name="page63"/>
    <w:bookmarkEnd w:id="62"/>
    <w:p>
      <w:pPr>
        <w:ind w:left="380"/>
        <w:spacing w:after="0"/>
        <w:rPr>
          <w:sz w:val="20"/>
          <w:szCs w:val="20"/>
          <w:color w:val="auto"/>
        </w:rPr>
      </w:pPr>
      <w:r>
        <w:rPr>
          <w:rFonts w:ascii="Arial" w:cs="Arial" w:eastAsia="Arial" w:hAnsi="Arial"/>
          <w:sz w:val="17"/>
          <w:szCs w:val="17"/>
          <w:color w:val="auto"/>
        </w:rPr>
        <w:t>As of March 31, 2017, we did not have any material off-balance sheet arrangements.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84" w:lineRule="exact"/>
        <w:rPr>
          <w:sz w:val="20"/>
          <w:szCs w:val="20"/>
          <w:color w:val="auto"/>
        </w:rPr>
      </w:pPr>
    </w:p>
    <w:p>
      <w:pPr>
        <w:ind w:right="380" w:firstLine="400"/>
        <w:spacing w:after="0" w:line="266" w:lineRule="auto"/>
        <w:rPr>
          <w:sz w:val="20"/>
          <w:szCs w:val="20"/>
          <w:color w:val="auto"/>
        </w:rPr>
      </w:pPr>
      <w:r>
        <w:rPr>
          <w:rFonts w:ascii="Arial" w:cs="Arial" w:eastAsia="Arial" w:hAnsi="Arial"/>
          <w:sz w:val="17"/>
          <w:szCs w:val="17"/>
          <w:color w:val="auto"/>
        </w:rPr>
        <w:t>The following table summarizes our contractual obligations that require us to make future cash payments as of March 31, 2017. For contractual obligations, we included payments that we have an unconditional obligation to make.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jc w:val="center"/>
              <w:ind w:left="641"/>
              <w:spacing w:after="0"/>
              <w:rPr>
                <w:sz w:val="20"/>
                <w:szCs w:val="20"/>
                <w:color w:val="auto"/>
              </w:rPr>
            </w:pPr>
            <w:r>
              <w:rPr>
                <w:rFonts w:ascii="Arial" w:cs="Arial" w:eastAsia="Arial" w:hAnsi="Arial"/>
                <w:sz w:val="13"/>
                <w:szCs w:val="13"/>
                <w:b w:val="1"/>
                <w:bCs w:val="1"/>
                <w:color w:val="auto"/>
                <w:w w:val="91"/>
              </w:rPr>
              <w:t>Payments Due by Fiscal Periods</w:t>
            </w: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90"/>
              </w:rPr>
              <w:t>Less Than</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88"/>
              </w:rPr>
              <w:t>1 to 3</w:t>
            </w:r>
          </w:p>
        </w:tc>
        <w:tc>
          <w:tcPr>
            <w:tcW w:w="320" w:type="dxa"/>
            <w:vAlign w:val="bottom"/>
          </w:tcPr>
          <w:p>
            <w:pPr>
              <w:spacing w:after="0"/>
              <w:rPr>
                <w:sz w:val="12"/>
                <w:szCs w:val="12"/>
                <w:color w:val="auto"/>
              </w:rPr>
            </w:pPr>
          </w:p>
        </w:tc>
        <w:tc>
          <w:tcPr>
            <w:tcW w:w="104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3 to 5</w:t>
            </w:r>
          </w:p>
        </w:tc>
        <w:tc>
          <w:tcPr>
            <w:tcW w:w="200" w:type="dxa"/>
            <w:vAlign w:val="bottom"/>
          </w:tcPr>
          <w:p>
            <w:pPr>
              <w:spacing w:after="0"/>
              <w:rPr>
                <w:sz w:val="12"/>
                <w:szCs w:val="12"/>
                <w:color w:val="auto"/>
              </w:rPr>
            </w:pPr>
          </w:p>
        </w:tc>
        <w:tc>
          <w:tcPr>
            <w:tcW w:w="1040" w:type="dxa"/>
            <w:vAlign w:val="bottom"/>
          </w:tcPr>
          <w:p>
            <w:pPr>
              <w:jc w:val="right"/>
              <w:ind w:right="220"/>
              <w:spacing w:after="0" w:line="140"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7"/>
              </w:rPr>
              <w:t>1 Year</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Years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Years</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(In thousands)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(a)</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1,551,425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63,150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126,300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983,975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378,000</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383,941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70,119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118,044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88,216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107,562</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on indebtedness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208,228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46,531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87,446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59,582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14,669</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7"/>
                <w:szCs w:val="17"/>
                <w:color w:val="auto"/>
              </w:rPr>
              <w:t>Deferred payment obligation (b)</w:t>
            </w: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84,000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84,000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Revolver debt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130,000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7"/>
                <w:szCs w:val="17"/>
                <w:color w:val="auto"/>
              </w:rPr>
              <w:t>Payments to the Booz Allen Foundation (c)</w:t>
            </w: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Liability to option holders (d)</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983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7"/>
                <w:szCs w:val="17"/>
                <w:color w:val="auto"/>
              </w:rPr>
              <w:t>Tax liabilities for uncertain tax positions (e)</w:t>
            </w: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11,647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1,369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10,255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2,375,581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399,806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333,516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983,975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500,231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500" w:hanging="300"/>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See Note 11 to our consolidated financial statements for additional information regarding debt and related matters.</w:t>
      </w:r>
    </w:p>
    <w:p>
      <w:pPr>
        <w:spacing w:after="0" w:line="17" w:lineRule="exact"/>
        <w:rPr>
          <w:rFonts w:ascii="Arial" w:cs="Arial" w:eastAsia="Arial" w:hAnsi="Arial"/>
          <w:sz w:val="17"/>
          <w:szCs w:val="17"/>
          <w:color w:val="auto"/>
        </w:rPr>
      </w:pPr>
    </w:p>
    <w:p>
      <w:pPr>
        <w:ind w:left="500" w:hanging="300"/>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$80 million deferred payment obligation balance plus interest due within the next year.</w:t>
      </w:r>
    </w:p>
    <w:p>
      <w:pPr>
        <w:spacing w:after="0" w:line="4" w:lineRule="exact"/>
        <w:rPr>
          <w:rFonts w:ascii="Arial" w:cs="Arial" w:eastAsia="Arial" w:hAnsi="Arial"/>
          <w:sz w:val="17"/>
          <w:szCs w:val="17"/>
          <w:color w:val="auto"/>
        </w:rPr>
      </w:pPr>
    </w:p>
    <w:p>
      <w:pPr>
        <w:ind w:left="500" w:hanging="300"/>
        <w:spacing w:after="0"/>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See Note 19 to our consolidated financial statements for a discussion of the Company's binding and irrevocable pledge to the Booz Allen Foundation.</w:t>
      </w:r>
    </w:p>
    <w:p>
      <w:pPr>
        <w:spacing w:after="0" w:line="16" w:lineRule="exact"/>
        <w:rPr>
          <w:rFonts w:ascii="Arial" w:cs="Arial" w:eastAsia="Arial" w:hAnsi="Arial"/>
          <w:sz w:val="16"/>
          <w:szCs w:val="16"/>
          <w:color w:val="auto"/>
        </w:rPr>
      </w:pPr>
    </w:p>
    <w:p>
      <w:pPr>
        <w:ind w:left="500" w:right="60" w:hanging="300"/>
        <w:spacing w:after="0" w:line="245"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Reflects liabilities to holders of stock options issued the Equity Incentive Plan, as amended, related to the reduction in the exercise price of such options as a result of special dividends paid in June 2012, November 2013, and February and August 2014.</w:t>
      </w:r>
    </w:p>
    <w:p>
      <w:pPr>
        <w:spacing w:after="0" w:line="1" w:lineRule="exact"/>
        <w:rPr>
          <w:rFonts w:ascii="Arial" w:cs="Arial" w:eastAsia="Arial" w:hAnsi="Arial"/>
          <w:sz w:val="17"/>
          <w:szCs w:val="17"/>
          <w:color w:val="auto"/>
        </w:rPr>
      </w:pPr>
    </w:p>
    <w:p>
      <w:pPr>
        <w:ind w:left="500" w:hanging="300"/>
        <w:spacing w:after="0"/>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Reflects a reserve of $10.2 million for income tax uncertainties created with the acquisition discussed in Note 4.</w:t>
      </w:r>
    </w:p>
    <w:p>
      <w:pPr>
        <w:spacing w:after="0" w:line="143" w:lineRule="exact"/>
        <w:rPr>
          <w:sz w:val="20"/>
          <w:szCs w:val="20"/>
          <w:color w:val="auto"/>
        </w:rPr>
      </w:pPr>
    </w:p>
    <w:p>
      <w:pPr>
        <w:jc w:val="both"/>
        <w:ind w:right="180" w:firstLine="400"/>
        <w:spacing w:after="0" w:line="256" w:lineRule="auto"/>
        <w:rPr>
          <w:sz w:val="20"/>
          <w:szCs w:val="20"/>
          <w:color w:val="auto"/>
        </w:rPr>
      </w:pPr>
      <w:r>
        <w:rPr>
          <w:rFonts w:ascii="Arial" w:cs="Arial" w:eastAsia="Arial" w:hAnsi="Arial"/>
          <w:sz w:val="17"/>
          <w:szCs w:val="17"/>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59" w:lineRule="exact"/>
        <w:rPr>
          <w:sz w:val="20"/>
          <w:szCs w:val="20"/>
          <w:color w:val="auto"/>
        </w:rPr>
      </w:pPr>
    </w:p>
    <w:p>
      <w:pPr>
        <w:ind w:right="80" w:firstLine="375"/>
        <w:spacing w:after="0" w:line="292" w:lineRule="auto"/>
        <w:rPr>
          <w:sz w:val="20"/>
          <w:szCs w:val="20"/>
          <w:color w:val="auto"/>
        </w:rPr>
      </w:pPr>
      <w:r>
        <w:rPr>
          <w:rFonts w:ascii="Arial" w:cs="Arial" w:eastAsia="Arial" w:hAnsi="Arial"/>
          <w:sz w:val="15"/>
          <w:szCs w:val="15"/>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fiscal 2017 and 2016 were $53.9 million and $66.6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59" w:lineRule="exact"/>
        <w:rPr>
          <w:sz w:val="20"/>
          <w:szCs w:val="20"/>
          <w:color w:val="auto"/>
        </w:rPr>
      </w:pPr>
    </w:p>
    <w:p>
      <w:pPr>
        <w:ind w:right="120" w:firstLine="375"/>
        <w:spacing w:after="0" w:line="266" w:lineRule="auto"/>
        <w:rPr>
          <w:sz w:val="20"/>
          <w:szCs w:val="20"/>
          <w:color w:val="auto"/>
        </w:rPr>
      </w:pPr>
      <w:r>
        <w:rPr>
          <w:rFonts w:ascii="Arial" w:cs="Arial" w:eastAsia="Arial" w:hAnsi="Arial"/>
          <w:sz w:val="17"/>
          <w:szCs w:val="17"/>
          <w:color w:val="auto"/>
        </w:rPr>
        <w:t>We are subject to a number of reviews, investigations, claims, lawsuits, and other uncertainties related to our business. For a discussion of these items, refer to Note 20 to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803" w:right="239" w:bottom="1440" w:gutter="0" w:footer="0" w:header="0"/>
        </w:sectPr>
      </w:pPr>
    </w:p>
    <w:bookmarkStart w:id="63" w:name="page64"/>
    <w:bookmarkEnd w:id="63"/>
    <w:p>
      <w:pPr>
        <w:spacing w:after="0"/>
        <w:tabs>
          <w:tab w:leader="none" w:pos="7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84" w:lineRule="exact"/>
        <w:rPr>
          <w:sz w:val="20"/>
          <w:szCs w:val="20"/>
          <w:color w:val="auto"/>
        </w:rPr>
      </w:pPr>
    </w:p>
    <w:p>
      <w:pPr>
        <w:ind w:right="360" w:firstLine="400"/>
        <w:spacing w:after="0" w:line="298" w:lineRule="auto"/>
        <w:rPr>
          <w:sz w:val="20"/>
          <w:szCs w:val="20"/>
          <w:color w:val="auto"/>
        </w:rPr>
      </w:pPr>
      <w:r>
        <w:rPr>
          <w:rFonts w:ascii="Arial" w:cs="Arial" w:eastAsia="Arial" w:hAnsi="Arial"/>
          <w:sz w:val="16"/>
          <w:szCs w:val="16"/>
          <w:color w:val="auto"/>
        </w:rPr>
        <w:t>Market risk is the potential loss arising from adverse changes in market rates and market prices such as those related to interest rates. We actively monitor these exposures and manage such risks through our regular operating and financing activities or through the use of derivative financial instruments.</w:t>
      </w:r>
    </w:p>
    <w:p>
      <w:pPr>
        <w:spacing w:after="0" w:line="19" w:lineRule="exact"/>
        <w:rPr>
          <w:sz w:val="20"/>
          <w:szCs w:val="20"/>
          <w:color w:val="auto"/>
        </w:rPr>
      </w:pPr>
    </w:p>
    <w:p>
      <w:pPr>
        <w:ind w:right="100" w:firstLine="400"/>
        <w:spacing w:after="0" w:line="279" w:lineRule="auto"/>
        <w:rPr>
          <w:sz w:val="20"/>
          <w:szCs w:val="20"/>
          <w:color w:val="auto"/>
        </w:rPr>
      </w:pPr>
      <w:r>
        <w:rPr>
          <w:rFonts w:ascii="Arial" w:cs="Arial" w:eastAsia="Arial" w:hAnsi="Arial"/>
          <w:sz w:val="16"/>
          <w:szCs w:val="16"/>
          <w:color w:val="auto"/>
        </w:rPr>
        <w:t>Our exposure to market risk for changes in interest rates relates primarily to our outstanding debt and cash equivalents, which consist primarily of funds invested in prime or U.S. government money-market funds. As of March 31, 2017 and 2016, we had $217.4 million and $187.5 million, respectively, in cash and cash equivalents. The interest expense associated with our term loans and any loans under our revolving credit facility will vary with market rates.</w:t>
      </w:r>
    </w:p>
    <w:p>
      <w:pPr>
        <w:spacing w:after="0" w:line="109" w:lineRule="exact"/>
        <w:rPr>
          <w:sz w:val="20"/>
          <w:szCs w:val="20"/>
          <w:color w:val="auto"/>
        </w:rPr>
      </w:pPr>
    </w:p>
    <w:p>
      <w:pPr>
        <w:ind w:firstLine="400"/>
        <w:spacing w:after="0" w:line="286" w:lineRule="auto"/>
        <w:rPr>
          <w:sz w:val="20"/>
          <w:szCs w:val="20"/>
          <w:color w:val="auto"/>
        </w:rPr>
      </w:pPr>
      <w:r>
        <w:rPr>
          <w:rFonts w:ascii="Arial" w:cs="Arial" w:eastAsia="Arial" w:hAnsi="Arial"/>
          <w:sz w:val="15"/>
          <w:szCs w:val="15"/>
          <w:color w:val="auto"/>
        </w:rPr>
        <w:t>Our exposure to market risk for changes in interest rates related to our outstanding debt will impact our Secured Credit Facility. Pursuant to our interest rate risk management strategies, we began using interest rate cash flow hedges in April 2017 to add stability to our incurrence of interest rate expense and to manage its exposure to related interest rate movement. See Note 24 to our consolidated financial statements for further discussion. A hypothetical interest rate increase to 1% would have increased interest expense related to the term facilities under our Secured Credit Facility by approximately $0.9 million in fiscal 2017 and $6.2 million in fiscal 2016, and likewise decreased our income and cash flows. The year over year decrease in interest expense is primarily due to the Third and Fourth Amendments to the Credit Agreement consummated in July 2016 and February 2017, respectively. As a result of the Third Amendment, the Company increased its borrowing under Term Loan A, the proceeds of which were used to pay outstanding principal on the Term Loan B. As a result of the Fourth Amendment, the Company effectively lowered interest rates of Term Loan B. As the interest rates for Term Loan A are lower than those for Term Loan B, total interest expense decreased for fiscal 2017 as compared to fiscal 2016.</w:t>
      </w:r>
    </w:p>
    <w:p>
      <w:pPr>
        <w:spacing w:after="0" w:line="108" w:lineRule="exact"/>
        <w:rPr>
          <w:sz w:val="20"/>
          <w:szCs w:val="20"/>
          <w:color w:val="auto"/>
        </w:rPr>
      </w:pPr>
    </w:p>
    <w:p>
      <w:pPr>
        <w:ind w:right="40" w:firstLine="400"/>
        <w:spacing w:after="0" w:line="298" w:lineRule="auto"/>
        <w:rPr>
          <w:sz w:val="20"/>
          <w:szCs w:val="20"/>
          <w:color w:val="auto"/>
        </w:rPr>
      </w:pPr>
      <w:r>
        <w:rPr>
          <w:rFonts w:ascii="Arial" w:cs="Arial" w:eastAsia="Arial" w:hAnsi="Arial"/>
          <w:sz w:val="16"/>
          <w:szCs w:val="16"/>
          <w:color w:val="auto"/>
        </w:rPr>
        <w:t>The return on our cash and cash equivalents balance as of March 31, 2017 and 2016 was less than 1%. Therefore, although investment interest rates may continue to decrease in the future, the corresponding impact to our interest income, and likewise to our income and cash flow, would not be material.</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March 31, 2017, we have not entered into any hedging transactions for speculative or trading purposes.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649"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20"/>
                <w:szCs w:val="20"/>
                <w:color w:val="auto"/>
              </w:rPr>
            </w:pPr>
            <w:r>
              <w:rPr>
                <w:rFonts w:ascii="Arial" w:cs="Arial" w:eastAsia="Arial" w:hAnsi="Arial"/>
                <w:sz w:val="17"/>
                <w:szCs w:val="17"/>
                <w:b w:val="1"/>
                <w:bCs w:val="1"/>
                <w:color w:val="auto"/>
              </w:rPr>
              <w:t>Item 8</w:t>
            </w:r>
            <w:r>
              <w:rPr>
                <w:rFonts w:ascii="Arial" w:cs="Arial" w:eastAsia="Arial" w:hAnsi="Arial"/>
                <w:sz w:val="17"/>
                <w:szCs w:val="17"/>
                <w:b w:val="1"/>
                <w:bCs w:val="1"/>
                <w:i w:val="1"/>
                <w:iCs w:val="1"/>
                <w:color w:val="auto"/>
              </w:rPr>
              <w:t>.</w:t>
            </w:r>
          </w:p>
        </w:tc>
        <w:tc>
          <w:tcPr>
            <w:tcW w:w="9480" w:type="dxa"/>
            <w:vAlign w:val="bottom"/>
            <w:gridSpan w:val="9"/>
          </w:tcPr>
          <w:p>
            <w:pPr>
              <w:ind w:left="200"/>
              <w:spacing w:after="0"/>
              <w:rPr>
                <w:sz w:val="20"/>
                <w:szCs w:val="20"/>
                <w:color w:val="auto"/>
              </w:rPr>
            </w:pPr>
            <w:r>
              <w:rPr>
                <w:rFonts w:ascii="Arial" w:cs="Arial" w:eastAsia="Arial" w:hAnsi="Arial"/>
                <w:sz w:val="17"/>
                <w:szCs w:val="17"/>
                <w:b w:val="1"/>
                <w:bCs w:val="1"/>
                <w:i w:val="1"/>
                <w:iCs w:val="1"/>
                <w:color w:val="auto"/>
              </w:rPr>
              <w:t>Financial Statements and Supplementary Data</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01"/>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60" w:type="dxa"/>
            <w:vAlign w:val="bottom"/>
            <w:gridSpan w:val="8"/>
          </w:tcPr>
          <w:p>
            <w:pPr>
              <w:jc w:val="center"/>
              <w:ind w:left="237"/>
              <w:spacing w:after="0"/>
              <w:rPr>
                <w:sz w:val="20"/>
                <w:szCs w:val="20"/>
                <w:color w:val="auto"/>
              </w:rPr>
            </w:pPr>
            <w:r>
              <w:rPr>
                <w:rFonts w:ascii="Arial" w:cs="Arial" w:eastAsia="Arial" w:hAnsi="Arial"/>
                <w:sz w:val="17"/>
                <w:szCs w:val="17"/>
                <w:b w:val="1"/>
                <w:bCs w:val="1"/>
                <w:color w:val="auto"/>
                <w:w w:val="99"/>
              </w:rPr>
              <w:t>INDEX TO THE 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51"/>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25"/>
        </w:trPr>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0"/>
        </w:trPr>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60" w:type="dxa"/>
            <w:vAlign w:val="bottom"/>
            <w:gridSpan w:val="8"/>
          </w:tcPr>
          <w:p>
            <w:pPr>
              <w:spacing w:after="0" w:line="180" w:lineRule="exact"/>
              <w:rPr>
                <w:rFonts w:ascii="Arial" w:cs="Arial" w:eastAsia="Arial" w:hAnsi="Arial"/>
                <w:sz w:val="17"/>
                <w:szCs w:val="17"/>
                <w:color w:val="0000EE"/>
              </w:rPr>
            </w:pPr>
            <w:hyperlink w:anchor="page66">
              <w:r>
                <w:rPr>
                  <w:rFonts w:ascii="Arial" w:cs="Arial" w:eastAsia="Arial" w:hAnsi="Arial"/>
                  <w:sz w:val="17"/>
                  <w:szCs w:val="17"/>
                  <w:color w:val="0000EE"/>
                </w:rPr>
                <w:t>Report of Ernst &amp; Young LLP, Independent Registered Public Accounting Firm</w:t>
              </w:r>
            </w:hyperlink>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ind w:right="480"/>
              <w:spacing w:after="0" w:line="180" w:lineRule="exact"/>
              <w:rPr>
                <w:rFonts w:ascii="Arial" w:cs="Arial" w:eastAsia="Arial" w:hAnsi="Arial"/>
                <w:sz w:val="17"/>
                <w:szCs w:val="17"/>
                <w:color w:val="0000EE"/>
                <w:w w:val="93"/>
              </w:rPr>
            </w:pPr>
            <w:hyperlink w:anchor="page66">
              <w:r>
                <w:rPr>
                  <w:rFonts w:ascii="Arial" w:cs="Arial" w:eastAsia="Arial" w:hAnsi="Arial"/>
                  <w:sz w:val="17"/>
                  <w:szCs w:val="17"/>
                  <w:color w:val="0000EE"/>
                  <w:w w:val="93"/>
                </w:rPr>
                <w:t>F-2</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343"/>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3"/>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Consolidated Balance Sheets as of March 31, 2017 and 2016</w:t>
              </w:r>
            </w:hyperlink>
          </w:p>
        </w:tc>
        <w:tc>
          <w:tcPr>
            <w:tcW w:w="3940" w:type="dxa"/>
            <w:vAlign w:val="bottom"/>
            <w:gridSpan w:val="5"/>
          </w:tcPr>
          <w:p>
            <w:pPr>
              <w:spacing w:after="0"/>
              <w:rPr>
                <w:sz w:val="24"/>
                <w:szCs w:val="24"/>
                <w:color w:val="auto"/>
              </w:rPr>
            </w:pPr>
          </w:p>
        </w:tc>
        <w:tc>
          <w:tcPr>
            <w:tcW w:w="1240" w:type="dxa"/>
            <w:vAlign w:val="bottom"/>
            <w:gridSpan w:val="4"/>
          </w:tcPr>
          <w:p>
            <w:pPr>
              <w:jc w:val="center"/>
              <w:spacing w:after="0"/>
              <w:rPr>
                <w:rFonts w:ascii="Arial" w:cs="Arial" w:eastAsia="Arial" w:hAnsi="Arial"/>
                <w:sz w:val="17"/>
                <w:szCs w:val="17"/>
                <w:color w:val="0000EE"/>
                <w:w w:val="93"/>
              </w:rPr>
            </w:pPr>
            <w:hyperlink w:anchor="page67">
              <w:r>
                <w:rPr>
                  <w:rFonts w:ascii="Arial" w:cs="Arial" w:eastAsia="Arial" w:hAnsi="Arial"/>
                  <w:sz w:val="17"/>
                  <w:szCs w:val="17"/>
                  <w:color w:val="0000EE"/>
                  <w:w w:val="93"/>
                </w:rPr>
                <w:t>F-3</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3"/>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68">
              <w:r>
                <w:rPr>
                  <w:rFonts w:ascii="Arial" w:cs="Arial" w:eastAsia="Arial" w:hAnsi="Arial"/>
                  <w:sz w:val="17"/>
                  <w:szCs w:val="17"/>
                  <w:color w:val="0000EE"/>
                  <w:w w:val="88"/>
                </w:rPr>
                <w:t>Consolidated Statements of Operations for the Fiscal Years Ended March 31, 2017, 2016 and 2015</w:t>
              </w:r>
            </w:hyperlink>
          </w:p>
        </w:tc>
        <w:tc>
          <w:tcPr>
            <w:tcW w:w="26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bottom w:val="single" w:sz="8" w:color="0000EE"/>
            </w:tcBorders>
            <w:gridSpan w:val="2"/>
          </w:tcPr>
          <w:p>
            <w:pPr>
              <w:jc w:val="center"/>
              <w:spacing w:after="0"/>
              <w:rPr>
                <w:rFonts w:ascii="Arial" w:cs="Arial" w:eastAsia="Arial" w:hAnsi="Arial"/>
                <w:sz w:val="17"/>
                <w:szCs w:val="17"/>
                <w:color w:val="0000EE"/>
                <w:w w:val="93"/>
              </w:rPr>
            </w:pPr>
            <w:hyperlink w:anchor="page68">
              <w:r>
                <w:rPr>
                  <w:rFonts w:ascii="Arial" w:cs="Arial" w:eastAsia="Arial" w:hAnsi="Arial"/>
                  <w:sz w:val="17"/>
                  <w:szCs w:val="17"/>
                  <w:color w:val="0000EE"/>
                  <w:w w:val="93"/>
                </w:rPr>
                <w:t>F-4</w:t>
              </w:r>
            </w:hyperlink>
          </w:p>
        </w:tc>
        <w:tc>
          <w:tcPr>
            <w:tcW w:w="500" w:type="dxa"/>
            <w:vAlign w:val="bottom"/>
          </w:tcPr>
          <w:p>
            <w:pPr>
              <w:spacing w:after="0"/>
              <w:rPr>
                <w:sz w:val="24"/>
                <w:szCs w:val="24"/>
                <w:color w:val="auto"/>
              </w:rPr>
            </w:pPr>
          </w:p>
        </w:tc>
      </w:tr>
      <w:tr>
        <w:trPr>
          <w:trHeight w:val="343"/>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60" w:type="dxa"/>
            <w:vAlign w:val="bottom"/>
            <w:tcBorders>
              <w:bottom w:val="single" w:sz="8" w:color="0000EE"/>
            </w:tcBorders>
            <w:gridSpan w:val="7"/>
          </w:tcPr>
          <w:p>
            <w:pPr>
              <w:spacing w:after="0"/>
              <w:rPr>
                <w:rFonts w:ascii="Arial" w:cs="Arial" w:eastAsia="Arial" w:hAnsi="Arial"/>
                <w:sz w:val="17"/>
                <w:szCs w:val="17"/>
                <w:color w:val="0000EE"/>
                <w:w w:val="88"/>
              </w:rPr>
            </w:pPr>
            <w:hyperlink w:anchor="page69">
              <w:r>
                <w:rPr>
                  <w:rFonts w:ascii="Arial" w:cs="Arial" w:eastAsia="Arial" w:hAnsi="Arial"/>
                  <w:sz w:val="17"/>
                  <w:szCs w:val="17"/>
                  <w:color w:val="0000EE"/>
                  <w:w w:val="88"/>
                </w:rPr>
                <w:t>Consolidated Statements of Comprehensive Income for the Fiscal Years Ended March 31, 2017, 2016 and 2015</w:t>
              </w:r>
            </w:hyperlink>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bottom w:val="single" w:sz="8" w:color="0000EE"/>
            </w:tcBorders>
            <w:gridSpan w:val="2"/>
          </w:tcPr>
          <w:p>
            <w:pPr>
              <w:jc w:val="center"/>
              <w:spacing w:after="0"/>
              <w:rPr>
                <w:rFonts w:ascii="Arial" w:cs="Arial" w:eastAsia="Arial" w:hAnsi="Arial"/>
                <w:sz w:val="17"/>
                <w:szCs w:val="17"/>
                <w:color w:val="0000EE"/>
                <w:w w:val="93"/>
              </w:rPr>
            </w:pPr>
            <w:hyperlink w:anchor="page69">
              <w:r>
                <w:rPr>
                  <w:rFonts w:ascii="Arial" w:cs="Arial" w:eastAsia="Arial" w:hAnsi="Arial"/>
                  <w:sz w:val="17"/>
                  <w:szCs w:val="17"/>
                  <w:color w:val="0000EE"/>
                  <w:w w:val="93"/>
                </w:rPr>
                <w:t>F-5</w:t>
              </w:r>
            </w:hyperlink>
          </w:p>
        </w:tc>
        <w:tc>
          <w:tcPr>
            <w:tcW w:w="500" w:type="dxa"/>
            <w:vAlign w:val="bottom"/>
          </w:tcPr>
          <w:p>
            <w:pPr>
              <w:spacing w:after="0"/>
              <w:rPr>
                <w:sz w:val="24"/>
                <w:szCs w:val="24"/>
                <w:color w:val="auto"/>
              </w:rPr>
            </w:pPr>
          </w:p>
        </w:tc>
      </w:tr>
      <w:tr>
        <w:trPr>
          <w:trHeight w:val="343"/>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60" w:type="dxa"/>
            <w:vAlign w:val="bottom"/>
            <w:gridSpan w:val="8"/>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Consolidated Statements of Cash Flows for the Fiscal Years Ended March 31, 2017, 2016 and 2015</w:t>
              </w:r>
            </w:hyperlink>
          </w:p>
        </w:tc>
        <w:tc>
          <w:tcPr>
            <w:tcW w:w="1240" w:type="dxa"/>
            <w:vAlign w:val="bottom"/>
            <w:gridSpan w:val="4"/>
          </w:tcPr>
          <w:p>
            <w:pPr>
              <w:jc w:val="center"/>
              <w:spacing w:after="0"/>
              <w:rPr>
                <w:rFonts w:ascii="Arial" w:cs="Arial" w:eastAsia="Arial" w:hAnsi="Arial"/>
                <w:sz w:val="17"/>
                <w:szCs w:val="17"/>
                <w:color w:val="0000EE"/>
                <w:w w:val="93"/>
              </w:rPr>
            </w:pPr>
            <w:hyperlink w:anchor="page70">
              <w:r>
                <w:rPr>
                  <w:rFonts w:ascii="Arial" w:cs="Arial" w:eastAsia="Arial" w:hAnsi="Arial"/>
                  <w:sz w:val="17"/>
                  <w:szCs w:val="17"/>
                  <w:color w:val="0000EE"/>
                  <w:w w:val="93"/>
                </w:rPr>
                <w:t>F-6</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3"/>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tcBorders>
              <w:bottom w:val="single" w:sz="8" w:color="0000EE"/>
            </w:tcBorders>
            <w:gridSpan w:val="6"/>
          </w:tcPr>
          <w:p>
            <w:pPr>
              <w:spacing w:after="0"/>
              <w:rPr>
                <w:rFonts w:ascii="Arial" w:cs="Arial" w:eastAsia="Arial" w:hAnsi="Arial"/>
                <w:sz w:val="17"/>
                <w:szCs w:val="17"/>
                <w:color w:val="0000EE"/>
                <w:w w:val="88"/>
              </w:rPr>
            </w:pPr>
            <w:hyperlink w:anchor="page71">
              <w:r>
                <w:rPr>
                  <w:rFonts w:ascii="Arial" w:cs="Arial" w:eastAsia="Arial" w:hAnsi="Arial"/>
                  <w:sz w:val="17"/>
                  <w:szCs w:val="17"/>
                  <w:color w:val="0000EE"/>
                  <w:w w:val="88"/>
                </w:rPr>
                <w:t>Consolidated Statements of Stockholders' Equity for the Fiscal Years Ended March 31, 2017, 2016 and 2015</w:t>
              </w:r>
            </w:hyperlink>
          </w:p>
        </w:tc>
        <w:tc>
          <w:tcPr>
            <w:tcW w:w="20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bottom w:val="single" w:sz="8" w:color="0000EE"/>
            </w:tcBorders>
            <w:gridSpan w:val="2"/>
          </w:tcPr>
          <w:p>
            <w:pPr>
              <w:jc w:val="center"/>
              <w:spacing w:after="0"/>
              <w:rPr>
                <w:rFonts w:ascii="Arial" w:cs="Arial" w:eastAsia="Arial" w:hAnsi="Arial"/>
                <w:sz w:val="17"/>
                <w:szCs w:val="17"/>
                <w:color w:val="0000EE"/>
                <w:w w:val="93"/>
              </w:rPr>
            </w:pPr>
            <w:hyperlink w:anchor="page71">
              <w:r>
                <w:rPr>
                  <w:rFonts w:ascii="Arial" w:cs="Arial" w:eastAsia="Arial" w:hAnsi="Arial"/>
                  <w:sz w:val="17"/>
                  <w:szCs w:val="17"/>
                  <w:color w:val="0000EE"/>
                  <w:w w:val="93"/>
                </w:rPr>
                <w:t>F-7</w:t>
              </w:r>
            </w:hyperlink>
          </w:p>
        </w:tc>
        <w:tc>
          <w:tcPr>
            <w:tcW w:w="500" w:type="dxa"/>
            <w:vAlign w:val="bottom"/>
          </w:tcPr>
          <w:p>
            <w:pPr>
              <w:spacing w:after="0"/>
              <w:rPr>
                <w:sz w:val="24"/>
                <w:szCs w:val="24"/>
                <w:color w:val="auto"/>
              </w:rPr>
            </w:pPr>
          </w:p>
        </w:tc>
      </w:tr>
      <w:tr>
        <w:trPr>
          <w:trHeight w:val="343"/>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60" w:type="dxa"/>
            <w:vAlign w:val="bottom"/>
            <w:gridSpan w:val="8"/>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Notes to Consolidated Financial Statements</w:t>
              </w:r>
            </w:hyperlink>
          </w:p>
        </w:tc>
        <w:tc>
          <w:tcPr>
            <w:tcW w:w="1240" w:type="dxa"/>
            <w:vAlign w:val="bottom"/>
            <w:gridSpan w:val="4"/>
          </w:tcPr>
          <w:p>
            <w:pPr>
              <w:jc w:val="center"/>
              <w:spacing w:after="0"/>
              <w:rPr>
                <w:rFonts w:ascii="Arial" w:cs="Arial" w:eastAsia="Arial" w:hAnsi="Arial"/>
                <w:sz w:val="17"/>
                <w:szCs w:val="17"/>
                <w:color w:val="0000EE"/>
                <w:w w:val="93"/>
              </w:rPr>
            </w:pPr>
            <w:hyperlink w:anchor="page72">
              <w:r>
                <w:rPr>
                  <w:rFonts w:ascii="Arial" w:cs="Arial" w:eastAsia="Arial" w:hAnsi="Arial"/>
                  <w:sz w:val="17"/>
                  <w:szCs w:val="17"/>
                  <w:color w:val="0000EE"/>
                  <w:w w:val="93"/>
                </w:rPr>
                <w:t>F-8</w:t>
              </w:r>
            </w:hyperlink>
          </w:p>
        </w:tc>
      </w:tr>
      <w:tr>
        <w:trPr>
          <w:trHeight w:val="668"/>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5200" w:type="dxa"/>
            <w:vAlign w:val="bottom"/>
            <w:gridSpan w:val="6"/>
          </w:tcPr>
          <w:p>
            <w:pPr>
              <w:jc w:val="center"/>
              <w:ind w:right="3720"/>
              <w:spacing w:after="0"/>
              <w:rPr>
                <w:sz w:val="20"/>
                <w:szCs w:val="20"/>
                <w:color w:val="auto"/>
              </w:rPr>
            </w:pPr>
            <w:r>
              <w:rPr>
                <w:rFonts w:ascii="Arial" w:cs="Arial" w:eastAsia="Arial" w:hAnsi="Arial"/>
                <w:sz w:val="17"/>
                <w:szCs w:val="17"/>
                <w:color w:val="auto"/>
                <w:w w:val="93"/>
              </w:rPr>
              <w:t>F-1</w:t>
            </w:r>
          </w:p>
        </w:tc>
        <w:tc>
          <w:tcPr>
            <w:tcW w:w="5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649"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Report of Ernst &amp; Young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Booz Allen Hamilton Holding Corporation</w:t>
      </w:r>
    </w:p>
    <w:p>
      <w:pPr>
        <w:spacing w:after="0" w:line="19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We have audited the accompanying consolidated balance sheets of Booz Allen Hamilton Holding Corporation as of March 31, 2017 and 2016, and the related consolidated statements of operations, comprehensive income, stockholders’ equity and cash flows for each of the three years in the period ended March 31, 2017. These financial statements are the responsibility of the Company’s management. Our responsibility is to express an opinion on these financial statements based on our audits.</w:t>
      </w:r>
    </w:p>
    <w:p>
      <w:pPr>
        <w:spacing w:after="0" w:line="141"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Booz Allen Hamilton Holding Corporation at March 31, 2017 and 2016, and the consolidated results of its operations and its cash flows for each of the three years in the period ended March 31, 2017, in conformity with U.S. generally accepted accounting principles.</w:t>
      </w:r>
    </w:p>
    <w:p>
      <w:pPr>
        <w:spacing w:after="0" w:line="176"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Booz Allen Hamilton Holding Corporation’s internal control over financial reporting as of March 31, 2017, based on criteria established in Internal Control-Integrated Framework issued by the Committee of Sponsoring Organizations of the Treadway Commission (2013 framework) and our report dated May 22, 2017 expressed an unqualified opinion thereon.</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May 22, 2017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849"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3"/>
                <w:szCs w:val="13"/>
                <w:color w:val="auto"/>
              </w:rPr>
            </w:pPr>
          </w:p>
        </w:tc>
        <w:tc>
          <w:tcPr>
            <w:tcW w:w="1200" w:type="dxa"/>
            <w:vAlign w:val="bottom"/>
          </w:tcPr>
          <w:p>
            <w:pPr>
              <w:jc w:val="right"/>
              <w:ind w:right="378"/>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8"/>
        </w:trPr>
        <w:tc>
          <w:tcPr>
            <w:tcW w:w="8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140"/>
        </w:trPr>
        <w:tc>
          <w:tcPr>
            <w:tcW w:w="8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80" w:type="dxa"/>
            <w:vAlign w:val="bottom"/>
            <w:gridSpan w:val="4"/>
          </w:tcPr>
          <w:p>
            <w:pPr>
              <w:jc w:val="right"/>
              <w:ind w:right="558"/>
              <w:spacing w:after="0" w:line="140" w:lineRule="exact"/>
              <w:rPr>
                <w:sz w:val="20"/>
                <w:szCs w:val="20"/>
                <w:color w:val="auto"/>
              </w:rPr>
            </w:pPr>
            <w:r>
              <w:rPr>
                <w:rFonts w:ascii="Arial" w:cs="Arial" w:eastAsia="Arial" w:hAnsi="Arial"/>
                <w:sz w:val="13"/>
                <w:szCs w:val="13"/>
                <w:b w:val="1"/>
                <w:bCs w:val="1"/>
                <w:color w:val="auto"/>
              </w:rPr>
              <w:t>(Amounts in thousands, except</w:t>
            </w:r>
          </w:p>
        </w:tc>
        <w:tc>
          <w:tcPr>
            <w:tcW w:w="0" w:type="dxa"/>
            <w:vAlign w:val="bottom"/>
          </w:tcPr>
          <w:p>
            <w:pPr>
              <w:spacing w:after="0"/>
              <w:rPr>
                <w:sz w:val="1"/>
                <w:szCs w:val="1"/>
                <w:color w:val="auto"/>
              </w:rPr>
            </w:pPr>
          </w:p>
        </w:tc>
      </w:tr>
      <w:tr>
        <w:trPr>
          <w:trHeight w:val="173"/>
        </w:trPr>
        <w:tc>
          <w:tcPr>
            <w:tcW w:w="8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gridSpan w:val="4"/>
          </w:tcPr>
          <w:p>
            <w:pPr>
              <w:jc w:val="right"/>
              <w:ind w:right="718"/>
              <w:spacing w:after="0"/>
              <w:rPr>
                <w:sz w:val="20"/>
                <w:szCs w:val="20"/>
                <w:color w:val="auto"/>
              </w:rPr>
            </w:pPr>
            <w:r>
              <w:rPr>
                <w:rFonts w:ascii="Arial" w:cs="Arial" w:eastAsia="Arial" w:hAnsi="Arial"/>
                <w:sz w:val="13"/>
                <w:szCs w:val="13"/>
                <w:b w:val="1"/>
                <w:bCs w:val="1"/>
                <w:color w:val="auto"/>
              </w:rPr>
              <w:t>share and per share data)</w:t>
            </w:r>
          </w:p>
        </w:tc>
        <w:tc>
          <w:tcPr>
            <w:tcW w:w="0" w:type="dxa"/>
            <w:vAlign w:val="bottom"/>
          </w:tcPr>
          <w:p>
            <w:pPr>
              <w:spacing w:after="0"/>
              <w:rPr>
                <w:sz w:val="1"/>
                <w:szCs w:val="1"/>
                <w:color w:val="auto"/>
              </w:rPr>
            </w:pPr>
          </w:p>
        </w:tc>
      </w:tr>
      <w:tr>
        <w:trPr>
          <w:trHeight w:val="235"/>
        </w:trPr>
        <w:tc>
          <w:tcPr>
            <w:tcW w:w="8340" w:type="dxa"/>
            <w:vAlign w:val="bottom"/>
          </w:tcPr>
          <w:p>
            <w:pPr>
              <w:ind w:left="3860"/>
              <w:spacing w:after="0"/>
              <w:rPr>
                <w:sz w:val="20"/>
                <w:szCs w:val="20"/>
                <w:color w:val="auto"/>
              </w:rPr>
            </w:pPr>
            <w:r>
              <w:rPr>
                <w:rFonts w:ascii="Arial" w:cs="Arial" w:eastAsia="Arial" w:hAnsi="Arial"/>
                <w:sz w:val="17"/>
                <w:szCs w:val="17"/>
                <w:b w:val="1"/>
                <w:bCs w:val="1"/>
                <w:color w:val="auto"/>
              </w:rPr>
              <w:t>ASSETS</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40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217,417</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187,529</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receivable, net of allowance</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991,810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892,289</w:t>
            </w:r>
          </w:p>
        </w:tc>
        <w:tc>
          <w:tcPr>
            <w:tcW w:w="0" w:type="dxa"/>
            <w:vAlign w:val="bottom"/>
          </w:tcPr>
          <w:p>
            <w:pPr>
              <w:spacing w:after="0"/>
              <w:rPr>
                <w:sz w:val="1"/>
                <w:szCs w:val="1"/>
                <w:color w:val="auto"/>
              </w:rPr>
            </w:pPr>
          </w:p>
        </w:tc>
      </w:tr>
      <w:tr>
        <w:trPr>
          <w:trHeight w:val="225"/>
        </w:trPr>
        <w:tc>
          <w:tcPr>
            <w:tcW w:w="834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4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85,253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109,953</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1,294,480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1,189,771</w:t>
            </w:r>
          </w:p>
        </w:tc>
        <w:tc>
          <w:tcPr>
            <w:tcW w:w="0" w:type="dxa"/>
            <w:vAlign w:val="bottom"/>
          </w:tcPr>
          <w:p>
            <w:pPr>
              <w:spacing w:after="0"/>
              <w:rPr>
                <w:sz w:val="1"/>
                <w:szCs w:val="1"/>
                <w:color w:val="auto"/>
              </w:rPr>
            </w:pPr>
          </w:p>
        </w:tc>
      </w:tr>
      <w:tr>
        <w:trPr>
          <w:trHeight w:val="225"/>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w:t>
            </w:r>
          </w:p>
        </w:tc>
        <w:tc>
          <w:tcPr>
            <w:tcW w:w="4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139,167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130,169</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10,825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22,054</w:t>
            </w:r>
          </w:p>
        </w:tc>
        <w:tc>
          <w:tcPr>
            <w:tcW w:w="0" w:type="dxa"/>
            <w:vAlign w:val="bottom"/>
          </w:tcPr>
          <w:p>
            <w:pPr>
              <w:spacing w:after="0"/>
              <w:rPr>
                <w:sz w:val="1"/>
                <w:szCs w:val="1"/>
                <w:color w:val="auto"/>
              </w:rPr>
            </w:pPr>
          </w:p>
        </w:tc>
      </w:tr>
      <w:tr>
        <w:trPr>
          <w:trHeight w:val="225"/>
        </w:trPr>
        <w:tc>
          <w:tcPr>
            <w:tcW w:w="8340" w:type="dxa"/>
            <w:vAlign w:val="bottom"/>
          </w:tcPr>
          <w:p>
            <w:pPr>
              <w:ind w:left="20"/>
              <w:spacing w:after="0"/>
              <w:rPr>
                <w:sz w:val="20"/>
                <w:szCs w:val="20"/>
                <w:color w:val="auto"/>
              </w:rPr>
            </w:pPr>
            <w:r>
              <w:rPr>
                <w:rFonts w:ascii="Arial" w:cs="Arial" w:eastAsia="Arial" w:hAnsi="Arial"/>
                <w:sz w:val="17"/>
                <w:szCs w:val="17"/>
                <w:color w:val="auto"/>
              </w:rPr>
              <w:t>Intangible assets, net of accumulated amortization</w:t>
            </w:r>
          </w:p>
        </w:tc>
        <w:tc>
          <w:tcPr>
            <w:tcW w:w="4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271,880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220,658</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1,571,190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1,361,913</w:t>
            </w:r>
          </w:p>
        </w:tc>
        <w:tc>
          <w:tcPr>
            <w:tcW w:w="0" w:type="dxa"/>
            <w:vAlign w:val="bottom"/>
          </w:tcPr>
          <w:p>
            <w:pPr>
              <w:spacing w:after="0"/>
              <w:rPr>
                <w:sz w:val="1"/>
                <w:szCs w:val="1"/>
                <w:color w:val="auto"/>
              </w:rPr>
            </w:pPr>
          </w:p>
        </w:tc>
      </w:tr>
      <w:tr>
        <w:trPr>
          <w:trHeight w:val="225"/>
        </w:trPr>
        <w:tc>
          <w:tcPr>
            <w:tcW w:w="8340" w:type="dxa"/>
            <w:vAlign w:val="bottom"/>
          </w:tcPr>
          <w:p>
            <w:pPr>
              <w:ind w:left="20"/>
              <w:spacing w:after="0"/>
              <w:rPr>
                <w:sz w:val="20"/>
                <w:szCs w:val="20"/>
                <w:color w:val="auto"/>
              </w:rPr>
            </w:pPr>
            <w:r>
              <w:rPr>
                <w:rFonts w:ascii="Arial" w:cs="Arial" w:eastAsia="Arial" w:hAnsi="Arial"/>
                <w:sz w:val="17"/>
                <w:szCs w:val="17"/>
                <w:color w:val="auto"/>
              </w:rPr>
              <w:t>Other long-term assets</w:t>
            </w:r>
          </w:p>
        </w:tc>
        <w:tc>
          <w:tcPr>
            <w:tcW w:w="4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85,563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85,606</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assets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3,373,105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3,010,171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360"/>
              <w:spacing w:after="0"/>
              <w:rPr>
                <w:sz w:val="20"/>
                <w:szCs w:val="20"/>
                <w:color w:val="auto"/>
              </w:rPr>
            </w:pPr>
            <w:r>
              <w:rPr>
                <w:rFonts w:ascii="Arial" w:cs="Arial" w:eastAsia="Arial" w:hAnsi="Arial"/>
                <w:sz w:val="17"/>
                <w:szCs w:val="17"/>
                <w:b w:val="1"/>
                <w:bCs w:val="1"/>
                <w:color w:val="auto"/>
              </w:rPr>
              <w:t>LIABILITIES AND STOCKHOLDERS’ EQUITY</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8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260"/>
              <w:spacing w:after="0"/>
              <w:rPr>
                <w:sz w:val="20"/>
                <w:szCs w:val="20"/>
                <w:color w:val="auto"/>
              </w:rPr>
            </w:pPr>
            <w:r>
              <w:rPr>
                <w:rFonts w:ascii="Arial" w:cs="Arial" w:eastAsia="Arial" w:hAnsi="Arial"/>
                <w:sz w:val="17"/>
                <w:szCs w:val="17"/>
                <w:color w:val="auto"/>
              </w:rPr>
              <w:t>Current portion of long-term debt</w:t>
            </w:r>
          </w:p>
        </w:tc>
        <w:tc>
          <w:tcPr>
            <w:tcW w:w="40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193,150</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112,813</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payable and other accrued expenses</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504,117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484,769</w:t>
            </w:r>
          </w:p>
        </w:tc>
        <w:tc>
          <w:tcPr>
            <w:tcW w:w="0" w:type="dxa"/>
            <w:vAlign w:val="bottom"/>
          </w:tcPr>
          <w:p>
            <w:pPr>
              <w:spacing w:after="0"/>
              <w:rPr>
                <w:sz w:val="1"/>
                <w:szCs w:val="1"/>
                <w:color w:val="auto"/>
              </w:rPr>
            </w:pPr>
          </w:p>
        </w:tc>
      </w:tr>
      <w:tr>
        <w:trPr>
          <w:trHeight w:val="225"/>
        </w:trPr>
        <w:tc>
          <w:tcPr>
            <w:tcW w:w="8340" w:type="dxa"/>
            <w:vAlign w:val="bottom"/>
          </w:tcPr>
          <w:p>
            <w:pPr>
              <w:ind w:left="260"/>
              <w:spacing w:after="0"/>
              <w:rPr>
                <w:sz w:val="20"/>
                <w:szCs w:val="20"/>
                <w:color w:val="auto"/>
              </w:rPr>
            </w:pPr>
            <w:r>
              <w:rPr>
                <w:rFonts w:ascii="Arial" w:cs="Arial" w:eastAsia="Arial" w:hAnsi="Arial"/>
                <w:sz w:val="17"/>
                <w:szCs w:val="17"/>
                <w:color w:val="auto"/>
              </w:rPr>
              <w:t>Accrued compensation and benefits</w:t>
            </w:r>
          </w:p>
        </w:tc>
        <w:tc>
          <w:tcPr>
            <w:tcW w:w="4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263,816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241,367</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140,318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100,964</w:t>
            </w:r>
          </w:p>
        </w:tc>
        <w:tc>
          <w:tcPr>
            <w:tcW w:w="0" w:type="dxa"/>
            <w:vAlign w:val="bottom"/>
          </w:tcPr>
          <w:p>
            <w:pPr>
              <w:spacing w:after="0"/>
              <w:rPr>
                <w:sz w:val="1"/>
                <w:szCs w:val="1"/>
                <w:color w:val="auto"/>
              </w:rPr>
            </w:pPr>
          </w:p>
        </w:tc>
      </w:tr>
      <w:tr>
        <w:trPr>
          <w:trHeight w:val="218"/>
        </w:trPr>
        <w:tc>
          <w:tcPr>
            <w:tcW w:w="8340" w:type="dxa"/>
            <w:vAlign w:val="bottom"/>
          </w:tcPr>
          <w:p>
            <w:pPr>
              <w:ind w:left="360"/>
              <w:spacing w:after="0"/>
              <w:rPr>
                <w:sz w:val="20"/>
                <w:szCs w:val="20"/>
                <w:color w:val="auto"/>
              </w:rPr>
            </w:pPr>
            <w:r>
              <w:rPr>
                <w:rFonts w:ascii="Arial" w:cs="Arial" w:eastAsia="Arial" w:hAnsi="Arial"/>
                <w:sz w:val="17"/>
                <w:szCs w:val="17"/>
                <w:color w:val="auto"/>
              </w:rPr>
              <w:t>Total current liabilities</w:t>
            </w: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1,101,401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939,913</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net of current portion</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1,470,174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1,484,448</w:t>
            </w:r>
          </w:p>
        </w:tc>
        <w:tc>
          <w:tcPr>
            <w:tcW w:w="0" w:type="dxa"/>
            <w:vAlign w:val="bottom"/>
          </w:tcPr>
          <w:p>
            <w:pPr>
              <w:spacing w:after="0"/>
              <w:rPr>
                <w:sz w:val="1"/>
                <w:szCs w:val="1"/>
                <w:color w:val="auto"/>
              </w:rPr>
            </w:pPr>
          </w:p>
        </w:tc>
      </w:tr>
      <w:tr>
        <w:trPr>
          <w:trHeight w:val="225"/>
        </w:trPr>
        <w:tc>
          <w:tcPr>
            <w:tcW w:w="8340" w:type="dxa"/>
            <w:vAlign w:val="bottom"/>
          </w:tcPr>
          <w:p>
            <w:pPr>
              <w:ind w:left="20"/>
              <w:spacing w:after="0"/>
              <w:rPr>
                <w:sz w:val="20"/>
                <w:szCs w:val="20"/>
                <w:color w:val="auto"/>
              </w:rPr>
            </w:pPr>
            <w:r>
              <w:rPr>
                <w:rFonts w:ascii="Arial" w:cs="Arial" w:eastAsia="Arial" w:hAnsi="Arial"/>
                <w:sz w:val="17"/>
                <w:szCs w:val="17"/>
                <w:color w:val="auto"/>
              </w:rPr>
              <w:t>Income tax reserves</w:t>
            </w:r>
          </w:p>
        </w:tc>
        <w:tc>
          <w:tcPr>
            <w:tcW w:w="4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11,647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1,517</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216,292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175,805</w:t>
            </w:r>
          </w:p>
        </w:tc>
        <w:tc>
          <w:tcPr>
            <w:tcW w:w="0" w:type="dxa"/>
            <w:vAlign w:val="bottom"/>
          </w:tcPr>
          <w:p>
            <w:pPr>
              <w:spacing w:after="0"/>
              <w:rPr>
                <w:sz w:val="1"/>
                <w:szCs w:val="1"/>
                <w:color w:val="auto"/>
              </w:rPr>
            </w:pPr>
          </w:p>
        </w:tc>
      </w:tr>
      <w:tr>
        <w:trPr>
          <w:trHeight w:val="218"/>
        </w:trPr>
        <w:tc>
          <w:tcPr>
            <w:tcW w:w="8340" w:type="dxa"/>
            <w:vAlign w:val="bottom"/>
          </w:tcPr>
          <w:p>
            <w:pPr>
              <w:ind w:left="460"/>
              <w:spacing w:after="0"/>
              <w:rPr>
                <w:sz w:val="20"/>
                <w:szCs w:val="20"/>
                <w:color w:val="auto"/>
              </w:rPr>
            </w:pPr>
            <w:r>
              <w:rPr>
                <w:rFonts w:ascii="Arial" w:cs="Arial" w:eastAsia="Arial" w:hAnsi="Arial"/>
                <w:sz w:val="17"/>
                <w:szCs w:val="17"/>
                <w:color w:val="auto"/>
              </w:rPr>
              <w:t>Total liabilities</w:t>
            </w: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2,799,514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2,601,683</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20)</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340" w:type="dxa"/>
            <w:vAlign w:val="bottom"/>
            <w:shd w:val="clear" w:color="auto" w:fill="CCEEFF"/>
          </w:tcPr>
          <w:p>
            <w:pPr>
              <w:ind w:left="260"/>
              <w:spacing w:after="0"/>
              <w:rPr>
                <w:sz w:val="20"/>
                <w:szCs w:val="20"/>
                <w:color w:val="auto"/>
              </w:rPr>
            </w:pPr>
            <w:r>
              <w:rPr>
                <w:rFonts w:ascii="Arial" w:cs="Arial" w:eastAsia="Arial" w:hAnsi="Arial"/>
                <w:sz w:val="17"/>
                <w:szCs w:val="17"/>
                <w:color w:val="auto"/>
                <w:w w:val="88"/>
              </w:rPr>
              <w:t>Common stock, Class A — $0.01 par value — authorized, 600,000,000 shares; issued, 155,901,485 shares at March 31,</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400"/>
              <w:spacing w:after="0"/>
              <w:rPr>
                <w:sz w:val="20"/>
                <w:szCs w:val="20"/>
                <w:color w:val="auto"/>
              </w:rPr>
            </w:pPr>
            <w:r>
              <w:rPr>
                <w:rFonts w:ascii="Arial" w:cs="Arial" w:eastAsia="Arial" w:hAnsi="Arial"/>
                <w:sz w:val="17"/>
                <w:szCs w:val="17"/>
                <w:color w:val="auto"/>
                <w:w w:val="88"/>
              </w:rPr>
              <w:t>2017 and 153,391,058 shares at March 31, 2016; outstanding, 148,887,708 shares at March 31, 2017 and 147,992,462</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shares at March 31, 2016</w:t>
            </w: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1,559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1,534</w:t>
            </w:r>
          </w:p>
        </w:tc>
        <w:tc>
          <w:tcPr>
            <w:tcW w:w="0" w:type="dxa"/>
            <w:vAlign w:val="bottom"/>
          </w:tcPr>
          <w:p>
            <w:pPr>
              <w:spacing w:after="0"/>
              <w:rPr>
                <w:sz w:val="1"/>
                <w:szCs w:val="1"/>
                <w:color w:val="auto"/>
              </w:rPr>
            </w:pPr>
          </w:p>
        </w:tc>
      </w:tr>
      <w:tr>
        <w:trPr>
          <w:trHeight w:val="225"/>
        </w:trPr>
        <w:tc>
          <w:tcPr>
            <w:tcW w:w="8340" w:type="dxa"/>
            <w:vAlign w:val="bottom"/>
          </w:tcPr>
          <w:p>
            <w:pPr>
              <w:ind w:left="260"/>
              <w:spacing w:after="0"/>
              <w:rPr>
                <w:sz w:val="20"/>
                <w:szCs w:val="20"/>
                <w:color w:val="auto"/>
              </w:rPr>
            </w:pPr>
            <w:r>
              <w:rPr>
                <w:rFonts w:ascii="Arial" w:cs="Arial" w:eastAsia="Arial" w:hAnsi="Arial"/>
                <w:sz w:val="17"/>
                <w:szCs w:val="17"/>
                <w:color w:val="auto"/>
              </w:rPr>
              <w:t>Treasury stock, at cost — 7,013,777 shares at March 31, 2017 and 5,398,596 shares at March 31, 2016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(191,900)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(135,445)</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Additional paid-in capital</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302,907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243,475</w:t>
            </w:r>
          </w:p>
        </w:tc>
        <w:tc>
          <w:tcPr>
            <w:tcW w:w="0" w:type="dxa"/>
            <w:vAlign w:val="bottom"/>
          </w:tcPr>
          <w:p>
            <w:pPr>
              <w:spacing w:after="0"/>
              <w:rPr>
                <w:sz w:val="1"/>
                <w:szCs w:val="1"/>
                <w:color w:val="auto"/>
              </w:rPr>
            </w:pPr>
          </w:p>
        </w:tc>
      </w:tr>
      <w:tr>
        <w:trPr>
          <w:trHeight w:val="225"/>
        </w:trPr>
        <w:tc>
          <w:tcPr>
            <w:tcW w:w="8340" w:type="dxa"/>
            <w:vAlign w:val="bottom"/>
          </w:tcPr>
          <w:p>
            <w:pPr>
              <w:ind w:left="260"/>
              <w:spacing w:after="0"/>
              <w:rPr>
                <w:sz w:val="20"/>
                <w:szCs w:val="20"/>
                <w:color w:val="auto"/>
              </w:rPr>
            </w:pPr>
            <w:r>
              <w:rPr>
                <w:rFonts w:ascii="Arial" w:cs="Arial" w:eastAsia="Arial" w:hAnsi="Arial"/>
                <w:sz w:val="17"/>
                <w:szCs w:val="17"/>
                <w:color w:val="auto"/>
              </w:rPr>
              <w:t>Retained earnings</w:t>
            </w:r>
          </w:p>
        </w:tc>
        <w:tc>
          <w:tcPr>
            <w:tcW w:w="4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478,102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318,537</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(19,613)</w:t>
            </w:r>
          </w:p>
        </w:tc>
        <w:tc>
          <w:tcPr>
            <w:tcW w:w="0" w:type="dxa"/>
            <w:vAlign w:val="bottom"/>
          </w:tcPr>
          <w:p>
            <w:pPr>
              <w:spacing w:after="0"/>
              <w:rPr>
                <w:sz w:val="1"/>
                <w:szCs w:val="1"/>
                <w:color w:val="auto"/>
              </w:rPr>
            </w:pPr>
          </w:p>
        </w:tc>
      </w:tr>
      <w:tr>
        <w:trPr>
          <w:trHeight w:val="218"/>
        </w:trPr>
        <w:tc>
          <w:tcPr>
            <w:tcW w:w="8340" w:type="dxa"/>
            <w:vAlign w:val="bottom"/>
          </w:tcPr>
          <w:p>
            <w:pPr>
              <w:ind w:left="460"/>
              <w:spacing w:after="0"/>
              <w:rPr>
                <w:sz w:val="20"/>
                <w:szCs w:val="20"/>
                <w:color w:val="auto"/>
              </w:rPr>
            </w:pPr>
            <w:r>
              <w:rPr>
                <w:rFonts w:ascii="Arial" w:cs="Arial" w:eastAsia="Arial" w:hAnsi="Arial"/>
                <w:sz w:val="17"/>
                <w:szCs w:val="17"/>
                <w:color w:val="auto"/>
              </w:rPr>
              <w:t>Total stockholders’ equity</w:t>
            </w: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573,591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408,488</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liabilities and stockholders’ equity</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3,373,105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3,010,171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
          </w:tcPr>
          <w:p>
            <w:pPr>
              <w:ind w:left="2740"/>
              <w:spacing w:after="0" w:line="190" w:lineRule="exact"/>
              <w:rPr>
                <w:sz w:val="20"/>
                <w:szCs w:val="20"/>
                <w:color w:val="auto"/>
              </w:rPr>
            </w:pPr>
            <w:r>
              <w:rPr>
                <w:rFonts w:ascii="Arial" w:cs="Arial" w:eastAsia="Arial" w:hAnsi="Arial"/>
                <w:sz w:val="17"/>
                <w:szCs w:val="17"/>
                <w:color w:val="auto"/>
                <w:w w:val="88"/>
              </w:rPr>
              <w:t>The accompanying notes are an integral part of these Consolidated Financial Statements.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8340" w:type="dxa"/>
            <w:vAlign w:val="bottom"/>
          </w:tcPr>
          <w:p>
            <w:pPr>
              <w:ind w:left="5600"/>
              <w:spacing w:after="0"/>
              <w:rPr>
                <w:sz w:val="20"/>
                <w:szCs w:val="20"/>
                <w:color w:val="auto"/>
              </w:rPr>
            </w:pPr>
            <w:r>
              <w:rPr>
                <w:rFonts w:ascii="Arial" w:cs="Arial" w:eastAsia="Arial" w:hAnsi="Arial"/>
                <w:sz w:val="17"/>
                <w:szCs w:val="17"/>
                <w:color w:val="auto"/>
              </w:rPr>
              <w:t>F-3</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3"/>
              </w:rPr>
              <w:t>Fiscal Year Ended March 31,</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78"/>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00" w:type="dxa"/>
            <w:vAlign w:val="bottom"/>
            <w:gridSpan w:val="7"/>
          </w:tcPr>
          <w:p>
            <w:pPr>
              <w:jc w:val="center"/>
              <w:ind w:left="499"/>
              <w:spacing w:after="0"/>
              <w:rPr>
                <w:sz w:val="20"/>
                <w:szCs w:val="20"/>
                <w:color w:val="auto"/>
              </w:rPr>
            </w:pPr>
            <w:r>
              <w:rPr>
                <w:rFonts w:ascii="Arial" w:cs="Arial" w:eastAsia="Arial" w:hAnsi="Arial"/>
                <w:sz w:val="13"/>
                <w:szCs w:val="13"/>
                <w:b w:val="1"/>
                <w:bCs w:val="1"/>
                <w:color w:val="auto"/>
                <w:w w:val="90"/>
              </w:rPr>
              <w:t>(Amounts in thousands, except per share data)</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5,804,284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5,405,738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5,274,770</w:t>
            </w: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7"/>
                <w:szCs w:val="17"/>
                <w:color w:val="auto"/>
              </w:rPr>
              <w:t>Operating 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2,691,982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2,580,026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2,593,849</w:t>
            </w:r>
          </w:p>
        </w:tc>
        <w:tc>
          <w:tcPr>
            <w:tcW w:w="0" w:type="dxa"/>
            <w:vAlign w:val="bottom"/>
          </w:tcPr>
          <w:p>
            <w:pPr>
              <w:spacing w:after="0"/>
              <w:rPr>
                <w:sz w:val="1"/>
                <w:szCs w:val="1"/>
                <w:color w:val="auto"/>
              </w:rPr>
            </w:pPr>
          </w:p>
        </w:tc>
      </w:tr>
      <w:tr>
        <w:trPr>
          <w:trHeight w:val="225"/>
        </w:trPr>
        <w:tc>
          <w:tcPr>
            <w:tcW w:w="5780" w:type="dxa"/>
            <w:vAlign w:val="bottom"/>
          </w:tcPr>
          <w:p>
            <w:pPr>
              <w:ind w:left="260"/>
              <w:spacing w:after="0"/>
              <w:rPr>
                <w:sz w:val="20"/>
                <w:szCs w:val="20"/>
                <w:color w:val="auto"/>
              </w:rPr>
            </w:pPr>
            <w:r>
              <w:rPr>
                <w:rFonts w:ascii="Arial" w:cs="Arial" w:eastAsia="Arial" w:hAnsi="Arial"/>
                <w:sz w:val="17"/>
                <w:szCs w:val="17"/>
                <w:color w:val="auto"/>
              </w:rPr>
              <w:t>Billable expenses</w:t>
            </w: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1,751,077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1,513,083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1,406,527</w:t>
            </w: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 and administrative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817,434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806,509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752,912</w:t>
            </w:r>
          </w:p>
        </w:tc>
        <w:tc>
          <w:tcPr>
            <w:tcW w:w="0" w:type="dxa"/>
            <w:vAlign w:val="bottom"/>
          </w:tcPr>
          <w:p>
            <w:pPr>
              <w:spacing w:after="0"/>
              <w:rPr>
                <w:sz w:val="1"/>
                <w:szCs w:val="1"/>
                <w:color w:val="auto"/>
              </w:rPr>
            </w:pPr>
          </w:p>
        </w:tc>
      </w:tr>
      <w:tr>
        <w:trPr>
          <w:trHeight w:val="225"/>
        </w:trPr>
        <w:tc>
          <w:tcPr>
            <w:tcW w:w="5780" w:type="dxa"/>
            <w:vAlign w:val="bottom"/>
          </w:tcPr>
          <w:p>
            <w:pPr>
              <w:ind w:left="26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59,544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61,536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62,660</w:t>
            </w:r>
          </w:p>
        </w:tc>
        <w:tc>
          <w:tcPr>
            <w:tcW w:w="0" w:type="dxa"/>
            <w:vAlign w:val="bottom"/>
          </w:tcPr>
          <w:p>
            <w:pPr>
              <w:spacing w:after="0"/>
              <w:rPr>
                <w:sz w:val="1"/>
                <w:szCs w:val="1"/>
                <w:color w:val="auto"/>
              </w:rPr>
            </w:pPr>
          </w:p>
        </w:tc>
      </w:tr>
      <w:tr>
        <w:trPr>
          <w:trHeight w:val="25"/>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5,320,037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4,961,154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4,815,948</w:t>
            </w:r>
          </w:p>
        </w:tc>
        <w:tc>
          <w:tcPr>
            <w:tcW w:w="0" w:type="dxa"/>
            <w:vAlign w:val="bottom"/>
          </w:tcPr>
          <w:p>
            <w:pPr>
              <w:spacing w:after="0"/>
              <w:rPr>
                <w:sz w:val="1"/>
                <w:szCs w:val="1"/>
                <w:color w:val="auto"/>
              </w:rPr>
            </w:pPr>
          </w:p>
        </w:tc>
      </w:tr>
      <w:tr>
        <w:trPr>
          <w:trHeight w:val="218"/>
        </w:trPr>
        <w:tc>
          <w:tcPr>
            <w:tcW w:w="578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484,247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444,584</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458,822</w:t>
            </w: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(70,815)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(71,832)</w:t>
            </w: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5,693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(1,072)</w:t>
            </w:r>
          </w:p>
        </w:tc>
        <w:tc>
          <w:tcPr>
            <w:tcW w:w="0" w:type="dxa"/>
            <w:vAlign w:val="bottom"/>
          </w:tcPr>
          <w:p>
            <w:pPr>
              <w:spacing w:after="0"/>
              <w:rPr>
                <w:sz w:val="1"/>
                <w:szCs w:val="1"/>
                <w:color w:val="auto"/>
              </w:rPr>
            </w:pPr>
          </w:p>
        </w:tc>
      </w:tr>
      <w:tr>
        <w:trPr>
          <w:trHeight w:val="25"/>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411,900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379,462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385,918</w:t>
            </w: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159,410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85,368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153,349</w:t>
            </w:r>
          </w:p>
        </w:tc>
        <w:tc>
          <w:tcPr>
            <w:tcW w:w="0" w:type="dxa"/>
            <w:vAlign w:val="bottom"/>
          </w:tcPr>
          <w:p>
            <w:pPr>
              <w:spacing w:after="0"/>
              <w:rPr>
                <w:sz w:val="1"/>
                <w:szCs w:val="1"/>
                <w:color w:val="auto"/>
              </w:rPr>
            </w:pPr>
          </w:p>
        </w:tc>
      </w:tr>
      <w:tr>
        <w:trPr>
          <w:trHeight w:val="25"/>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252,490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294,094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232,569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7"/>
                <w:szCs w:val="17"/>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vMerge w:val="continue"/>
          </w:tcPr>
          <w:p>
            <w:pPr>
              <w:spacing w:after="0"/>
              <w:rPr>
                <w:sz w:val="17"/>
                <w:szCs w:val="17"/>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1.67</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320"/>
          </w:cols>
          <w:pgMar w:left="240" w:top="1024" w:right="1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3"/>
              </w:rPr>
              <w:t>Fiscal Year Ended March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43"/>
        </w:trPr>
        <w:tc>
          <w:tcPr>
            <w:tcW w:w="66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81"/>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2015</w:t>
            </w:r>
          </w:p>
        </w:tc>
      </w:tr>
      <w:tr>
        <w:trPr>
          <w:trHeight w:val="180"/>
        </w:trPr>
        <w:tc>
          <w:tcPr>
            <w:tcW w:w="6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(Amounts in thousands)</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252,490</w:t>
            </w:r>
          </w:p>
        </w:tc>
        <w:tc>
          <w:tcPr>
            <w:tcW w:w="460" w:type="dxa"/>
            <w:vAlign w:val="bottom"/>
            <w:tcBorders>
              <w:bottom w:val="single" w:sz="8" w:color="CCEEFF"/>
            </w:tcBorders>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294,094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232,569</w:t>
            </w:r>
          </w:p>
        </w:tc>
      </w:tr>
      <w:tr>
        <w:trPr>
          <w:trHeight w:val="225"/>
        </w:trPr>
        <w:tc>
          <w:tcPr>
            <w:tcW w:w="6680" w:type="dxa"/>
            <w:vAlign w:val="bottom"/>
          </w:tcPr>
          <w:p>
            <w:pPr>
              <w:ind w:left="20"/>
              <w:spacing w:after="0"/>
              <w:rPr>
                <w:sz w:val="20"/>
                <w:szCs w:val="20"/>
                <w:color w:val="auto"/>
              </w:rPr>
            </w:pPr>
            <w:r>
              <w:rPr>
                <w:rFonts w:ascii="Arial" w:cs="Arial" w:eastAsia="Arial" w:hAnsi="Arial"/>
                <w:sz w:val="17"/>
                <w:szCs w:val="17"/>
                <w:color w:val="auto"/>
              </w:rPr>
              <w:t>Income (loss) attributable to change in postretirement plan costs, net of tax (Note 14)</w:t>
            </w:r>
          </w:p>
        </w:tc>
        <w:tc>
          <w:tcPr>
            <w:tcW w:w="3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2,536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2,546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(15,523)</w:t>
            </w:r>
          </w:p>
        </w:tc>
      </w:tr>
      <w:tr>
        <w:trPr>
          <w:trHeight w:val="25"/>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8"/>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Comprehensive income</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255,026</w:t>
            </w:r>
          </w:p>
        </w:tc>
        <w:tc>
          <w:tcPr>
            <w:tcW w:w="460" w:type="dxa"/>
            <w:vAlign w:val="bottom"/>
            <w:tcBorders>
              <w:bottom w:val="single" w:sz="8" w:color="CCEEFF"/>
            </w:tcBorders>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296,640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217,046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320"/>
          </w:cols>
          <w:pgMar w:left="240" w:top="102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7"/>
          </w:tcPr>
          <w:p>
            <w:pPr>
              <w:jc w:val="center"/>
              <w:ind w:left="585"/>
              <w:spacing w:after="0"/>
              <w:rPr>
                <w:sz w:val="20"/>
                <w:szCs w:val="20"/>
                <w:color w:val="auto"/>
              </w:rPr>
            </w:pPr>
            <w:r>
              <w:rPr>
                <w:rFonts w:ascii="Arial" w:cs="Arial" w:eastAsia="Arial" w:hAnsi="Arial"/>
                <w:sz w:val="15"/>
                <w:szCs w:val="15"/>
                <w:b w:val="1"/>
                <w:bCs w:val="1"/>
                <w:color w:val="auto"/>
                <w:w w:val="91"/>
              </w:rPr>
              <w:t>Fiscal Year Ended 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65"/>
              <w:spacing w:after="0"/>
              <w:rPr>
                <w:sz w:val="20"/>
                <w:szCs w:val="20"/>
                <w:color w:val="auto"/>
              </w:rPr>
            </w:pPr>
            <w:r>
              <w:rPr>
                <w:rFonts w:ascii="Arial" w:cs="Arial" w:eastAsia="Arial" w:hAnsi="Arial"/>
                <w:sz w:val="15"/>
                <w:szCs w:val="15"/>
                <w:b w:val="1"/>
                <w:bCs w:val="1"/>
                <w:color w:val="auto"/>
              </w:rPr>
              <w:t>2017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center"/>
              <w:ind w:right="225"/>
              <w:spacing w:after="0"/>
              <w:rPr>
                <w:sz w:val="20"/>
                <w:szCs w:val="20"/>
                <w:color w:val="auto"/>
              </w:rPr>
            </w:pPr>
            <w:r>
              <w:rPr>
                <w:rFonts w:ascii="Arial" w:cs="Arial" w:eastAsia="Arial" w:hAnsi="Arial"/>
                <w:sz w:val="15"/>
                <w:szCs w:val="15"/>
                <w:b w:val="1"/>
                <w:bCs w:val="1"/>
                <w:color w:val="auto"/>
                <w:w w:val="89"/>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85"/>
              <w:spacing w:after="0"/>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60" w:type="dxa"/>
            <w:vAlign w:val="bottom"/>
            <w:gridSpan w:val="6"/>
          </w:tcPr>
          <w:p>
            <w:pPr>
              <w:jc w:val="center"/>
              <w:ind w:right="205"/>
              <w:spacing w:after="0"/>
              <w:rPr>
                <w:sz w:val="20"/>
                <w:szCs w:val="20"/>
                <w:color w:val="auto"/>
              </w:rPr>
            </w:pPr>
            <w:r>
              <w:rPr>
                <w:rFonts w:ascii="Arial" w:cs="Arial" w:eastAsia="Arial" w:hAnsi="Arial"/>
                <w:sz w:val="15"/>
                <w:szCs w:val="15"/>
                <w:b w:val="1"/>
                <w:bCs w:val="1"/>
                <w:color w:val="auto"/>
                <w:w w:val="89"/>
              </w:rPr>
              <w:t>(Amounts 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260"/>
              <w:spacing w:after="0"/>
              <w:rPr>
                <w:sz w:val="20"/>
                <w:szCs w:val="20"/>
                <w:color w:val="auto"/>
              </w:rPr>
            </w:pPr>
            <w:r>
              <w:rPr>
                <w:rFonts w:ascii="Arial" w:cs="Arial" w:eastAsia="Arial" w:hAnsi="Arial"/>
                <w:sz w:val="15"/>
                <w:szCs w:val="15"/>
                <w:color w:val="auto"/>
              </w:rPr>
              <w:t>Net income</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252,490</w:t>
            </w:r>
          </w:p>
        </w:tc>
        <w:tc>
          <w:tcPr>
            <w:tcW w:w="4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294,094</w:t>
            </w:r>
          </w:p>
        </w:tc>
        <w:tc>
          <w:tcPr>
            <w:tcW w:w="12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232,569</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46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59,544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61,536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62,660</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Stock-based compensation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21,249</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24,992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26,163</w:t>
            </w:r>
          </w:p>
        </w:tc>
        <w:tc>
          <w:tcPr>
            <w:tcW w:w="0" w:type="dxa"/>
            <w:vAlign w:val="bottom"/>
          </w:tcPr>
          <w:p>
            <w:pPr>
              <w:spacing w:after="0"/>
              <w:rPr>
                <w:sz w:val="1"/>
                <w:szCs w:val="1"/>
                <w:color w:val="auto"/>
              </w:rPr>
            </w:pPr>
          </w:p>
        </w:tc>
      </w:tr>
      <w:tr>
        <w:trPr>
          <w:trHeight w:val="219"/>
        </w:trPr>
        <w:tc>
          <w:tcPr>
            <w:tcW w:w="7440" w:type="dxa"/>
            <w:vAlign w:val="bottom"/>
          </w:tcPr>
          <w:p>
            <w:pPr>
              <w:ind w:left="460"/>
              <w:spacing w:after="0"/>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15,536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3,549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(2,543)</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Excess tax benefits from stock-based compensation</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(18,175)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(31,924)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(50,800)</w:t>
            </w:r>
          </w:p>
        </w:tc>
        <w:tc>
          <w:tcPr>
            <w:tcW w:w="0" w:type="dxa"/>
            <w:vAlign w:val="bottom"/>
          </w:tcPr>
          <w:p>
            <w:pPr>
              <w:spacing w:after="0"/>
              <w:rPr>
                <w:sz w:val="1"/>
                <w:szCs w:val="1"/>
                <w:color w:val="auto"/>
              </w:rPr>
            </w:pPr>
          </w:p>
        </w:tc>
      </w:tr>
      <w:tr>
        <w:trPr>
          <w:trHeight w:val="219"/>
        </w:trPr>
        <w:tc>
          <w:tcPr>
            <w:tcW w:w="7440" w:type="dxa"/>
            <w:vAlign w:val="bottom"/>
          </w:tcPr>
          <w:p>
            <w:pPr>
              <w:ind w:left="460"/>
              <w:spacing w:after="0"/>
              <w:rPr>
                <w:sz w:val="20"/>
                <w:szCs w:val="20"/>
                <w:color w:val="auto"/>
              </w:rPr>
            </w:pPr>
            <w:r>
              <w:rPr>
                <w:rFonts w:ascii="Arial" w:cs="Arial" w:eastAsia="Arial" w:hAnsi="Arial"/>
                <w:sz w:val="15"/>
                <w:szCs w:val="15"/>
                <w:color w:val="auto"/>
              </w:rPr>
              <w:t>Amortization of debt issuance costs and loss on extinguishment</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15,566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8,359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11,582</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Losses on dispositions and impairments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4,673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547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1,541</w:t>
            </w:r>
          </w:p>
        </w:tc>
        <w:tc>
          <w:tcPr>
            <w:tcW w:w="0" w:type="dxa"/>
            <w:vAlign w:val="bottom"/>
          </w:tcPr>
          <w:p>
            <w:pPr>
              <w:spacing w:after="0"/>
              <w:rPr>
                <w:sz w:val="1"/>
                <w:szCs w:val="1"/>
                <w:color w:val="auto"/>
              </w:rPr>
            </w:pPr>
          </w:p>
        </w:tc>
      </w:tr>
      <w:tr>
        <w:trPr>
          <w:trHeight w:val="207"/>
        </w:trPr>
        <w:tc>
          <w:tcPr>
            <w:tcW w:w="7440" w:type="dxa"/>
            <w:vAlign w:val="bottom"/>
          </w:tcPr>
          <w:p>
            <w:pPr>
              <w:ind w:left="260"/>
              <w:spacing w:after="0"/>
              <w:rPr>
                <w:sz w:val="20"/>
                <w:szCs w:val="20"/>
                <w:color w:val="auto"/>
              </w:rPr>
            </w:pPr>
            <w:r>
              <w:rPr>
                <w:rFonts w:ascii="Arial" w:cs="Arial" w:eastAsia="Arial" w:hAnsi="Arial"/>
                <w:sz w:val="15"/>
                <w:szCs w:val="15"/>
                <w:color w:val="auto"/>
              </w:rPr>
              <w:t>Changes in assets and liabilities: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7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Accounts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(87,154)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(31,229)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60,533</w:t>
            </w:r>
          </w:p>
        </w:tc>
        <w:tc>
          <w:tcPr>
            <w:tcW w:w="0" w:type="dxa"/>
            <w:vAlign w:val="bottom"/>
          </w:tcPr>
          <w:p>
            <w:pPr>
              <w:spacing w:after="0"/>
              <w:rPr>
                <w:sz w:val="1"/>
                <w:szCs w:val="1"/>
                <w:color w:val="auto"/>
              </w:rPr>
            </w:pPr>
          </w:p>
        </w:tc>
      </w:tr>
      <w:tr>
        <w:trPr>
          <w:trHeight w:val="219"/>
        </w:trPr>
        <w:tc>
          <w:tcPr>
            <w:tcW w:w="7440" w:type="dxa"/>
            <w:vAlign w:val="bottom"/>
          </w:tcPr>
          <w:p>
            <w:pPr>
              <w:ind w:left="460"/>
              <w:spacing w:after="0"/>
              <w:rPr>
                <w:sz w:val="20"/>
                <w:szCs w:val="20"/>
                <w:color w:val="auto"/>
              </w:rPr>
            </w:pPr>
            <w:r>
              <w:rPr>
                <w:rFonts w:ascii="Arial" w:cs="Arial" w:eastAsia="Arial" w:hAnsi="Arial"/>
                <w:sz w:val="15"/>
                <w:szCs w:val="15"/>
                <w:color w:val="auto"/>
              </w:rPr>
              <w:t>Income taxes receivable / payable</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54,564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36,456</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24,873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(1,591)</w:t>
            </w:r>
          </w:p>
        </w:tc>
        <w:tc>
          <w:tcPr>
            <w:tcW w:w="0" w:type="dxa"/>
            <w:vAlign w:val="bottom"/>
          </w:tcPr>
          <w:p>
            <w:pPr>
              <w:spacing w:after="0"/>
              <w:rPr>
                <w:sz w:val="1"/>
                <w:szCs w:val="1"/>
                <w:color w:val="auto"/>
              </w:rPr>
            </w:pPr>
          </w:p>
        </w:tc>
      </w:tr>
      <w:tr>
        <w:trPr>
          <w:trHeight w:val="219"/>
        </w:trPr>
        <w:tc>
          <w:tcPr>
            <w:tcW w:w="7440" w:type="dxa"/>
            <w:vAlign w:val="bottom"/>
          </w:tcPr>
          <w:p>
            <w:pPr>
              <w:ind w:left="460"/>
              <w:spacing w:after="0"/>
              <w:rPr>
                <w:sz w:val="20"/>
                <w:szCs w:val="20"/>
                <w:color w:val="auto"/>
              </w:rPr>
            </w:pPr>
            <w:r>
              <w:rPr>
                <w:rFonts w:ascii="Arial" w:cs="Arial" w:eastAsia="Arial" w:hAnsi="Arial"/>
                <w:sz w:val="15"/>
                <w:szCs w:val="15"/>
                <w:color w:val="auto"/>
              </w:rPr>
              <w:t>Other long-term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(49,060)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(8,240)</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Accrued compensation and benefits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21,535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(44,329)</w:t>
            </w:r>
          </w:p>
        </w:tc>
        <w:tc>
          <w:tcPr>
            <w:tcW w:w="0" w:type="dxa"/>
            <w:vAlign w:val="bottom"/>
          </w:tcPr>
          <w:p>
            <w:pPr>
              <w:spacing w:after="0"/>
              <w:rPr>
                <w:sz w:val="1"/>
                <w:szCs w:val="1"/>
                <w:color w:val="auto"/>
              </w:rPr>
            </w:pPr>
          </w:p>
        </w:tc>
      </w:tr>
      <w:tr>
        <w:trPr>
          <w:trHeight w:val="219"/>
        </w:trPr>
        <w:tc>
          <w:tcPr>
            <w:tcW w:w="7440" w:type="dxa"/>
            <w:vAlign w:val="bottom"/>
          </w:tcPr>
          <w:p>
            <w:pPr>
              <w:ind w:left="460"/>
              <w:spacing w:after="0"/>
              <w:rPr>
                <w:sz w:val="20"/>
                <w:szCs w:val="20"/>
                <w:color w:val="auto"/>
              </w:rPr>
            </w:pPr>
            <w:r>
              <w:rPr>
                <w:rFonts w:ascii="Arial" w:cs="Arial" w:eastAsia="Arial" w:hAnsi="Arial"/>
                <w:sz w:val="15"/>
                <w:szCs w:val="15"/>
                <w:color w:val="auto"/>
              </w:rPr>
              <w:t>Accounts payable and other accrued expenses</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14,846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4,911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(35,443)</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Accrued interest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5,262</w:t>
            </w:r>
          </w:p>
        </w:tc>
        <w:tc>
          <w:tcPr>
            <w:tcW w:w="0" w:type="dxa"/>
            <w:vAlign w:val="bottom"/>
          </w:tcPr>
          <w:p>
            <w:pPr>
              <w:spacing w:after="0"/>
              <w:rPr>
                <w:sz w:val="1"/>
                <w:szCs w:val="1"/>
                <w:color w:val="auto"/>
              </w:rPr>
            </w:pPr>
          </w:p>
        </w:tc>
      </w:tr>
      <w:tr>
        <w:trPr>
          <w:trHeight w:val="219"/>
        </w:trPr>
        <w:tc>
          <w:tcPr>
            <w:tcW w:w="7440" w:type="dxa"/>
            <w:vAlign w:val="bottom"/>
          </w:tcPr>
          <w:p>
            <w:pPr>
              <w:ind w:left="460"/>
              <w:spacing w:after="0"/>
              <w:rPr>
                <w:sz w:val="20"/>
                <w:szCs w:val="20"/>
                <w:color w:val="auto"/>
              </w:rPr>
            </w:pPr>
            <w:r>
              <w:rPr>
                <w:rFonts w:ascii="Arial" w:cs="Arial" w:eastAsia="Arial" w:hAnsi="Arial"/>
                <w:sz w:val="15"/>
                <w:szCs w:val="15"/>
                <w:color w:val="auto"/>
              </w:rPr>
              <w:t>Income tax reserves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(56,927)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1,038</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Other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13,256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66,031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5,127</w:t>
            </w:r>
          </w:p>
        </w:tc>
        <w:tc>
          <w:tcPr>
            <w:tcW w:w="0" w:type="dxa"/>
            <w:vAlign w:val="bottom"/>
          </w:tcPr>
          <w:p>
            <w:pPr>
              <w:spacing w:after="0"/>
              <w:rPr>
                <w:sz w:val="1"/>
                <w:szCs w:val="1"/>
                <w:color w:val="auto"/>
              </w:rPr>
            </w:pPr>
          </w:p>
        </w:tc>
      </w:tr>
      <w:tr>
        <w:trPr>
          <w:trHeight w:val="219"/>
        </w:trPr>
        <w:tc>
          <w:tcPr>
            <w:tcW w:w="7440" w:type="dxa"/>
            <w:vAlign w:val="bottom"/>
          </w:tcPr>
          <w:p>
            <w:pPr>
              <w:ind w:left="460"/>
              <w:spacing w:after="0"/>
              <w:rPr>
                <w:sz w:val="20"/>
                <w:szCs w:val="20"/>
                <w:color w:val="auto"/>
              </w:rPr>
            </w:pPr>
            <w:r>
              <w:rPr>
                <w:rFonts w:ascii="Arial" w:cs="Arial" w:eastAsia="Arial" w:hAnsi="Arial"/>
                <w:sz w:val="15"/>
                <w:szCs w:val="15"/>
                <w:color w:val="auto"/>
              </w:rPr>
              <w:t>Other long-term liabilities</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25,505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9,973</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382,277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249,234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309,958</w:t>
            </w:r>
          </w:p>
        </w:tc>
        <w:tc>
          <w:tcPr>
            <w:tcW w:w="0" w:type="dxa"/>
            <w:vAlign w:val="bottom"/>
          </w:tcPr>
          <w:p>
            <w:pPr>
              <w:spacing w:after="0"/>
              <w:rPr>
                <w:sz w:val="1"/>
                <w:szCs w:val="1"/>
                <w:color w:val="auto"/>
              </w:rPr>
            </w:pPr>
          </w:p>
        </w:tc>
      </w:tr>
      <w:tr>
        <w:trPr>
          <w:trHeight w:val="207"/>
        </w:trPr>
        <w:tc>
          <w:tcPr>
            <w:tcW w:w="744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7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Purchases of property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(53,919)</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(66,635)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(36,041)</w:t>
            </w:r>
          </w:p>
        </w:tc>
        <w:tc>
          <w:tcPr>
            <w:tcW w:w="0" w:type="dxa"/>
            <w:vAlign w:val="bottom"/>
          </w:tcPr>
          <w:p>
            <w:pPr>
              <w:spacing w:after="0"/>
              <w:rPr>
                <w:sz w:val="1"/>
                <w:szCs w:val="1"/>
                <w:color w:val="auto"/>
              </w:rPr>
            </w:pPr>
          </w:p>
        </w:tc>
      </w:tr>
      <w:tr>
        <w:trPr>
          <w:trHeight w:val="219"/>
        </w:trPr>
        <w:tc>
          <w:tcPr>
            <w:tcW w:w="7440" w:type="dxa"/>
            <w:vAlign w:val="bottom"/>
          </w:tcPr>
          <w:p>
            <w:pPr>
              <w:ind w:left="260"/>
              <w:spacing w:after="0"/>
              <w:rPr>
                <w:sz w:val="20"/>
                <w:szCs w:val="20"/>
                <w:color w:val="auto"/>
              </w:rPr>
            </w:pPr>
            <w:r>
              <w:rPr>
                <w:rFonts w:ascii="Arial" w:cs="Arial" w:eastAsia="Arial" w:hAnsi="Arial"/>
                <w:sz w:val="15"/>
                <w:szCs w:val="15"/>
                <w:color w:val="auto"/>
              </w:rPr>
              <w:t>Payments for business acquisitions, net of cash acquired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(247,627)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(51,118)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(24,534)</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Insurance proceeds received for damage to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650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440" w:type="dxa"/>
            <w:vAlign w:val="bottom"/>
          </w:tcPr>
          <w:p>
            <w:pPr>
              <w:ind w:left="66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(300,896)</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(117,753)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(60,575)</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260"/>
              <w:spacing w:after="0"/>
              <w:rPr>
                <w:sz w:val="20"/>
                <w:szCs w:val="20"/>
                <w:color w:val="auto"/>
              </w:rPr>
            </w:pPr>
            <w:r>
              <w:rPr>
                <w:rFonts w:ascii="Arial" w:cs="Arial" w:eastAsia="Arial" w:hAnsi="Arial"/>
                <w:sz w:val="15"/>
                <w:szCs w:val="15"/>
                <w:color w:val="auto"/>
              </w:rPr>
              <w:t>Proceeds from issuance of common stock</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6,314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5,977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5,020</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Stock option exercises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14,687</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7,962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6,099</w:t>
            </w:r>
          </w:p>
        </w:tc>
        <w:tc>
          <w:tcPr>
            <w:tcW w:w="0" w:type="dxa"/>
            <w:vAlign w:val="bottom"/>
          </w:tcPr>
          <w:p>
            <w:pPr>
              <w:spacing w:after="0"/>
              <w:rPr>
                <w:sz w:val="1"/>
                <w:szCs w:val="1"/>
                <w:color w:val="auto"/>
              </w:rPr>
            </w:pPr>
          </w:p>
        </w:tc>
      </w:tr>
      <w:tr>
        <w:trPr>
          <w:trHeight w:val="219"/>
        </w:trPr>
        <w:tc>
          <w:tcPr>
            <w:tcW w:w="7440" w:type="dxa"/>
            <w:vAlign w:val="bottom"/>
          </w:tcPr>
          <w:p>
            <w:pPr>
              <w:ind w:left="260"/>
              <w:spacing w:after="0"/>
              <w:rPr>
                <w:sz w:val="20"/>
                <w:szCs w:val="20"/>
                <w:color w:val="auto"/>
              </w:rPr>
            </w:pPr>
            <w:r>
              <w:rPr>
                <w:rFonts w:ascii="Arial" w:cs="Arial" w:eastAsia="Arial" w:hAnsi="Arial"/>
                <w:sz w:val="15"/>
                <w:szCs w:val="15"/>
                <w:color w:val="auto"/>
              </w:rPr>
              <w:t>Excess tax benefits from stock-based compensation</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18,175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31,924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50,800</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Repurchases of 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(46,548)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(63,152)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(62,140)</w:t>
            </w:r>
          </w:p>
        </w:tc>
        <w:tc>
          <w:tcPr>
            <w:tcW w:w="0" w:type="dxa"/>
            <w:vAlign w:val="bottom"/>
          </w:tcPr>
          <w:p>
            <w:pPr>
              <w:spacing w:after="0"/>
              <w:rPr>
                <w:sz w:val="1"/>
                <w:szCs w:val="1"/>
                <w:color w:val="auto"/>
              </w:rPr>
            </w:pPr>
          </w:p>
        </w:tc>
      </w:tr>
      <w:tr>
        <w:trPr>
          <w:trHeight w:val="219"/>
        </w:trPr>
        <w:tc>
          <w:tcPr>
            <w:tcW w:w="7440" w:type="dxa"/>
            <w:vAlign w:val="bottom"/>
          </w:tcPr>
          <w:p>
            <w:pPr>
              <w:ind w:left="260"/>
              <w:spacing w:after="0"/>
              <w:rPr>
                <w:sz w:val="20"/>
                <w:szCs w:val="20"/>
                <w:color w:val="auto"/>
              </w:rPr>
            </w:pPr>
            <w:r>
              <w:rPr>
                <w:rFonts w:ascii="Arial" w:cs="Arial" w:eastAsia="Arial" w:hAnsi="Arial"/>
                <w:sz w:val="15"/>
                <w:szCs w:val="15"/>
                <w:color w:val="auto"/>
              </w:rPr>
              <w:t>Cash dividends paid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(92,925)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(215,094)</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Dividend equivalents paid to option holders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(2,254)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(31,802)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(47,110)</w:t>
            </w:r>
          </w:p>
        </w:tc>
        <w:tc>
          <w:tcPr>
            <w:tcW w:w="0" w:type="dxa"/>
            <w:vAlign w:val="bottom"/>
          </w:tcPr>
          <w:p>
            <w:pPr>
              <w:spacing w:after="0"/>
              <w:rPr>
                <w:sz w:val="1"/>
                <w:szCs w:val="1"/>
                <w:color w:val="auto"/>
              </w:rPr>
            </w:pPr>
          </w:p>
        </w:tc>
      </w:tr>
      <w:tr>
        <w:trPr>
          <w:trHeight w:val="219"/>
        </w:trPr>
        <w:tc>
          <w:tcPr>
            <w:tcW w:w="7440" w:type="dxa"/>
            <w:vAlign w:val="bottom"/>
          </w:tcPr>
          <w:p>
            <w:pPr>
              <w:ind w:left="260"/>
              <w:spacing w:after="0"/>
              <w:rPr>
                <w:sz w:val="20"/>
                <w:szCs w:val="20"/>
                <w:color w:val="auto"/>
              </w:rPr>
            </w:pPr>
            <w:r>
              <w:rPr>
                <w:rFonts w:ascii="Arial" w:cs="Arial" w:eastAsia="Arial" w:hAnsi="Arial"/>
                <w:sz w:val="15"/>
                <w:szCs w:val="15"/>
                <w:color w:val="auto"/>
              </w:rPr>
              <w:t>Repayment of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(968,325)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(295,063)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(279,563)</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Proceeds from debt issuance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1,019,383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273,000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239,828</w:t>
            </w:r>
          </w:p>
        </w:tc>
        <w:tc>
          <w:tcPr>
            <w:tcW w:w="0" w:type="dxa"/>
            <w:vAlign w:val="bottom"/>
          </w:tcPr>
          <w:p>
            <w:pPr>
              <w:spacing w:after="0"/>
              <w:rPr>
                <w:sz w:val="1"/>
                <w:szCs w:val="1"/>
                <w:color w:val="auto"/>
              </w:rPr>
            </w:pPr>
          </w:p>
        </w:tc>
      </w:tr>
      <w:tr>
        <w:trPr>
          <w:trHeight w:val="199"/>
        </w:trPr>
        <w:tc>
          <w:tcPr>
            <w:tcW w:w="7440" w:type="dxa"/>
            <w:vAlign w:val="bottom"/>
          </w:tcPr>
          <w:p>
            <w:pPr>
              <w:ind w:left="660"/>
              <w:spacing w:after="0"/>
              <w:rPr>
                <w:sz w:val="20"/>
                <w:szCs w:val="20"/>
                <w:color w:val="auto"/>
              </w:rPr>
            </w:pPr>
            <w:r>
              <w:rPr>
                <w:rFonts w:ascii="Arial" w:cs="Arial" w:eastAsia="Arial" w:hAnsi="Arial"/>
                <w:sz w:val="15"/>
                <w:szCs w:val="15"/>
                <w:color w:val="auto"/>
              </w:rPr>
              <w:t>Net cash used in financing activities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(51,493)</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(151,169)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(302,160)</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29,888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(19,688)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(52,777)</w:t>
            </w:r>
          </w:p>
        </w:tc>
        <w:tc>
          <w:tcPr>
            <w:tcW w:w="0" w:type="dxa"/>
            <w:vAlign w:val="bottom"/>
          </w:tcPr>
          <w:p>
            <w:pPr>
              <w:spacing w:after="0"/>
              <w:rPr>
                <w:sz w:val="1"/>
                <w:szCs w:val="1"/>
                <w:color w:val="auto"/>
              </w:rPr>
            </w:pPr>
          </w:p>
        </w:tc>
      </w:tr>
      <w:tr>
        <w:trPr>
          <w:trHeight w:val="219"/>
        </w:trPr>
        <w:tc>
          <w:tcPr>
            <w:tcW w:w="7440" w:type="dxa"/>
            <w:vAlign w:val="bottom"/>
          </w:tcPr>
          <w:p>
            <w:pPr>
              <w:ind w:left="20"/>
              <w:spacing w:after="0"/>
              <w:rPr>
                <w:sz w:val="20"/>
                <w:szCs w:val="20"/>
                <w:color w:val="auto"/>
              </w:rPr>
            </w:pPr>
            <w:r>
              <w:rPr>
                <w:rFonts w:ascii="Arial" w:cs="Arial" w:eastAsia="Arial" w:hAnsi="Arial"/>
                <w:sz w:val="15"/>
                <w:szCs w:val="15"/>
                <w:color w:val="auto"/>
              </w:rPr>
              <w:t>Cash and cash equivalents––beginning of year</w:t>
            </w:r>
          </w:p>
        </w:tc>
        <w:tc>
          <w:tcPr>
            <w:tcW w:w="28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187,529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207,217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259,994</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equivalents––end of year</w:t>
            </w:r>
          </w:p>
        </w:tc>
        <w:tc>
          <w:tcPr>
            <w:tcW w:w="28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217,417</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187,529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207,217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7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during the period for:</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260"/>
              <w:spacing w:after="0"/>
              <w:rPr>
                <w:sz w:val="20"/>
                <w:szCs w:val="20"/>
                <w:color w:val="auto"/>
              </w:rPr>
            </w:pPr>
            <w:r>
              <w:rPr>
                <w:rFonts w:ascii="Arial" w:cs="Arial" w:eastAsia="Arial" w:hAnsi="Arial"/>
                <w:sz w:val="15"/>
                <w:szCs w:val="15"/>
                <w:color w:val="auto"/>
              </w:rPr>
              <w:t>Interest</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49,062</w:t>
            </w:r>
          </w:p>
        </w:tc>
        <w:tc>
          <w:tcPr>
            <w:tcW w:w="4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57,068</w:t>
            </w:r>
          </w:p>
        </w:tc>
        <w:tc>
          <w:tcPr>
            <w:tcW w:w="12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50,074</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Income taxes</w:t>
            </w:r>
          </w:p>
        </w:tc>
        <w:tc>
          <w:tcPr>
            <w:tcW w:w="28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89,556</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143,083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122,912</w:t>
            </w:r>
          </w:p>
        </w:tc>
        <w:tc>
          <w:tcPr>
            <w:tcW w:w="0" w:type="dxa"/>
            <w:vAlign w:val="bottom"/>
          </w:tcPr>
          <w:p>
            <w:pPr>
              <w:spacing w:after="0"/>
              <w:rPr>
                <w:sz w:val="1"/>
                <w:szCs w:val="1"/>
                <w:color w:val="auto"/>
              </w:rPr>
            </w:pPr>
          </w:p>
        </w:tc>
      </w:tr>
      <w:tr>
        <w:trPr>
          <w:trHeight w:val="219"/>
        </w:trPr>
        <w:tc>
          <w:tcPr>
            <w:tcW w:w="744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disclosures of non-cash investing and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Share repurchases transacted but not settled and paid</w:t>
            </w:r>
          </w:p>
        </w:tc>
        <w:tc>
          <w:tcPr>
            <w:tcW w:w="28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9,907</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7440" w:type="dxa"/>
            <w:vAlign w:val="bottom"/>
          </w:tcPr>
          <w:p>
            <w:pPr>
              <w:ind w:left="260"/>
              <w:spacing w:after="0"/>
              <w:rPr>
                <w:sz w:val="20"/>
                <w:szCs w:val="20"/>
                <w:color w:val="auto"/>
              </w:rPr>
            </w:pPr>
            <w:r>
              <w:rPr>
                <w:rFonts w:ascii="Arial" w:cs="Arial" w:eastAsia="Arial" w:hAnsi="Arial"/>
                <w:sz w:val="15"/>
                <w:szCs w:val="15"/>
                <w:color w:val="auto"/>
              </w:rPr>
              <w:t>Contingent consideration arising from businesses acquired</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3,576</w:t>
            </w:r>
          </w:p>
        </w:tc>
        <w:tc>
          <w:tcPr>
            <w:tcW w:w="4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824" w:right="239" w:bottom="1440" w:gutter="0" w:footer="0" w:header="0"/>
        </w:sectPr>
      </w:pPr>
    </w:p>
    <w:bookmarkStart w:id="70" w:name="page71"/>
    <w:bookmarkEnd w:id="70"/>
    <w:p>
      <w:pPr>
        <w:jc w:val="center"/>
        <w:ind w:right="-43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left="170"/>
              <w:spacing w:after="0"/>
              <w:rPr>
                <w:sz w:val="20"/>
                <w:szCs w:val="20"/>
                <w:color w:val="auto"/>
              </w:rPr>
            </w:pPr>
            <w:r>
              <w:rPr>
                <w:rFonts w:ascii="Arial" w:cs="Arial" w:eastAsia="Arial" w:hAnsi="Arial"/>
                <w:sz w:val="10"/>
                <w:szCs w:val="10"/>
                <w:b w:val="1"/>
                <w:bCs w:val="1"/>
                <w:color w:val="auto"/>
                <w:w w:val="87"/>
              </w:rPr>
              <w:t>Class B</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left="170"/>
              <w:spacing w:after="0"/>
              <w:rPr>
                <w:sz w:val="20"/>
                <w:szCs w:val="20"/>
                <w:color w:val="auto"/>
              </w:rPr>
            </w:pPr>
            <w:r>
              <w:rPr>
                <w:rFonts w:ascii="Arial" w:cs="Arial" w:eastAsia="Arial" w:hAnsi="Arial"/>
                <w:sz w:val="10"/>
                <w:szCs w:val="10"/>
                <w:b w:val="1"/>
                <w:bCs w:val="1"/>
                <w:color w:val="auto"/>
                <w:w w:val="92"/>
              </w:rPr>
              <w:t>Class C</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left="350"/>
              <w:spacing w:after="0"/>
              <w:rPr>
                <w:sz w:val="20"/>
                <w:szCs w:val="20"/>
                <w:color w:val="auto"/>
              </w:rPr>
            </w:pPr>
            <w:r>
              <w:rPr>
                <w:rFonts w:ascii="Arial" w:cs="Arial" w:eastAsia="Arial" w:hAnsi="Arial"/>
                <w:sz w:val="10"/>
                <w:szCs w:val="10"/>
                <w:b w:val="1"/>
                <w:bCs w:val="1"/>
                <w:color w:val="auto"/>
                <w:w w:val="88"/>
              </w:rPr>
              <w:t>Class E</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60" w:type="dxa"/>
            <w:vAlign w:val="bottom"/>
          </w:tcPr>
          <w:p>
            <w:pPr>
              <w:spacing w:after="0"/>
              <w:rPr>
                <w:sz w:val="9"/>
                <w:szCs w:val="9"/>
                <w:color w:val="auto"/>
              </w:rPr>
            </w:pPr>
          </w:p>
        </w:tc>
        <w:tc>
          <w:tcPr>
            <w:tcW w:w="780" w:type="dxa"/>
            <w:vAlign w:val="bottom"/>
            <w:gridSpan w:val="3"/>
          </w:tcPr>
          <w:p>
            <w:pPr>
              <w:jc w:val="center"/>
              <w:ind w:left="390"/>
              <w:spacing w:after="0" w:line="113" w:lineRule="exact"/>
              <w:rPr>
                <w:sz w:val="20"/>
                <w:szCs w:val="20"/>
                <w:color w:val="auto"/>
              </w:rPr>
            </w:pPr>
            <w:r>
              <w:rPr>
                <w:rFonts w:ascii="Arial" w:cs="Arial" w:eastAsia="Arial" w:hAnsi="Arial"/>
                <w:sz w:val="10"/>
                <w:szCs w:val="10"/>
                <w:b w:val="1"/>
                <w:bCs w:val="1"/>
                <w:color w:val="auto"/>
                <w:w w:val="92"/>
              </w:rPr>
              <w:t>Class A</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jc w:val="center"/>
              <w:ind w:left="170"/>
              <w:spacing w:after="0" w:line="113" w:lineRule="exact"/>
              <w:rPr>
                <w:sz w:val="20"/>
                <w:szCs w:val="20"/>
                <w:color w:val="auto"/>
              </w:rPr>
            </w:pPr>
            <w:r>
              <w:rPr>
                <w:rFonts w:ascii="Arial" w:cs="Arial" w:eastAsia="Arial" w:hAnsi="Arial"/>
                <w:sz w:val="10"/>
                <w:szCs w:val="10"/>
                <w:b w:val="1"/>
                <w:bCs w:val="1"/>
                <w:color w:val="auto"/>
                <w:w w:val="88"/>
              </w:rPr>
              <w:t>Non-Voting</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tcPr>
          <w:p>
            <w:pPr>
              <w:jc w:val="center"/>
              <w:ind w:left="150"/>
              <w:spacing w:after="0" w:line="113" w:lineRule="exact"/>
              <w:rPr>
                <w:sz w:val="20"/>
                <w:szCs w:val="20"/>
                <w:color w:val="auto"/>
              </w:rPr>
            </w:pPr>
            <w:r>
              <w:rPr>
                <w:rFonts w:ascii="Arial" w:cs="Arial" w:eastAsia="Arial" w:hAnsi="Arial"/>
                <w:sz w:val="10"/>
                <w:szCs w:val="10"/>
                <w:b w:val="1"/>
                <w:bCs w:val="1"/>
                <w:color w:val="auto"/>
                <w:w w:val="89"/>
              </w:rPr>
              <w:t>Restricted</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3"/>
          </w:tcPr>
          <w:p>
            <w:pPr>
              <w:jc w:val="center"/>
              <w:ind w:left="190"/>
              <w:spacing w:after="0" w:line="113" w:lineRule="exact"/>
              <w:rPr>
                <w:sz w:val="20"/>
                <w:szCs w:val="20"/>
                <w:color w:val="auto"/>
              </w:rPr>
            </w:pPr>
            <w:r>
              <w:rPr>
                <w:rFonts w:ascii="Arial" w:cs="Arial" w:eastAsia="Arial" w:hAnsi="Arial"/>
                <w:sz w:val="10"/>
                <w:szCs w:val="10"/>
                <w:b w:val="1"/>
                <w:bCs w:val="1"/>
                <w:color w:val="auto"/>
                <w:w w:val="89"/>
              </w:rPr>
              <w:t>Special Voting</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5"/>
          </w:tcPr>
          <w:p>
            <w:pPr>
              <w:ind w:left="400"/>
              <w:spacing w:after="0" w:line="113" w:lineRule="exact"/>
              <w:rPr>
                <w:sz w:val="20"/>
                <w:szCs w:val="20"/>
                <w:color w:val="auto"/>
              </w:rPr>
            </w:pPr>
            <w:r>
              <w:rPr>
                <w:rFonts w:ascii="Arial" w:cs="Arial" w:eastAsia="Arial" w:hAnsi="Arial"/>
                <w:sz w:val="10"/>
                <w:szCs w:val="10"/>
                <w:b w:val="1"/>
                <w:bCs w:val="1"/>
                <w:color w:val="auto"/>
              </w:rPr>
              <w:t>Treasury</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9"/>
              </w:rPr>
              <w:t>Accumulated</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660" w:type="dxa"/>
            <w:vAlign w:val="bottom"/>
          </w:tcPr>
          <w:p>
            <w:pPr>
              <w:spacing w:after="0"/>
              <w:rPr>
                <w:sz w:val="3"/>
                <w:szCs w:val="3"/>
                <w:color w:val="auto"/>
              </w:rPr>
            </w:pPr>
          </w:p>
        </w:tc>
        <w:tc>
          <w:tcPr>
            <w:tcW w:w="1340" w:type="dxa"/>
            <w:vAlign w:val="bottom"/>
            <w:gridSpan w:val="6"/>
            <w:vMerge w:val="restart"/>
          </w:tcPr>
          <w:p>
            <w:pPr>
              <w:jc w:val="center"/>
              <w:ind w:right="120"/>
              <w:spacing w:after="0"/>
              <w:rPr>
                <w:sz w:val="20"/>
                <w:szCs w:val="20"/>
                <w:color w:val="auto"/>
              </w:rPr>
            </w:pPr>
            <w:r>
              <w:rPr>
                <w:rFonts w:ascii="Arial" w:cs="Arial" w:eastAsia="Arial" w:hAnsi="Arial"/>
                <w:sz w:val="10"/>
                <w:szCs w:val="10"/>
                <w:b w:val="1"/>
                <w:bCs w:val="1"/>
                <w:color w:val="auto"/>
                <w:w w:val="89"/>
              </w:rPr>
              <w:t>Common Stock</w:t>
            </w:r>
          </w:p>
        </w:tc>
        <w:tc>
          <w:tcPr>
            <w:tcW w:w="900" w:type="dxa"/>
            <w:vAlign w:val="bottom"/>
            <w:gridSpan w:val="3"/>
            <w:vMerge w:val="restart"/>
          </w:tcPr>
          <w:p>
            <w:pPr>
              <w:jc w:val="center"/>
              <w:ind w:left="190"/>
              <w:spacing w:after="0"/>
              <w:rPr>
                <w:sz w:val="20"/>
                <w:szCs w:val="20"/>
                <w:color w:val="auto"/>
              </w:rPr>
            </w:pPr>
            <w:r>
              <w:rPr>
                <w:rFonts w:ascii="Arial" w:cs="Arial" w:eastAsia="Arial" w:hAnsi="Arial"/>
                <w:sz w:val="10"/>
                <w:szCs w:val="10"/>
                <w:b w:val="1"/>
                <w:bCs w:val="1"/>
                <w:color w:val="auto"/>
                <w:w w:val="89"/>
              </w:rPr>
              <w:t>Common Stock</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3"/>
            <w:vMerge w:val="restart"/>
          </w:tcPr>
          <w:p>
            <w:pPr>
              <w:jc w:val="center"/>
              <w:ind w:left="170"/>
              <w:spacing w:after="0"/>
              <w:rPr>
                <w:sz w:val="20"/>
                <w:szCs w:val="20"/>
                <w:color w:val="auto"/>
              </w:rPr>
            </w:pPr>
            <w:r>
              <w:rPr>
                <w:rFonts w:ascii="Arial" w:cs="Arial" w:eastAsia="Arial" w:hAnsi="Arial"/>
                <w:sz w:val="10"/>
                <w:szCs w:val="10"/>
                <w:b w:val="1"/>
                <w:bCs w:val="1"/>
                <w:color w:val="auto"/>
                <w:w w:val="89"/>
              </w:rPr>
              <w:t>Common Stock</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3"/>
            <w:vMerge w:val="restart"/>
          </w:tcPr>
          <w:p>
            <w:pPr>
              <w:jc w:val="center"/>
              <w:ind w:left="190"/>
              <w:spacing w:after="0"/>
              <w:rPr>
                <w:sz w:val="20"/>
                <w:szCs w:val="20"/>
                <w:color w:val="auto"/>
              </w:rPr>
            </w:pPr>
            <w:r>
              <w:rPr>
                <w:rFonts w:ascii="Arial" w:cs="Arial" w:eastAsia="Arial" w:hAnsi="Arial"/>
                <w:sz w:val="10"/>
                <w:szCs w:val="10"/>
                <w:b w:val="1"/>
                <w:bCs w:val="1"/>
                <w:color w:val="auto"/>
                <w:w w:val="89"/>
              </w:rPr>
              <w:t>Common Stock</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Stock</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2"/>
        </w:trPr>
        <w:tc>
          <w:tcPr>
            <w:tcW w:w="1660" w:type="dxa"/>
            <w:vAlign w:val="bottom"/>
          </w:tcPr>
          <w:p>
            <w:pPr>
              <w:spacing w:after="0"/>
              <w:rPr>
                <w:sz w:val="9"/>
                <w:szCs w:val="9"/>
                <w:color w:val="auto"/>
              </w:rPr>
            </w:pPr>
          </w:p>
        </w:tc>
        <w:tc>
          <w:tcPr>
            <w:tcW w:w="1340" w:type="dxa"/>
            <w:vAlign w:val="bottom"/>
            <w:gridSpan w:val="6"/>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12" w:lineRule="exact"/>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80"/>
              <w:spacing w:after="0" w:line="112" w:lineRule="exact"/>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9"/>
                <w:szCs w:val="9"/>
                <w:color w:val="auto"/>
              </w:rPr>
            </w:pPr>
          </w:p>
        </w:tc>
        <w:tc>
          <w:tcPr>
            <w:tcW w:w="500" w:type="dxa"/>
            <w:vAlign w:val="bottom"/>
          </w:tcPr>
          <w:p>
            <w:pPr>
              <w:jc w:val="right"/>
              <w:ind w:right="150"/>
              <w:spacing w:after="0" w:line="112"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4"/>
        </w:trPr>
        <w:tc>
          <w:tcPr>
            <w:tcW w:w="1660" w:type="dxa"/>
            <w:vAlign w:val="bottom"/>
          </w:tcPr>
          <w:p>
            <w:pPr>
              <w:ind w:left="20"/>
              <w:spacing w:after="0" w:line="94" w:lineRule="exact"/>
              <w:rPr>
                <w:sz w:val="20"/>
                <w:szCs w:val="20"/>
                <w:color w:val="auto"/>
              </w:rPr>
            </w:pPr>
            <w:r>
              <w:rPr>
                <w:rFonts w:ascii="Arial" w:cs="Arial" w:eastAsia="Arial" w:hAnsi="Arial"/>
                <w:sz w:val="10"/>
                <w:szCs w:val="10"/>
                <w:b w:val="1"/>
                <w:bCs w:val="1"/>
                <w:color w:val="auto"/>
              </w:rPr>
              <w:t>(Amounts in thousands, except</w:t>
            </w: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180"/>
              <w:spacing w:after="0" w:line="94" w:lineRule="exact"/>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8"/>
                <w:szCs w:val="8"/>
                <w:color w:val="auto"/>
              </w:rPr>
            </w:pPr>
          </w:p>
        </w:tc>
        <w:tc>
          <w:tcPr>
            <w:tcW w:w="640" w:type="dxa"/>
            <w:vAlign w:val="bottom"/>
            <w:gridSpan w:val="2"/>
          </w:tcPr>
          <w:p>
            <w:pPr>
              <w:ind w:left="20"/>
              <w:spacing w:after="0" w:line="94" w:lineRule="exact"/>
              <w:rPr>
                <w:sz w:val="20"/>
                <w:szCs w:val="20"/>
                <w:color w:val="auto"/>
              </w:rPr>
            </w:pPr>
            <w:r>
              <w:rPr>
                <w:rFonts w:ascii="Arial" w:cs="Arial" w:eastAsia="Arial" w:hAnsi="Arial"/>
                <w:sz w:val="10"/>
                <w:szCs w:val="10"/>
                <w:b w:val="1"/>
                <w:bCs w:val="1"/>
                <w:color w:val="auto"/>
              </w:rPr>
              <w:t>Retained</w:t>
            </w:r>
          </w:p>
        </w:tc>
        <w:tc>
          <w:tcPr>
            <w:tcW w:w="840" w:type="dxa"/>
            <w:vAlign w:val="bottom"/>
            <w:gridSpan w:val="3"/>
          </w:tcPr>
          <w:p>
            <w:pPr>
              <w:ind w:left="20"/>
              <w:spacing w:after="0" w:line="94" w:lineRule="exact"/>
              <w:rPr>
                <w:sz w:val="20"/>
                <w:szCs w:val="20"/>
                <w:color w:val="auto"/>
              </w:rPr>
            </w:pPr>
            <w:r>
              <w:rPr>
                <w:rFonts w:ascii="Arial" w:cs="Arial" w:eastAsia="Arial" w:hAnsi="Arial"/>
                <w:sz w:val="10"/>
                <w:szCs w:val="10"/>
                <w:b w:val="1"/>
                <w:bCs w:val="1"/>
                <w:color w:val="auto"/>
              </w:rPr>
              <w:t>Comprehensive</w:t>
            </w:r>
          </w:p>
        </w:tc>
        <w:tc>
          <w:tcPr>
            <w:tcW w:w="620" w:type="dxa"/>
            <w:vAlign w:val="bottom"/>
            <w:gridSpan w:val="2"/>
          </w:tcPr>
          <w:p>
            <w:pPr>
              <w:ind w:left="20"/>
              <w:spacing w:after="0" w:line="94" w:lineRule="exact"/>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rPr>
                <w:sz w:val="1"/>
                <w:szCs w:val="1"/>
                <w:color w:val="auto"/>
              </w:rPr>
            </w:pPr>
          </w:p>
        </w:tc>
      </w:tr>
      <w:tr>
        <w:trPr>
          <w:trHeight w:val="129"/>
        </w:trPr>
        <w:tc>
          <w:tcPr>
            <w:tcW w:w="1660" w:type="dxa"/>
            <w:vAlign w:val="bottom"/>
          </w:tcPr>
          <w:p>
            <w:pPr>
              <w:ind w:left="20"/>
              <w:spacing w:after="0"/>
              <w:rPr>
                <w:sz w:val="20"/>
                <w:szCs w:val="20"/>
                <w:color w:val="auto"/>
              </w:rPr>
            </w:pPr>
            <w:r>
              <w:rPr>
                <w:rFonts w:ascii="Arial" w:cs="Arial" w:eastAsia="Arial" w:hAnsi="Arial"/>
                <w:sz w:val="10"/>
                <w:szCs w:val="10"/>
                <w:b w:val="1"/>
                <w:bCs w:val="1"/>
                <w:color w:val="auto"/>
              </w:rPr>
              <w:t>share data)</w:t>
            </w:r>
          </w:p>
        </w:tc>
        <w:tc>
          <w:tcPr>
            <w:tcW w:w="780" w:type="dxa"/>
            <w:vAlign w:val="bottom"/>
            <w:gridSpan w:val="3"/>
          </w:tcPr>
          <w:p>
            <w:pPr>
              <w:ind w:left="18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66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64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Arial" w:cs="Arial" w:eastAsia="Arial" w:hAnsi="Arial"/>
                <w:sz w:val="10"/>
                <w:szCs w:val="10"/>
                <w:b w:val="1"/>
                <w:bCs w:val="1"/>
                <w:color w:val="auto"/>
              </w:rPr>
              <w:t>Earnings</w:t>
            </w:r>
          </w:p>
        </w:tc>
        <w:tc>
          <w:tcPr>
            <w:tcW w:w="8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8"/>
              </w:rPr>
              <w:t>Income (Loss)</w:t>
            </w:r>
          </w:p>
        </w:tc>
        <w:tc>
          <w:tcPr>
            <w:tcW w:w="120" w:type="dxa"/>
            <w:vAlign w:val="bottom"/>
          </w:tcPr>
          <w:p>
            <w:pPr>
              <w:spacing w:after="0"/>
              <w:rPr>
                <w:sz w:val="11"/>
                <w:szCs w:val="11"/>
                <w:color w:val="auto"/>
              </w:rPr>
            </w:pPr>
          </w:p>
        </w:tc>
        <w:tc>
          <w:tcPr>
            <w:tcW w:w="500" w:type="dxa"/>
            <w:vAlign w:val="bottom"/>
          </w:tcPr>
          <w:p>
            <w:pPr>
              <w:jc w:val="right"/>
              <w:ind w:right="110"/>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6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2014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143,962,073</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w w:val="95"/>
              </w:rPr>
              <w:t>1,440</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582,080</w:t>
            </w:r>
          </w:p>
        </w:tc>
        <w:tc>
          <w:tcPr>
            <w:tcW w:w="10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22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6</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935,871</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22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4,424,814</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(609,625)</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(10,153)</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144,269</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42,688</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(6,636)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171,636</w:t>
            </w:r>
          </w:p>
        </w:tc>
        <w:tc>
          <w:tcPr>
            <w:tcW w:w="0" w:type="dxa"/>
            <w:vAlign w:val="bottom"/>
          </w:tcPr>
          <w:p>
            <w:pPr>
              <w:spacing w:after="0"/>
              <w:rPr>
                <w:sz w:val="1"/>
                <w:szCs w:val="1"/>
                <w:color w:val="auto"/>
              </w:rPr>
            </w:pPr>
          </w:p>
        </w:tc>
      </w:tr>
      <w:tr>
        <w:trPr>
          <w:trHeight w:val="108"/>
        </w:trPr>
        <w:tc>
          <w:tcPr>
            <w:tcW w:w="166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3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22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vMerge w:val="continue"/>
            <w:shd w:val="clear" w:color="auto" w:fill="CCEEFF"/>
          </w:tcPr>
          <w:p>
            <w:pPr>
              <w:spacing w:after="0"/>
              <w:rPr>
                <w:sz w:val="9"/>
                <w:szCs w:val="9"/>
                <w:color w:val="auto"/>
              </w:rPr>
            </w:pPr>
          </w:p>
        </w:tc>
        <w:tc>
          <w:tcPr>
            <w:tcW w:w="22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vMerge w:val="continue"/>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4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5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60" w:type="dxa"/>
            <w:vAlign w:val="bottom"/>
          </w:tcPr>
          <w:p>
            <w:pPr>
              <w:ind w:left="160"/>
              <w:spacing w:after="0"/>
              <w:rPr>
                <w:sz w:val="20"/>
                <w:szCs w:val="20"/>
                <w:color w:val="auto"/>
              </w:rPr>
            </w:pPr>
            <w:r>
              <w:rPr>
                <w:rFonts w:ascii="Arial" w:cs="Arial" w:eastAsia="Arial" w:hAnsi="Arial"/>
                <w:sz w:val="10"/>
                <w:szCs w:val="10"/>
                <w:color w:val="auto"/>
              </w:rPr>
              <w:t>Issuance of common stock</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1,365,008</w:t>
            </w: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w w:val="79"/>
              </w:rPr>
              <w:t>—</w:t>
            </w:r>
          </w:p>
        </w:tc>
        <w:tc>
          <w:tcPr>
            <w:tcW w:w="12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w w:val="99"/>
              </w:rPr>
              <w:t>—</w:t>
            </w:r>
          </w:p>
        </w:tc>
        <w:tc>
          <w:tcPr>
            <w:tcW w:w="12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5,006</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5,020</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Stock options exercised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3,392,643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(2,573,225)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6,073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6,099</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60" w:type="dxa"/>
            <w:vAlign w:val="bottom"/>
          </w:tcPr>
          <w:p>
            <w:pPr>
              <w:ind w:left="160"/>
              <w:spacing w:after="0"/>
              <w:rPr>
                <w:sz w:val="20"/>
                <w:szCs w:val="20"/>
                <w:color w:val="auto"/>
              </w:rPr>
            </w:pPr>
            <w:r>
              <w:rPr>
                <w:rFonts w:ascii="Arial" w:cs="Arial" w:eastAsia="Arial" w:hAnsi="Arial"/>
                <w:sz w:val="10"/>
                <w:szCs w:val="10"/>
                <w:color w:val="auto"/>
              </w:rPr>
              <w:t>Excess tax benefits from the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0"/>
                <w:szCs w:val="10"/>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50,800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50,800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Share exchange</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1,517,951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(582,080)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w w:val="97"/>
              </w:rPr>
              <w:t>(6)</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(935,871)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w w:val="97"/>
              </w:rPr>
              <w:t>(9)</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160"/>
              <w:spacing w:after="0"/>
              <w:rPr>
                <w:sz w:val="20"/>
                <w:szCs w:val="20"/>
                <w:color w:val="auto"/>
              </w:rPr>
            </w:pPr>
            <w:r>
              <w:rPr>
                <w:rFonts w:ascii="Arial" w:cs="Arial" w:eastAsia="Arial" w:hAnsi="Arial"/>
                <w:sz w:val="10"/>
                <w:szCs w:val="10"/>
                <w:color w:val="auto"/>
              </w:rPr>
              <w:t>Repurchase of common stock</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w w:val="93"/>
              </w:rPr>
              <w:t>(2,389,768)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30"/>
              <w:spacing w:after="0"/>
              <w:rPr>
                <w:sz w:val="20"/>
                <w:szCs w:val="20"/>
                <w:color w:val="auto"/>
              </w:rPr>
            </w:pPr>
            <w:r>
              <w:rPr>
                <w:rFonts w:ascii="Arial" w:cs="Arial" w:eastAsia="Arial" w:hAnsi="Arial"/>
                <w:sz w:val="10"/>
                <w:szCs w:val="10"/>
                <w:color w:val="auto"/>
              </w:rPr>
              <w:t>(62,140)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(62,140)</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Recognition of liability related to</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60" w:type="dxa"/>
            <w:vAlign w:val="bottom"/>
            <w:shd w:val="clear" w:color="auto" w:fill="CCEEFF"/>
          </w:tcPr>
          <w:p>
            <w:pPr>
              <w:ind w:left="160"/>
              <w:spacing w:after="0" w:line="113" w:lineRule="exact"/>
              <w:rPr>
                <w:sz w:val="20"/>
                <w:szCs w:val="20"/>
                <w:color w:val="auto"/>
              </w:rPr>
            </w:pPr>
            <w:r>
              <w:rPr>
                <w:rFonts w:ascii="Arial" w:cs="Arial" w:eastAsia="Arial" w:hAnsi="Arial"/>
                <w:sz w:val="10"/>
                <w:szCs w:val="10"/>
                <w:color w:val="auto"/>
              </w:rPr>
              <w:t>future stock option exercises</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(Note 17)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(13,032)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(13,032)</w:t>
            </w:r>
          </w:p>
        </w:tc>
        <w:tc>
          <w:tcPr>
            <w:tcW w:w="0" w:type="dxa"/>
            <w:vAlign w:val="bottom"/>
          </w:tcPr>
          <w:p>
            <w:pPr>
              <w:spacing w:after="0"/>
              <w:rPr>
                <w:sz w:val="1"/>
                <w:szCs w:val="1"/>
                <w:color w:val="auto"/>
              </w:rPr>
            </w:pPr>
          </w:p>
        </w:tc>
      </w:tr>
      <w:tr>
        <w:trPr>
          <w:trHeight w:val="143"/>
        </w:trPr>
        <w:tc>
          <w:tcPr>
            <w:tcW w:w="1660" w:type="dxa"/>
            <w:vAlign w:val="bottom"/>
          </w:tcPr>
          <w:p>
            <w:pPr>
              <w:ind w:left="160"/>
              <w:spacing w:after="0"/>
              <w:rPr>
                <w:sz w:val="20"/>
                <w:szCs w:val="20"/>
                <w:color w:val="auto"/>
              </w:rPr>
            </w:pPr>
            <w:r>
              <w:rPr>
                <w:rFonts w:ascii="Arial" w:cs="Arial" w:eastAsia="Arial" w:hAnsi="Arial"/>
                <w:sz w:val="10"/>
                <w:szCs w:val="10"/>
                <w:color w:val="auto"/>
              </w:rPr>
              <w:t>Net income</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232,569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0"/>
                <w:szCs w:val="10"/>
                <w:color w:val="auto"/>
              </w:rPr>
              <w:t>232,569</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Change in postretirement plan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costs, net of tax</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(15,523)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(15,523)</w:t>
            </w:r>
          </w:p>
        </w:tc>
        <w:tc>
          <w:tcPr>
            <w:tcW w:w="0" w:type="dxa"/>
            <w:vAlign w:val="bottom"/>
          </w:tcPr>
          <w:p>
            <w:pPr>
              <w:spacing w:after="0"/>
              <w:rPr>
                <w:sz w:val="1"/>
                <w:szCs w:val="1"/>
                <w:color w:val="auto"/>
              </w:rPr>
            </w:pPr>
          </w:p>
        </w:tc>
      </w:tr>
      <w:tr>
        <w:trPr>
          <w:trHeight w:val="123"/>
        </w:trPr>
        <w:tc>
          <w:tcPr>
            <w:tcW w:w="1660" w:type="dxa"/>
            <w:vAlign w:val="bottom"/>
          </w:tcPr>
          <w:p>
            <w:pPr>
              <w:ind w:left="16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217,046</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Dividends paid (Note 16)</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(44,294)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(170,800)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w w:val="98"/>
              </w:rPr>
              <w:t>(215,094)</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gridSpan w:val="2"/>
            <w:vMerge w:val="continue"/>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60" w:type="dxa"/>
            <w:vAlign w:val="bottom"/>
          </w:tcPr>
          <w:p>
            <w:pPr>
              <w:ind w:left="160"/>
              <w:spacing w:after="0"/>
              <w:rPr>
                <w:sz w:val="20"/>
                <w:szCs w:val="20"/>
                <w:color w:val="auto"/>
              </w:rPr>
            </w:pPr>
            <w:r>
              <w:rPr>
                <w:rFonts w:ascii="Arial" w:cs="Arial" w:eastAsia="Arial" w:hAnsi="Arial"/>
                <w:sz w:val="10"/>
                <w:szCs w:val="10"/>
                <w:color w:val="auto"/>
              </w:rPr>
              <w:t>Stock-based compensation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0"/>
                <w:szCs w:val="10"/>
                <w:color w:val="auto"/>
              </w:rPr>
              <w:t>expense</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26,163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26,163</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6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2015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150,237,675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w w:val="95"/>
              </w:rPr>
              <w:t>1,502</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1,851,589</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3"/>
              </w:rPr>
              <w:t>(2,999,393)</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(72,293)</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174,985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104,457</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(22,159)</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186,498</w:t>
            </w:r>
          </w:p>
        </w:tc>
        <w:tc>
          <w:tcPr>
            <w:tcW w:w="0" w:type="dxa"/>
            <w:vAlign w:val="bottom"/>
          </w:tcPr>
          <w:p>
            <w:pPr>
              <w:spacing w:after="0"/>
              <w:rPr>
                <w:sz w:val="1"/>
                <w:szCs w:val="1"/>
                <w:color w:val="auto"/>
              </w:rPr>
            </w:pPr>
          </w:p>
        </w:tc>
      </w:tr>
      <w:tr>
        <w:trPr>
          <w:trHeight w:val="108"/>
        </w:trPr>
        <w:tc>
          <w:tcPr>
            <w:tcW w:w="166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3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340" w:type="dxa"/>
            <w:vAlign w:val="bottom"/>
            <w:tcBorders>
              <w:bottom w:val="single" w:sz="8" w:color="CCEEFF"/>
            </w:tcBorders>
            <w:gridSpan w:val="2"/>
            <w:vMerge w:val="continue"/>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vMerge w:val="continue"/>
            <w:shd w:val="clear" w:color="auto" w:fill="CCEEFF"/>
          </w:tcPr>
          <w:p>
            <w:pPr>
              <w:spacing w:after="0"/>
              <w:rPr>
                <w:sz w:val="9"/>
                <w:szCs w:val="9"/>
                <w:color w:val="auto"/>
              </w:rPr>
            </w:pPr>
          </w:p>
        </w:tc>
        <w:tc>
          <w:tcPr>
            <w:tcW w:w="340" w:type="dxa"/>
            <w:vAlign w:val="bottom"/>
            <w:tcBorders>
              <w:bottom w:val="single" w:sz="8" w:color="CCEEFF"/>
            </w:tcBorders>
            <w:gridSpan w:val="2"/>
            <w:vMerge w:val="continue"/>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vMerge w:val="continue"/>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4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5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60" w:type="dxa"/>
            <w:vAlign w:val="bottom"/>
          </w:tcPr>
          <w:p>
            <w:pPr>
              <w:ind w:left="160"/>
              <w:spacing w:after="0"/>
              <w:rPr>
                <w:sz w:val="20"/>
                <w:szCs w:val="20"/>
                <w:color w:val="auto"/>
              </w:rPr>
            </w:pPr>
            <w:r>
              <w:rPr>
                <w:rFonts w:ascii="Arial" w:cs="Arial" w:eastAsia="Arial" w:hAnsi="Arial"/>
                <w:sz w:val="10"/>
                <w:szCs w:val="10"/>
                <w:color w:val="auto"/>
              </w:rPr>
              <w:t>Issuance of common stock</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443,813</w:t>
            </w: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w w:val="79"/>
              </w:rPr>
              <w:t>—</w:t>
            </w:r>
          </w:p>
        </w:tc>
        <w:tc>
          <w:tcPr>
            <w:tcW w:w="12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w w:val="99"/>
              </w:rPr>
              <w:t>—</w:t>
            </w:r>
          </w:p>
        </w:tc>
        <w:tc>
          <w:tcPr>
            <w:tcW w:w="12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5,973</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5,977</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Stock options exercised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2,709,570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28</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(1,851,589)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7,940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7,962</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60" w:type="dxa"/>
            <w:vAlign w:val="bottom"/>
          </w:tcPr>
          <w:p>
            <w:pPr>
              <w:ind w:left="160"/>
              <w:spacing w:after="0"/>
              <w:rPr>
                <w:sz w:val="20"/>
                <w:szCs w:val="20"/>
                <w:color w:val="auto"/>
              </w:rPr>
            </w:pPr>
            <w:r>
              <w:rPr>
                <w:rFonts w:ascii="Arial" w:cs="Arial" w:eastAsia="Arial" w:hAnsi="Arial"/>
                <w:sz w:val="10"/>
                <w:szCs w:val="10"/>
                <w:color w:val="auto"/>
              </w:rPr>
              <w:t>Excess tax benefits from the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0"/>
                <w:szCs w:val="10"/>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31,924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31,924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Share exchange</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gridSpan w:val="2"/>
            <w:vMerge w:val="continue"/>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160"/>
              <w:spacing w:after="0"/>
              <w:rPr>
                <w:sz w:val="20"/>
                <w:szCs w:val="20"/>
                <w:color w:val="auto"/>
              </w:rPr>
            </w:pPr>
            <w:r>
              <w:rPr>
                <w:rFonts w:ascii="Arial" w:cs="Arial" w:eastAsia="Arial" w:hAnsi="Arial"/>
                <w:sz w:val="10"/>
                <w:szCs w:val="10"/>
                <w:color w:val="auto"/>
              </w:rPr>
              <w:t>Repurchase of common stock</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w w:val="93"/>
              </w:rPr>
              <w:t>(2,399,203)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30"/>
              <w:spacing w:after="0"/>
              <w:rPr>
                <w:sz w:val="20"/>
                <w:szCs w:val="20"/>
                <w:color w:val="auto"/>
              </w:rPr>
            </w:pPr>
            <w:r>
              <w:rPr>
                <w:rFonts w:ascii="Arial" w:cs="Arial" w:eastAsia="Arial" w:hAnsi="Arial"/>
                <w:sz w:val="10"/>
                <w:szCs w:val="10"/>
                <w:color w:val="auto"/>
              </w:rPr>
              <w:t>(63,152)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(63,152)</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Recognition of liability related to</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60" w:type="dxa"/>
            <w:vAlign w:val="bottom"/>
            <w:shd w:val="clear" w:color="auto" w:fill="CCEEFF"/>
          </w:tcPr>
          <w:p>
            <w:pPr>
              <w:ind w:left="160"/>
              <w:spacing w:after="0" w:line="113" w:lineRule="exact"/>
              <w:rPr>
                <w:sz w:val="20"/>
                <w:szCs w:val="20"/>
                <w:color w:val="auto"/>
              </w:rPr>
            </w:pPr>
            <w:r>
              <w:rPr>
                <w:rFonts w:ascii="Arial" w:cs="Arial" w:eastAsia="Arial" w:hAnsi="Arial"/>
                <w:sz w:val="10"/>
                <w:szCs w:val="10"/>
                <w:color w:val="auto"/>
              </w:rPr>
              <w:t>future stock option exercises</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(Note 17)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rPr>
              <w:t>(2,339)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rPr>
              <w:t>(2,339)</w:t>
            </w:r>
          </w:p>
        </w:tc>
        <w:tc>
          <w:tcPr>
            <w:tcW w:w="0" w:type="dxa"/>
            <w:vAlign w:val="bottom"/>
          </w:tcPr>
          <w:p>
            <w:pPr>
              <w:spacing w:after="0"/>
              <w:rPr>
                <w:sz w:val="1"/>
                <w:szCs w:val="1"/>
                <w:color w:val="auto"/>
              </w:rPr>
            </w:pPr>
          </w:p>
        </w:tc>
      </w:tr>
      <w:tr>
        <w:trPr>
          <w:trHeight w:val="143"/>
        </w:trPr>
        <w:tc>
          <w:tcPr>
            <w:tcW w:w="1660" w:type="dxa"/>
            <w:vAlign w:val="bottom"/>
          </w:tcPr>
          <w:p>
            <w:pPr>
              <w:ind w:left="160"/>
              <w:spacing w:after="0"/>
              <w:rPr>
                <w:sz w:val="20"/>
                <w:szCs w:val="20"/>
                <w:color w:val="auto"/>
              </w:rPr>
            </w:pPr>
            <w:r>
              <w:rPr>
                <w:rFonts w:ascii="Arial" w:cs="Arial" w:eastAsia="Arial" w:hAnsi="Arial"/>
                <w:sz w:val="10"/>
                <w:szCs w:val="10"/>
                <w:color w:val="auto"/>
              </w:rPr>
              <w:t>Net income</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color w:val="auto"/>
              </w:rPr>
              <w:t>294,094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0"/>
                <w:szCs w:val="10"/>
                <w:color w:val="auto"/>
              </w:rPr>
              <w:t>294,094</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Change in postretirement plan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costs, net of tax</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2,546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2,546</w:t>
            </w:r>
          </w:p>
        </w:tc>
        <w:tc>
          <w:tcPr>
            <w:tcW w:w="0" w:type="dxa"/>
            <w:vAlign w:val="bottom"/>
          </w:tcPr>
          <w:p>
            <w:pPr>
              <w:spacing w:after="0"/>
              <w:rPr>
                <w:sz w:val="1"/>
                <w:szCs w:val="1"/>
                <w:color w:val="auto"/>
              </w:rPr>
            </w:pPr>
          </w:p>
        </w:tc>
      </w:tr>
      <w:tr>
        <w:trPr>
          <w:trHeight w:val="123"/>
        </w:trPr>
        <w:tc>
          <w:tcPr>
            <w:tcW w:w="1660" w:type="dxa"/>
            <w:vAlign w:val="bottom"/>
          </w:tcPr>
          <w:p>
            <w:pPr>
              <w:ind w:left="16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296,640</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Dividends paid (Note 16)</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(80,014)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(80,014)</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gridSpan w:val="2"/>
            <w:vMerge w:val="continue"/>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60" w:type="dxa"/>
            <w:vAlign w:val="bottom"/>
          </w:tcPr>
          <w:p>
            <w:pPr>
              <w:ind w:left="160"/>
              <w:spacing w:after="0"/>
              <w:rPr>
                <w:sz w:val="20"/>
                <w:szCs w:val="20"/>
                <w:color w:val="auto"/>
              </w:rPr>
            </w:pPr>
            <w:r>
              <w:rPr>
                <w:rFonts w:ascii="Arial" w:cs="Arial" w:eastAsia="Arial" w:hAnsi="Arial"/>
                <w:sz w:val="10"/>
                <w:szCs w:val="10"/>
                <w:color w:val="auto"/>
              </w:rPr>
              <w:t>Stock-based compensation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0"/>
                <w:szCs w:val="10"/>
                <w:color w:val="auto"/>
              </w:rPr>
              <w:t>expense</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24,992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24,992</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6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2016</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153,391,058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w w:val="95"/>
              </w:rPr>
              <w:t>1,534</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110"/>
              <w:spacing w:after="0"/>
              <w:rPr>
                <w:sz w:val="20"/>
                <w:szCs w:val="20"/>
                <w:color w:val="auto"/>
              </w:rPr>
            </w:pPr>
            <w:r>
              <w:rPr>
                <w:rFonts w:ascii="Arial" w:cs="Arial" w:eastAsia="Arial" w:hAnsi="Arial"/>
                <w:sz w:val="10"/>
                <w:szCs w:val="10"/>
                <w:color w:val="auto"/>
              </w:rPr>
              <w:t>$</w:t>
            </w: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3"/>
              </w:rPr>
              <w:t>(5,398,596)</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w w:val="88"/>
              </w:rPr>
              <w:t>(135,445)</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243,475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318,537</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(19,613)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408,488</w:t>
            </w:r>
          </w:p>
        </w:tc>
        <w:tc>
          <w:tcPr>
            <w:tcW w:w="0" w:type="dxa"/>
            <w:vAlign w:val="bottom"/>
          </w:tcPr>
          <w:p>
            <w:pPr>
              <w:spacing w:after="0"/>
              <w:rPr>
                <w:sz w:val="1"/>
                <w:szCs w:val="1"/>
                <w:color w:val="auto"/>
              </w:rPr>
            </w:pPr>
          </w:p>
        </w:tc>
      </w:tr>
      <w:tr>
        <w:trPr>
          <w:trHeight w:val="108"/>
        </w:trPr>
        <w:tc>
          <w:tcPr>
            <w:tcW w:w="166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3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340" w:type="dxa"/>
            <w:vAlign w:val="bottom"/>
            <w:tcBorders>
              <w:bottom w:val="single" w:sz="8" w:color="CCEEFF"/>
            </w:tcBorders>
            <w:gridSpan w:val="2"/>
            <w:vMerge w:val="continue"/>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vMerge w:val="continue"/>
            <w:shd w:val="clear" w:color="auto" w:fill="CCEEFF"/>
          </w:tcPr>
          <w:p>
            <w:pPr>
              <w:spacing w:after="0"/>
              <w:rPr>
                <w:sz w:val="9"/>
                <w:szCs w:val="9"/>
                <w:color w:val="auto"/>
              </w:rPr>
            </w:pPr>
          </w:p>
        </w:tc>
        <w:tc>
          <w:tcPr>
            <w:tcW w:w="340" w:type="dxa"/>
            <w:vAlign w:val="bottom"/>
            <w:tcBorders>
              <w:bottom w:val="single" w:sz="8" w:color="CCEEFF"/>
            </w:tcBorders>
            <w:gridSpan w:val="2"/>
            <w:vMerge w:val="continue"/>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vMerge w:val="continue"/>
            <w:shd w:val="clear" w:color="auto" w:fill="CCEEFF"/>
          </w:tcPr>
          <w:p>
            <w:pPr>
              <w:spacing w:after="0"/>
              <w:rPr>
                <w:sz w:val="9"/>
                <w:szCs w:val="9"/>
                <w:color w:val="auto"/>
              </w:rPr>
            </w:pPr>
          </w:p>
        </w:tc>
        <w:tc>
          <w:tcPr>
            <w:tcW w:w="340" w:type="dxa"/>
            <w:vAlign w:val="bottom"/>
            <w:tcBorders>
              <w:bottom w:val="single" w:sz="8" w:color="CCEEFF"/>
            </w:tcBorders>
            <w:gridSpan w:val="2"/>
            <w:vMerge w:val="continue"/>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4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5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5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60" w:type="dxa"/>
            <w:vAlign w:val="bottom"/>
          </w:tcPr>
          <w:p>
            <w:pPr>
              <w:ind w:left="160"/>
              <w:spacing w:after="0"/>
              <w:rPr>
                <w:sz w:val="20"/>
                <w:szCs w:val="20"/>
                <w:color w:val="auto"/>
              </w:rPr>
            </w:pPr>
            <w:r>
              <w:rPr>
                <w:rFonts w:ascii="Arial" w:cs="Arial" w:eastAsia="Arial" w:hAnsi="Arial"/>
                <w:sz w:val="10"/>
                <w:szCs w:val="10"/>
                <w:color w:val="auto"/>
              </w:rPr>
              <w:t>Issuance of common stock</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578,932</w:t>
            </w: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w w:val="79"/>
              </w:rPr>
              <w:t>—</w:t>
            </w:r>
          </w:p>
        </w:tc>
        <w:tc>
          <w:tcPr>
            <w:tcW w:w="12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w w:val="99"/>
              </w:rPr>
              <w:t>—</w:t>
            </w:r>
          </w:p>
        </w:tc>
        <w:tc>
          <w:tcPr>
            <w:tcW w:w="12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6,308</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6,314</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Stock options exercised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1,931,495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70"/>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14,668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14,687</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60" w:type="dxa"/>
            <w:vAlign w:val="bottom"/>
          </w:tcPr>
          <w:p>
            <w:pPr>
              <w:ind w:left="160"/>
              <w:spacing w:after="0"/>
              <w:rPr>
                <w:sz w:val="20"/>
                <w:szCs w:val="20"/>
                <w:color w:val="auto"/>
              </w:rPr>
            </w:pPr>
            <w:r>
              <w:rPr>
                <w:rFonts w:ascii="Arial" w:cs="Arial" w:eastAsia="Arial" w:hAnsi="Arial"/>
                <w:sz w:val="10"/>
                <w:szCs w:val="10"/>
                <w:color w:val="auto"/>
              </w:rPr>
              <w:t>Excess tax benefits from the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0"/>
                <w:szCs w:val="10"/>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18,175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18,175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Repurchase of common stock</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3"/>
              </w:rPr>
              <w:t>(1,615,181)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rPr>
              <w:t>(56,455)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0"/>
                <w:szCs w:val="10"/>
                <w:color w:val="auto"/>
              </w:rPr>
              <w:t>(56,455)</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gridSpan w:val="2"/>
            <w:vMerge w:val="continue"/>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60" w:type="dxa"/>
            <w:vAlign w:val="bottom"/>
          </w:tcPr>
          <w:p>
            <w:pPr>
              <w:ind w:left="160"/>
              <w:spacing w:after="0"/>
              <w:rPr>
                <w:sz w:val="20"/>
                <w:szCs w:val="20"/>
                <w:color w:val="auto"/>
              </w:rPr>
            </w:pPr>
            <w:r>
              <w:rPr>
                <w:rFonts w:ascii="Arial" w:cs="Arial" w:eastAsia="Arial" w:hAnsi="Arial"/>
                <w:sz w:val="10"/>
                <w:szCs w:val="10"/>
                <w:color w:val="auto"/>
              </w:rPr>
              <w:t>Recognition of liability related to</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60" w:type="dxa"/>
            <w:vAlign w:val="bottom"/>
          </w:tcPr>
          <w:p>
            <w:pPr>
              <w:ind w:left="160"/>
              <w:spacing w:after="0" w:line="113" w:lineRule="exact"/>
              <w:rPr>
                <w:sz w:val="20"/>
                <w:szCs w:val="20"/>
                <w:color w:val="auto"/>
              </w:rPr>
            </w:pPr>
            <w:r>
              <w:rPr>
                <w:rFonts w:ascii="Arial" w:cs="Arial" w:eastAsia="Arial" w:hAnsi="Arial"/>
                <w:sz w:val="10"/>
                <w:szCs w:val="10"/>
                <w:color w:val="auto"/>
              </w:rPr>
              <w:t>future stock option exercises</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0"/>
                <w:szCs w:val="10"/>
                <w:color w:val="auto"/>
              </w:rPr>
              <w:t>(Note 17)</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30"/>
              <w:spacing w:after="0"/>
              <w:rPr>
                <w:sz w:val="20"/>
                <w:szCs w:val="20"/>
                <w:color w:val="auto"/>
              </w:rPr>
            </w:pPr>
            <w:r>
              <w:rPr>
                <w:rFonts w:ascii="Arial" w:cs="Arial" w:eastAsia="Arial" w:hAnsi="Arial"/>
                <w:sz w:val="10"/>
                <w:szCs w:val="10"/>
                <w:color w:val="auto"/>
              </w:rPr>
              <w:t>(968)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(968)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Net income</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252,490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252,490</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gridSpan w:val="2"/>
            <w:vMerge w:val="continue"/>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60" w:type="dxa"/>
            <w:vAlign w:val="bottom"/>
          </w:tcPr>
          <w:p>
            <w:pPr>
              <w:ind w:left="160"/>
              <w:spacing w:after="0"/>
              <w:rPr>
                <w:sz w:val="20"/>
                <w:szCs w:val="20"/>
                <w:color w:val="auto"/>
              </w:rPr>
            </w:pPr>
            <w:r>
              <w:rPr>
                <w:rFonts w:ascii="Arial" w:cs="Arial" w:eastAsia="Arial" w:hAnsi="Arial"/>
                <w:sz w:val="10"/>
                <w:szCs w:val="10"/>
                <w:color w:val="auto"/>
              </w:rPr>
              <w:t>Change in postretirement plan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0"/>
                <w:szCs w:val="10"/>
                <w:color w:val="auto"/>
              </w:rPr>
              <w:t>costs, net of tax</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50"/>
              <w:spacing w:after="0"/>
              <w:rPr>
                <w:sz w:val="20"/>
                <w:szCs w:val="20"/>
                <w:color w:val="auto"/>
              </w:rPr>
            </w:pPr>
            <w:r>
              <w:rPr>
                <w:rFonts w:ascii="Arial" w:cs="Arial" w:eastAsia="Arial" w:hAnsi="Arial"/>
                <w:sz w:val="10"/>
                <w:szCs w:val="10"/>
                <w:color w:val="auto"/>
              </w:rPr>
              <w:t>2,536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0"/>
              <w:spacing w:after="0"/>
              <w:rPr>
                <w:sz w:val="20"/>
                <w:szCs w:val="20"/>
                <w:color w:val="auto"/>
              </w:rPr>
            </w:pPr>
            <w:r>
              <w:rPr>
                <w:rFonts w:ascii="Arial" w:cs="Arial" w:eastAsia="Arial" w:hAnsi="Arial"/>
                <w:sz w:val="10"/>
                <w:szCs w:val="10"/>
                <w:color w:val="auto"/>
              </w:rPr>
              <w:t>2,536</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Comprehensive income</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50"/>
              <w:spacing w:after="0"/>
              <w:rPr>
                <w:sz w:val="20"/>
                <w:szCs w:val="20"/>
                <w:color w:val="auto"/>
              </w:rPr>
            </w:pPr>
            <w:r>
              <w:rPr>
                <w:rFonts w:ascii="Arial" w:cs="Arial" w:eastAsia="Arial" w:hAnsi="Arial"/>
                <w:sz w:val="10"/>
                <w:szCs w:val="10"/>
                <w:color w:val="auto"/>
              </w:rPr>
              <w:t>255,026</w:t>
            </w:r>
          </w:p>
        </w:tc>
        <w:tc>
          <w:tcPr>
            <w:tcW w:w="0" w:type="dxa"/>
            <w:vAlign w:val="bottom"/>
          </w:tcPr>
          <w:p>
            <w:pPr>
              <w:spacing w:after="0"/>
              <w:rPr>
                <w:sz w:val="1"/>
                <w:szCs w:val="1"/>
                <w:color w:val="auto"/>
              </w:rPr>
            </w:pPr>
          </w:p>
        </w:tc>
      </w:tr>
      <w:tr>
        <w:trPr>
          <w:trHeight w:val="88"/>
        </w:trPr>
        <w:tc>
          <w:tcPr>
            <w:tcW w:w="16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160"/>
              <w:spacing w:after="0"/>
              <w:rPr>
                <w:sz w:val="20"/>
                <w:szCs w:val="20"/>
                <w:color w:val="auto"/>
              </w:rPr>
            </w:pPr>
            <w:r>
              <w:rPr>
                <w:rFonts w:ascii="Arial" w:cs="Arial" w:eastAsia="Arial" w:hAnsi="Arial"/>
                <w:sz w:val="10"/>
                <w:szCs w:val="10"/>
                <w:color w:val="auto"/>
              </w:rPr>
              <w:t>Dividends paid (Note 16)</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0"/>
                <w:szCs w:val="10"/>
                <w:color w:val="auto"/>
              </w:rPr>
              <w:t>(92,925)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(92,925)</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Stock-based compensation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expense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21,249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21,249</w:t>
            </w:r>
          </w:p>
        </w:tc>
        <w:tc>
          <w:tcPr>
            <w:tcW w:w="0" w:type="dxa"/>
            <w:vAlign w:val="bottom"/>
          </w:tcPr>
          <w:p>
            <w:pPr>
              <w:spacing w:after="0"/>
              <w:rPr>
                <w:sz w:val="1"/>
                <w:szCs w:val="1"/>
                <w:color w:val="auto"/>
              </w:rPr>
            </w:pPr>
          </w:p>
        </w:tc>
      </w:tr>
      <w:tr>
        <w:trPr>
          <w:trHeight w:val="123"/>
        </w:trPr>
        <w:tc>
          <w:tcPr>
            <w:tcW w:w="1660" w:type="dxa"/>
            <w:vAlign w:val="bottom"/>
          </w:tcPr>
          <w:p>
            <w:pPr>
              <w:ind w:left="20"/>
              <w:spacing w:after="0"/>
              <w:rPr>
                <w:sz w:val="20"/>
                <w:szCs w:val="20"/>
                <w:color w:val="auto"/>
              </w:rPr>
            </w:pPr>
            <w:r>
              <w:rPr>
                <w:rFonts w:ascii="Arial" w:cs="Arial" w:eastAsia="Arial" w:hAnsi="Arial"/>
                <w:sz w:val="10"/>
                <w:szCs w:val="10"/>
                <w:b w:val="1"/>
                <w:bCs w:val="1"/>
                <w:color w:val="auto"/>
              </w:rPr>
              <w:t>Balance at March 31, 2017</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155,901,485</w:t>
            </w: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w w:val="95"/>
              </w:rPr>
              <w:t>1,559</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0"/>
                <w:szCs w:val="10"/>
                <w:color w:val="auto"/>
                <w:w w:val="79"/>
              </w:rPr>
              <w:t>—</w:t>
            </w:r>
          </w:p>
        </w:tc>
        <w:tc>
          <w:tcPr>
            <w:tcW w:w="12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w w:val="99"/>
              </w:rPr>
              <w:t>—</w:t>
            </w:r>
          </w:p>
        </w:tc>
        <w:tc>
          <w:tcPr>
            <w:tcW w:w="12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3"/>
              </w:rPr>
              <w:t>(7,013,777)</w:t>
            </w:r>
          </w:p>
        </w:tc>
        <w:tc>
          <w:tcPr>
            <w:tcW w:w="10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w w:val="88"/>
              </w:rPr>
              <w:t>(191,900)</w:t>
            </w:r>
          </w:p>
        </w:tc>
        <w:tc>
          <w:tcPr>
            <w:tcW w:w="10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302,907</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478,102</w:t>
            </w:r>
          </w:p>
        </w:tc>
        <w:tc>
          <w:tcPr>
            <w:tcW w:w="100" w:type="dxa"/>
            <w:vAlign w:val="bottom"/>
          </w:tcPr>
          <w:p>
            <w:pPr>
              <w:spacing w:after="0"/>
              <w:rPr>
                <w:sz w:val="10"/>
                <w:szCs w:val="10"/>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0"/>
                <w:szCs w:val="10"/>
                <w:color w:val="auto"/>
              </w:rPr>
              <w:t>(17,077)</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0"/>
                <w:szCs w:val="10"/>
                <w:color w:val="auto"/>
              </w:rPr>
              <w:t>573,591</w:t>
            </w: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12700</wp:posOffset>
            </wp:positionV>
            <wp:extent cx="592899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28995" cy="24130"/>
                    </a:xfrm>
                    <a:prstGeom prst="rect">
                      <a:avLst/>
                    </a:prstGeom>
                    <a:noFill/>
                  </pic:spPr>
                </pic:pic>
              </a:graphicData>
            </a:graphic>
          </wp:anchor>
        </w:drawing>
      </w:r>
    </w:p>
    <w:p>
      <w:pPr>
        <w:spacing w:after="0" w:line="2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980"/>
          </w:cols>
          <w:pgMar w:left="240" w:top="649" w:right="679" w:bottom="1440" w:gutter="0" w:footer="0" w:header="0"/>
        </w:sectPr>
      </w:pPr>
    </w:p>
    <w:bookmarkStart w:id="71" w:name="page72"/>
    <w:bookmarkEnd w:id="71"/>
    <w:p>
      <w:pPr>
        <w:jc w:val="center"/>
        <w:spacing w:after="0" w:line="256"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 March 31, 2017</w:t>
      </w:r>
    </w:p>
    <w:p>
      <w:pPr>
        <w:spacing w:after="0" w:line="376" w:lineRule="exact"/>
        <w:rPr>
          <w:sz w:val="20"/>
          <w:szCs w:val="20"/>
          <w:color w:val="auto"/>
        </w:rPr>
      </w:pPr>
    </w:p>
    <w:p>
      <w:pPr>
        <w:ind w:left="200" w:right="9460" w:hanging="200"/>
        <w:spacing w:after="0" w:line="394" w:lineRule="auto"/>
        <w:tabs>
          <w:tab w:leader="none" w:pos="167"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OVERVIEW </w:t>
      </w:r>
      <w:r>
        <w:rPr>
          <w:rFonts w:ascii="Arial" w:cs="Arial" w:eastAsia="Arial" w:hAnsi="Arial"/>
          <w:sz w:val="16"/>
          <w:szCs w:val="16"/>
          <w:b w:val="1"/>
          <w:bCs w:val="1"/>
          <w:i w:val="1"/>
          <w:iCs w:val="1"/>
          <w:color w:val="auto"/>
        </w:rPr>
        <w:t>Our Business</w:t>
      </w:r>
    </w:p>
    <w:p>
      <w:pPr>
        <w:spacing w:after="0" w:line="1" w:lineRule="exact"/>
        <w:rPr>
          <w:sz w:val="20"/>
          <w:szCs w:val="20"/>
          <w:color w:val="auto"/>
        </w:rPr>
      </w:pPr>
    </w:p>
    <w:p>
      <w:pPr>
        <w:jc w:val="both"/>
        <w:ind w:right="160" w:firstLine="375"/>
        <w:spacing w:after="0" w:line="273" w:lineRule="auto"/>
        <w:rPr>
          <w:sz w:val="20"/>
          <w:szCs w:val="20"/>
          <w:color w:val="auto"/>
        </w:rPr>
      </w:pPr>
      <w:r>
        <w:rPr>
          <w:rFonts w:ascii="Arial" w:cs="Arial" w:eastAsia="Arial" w:hAnsi="Arial"/>
          <w:sz w:val="16"/>
          <w:szCs w:val="16"/>
          <w:color w:val="auto"/>
        </w:rPr>
        <w:t>Booz Allen Hamilton Holding Corporation, including its wholly owned subsidiaries, or Holding, the Company or we, us, and our, was incorporated in Delaware in May 2008. The Company provides management and technology consulting, engineering, analytics, digital solutions, mission operations, and cyber expertise to U.S. and international governments, major corporations, and not-for-profit organizations. The Company reports operating results and financial data in one operating segment. The Company is headquartered in McLean, Virginia, with approximately 23,300 employees as of March 31, 2017.</w:t>
      </w:r>
    </w:p>
    <w:p>
      <w:pPr>
        <w:spacing w:after="0" w:line="160" w:lineRule="exact"/>
        <w:rPr>
          <w:sz w:val="20"/>
          <w:szCs w:val="20"/>
          <w:color w:val="auto"/>
        </w:rPr>
      </w:pPr>
    </w:p>
    <w:p>
      <w:pPr>
        <w:ind w:left="200" w:right="6900" w:hanging="200"/>
        <w:spacing w:after="0" w:line="371" w:lineRule="auto"/>
        <w:tabs>
          <w:tab w:leader="none" w:pos="167"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jc w:val="both"/>
        <w:ind w:right="20" w:firstLine="375"/>
        <w:spacing w:after="0" w:line="256"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and have been prepared in accordance with accounting principles generally accepted in the United States, or U.S. GAAP, and the rules and regulations of the U.S. Securities and Exchange Commission, or SEC. All intercompany balances and transactions have been eliminated in consolidation.</w:t>
      </w:r>
    </w:p>
    <w:p>
      <w:pPr>
        <w:spacing w:after="0" w:line="75" w:lineRule="exact"/>
        <w:rPr>
          <w:sz w:val="20"/>
          <w:szCs w:val="20"/>
          <w:color w:val="auto"/>
        </w:rPr>
      </w:pPr>
    </w:p>
    <w:p>
      <w:pPr>
        <w:ind w:right="140" w:firstLine="375"/>
        <w:spacing w:after="0" w:line="256" w:lineRule="auto"/>
        <w:rPr>
          <w:sz w:val="20"/>
          <w:szCs w:val="20"/>
          <w:color w:val="auto"/>
        </w:rPr>
      </w:pPr>
      <w:r>
        <w:rPr>
          <w:rFonts w:ascii="Arial" w:cs="Arial" w:eastAsia="Arial" w:hAnsi="Arial"/>
          <w:sz w:val="17"/>
          <w:szCs w:val="17"/>
          <w:color w:val="auto"/>
        </w:rPr>
        <w:t>The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5" w:lineRule="exact"/>
        <w:rPr>
          <w:sz w:val="20"/>
          <w:szCs w:val="20"/>
          <w:color w:val="auto"/>
        </w:rPr>
      </w:pPr>
    </w:p>
    <w:p>
      <w:pPr>
        <w:jc w:val="both"/>
        <w:ind w:right="140" w:firstLine="375"/>
        <w:spacing w:after="0" w:line="256" w:lineRule="auto"/>
        <w:rPr>
          <w:sz w:val="20"/>
          <w:szCs w:val="20"/>
          <w:color w:val="auto"/>
        </w:rPr>
      </w:pPr>
      <w:r>
        <w:rPr>
          <w:rFonts w:ascii="Arial" w:cs="Arial" w:eastAsia="Arial" w:hAnsi="Arial"/>
          <w:sz w:val="17"/>
          <w:szCs w:val="17"/>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2017 and 2016 and the Company’s results of operations for fiscal 2017, fiscal 2016, and fiscal 2015.</w:t>
      </w:r>
    </w:p>
    <w:p>
      <w:pPr>
        <w:spacing w:after="0" w:line="125" w:lineRule="exact"/>
        <w:rPr>
          <w:sz w:val="20"/>
          <w:szCs w:val="20"/>
          <w:color w:val="auto"/>
        </w:rPr>
      </w:pPr>
    </w:p>
    <w:p>
      <w:pPr>
        <w:ind w:left="220" w:right="740" w:firstLine="150"/>
        <w:spacing w:after="0" w:line="430" w:lineRule="auto"/>
        <w:rPr>
          <w:sz w:val="20"/>
          <w:szCs w:val="20"/>
          <w:color w:val="auto"/>
        </w:rPr>
      </w:pPr>
      <w:r>
        <w:rPr>
          <w:rFonts w:ascii="Arial" w:cs="Arial" w:eastAsia="Arial" w:hAnsi="Arial"/>
          <w:sz w:val="17"/>
          <w:szCs w:val="17"/>
          <w:color w:val="auto"/>
        </w:rPr>
        <w:t xml:space="preserve">Certain amounts reported in the Company's prior year consolidated financial statements have been reclassified to conform to the current year presentation. </w:t>
      </w:r>
      <w:r>
        <w:rPr>
          <w:rFonts w:ascii="Arial" w:cs="Arial" w:eastAsia="Arial" w:hAnsi="Arial"/>
          <w:sz w:val="17"/>
          <w:szCs w:val="17"/>
          <w:b w:val="1"/>
          <w:bCs w:val="1"/>
          <w:i w:val="1"/>
          <w:iCs w:val="1"/>
          <w:color w:val="auto"/>
        </w:rPr>
        <w:t>Use of Estimates</w:t>
      </w:r>
    </w:p>
    <w:p>
      <w:pPr>
        <w:ind w:firstLine="375"/>
        <w:spacing w:after="0" w:line="287"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Areas of the consolidated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and costs to complete fixed-price contracts,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5" w:lineRule="exact"/>
        <w:rPr>
          <w:sz w:val="20"/>
          <w:szCs w:val="20"/>
          <w:color w:val="auto"/>
        </w:rPr>
      </w:pPr>
    </w:p>
    <w:p>
      <w:pPr>
        <w:ind w:right="100" w:firstLine="400"/>
        <w:spacing w:after="0" w:line="256" w:lineRule="auto"/>
        <w:rPr>
          <w:sz w:val="20"/>
          <w:szCs w:val="20"/>
          <w:color w:val="auto"/>
        </w:rPr>
      </w:pPr>
      <w:r>
        <w:rPr>
          <w:rFonts w:ascii="Arial" w:cs="Arial" w:eastAsia="Arial" w:hAnsi="Arial"/>
          <w:sz w:val="17"/>
          <w:szCs w:val="17"/>
          <w:color w:val="auto"/>
        </w:rPr>
        <w:t>Substantially all of the Company’s revenue is derived from services and solutions provided to the U.S. government and its agencies, primarily by the Company’s consulting staff and, to a lesser extent, subcontractors. The Company generates its revenue from the following types of contractual arrangements: cost-reimbursable-plus-fee contracts, time-and-materials contracts, and fixed-price contracts.</w:t>
      </w:r>
    </w:p>
    <w:p>
      <w:pPr>
        <w:spacing w:after="0" w:line="75" w:lineRule="exact"/>
        <w:rPr>
          <w:sz w:val="20"/>
          <w:szCs w:val="20"/>
          <w:color w:val="auto"/>
        </w:rPr>
      </w:pPr>
    </w:p>
    <w:p>
      <w:pPr>
        <w:ind w:right="40" w:firstLine="400"/>
        <w:spacing w:after="0" w:line="289" w:lineRule="auto"/>
        <w:rPr>
          <w:sz w:val="20"/>
          <w:szCs w:val="20"/>
          <w:color w:val="auto"/>
        </w:rPr>
      </w:pPr>
      <w:r>
        <w:rPr>
          <w:rFonts w:ascii="Arial" w:cs="Arial" w:eastAsia="Arial" w:hAnsi="Arial"/>
          <w:sz w:val="15"/>
          <w:szCs w:val="15"/>
          <w:color w:val="auto"/>
        </w:rPr>
        <w:t>Revenue on cost-reimbursable-plus-fee contracts is recognized as services are performed, generally based on the allowable costs incurred during the period plus any recognizable earned fee. The Company considers fixed fees under cost-reimbursable-plus-fee contracts to be earned in proportion to the allowable costs incurred in performance of the contract. For cost-reimbursable-plus-fee contracts that include performance-based fee incentives, which are principally award fee arrangements, the Company recognizes income when such fees are probable and estimable. Estimates of the total fee to be earned are made based on contract provisions, prior experience with similar contracts or clients, and management’s evaluation of the performance on such contracts. Revisions to these estimates may result in increases or decreases to revenue and income, and are reflected in the consolidated financial statements in periods in which they are identified. Historically, revisions to these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348" w:right="239" w:bottom="1440" w:gutter="0" w:footer="0" w:header="0"/>
        </w:sectPr>
      </w:pPr>
    </w:p>
    <w:bookmarkStart w:id="72" w:name="page73"/>
    <w:bookmarkEnd w:id="72"/>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estimates have not had a material effect on our results of operations. Contract costs, including indirect expenses, are subject to audit by the Defense Contract Audit Agency, or DCAA, and, accordingly, are subject to possible cost disallowances. Executive compensation that we determine to be allowable for cost reimbursement based on management's estimates is recognized as revenue, net of reserves.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w:t>
      </w:r>
    </w:p>
    <w:p>
      <w:pPr>
        <w:spacing w:after="0" w:line="79" w:lineRule="exact"/>
        <w:rPr>
          <w:sz w:val="20"/>
          <w:szCs w:val="20"/>
          <w:color w:val="auto"/>
        </w:rPr>
      </w:pPr>
    </w:p>
    <w:p>
      <w:pPr>
        <w:ind w:right="40" w:firstLine="400"/>
        <w:spacing w:after="0" w:line="266" w:lineRule="auto"/>
        <w:rPr>
          <w:sz w:val="20"/>
          <w:szCs w:val="20"/>
          <w:color w:val="auto"/>
        </w:rPr>
      </w:pPr>
      <w:r>
        <w:rPr>
          <w:rFonts w:ascii="Arial" w:cs="Arial" w:eastAsia="Arial" w:hAnsi="Arial"/>
          <w:sz w:val="17"/>
          <w:szCs w:val="17"/>
          <w:color w:val="auto"/>
        </w:rPr>
        <w:t>Revenue earned under time-and-materials contracts is recognized as hours are worked based on contractually billable rates to the client. Costs on time-and-materials contracts are expensed as incurred.</w:t>
      </w:r>
    </w:p>
    <w:p>
      <w:pPr>
        <w:spacing w:after="0" w:line="67" w:lineRule="exact"/>
        <w:rPr>
          <w:sz w:val="20"/>
          <w:szCs w:val="20"/>
          <w:color w:val="auto"/>
        </w:rPr>
      </w:pPr>
    </w:p>
    <w:p>
      <w:pPr>
        <w:ind w:firstLine="400"/>
        <w:spacing w:after="0" w:line="289" w:lineRule="auto"/>
        <w:rPr>
          <w:sz w:val="20"/>
          <w:szCs w:val="20"/>
          <w:color w:val="auto"/>
        </w:rPr>
      </w:pPr>
      <w:r>
        <w:rPr>
          <w:rFonts w:ascii="Arial" w:cs="Arial" w:eastAsia="Arial" w:hAnsi="Arial"/>
          <w:sz w:val="15"/>
          <w:szCs w:val="15"/>
          <w:color w:val="auto"/>
        </w:rPr>
        <w:t>Revenue on fixed-price contracts is primarily recognized using the percentage of completion method based on actual costs incurred relative to total estimated costs for the contract. On some fixed-price contracts the Company may use an alternative input method to calculate the percent complete, such as labor hours or labor dollars. This method is used when a contract contains significant, up-front material purchases resulting in costs incurred that are not representative of the actual progress on the contract. In either method, these estimated costs are updated during the term of the contract, and may result in revision by the Company of recognized revenue and estimated costs in the period in which the changes in estimated costs are identified. Historically, revisions to these estimates have not had a material effect on our results of operations. Profits on fixed-price contracts result from the difference between incurred costs used to calculate the percentage of completion and revenue earned.</w:t>
      </w:r>
    </w:p>
    <w:p>
      <w:pPr>
        <w:spacing w:after="0" w:line="56" w:lineRule="exact"/>
        <w:rPr>
          <w:sz w:val="20"/>
          <w:szCs w:val="20"/>
          <w:color w:val="auto"/>
        </w:rPr>
      </w:pPr>
    </w:p>
    <w:p>
      <w:pPr>
        <w:ind w:firstLine="400"/>
        <w:spacing w:after="0" w:line="266" w:lineRule="auto"/>
        <w:rPr>
          <w:sz w:val="20"/>
          <w:szCs w:val="20"/>
          <w:color w:val="auto"/>
        </w:rPr>
      </w:pPr>
      <w:r>
        <w:rPr>
          <w:rFonts w:ascii="Arial" w:cs="Arial" w:eastAsia="Arial" w:hAnsi="Arial"/>
          <w:sz w:val="16"/>
          <w:szCs w:val="16"/>
          <w:color w:val="auto"/>
        </w:rPr>
        <w:t>Contract accounting requires significant judgment relative to assessing risks, estimating contract revenue and costs, and making assumptions for schedule and technical issues. Due to the size and nature of many of the Company’s contracts, developing total revenue and cost at completion estimates requires the use of significant judgment. Contract costs include direct labor and billable expenses and an allocation of allowable indirect costs. Billable expenses is comprised of subcontracting costs and other “out of pocket” costs that often include, but are not limited to, travel-related costs and telecommunications charges. The Company typically recognizes revenue and billable expenses from these transactions on a gross basis when it is the primary obligor on our contracts with customers. Assumptions regarding the length of time to complete the contract also include expected increases in wages and prices for materials. Estimates of total contract revenue and costs are monitored during the term of the contract and are subject to revision as the contract progresses. Anticipated losses on contracts are recognized in the period they are deemed probable and can be reasonably estimated.</w:t>
      </w:r>
    </w:p>
    <w:p>
      <w:pPr>
        <w:spacing w:after="0" w:line="71" w:lineRule="exact"/>
        <w:rPr>
          <w:sz w:val="20"/>
          <w:szCs w:val="20"/>
          <w:color w:val="auto"/>
        </w:rPr>
      </w:pPr>
    </w:p>
    <w:p>
      <w:pPr>
        <w:ind w:firstLine="400"/>
        <w:spacing w:after="0" w:line="251" w:lineRule="auto"/>
        <w:rPr>
          <w:sz w:val="20"/>
          <w:szCs w:val="20"/>
          <w:color w:val="auto"/>
        </w:rPr>
      </w:pPr>
      <w:r>
        <w:rPr>
          <w:rFonts w:ascii="Arial" w:cs="Arial" w:eastAsia="Arial" w:hAnsi="Arial"/>
          <w:sz w:val="17"/>
          <w:szCs w:val="17"/>
          <w:color w:val="auto"/>
        </w:rPr>
        <w:t>The Company’s contracts may include the delivery of a combination of one or more of the Company’s service offerings. In these situations, the Company determines whether such arrangements with multiple service offerings should be treated as separate units of accounting based on how the elements are bid or negotiated, whether the customer can accept separate elements of the arrangement, and the relationship between the pricing on the elements individually and combined. All other revenues are recognized when persuasive evidence of an arrangement exists, services or products have been provided to the customer, the sales price is fixed or determinable and collectability is reasonably assured.</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5" w:lineRule="exact"/>
        <w:rPr>
          <w:sz w:val="20"/>
          <w:szCs w:val="20"/>
          <w:color w:val="auto"/>
        </w:rPr>
      </w:pPr>
    </w:p>
    <w:p>
      <w:pPr>
        <w:ind w:right="80" w:firstLine="400"/>
        <w:spacing w:after="0" w:line="306" w:lineRule="auto"/>
        <w:rPr>
          <w:sz w:val="20"/>
          <w:szCs w:val="20"/>
          <w:color w:val="auto"/>
        </w:rPr>
      </w:pPr>
      <w:r>
        <w:rPr>
          <w:rFonts w:ascii="Arial" w:cs="Arial" w:eastAsia="Arial" w:hAnsi="Arial"/>
          <w:sz w:val="15"/>
          <w:szCs w:val="15"/>
          <w:color w:val="auto"/>
        </w:rPr>
        <w:t>Cash and cash equivalents include operating cash on hand and highly liquid investments having a weighted average maturity of 60 days or less and a weighted average life of 120 days or less. The Company’s cash equivalents consist primarily of institutional and government money market funds. The Company maintains its cash and cash equivalents in bank accounts that, at times, exceed the federally insured FDIC limits. The Company has not experienced any losses in such accounts.</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Valuation of Accounts Receivable</w:t>
      </w:r>
    </w:p>
    <w:p>
      <w:pPr>
        <w:spacing w:after="0" w:line="105" w:lineRule="exact"/>
        <w:rPr>
          <w:sz w:val="20"/>
          <w:szCs w:val="20"/>
          <w:color w:val="auto"/>
        </w:rPr>
      </w:pPr>
    </w:p>
    <w:p>
      <w:pPr>
        <w:ind w:right="380" w:firstLine="400"/>
        <w:spacing w:after="0" w:line="267" w:lineRule="auto"/>
        <w:rPr>
          <w:sz w:val="20"/>
          <w:szCs w:val="20"/>
          <w:color w:val="auto"/>
        </w:rPr>
      </w:pPr>
      <w:r>
        <w:rPr>
          <w:rFonts w:ascii="Arial" w:cs="Arial" w:eastAsia="Arial" w:hAnsi="Arial"/>
          <w:sz w:val="16"/>
          <w:szCs w:val="16"/>
          <w:color w:val="auto"/>
        </w:rPr>
        <w:t>The Company maintains allowances for doubtful accounts against certain billed and unbilled receivables based upon the latest information regarding whether specific charges are recoverable or invoices are ultimately collectible. Assessing the recoverability of charges and collectability of customer receivables requires management judgment. The Company determines its allowance for doubtful accounts by specifically analyzing individual accounts receivable, historical bad debts, customer credit-worthiness, current economic conditions, accounts receivable aging trends for billed receivables, availability of funding, compliance with contractual terms and conditions, client satisfaction with work performed, and other factors impacting unbilled receivables. Valuation reserves are periodically re-evaluated and adjusted as more information about the ultimate recoverability and collectability of accounts receivable becomes available. Upon determination that a receivable is uncollectible, the receivable balance and any associated reserve are written off.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123" w:right="239" w:bottom="1440" w:gutter="0" w:footer="0" w:header="0"/>
        </w:sectPr>
      </w:pPr>
    </w:p>
    <w:bookmarkStart w:id="73" w:name="page74"/>
    <w:bookmarkEnd w:id="73"/>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05" w:lineRule="exact"/>
        <w:rPr>
          <w:sz w:val="20"/>
          <w:szCs w:val="20"/>
          <w:color w:val="auto"/>
        </w:rPr>
      </w:pPr>
    </w:p>
    <w:p>
      <w:pPr>
        <w:ind w:right="280" w:firstLine="400"/>
        <w:spacing w:after="0" w:line="25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equivalents and accounts receivable. The Company’s cash equivalents are generally invested in prime or U.S. government money market funds. The Company believes that credit risk for accounts receivable is limited as the receivables are primarily with the U.S. government.</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05" w:lineRule="exact"/>
        <w:rPr>
          <w:sz w:val="20"/>
          <w:szCs w:val="20"/>
          <w:color w:val="auto"/>
        </w:rPr>
      </w:pPr>
    </w:p>
    <w:p>
      <w:pPr>
        <w:jc w:val="both"/>
        <w:ind w:right="20" w:firstLine="400"/>
        <w:spacing w:after="0" w:line="324" w:lineRule="auto"/>
        <w:rPr>
          <w:sz w:val="20"/>
          <w:szCs w:val="20"/>
          <w:color w:val="auto"/>
        </w:rPr>
      </w:pPr>
      <w:r>
        <w:rPr>
          <w:rFonts w:ascii="Arial" w:cs="Arial" w:eastAsia="Arial" w:hAnsi="Arial"/>
          <w:sz w:val="14"/>
          <w:szCs w:val="14"/>
          <w:color w:val="auto"/>
        </w:rPr>
        <w:t>Property and equipment are recorded at cost, and the balances are presented net of accumulated depreciation. The cost of software purchased or internally developed is capitalized, as appropriate. Depreciation is calculated using the straight-line method over the estimated useful lives of the assets. Furniture and equipment is depreciated over five to ten years, computer equipment is depreciated over four years, and software purchased or developed for internal use is depreciated over three to five years. Leasehold improvements are amortized over the shorter of the useful life of the asset or the lease term. Maintenance and repairs are charged to expense as incurred.</w:t>
      </w:r>
    </w:p>
    <w:p>
      <w:pPr>
        <w:spacing w:after="0" w:line="32" w:lineRule="exact"/>
        <w:rPr>
          <w:sz w:val="20"/>
          <w:szCs w:val="20"/>
          <w:color w:val="auto"/>
        </w:rPr>
      </w:pPr>
    </w:p>
    <w:p>
      <w:pPr>
        <w:ind w:firstLine="400"/>
        <w:spacing w:after="0" w:line="289" w:lineRule="auto"/>
        <w:rPr>
          <w:sz w:val="20"/>
          <w:szCs w:val="20"/>
          <w:color w:val="auto"/>
        </w:rPr>
      </w:pPr>
      <w:r>
        <w:rPr>
          <w:rFonts w:ascii="Arial" w:cs="Arial" w:eastAsia="Arial" w:hAnsi="Arial"/>
          <w:sz w:val="15"/>
          <w:szCs w:val="15"/>
          <w:color w:val="auto"/>
        </w:rPr>
        <w:t>Rent expense is recorded on a straight-line basis over the life of the respective lease. The difference between the cash payment and rent expense is recorded as deferred rent in either accounts payable and other accrued expenses or other long-term liabilities in the consolidated balance sheets, depending on when the amounts will be recognized. The Company receives incentives for tenant improvements on certain of its leases. The cash expended on such improvements is recorded as property and equipment and amortized over the life of the associated asset, or lease term, whichever is shorter. Incentives for tenant improvements are recorded as deferred rent in either accounts payable and other accrued expenses or other long-term liabilities in the consolidated balance sheets depending on when the amounts will be recognized. Incentives for tenant improvements are amortized on a straight-line basis over the lease term.</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5" w:lineRule="exact"/>
        <w:rPr>
          <w:sz w:val="20"/>
          <w:szCs w:val="20"/>
          <w:color w:val="auto"/>
        </w:rPr>
      </w:pPr>
    </w:p>
    <w:p>
      <w:pPr>
        <w:ind w:right="100" w:firstLine="400"/>
        <w:spacing w:after="0" w:line="252" w:lineRule="auto"/>
        <w:rPr>
          <w:sz w:val="20"/>
          <w:szCs w:val="20"/>
          <w:color w:val="auto"/>
        </w:rPr>
      </w:pPr>
      <w:r>
        <w:rPr>
          <w:rFonts w:ascii="Arial" w:cs="Arial" w:eastAsia="Arial" w:hAnsi="Arial"/>
          <w:sz w:val="17"/>
          <w:szCs w:val="17"/>
          <w:color w:val="auto"/>
        </w:rPr>
        <w:t>The accounting for the Company’s business combinations consists of allocating the purchase price to tangible and intangible assets acquired and liabilities assumed based on their estimated fair values, with the excess recorded as goodwill.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80" w:lineRule="exact"/>
        <w:rPr>
          <w:sz w:val="20"/>
          <w:szCs w:val="20"/>
          <w:color w:val="auto"/>
        </w:rPr>
      </w:pPr>
    </w:p>
    <w:p>
      <w:pPr>
        <w:ind w:right="220" w:firstLine="400"/>
        <w:spacing w:after="0" w:line="256" w:lineRule="auto"/>
        <w:rPr>
          <w:sz w:val="20"/>
          <w:szCs w:val="20"/>
          <w:color w:val="auto"/>
        </w:rPr>
      </w:pPr>
      <w:r>
        <w:rPr>
          <w:rFonts w:ascii="Arial" w:cs="Arial" w:eastAsia="Arial" w:hAnsi="Arial"/>
          <w:sz w:val="17"/>
          <w:szCs w:val="17"/>
          <w:color w:val="auto"/>
        </w:rPr>
        <w:t>We have a contingent consideration arrangement in connection with a business acquisition which requires a fair value measurement determined using probability-weighted cash flows. See Note 18 to our consolidated financial statements for further information about the valuation of the contingent consideration liability and the inputs used in the fair value measurement.</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05" w:lineRule="exact"/>
        <w:rPr>
          <w:sz w:val="20"/>
          <w:szCs w:val="20"/>
          <w:color w:val="auto"/>
        </w:rPr>
      </w:pPr>
    </w:p>
    <w:p>
      <w:pPr>
        <w:ind w:right="20" w:firstLine="400"/>
        <w:spacing w:after="0" w:line="249" w:lineRule="auto"/>
        <w:rPr>
          <w:sz w:val="20"/>
          <w:szCs w:val="20"/>
          <w:color w:val="auto"/>
        </w:rPr>
      </w:pPr>
      <w:r>
        <w:rPr>
          <w:rFonts w:ascii="Arial" w:cs="Arial" w:eastAsia="Arial" w:hAnsi="Arial"/>
          <w:sz w:val="17"/>
          <w:szCs w:val="17"/>
          <w:color w:val="auto"/>
        </w:rPr>
        <w:t>Intangible assets primarily consist of the Company's trade name, customer relationships, and other amortizable intangible assets. Customer relationships are amortized on an accelerated basis over the expected life based on projected future cash flows of approximately seven to twelve years. The Company's trade name is not amortized, but is tested for impairment on at least an annual basis as of January 1 and more frequently if interim indicators of impairment exist. The trade name is considered to be impaired if the carrying value exceeds its estimated fair value. The Company used the relief from royalty method to estimate the fair value. The fair value of the asset is the present value of the license fees avoided by owning the asset, or the royalty savings. During the fiscal year ended March 31, 2017, the Company recorded impairment charges related to intangible assets acquired in an acquisition. During the fiscal year ended March 31, 2016, and 2015, the Company did not record any impairment of intangible assets.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Goodwill</w:t>
      </w:r>
    </w:p>
    <w:p>
      <w:pPr>
        <w:spacing w:after="0" w:line="105" w:lineRule="exact"/>
        <w:rPr>
          <w:sz w:val="20"/>
          <w:szCs w:val="20"/>
          <w:color w:val="auto"/>
        </w:rPr>
      </w:pPr>
    </w:p>
    <w:p>
      <w:pPr>
        <w:ind w:firstLine="400"/>
        <w:spacing w:after="0" w:line="292" w:lineRule="auto"/>
        <w:rPr>
          <w:sz w:val="20"/>
          <w:szCs w:val="20"/>
          <w:color w:val="auto"/>
        </w:rPr>
      </w:pPr>
      <w:r>
        <w:rPr>
          <w:rFonts w:ascii="Arial" w:cs="Arial" w:eastAsia="Arial" w:hAnsi="Arial"/>
          <w:sz w:val="15"/>
          <w:szCs w:val="15"/>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2017,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2017, 2016, and 2015, the Company did not record any impairment of goodwill.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123" w:right="239" w:bottom="1440" w:gutter="0" w:footer="0" w:header="0"/>
        </w:sectPr>
      </w:pPr>
    </w:p>
    <w:bookmarkStart w:id="74" w:name="page75"/>
    <w:bookmarkEnd w:id="74"/>
    <w:p>
      <w:pPr>
        <w:jc w:val="center"/>
        <w:ind w:left="260" w:right="2420"/>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05" w:lineRule="exact"/>
        <w:rPr>
          <w:sz w:val="20"/>
          <w:szCs w:val="20"/>
          <w:color w:val="auto"/>
        </w:rPr>
      </w:pPr>
    </w:p>
    <w:p>
      <w:pPr>
        <w:ind w:right="100" w:firstLine="400"/>
        <w:spacing w:after="0" w:line="252" w:lineRule="auto"/>
        <w:rPr>
          <w:sz w:val="20"/>
          <w:szCs w:val="20"/>
          <w:color w:val="auto"/>
        </w:rPr>
      </w:pPr>
      <w:r>
        <w:rPr>
          <w:rFonts w:ascii="Arial" w:cs="Arial" w:eastAsia="Arial" w:hAnsi="Arial"/>
          <w:sz w:val="17"/>
          <w:szCs w:val="17"/>
          <w:color w:val="auto"/>
        </w:rPr>
        <w:t>The Company reviews its long-lived assets, including property and equipment and amortizable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2017, 2016, and 2015, the Company did not record any impairment charges.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Income Taxes</w:t>
      </w:r>
    </w:p>
    <w:p>
      <w:pPr>
        <w:spacing w:after="0" w:line="105" w:lineRule="exact"/>
        <w:rPr>
          <w:sz w:val="20"/>
          <w:szCs w:val="20"/>
          <w:color w:val="auto"/>
        </w:rPr>
      </w:pPr>
    </w:p>
    <w:p>
      <w:pPr>
        <w:ind w:right="180" w:firstLine="400"/>
        <w:spacing w:after="0" w:line="266" w:lineRule="auto"/>
        <w:rPr>
          <w:sz w:val="20"/>
          <w:szCs w:val="20"/>
          <w:color w:val="auto"/>
        </w:rPr>
      </w:pPr>
      <w:r>
        <w:rPr>
          <w:rFonts w:ascii="Arial" w:cs="Arial" w:eastAsia="Arial" w:hAnsi="Arial"/>
          <w:sz w:val="17"/>
          <w:szCs w:val="17"/>
          <w:color w:val="auto"/>
        </w:rPr>
        <w:t>The Company provides for income taxes as a “C” corporation on income earned from operations. The Company is subject to federal, state, and foreign taxation in various jurisdictions.</w:t>
      </w:r>
    </w:p>
    <w:p>
      <w:pPr>
        <w:spacing w:after="0" w:line="67" w:lineRule="exact"/>
        <w:rPr>
          <w:sz w:val="20"/>
          <w:szCs w:val="20"/>
          <w:color w:val="auto"/>
        </w:rPr>
      </w:pPr>
    </w:p>
    <w:p>
      <w:pPr>
        <w:ind w:right="20" w:firstLine="400"/>
        <w:spacing w:after="0" w:line="267" w:lineRule="auto"/>
        <w:rPr>
          <w:sz w:val="20"/>
          <w:szCs w:val="20"/>
          <w:color w:val="auto"/>
        </w:rPr>
      </w:pPr>
      <w:r>
        <w:rPr>
          <w:rFonts w:ascii="Arial" w:cs="Arial" w:eastAsia="Arial" w:hAnsi="Arial"/>
          <w:sz w:val="16"/>
          <w:szCs w:val="16"/>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69" w:lineRule="exact"/>
        <w:rPr>
          <w:sz w:val="20"/>
          <w:szCs w:val="20"/>
          <w:color w:val="auto"/>
        </w:rPr>
      </w:pPr>
    </w:p>
    <w:p>
      <w:pPr>
        <w:ind w:right="140" w:firstLine="400"/>
        <w:spacing w:after="0" w:line="292" w:lineRule="auto"/>
        <w:rPr>
          <w:sz w:val="20"/>
          <w:szCs w:val="20"/>
          <w:color w:val="auto"/>
        </w:rPr>
      </w:pPr>
      <w:r>
        <w:rPr>
          <w:rFonts w:ascii="Arial" w:cs="Arial" w:eastAsia="Arial" w:hAnsi="Arial"/>
          <w:sz w:val="15"/>
          <w:szCs w:val="15"/>
          <w:color w:val="auto"/>
        </w:rPr>
        <w:t>The Company periodically assesses its tax positions for all periods open to examination by tax authorities based on the latest available information. Where it is not more likely than not that the Company’s tax position will be sustained, the Company records its best estimate of the resulting tax liability, penalties, and interest in the consolidated financial statements. These uncertain tax positions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Comprehensive Income</w:t>
      </w:r>
    </w:p>
    <w:p>
      <w:pPr>
        <w:spacing w:after="0" w:line="105" w:lineRule="exact"/>
        <w:rPr>
          <w:sz w:val="20"/>
          <w:szCs w:val="20"/>
          <w:color w:val="auto"/>
        </w:rPr>
      </w:pPr>
    </w:p>
    <w:p>
      <w:pPr>
        <w:ind w:firstLine="451"/>
        <w:spacing w:after="0" w:line="256" w:lineRule="auto"/>
        <w:rPr>
          <w:sz w:val="20"/>
          <w:szCs w:val="20"/>
          <w:color w:val="auto"/>
        </w:rPr>
      </w:pPr>
      <w:r>
        <w:rPr>
          <w:rFonts w:ascii="Arial" w:cs="Arial" w:eastAsia="Arial" w:hAnsi="Arial"/>
          <w:sz w:val="17"/>
          <w:szCs w:val="17"/>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loss as of March 31, 2017 and 2016 consisted of net unrealized losses on the Company’s defined and postretirement benefit plans.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Share-Based Payments</w:t>
      </w:r>
    </w:p>
    <w:p>
      <w:pPr>
        <w:spacing w:after="0" w:line="105" w:lineRule="exact"/>
        <w:rPr>
          <w:sz w:val="20"/>
          <w:szCs w:val="20"/>
          <w:color w:val="auto"/>
        </w:rPr>
      </w:pPr>
    </w:p>
    <w:p>
      <w:pPr>
        <w:ind w:right="20" w:firstLine="400"/>
        <w:spacing w:after="0" w:line="373" w:lineRule="auto"/>
        <w:rPr>
          <w:sz w:val="20"/>
          <w:szCs w:val="20"/>
          <w:color w:val="auto"/>
        </w:rPr>
      </w:pPr>
      <w:r>
        <w:rPr>
          <w:rFonts w:ascii="Arial" w:cs="Arial" w:eastAsia="Arial" w:hAnsi="Arial"/>
          <w:sz w:val="14"/>
          <w:szCs w:val="14"/>
          <w:color w:val="auto"/>
        </w:rPr>
        <w:t>Share-based payments to employees are recognized in the consolidated statements of operations based on their grant date fair values with the expense recognized on an accelerated basis over the vesting period. The Company uses the Black-Scholes option-pricing model to determine the fair value of its awards at the time of the grant.</w:t>
      </w:r>
    </w:p>
    <w:p>
      <w:pPr>
        <w:ind w:left="220"/>
        <w:spacing w:after="0"/>
        <w:rPr>
          <w:sz w:val="20"/>
          <w:szCs w:val="20"/>
          <w:color w:val="auto"/>
        </w:rPr>
      </w:pPr>
      <w:r>
        <w:rPr>
          <w:rFonts w:ascii="Arial" w:cs="Arial" w:eastAsia="Arial" w:hAnsi="Arial"/>
          <w:sz w:val="17"/>
          <w:szCs w:val="17"/>
          <w:b w:val="1"/>
          <w:bCs w:val="1"/>
          <w:i w:val="1"/>
          <w:iCs w:val="1"/>
          <w:color w:val="auto"/>
        </w:rPr>
        <w:t>Defined Benefit Plan and Other Postretirement Benefits</w:t>
      </w:r>
    </w:p>
    <w:p>
      <w:pPr>
        <w:spacing w:after="0" w:line="105" w:lineRule="exact"/>
        <w:rPr>
          <w:sz w:val="20"/>
          <w:szCs w:val="20"/>
          <w:color w:val="auto"/>
        </w:rPr>
      </w:pPr>
    </w:p>
    <w:p>
      <w:pPr>
        <w:ind w:firstLine="400"/>
        <w:spacing w:after="0" w:line="252" w:lineRule="auto"/>
        <w:rPr>
          <w:sz w:val="20"/>
          <w:szCs w:val="20"/>
          <w:color w:val="auto"/>
        </w:rPr>
      </w:pPr>
      <w:r>
        <w:rPr>
          <w:rFonts w:ascii="Arial" w:cs="Arial" w:eastAsia="Arial" w:hAnsi="Arial"/>
          <w:sz w:val="17"/>
          <w:szCs w:val="17"/>
          <w:color w:val="auto"/>
        </w:rPr>
        <w:t>The Company recognizes the underfunded status of defined benefit plans on the consolidated balance sheets within other long-term liabilities. Gains and losses, and prior service costs and credits that have not yet been recognized through net periodic benefit cost are recognized in accumulated other comprehensive income (loss), net of tax effects, and will be amortized as a component of net periodic cost in future periods. The measurement date, the date at which the benefit obligations are measured, is the Company’s fiscal year-end.</w:t>
      </w:r>
    </w:p>
    <w:p>
      <w:pPr>
        <w:spacing w:after="0" w:line="80"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The Company also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 disability eligible and elects to participate in the benefit. The accrued cost for such benefits is calculated using an actuarial estimate of the present value of all future benefit payments for obligations at the end of the fiscal year. During the three months ended March 31, 2017 the Company identified misstatements related to unrecognized accrued costs, goodwill, deferred tax assets, and related effects on earnings associated with these benefits in previously issued consolidated financial statements. The Company evaluated the effects of the misstatements to the Company's current and prior period consolidated financial statements and determined the impact was immaterial. As result,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123" w:right="259" w:bottom="1440" w:gutter="0" w:footer="0" w:header="0"/>
        </w:sectPr>
      </w:pPr>
    </w:p>
    <w:bookmarkStart w:id="75" w:name="page76"/>
    <w:bookmarkEnd w:id="75"/>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effects of the immaterial misstatements have been corrected in the current period. Refer to Notes 5, 12 and 13 for further discussion.</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Self-Funded Medical Plans</w:t>
      </w:r>
    </w:p>
    <w:p>
      <w:pPr>
        <w:spacing w:after="0" w:line="105" w:lineRule="exact"/>
        <w:rPr>
          <w:sz w:val="20"/>
          <w:szCs w:val="20"/>
          <w:color w:val="auto"/>
        </w:rPr>
      </w:pPr>
    </w:p>
    <w:p>
      <w:pPr>
        <w:ind w:right="80" w:firstLine="400"/>
        <w:spacing w:after="0" w:line="297" w:lineRule="auto"/>
        <w:rPr>
          <w:sz w:val="20"/>
          <w:szCs w:val="20"/>
          <w:color w:val="auto"/>
        </w:rPr>
      </w:pPr>
      <w:r>
        <w:rPr>
          <w:rFonts w:ascii="Arial" w:cs="Arial" w:eastAsia="Arial" w:hAnsi="Arial"/>
          <w:sz w:val="15"/>
          <w:szCs w:val="15"/>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5" w:lineRule="exact"/>
        <w:rPr>
          <w:sz w:val="20"/>
          <w:szCs w:val="20"/>
          <w:color w:val="auto"/>
        </w:rPr>
      </w:pPr>
    </w:p>
    <w:p>
      <w:pPr>
        <w:ind w:right="180" w:firstLine="400"/>
        <w:spacing w:after="0" w:line="256"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75" w:lineRule="exact"/>
        <w:rPr>
          <w:sz w:val="20"/>
          <w:szCs w:val="20"/>
          <w:color w:val="auto"/>
        </w:rPr>
      </w:pPr>
    </w:p>
    <w:p>
      <w:pPr>
        <w:ind w:firstLine="400"/>
        <w:spacing w:after="0" w:line="270" w:lineRule="auto"/>
        <w:rPr>
          <w:sz w:val="20"/>
          <w:szCs w:val="20"/>
          <w:color w:val="auto"/>
        </w:rPr>
      </w:pPr>
      <w:r>
        <w:rPr>
          <w:rFonts w:ascii="Arial" w:cs="Arial" w:eastAsia="Arial" w:hAnsi="Arial"/>
          <w:sz w:val="16"/>
          <w:szCs w:val="16"/>
          <w:color w:val="auto"/>
        </w:rPr>
        <w:t>The accounting guidance for fair value measurements establishes a three-level fair value hierarchy that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Assets and liabilities are classified in their entirety within the fair value hierarchy based on the lowest level input that is significant to the fair value measurement. See Note 18 to our consolidated financial statements for additional information on the Company’s fair value measurements.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05" w:lineRule="exact"/>
        <w:rPr>
          <w:sz w:val="20"/>
          <w:szCs w:val="20"/>
          <w:color w:val="auto"/>
        </w:rPr>
      </w:pPr>
    </w:p>
    <w:p>
      <w:pPr>
        <w:ind w:right="160" w:firstLine="375"/>
        <w:spacing w:after="0" w:line="292" w:lineRule="auto"/>
        <w:rPr>
          <w:sz w:val="20"/>
          <w:szCs w:val="20"/>
          <w:color w:val="auto"/>
        </w:rPr>
      </w:pPr>
      <w:r>
        <w:rPr>
          <w:rFonts w:ascii="Arial" w:cs="Arial" w:eastAsia="Arial" w:hAnsi="Arial"/>
          <w:sz w:val="15"/>
          <w:szCs w:val="15"/>
          <w:color w:val="auto"/>
        </w:rPr>
        <w:t>In May 2014, the Financial Accounting Standards Board (FASB) issued a new standard that will replace existing revenue recognition standards and significantly expand the disclosure requirements for revenue arrangements. In July 2015, the FASB approved a one year delay in the effective date of the standard, which will now be effective for the Company beginning on April 1, 2018 (i.e., beginning with the first quarter fiscal 2019 interim financial statements). The Company anticipates adopting the new revenue standard using the full retrospective transition method; however, the Company's ability to adopt using the full retrospective method is dependent on system and process readiness and the completion of our analysis of information necessary to recast our prior period financial statements.</w:t>
      </w:r>
    </w:p>
    <w:p>
      <w:pPr>
        <w:spacing w:after="0" w:line="52" w:lineRule="exact"/>
        <w:rPr>
          <w:sz w:val="20"/>
          <w:szCs w:val="20"/>
          <w:color w:val="auto"/>
        </w:rPr>
      </w:pPr>
    </w:p>
    <w:p>
      <w:pPr>
        <w:ind w:right="120" w:firstLine="375"/>
        <w:spacing w:after="0" w:line="289" w:lineRule="auto"/>
        <w:rPr>
          <w:sz w:val="20"/>
          <w:szCs w:val="20"/>
          <w:color w:val="auto"/>
        </w:rPr>
      </w:pPr>
      <w:r>
        <w:rPr>
          <w:rFonts w:ascii="Arial" w:cs="Arial" w:eastAsia="Arial" w:hAnsi="Arial"/>
          <w:sz w:val="15"/>
          <w:szCs w:val="15"/>
          <w:color w:val="auto"/>
        </w:rPr>
        <w:t>A dedicated implementation team has been established that continues to make progress toward completing the evaluation of the impact of the new standard. An initial accounting assessment of the new standard has been completed and the Company is not currently expecting significant changes related to recognizing revenue and earnings over time for long-term contracts as work progresses because of the continuous transfer of control to the customer, generally using an input measure (e.g., costs incurred) to reflect progress. The Company is also continuing to evaluate the impact of the new standard in other areas, including contract modifications and estimation and recognition of variable consideration for contracts to provide services. The Company is in the process of quantifying the financial statement impacts, revising current accounting policies, evaluating changes to internal controls, and determining the appropriate changes to business processes.</w:t>
      </w:r>
    </w:p>
    <w:p>
      <w:pPr>
        <w:spacing w:after="0" w:line="56" w:lineRule="exact"/>
        <w:rPr>
          <w:sz w:val="20"/>
          <w:szCs w:val="20"/>
          <w:color w:val="auto"/>
        </w:rPr>
      </w:pPr>
    </w:p>
    <w:p>
      <w:pPr>
        <w:ind w:right="20" w:firstLine="375"/>
        <w:spacing w:after="0" w:line="306" w:lineRule="auto"/>
        <w:rPr>
          <w:sz w:val="20"/>
          <w:szCs w:val="20"/>
          <w:color w:val="auto"/>
        </w:rPr>
      </w:pPr>
      <w:r>
        <w:rPr>
          <w:rFonts w:ascii="Arial" w:cs="Arial" w:eastAsia="Arial" w:hAnsi="Arial"/>
          <w:sz w:val="15"/>
          <w:szCs w:val="15"/>
          <w:color w:val="auto"/>
        </w:rPr>
        <w:t xml:space="preserve">In March 2016, the FASB issued ASU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which simplifies several aspects of the accounting for share-based payment transactions including the accounting for income taxes, forfeitures, and statutory tax withholding requirements. The ASU is effective for annual reporting periods beginning after December 15, 2016, with early adoption permitted. The Company plans to adopt ASU 2016-09 in the first quarter of fiscal 2018.</w:t>
      </w:r>
    </w:p>
    <w:p>
      <w:pPr>
        <w:spacing w:after="0" w:line="41" w:lineRule="exact"/>
        <w:rPr>
          <w:sz w:val="20"/>
          <w:szCs w:val="20"/>
          <w:color w:val="auto"/>
        </w:rPr>
      </w:pPr>
    </w:p>
    <w:p>
      <w:pPr>
        <w:ind w:right="120" w:firstLine="375"/>
        <w:spacing w:after="0" w:line="25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to increase transparency and comparability of accounting for lease transactions. The new standard requires lessees to recognize lease assets and lease liabilities on their balance sheet for all leases with a lease term of greater than 12 months. Lessor accounting is largely unchanged. ASU 2016-02 is effective for fiscal years beginning after December 15, 2018, with early adoption permitted. The Company is assessing what effect the adoption of this standard may have on the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123" w:right="239" w:bottom="1440" w:gutter="0" w:footer="0" w:header="0"/>
        </w:sectPr>
      </w:pPr>
    </w:p>
    <w:bookmarkStart w:id="76" w:name="page77"/>
    <w:bookmarkEnd w:id="76"/>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200" w:firstLine="400"/>
        <w:spacing w:after="0" w:line="266" w:lineRule="auto"/>
        <w:rPr>
          <w:sz w:val="20"/>
          <w:szCs w:val="20"/>
          <w:color w:val="auto"/>
        </w:rPr>
      </w:pPr>
      <w:r>
        <w:rPr>
          <w:rFonts w:ascii="Arial" w:cs="Arial" w:eastAsia="Arial" w:hAnsi="Arial"/>
          <w:sz w:val="17"/>
          <w:szCs w:val="17"/>
          <w:color w:val="auto"/>
        </w:rPr>
        <w:t>Other recent accounting pronouncements issued by the FASB during fiscal 2017 and through the filing date did not and are not believed by management to have a material impact on the Company's present or historical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EARNINGS PER SHARE</w:t>
      </w:r>
    </w:p>
    <w:p>
      <w:pPr>
        <w:spacing w:after="0" w:line="109" w:lineRule="exact"/>
        <w:rPr>
          <w:sz w:val="20"/>
          <w:szCs w:val="20"/>
          <w:color w:val="auto"/>
        </w:rPr>
      </w:pPr>
    </w:p>
    <w:p>
      <w:pPr>
        <w:ind w:right="460" w:firstLine="375"/>
        <w:spacing w:after="0" w:line="279"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09" w:lineRule="exact"/>
        <w:rPr>
          <w:sz w:val="20"/>
          <w:szCs w:val="20"/>
          <w:color w:val="auto"/>
        </w:rPr>
      </w:pPr>
    </w:p>
    <w:p>
      <w:pPr>
        <w:ind w:right="60" w:firstLine="375"/>
        <w:spacing w:after="0" w:line="286" w:lineRule="auto"/>
        <w:rPr>
          <w:sz w:val="20"/>
          <w:szCs w:val="20"/>
          <w:color w:val="auto"/>
        </w:rPr>
      </w:pPr>
      <w:r>
        <w:rPr>
          <w:rFonts w:ascii="Arial" w:cs="Arial" w:eastAsia="Arial" w:hAnsi="Arial"/>
          <w:sz w:val="15"/>
          <w:szCs w:val="15"/>
          <w:color w:val="auto"/>
        </w:rPr>
        <w:t>The Company currently has outstanding shares of Class A Common Stock. The Company purchased, at par value, all issued and outstanding shares of Class E Special Voting Common Stock in connection with the exercise of the final tranche of rollover options during the second quarter of fiscal 2016. Class E Special Voting Common Stock shares are not included in the calculation of EPS as these shares represent voting rights only and are not entitled to participate in dividends or other distributions. During fiscal 2015, the Company converted all issued and outstanding shares of Class B Non-Voting Common Stock and Class C Restricted Common Stock into shares of Class A Common Stock on a one-for-one basis. Unvested Class A Restricted Common Stock holders are entitled to participate in non-forfeitable dividends or other distributions. These unvested restricted shares participated in the Company's dividends declared and paid in each quarter of fiscal 2017, 2016, and 2015.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0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Fiscal Year Ended March 31,</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3"/>
        </w:trPr>
        <w:tc>
          <w:tcPr>
            <w:tcW w:w="60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2015</w:t>
            </w:r>
          </w:p>
        </w:tc>
      </w:tr>
      <w:tr>
        <w:trPr>
          <w:trHeight w:val="22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for basic computations (1)</w:t>
            </w: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250,231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290,542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229,093</w:t>
            </w:r>
          </w:p>
        </w:tc>
      </w:tr>
      <w:tr>
        <w:trPr>
          <w:trHeight w:val="225"/>
        </w:trPr>
        <w:tc>
          <w:tcPr>
            <w:tcW w:w="6040" w:type="dxa"/>
            <w:vAlign w:val="bottom"/>
          </w:tcPr>
          <w:p>
            <w:pPr>
              <w:ind w:left="20"/>
              <w:spacing w:after="0"/>
              <w:rPr>
                <w:sz w:val="20"/>
                <w:szCs w:val="20"/>
                <w:color w:val="auto"/>
              </w:rPr>
            </w:pPr>
            <w:r>
              <w:rPr>
                <w:rFonts w:ascii="Arial" w:cs="Arial" w:eastAsia="Arial" w:hAnsi="Arial"/>
                <w:sz w:val="17"/>
                <w:szCs w:val="17"/>
                <w:color w:val="auto"/>
              </w:rPr>
              <w:t>Weighted-average Class A Common Stock outstanding</w:t>
            </w:r>
          </w:p>
        </w:tc>
        <w:tc>
          <w:tcPr>
            <w:tcW w:w="42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148,218,968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146,494,407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144,809,906</w:t>
            </w:r>
          </w:p>
        </w:tc>
      </w:tr>
      <w:tr>
        <w:trPr>
          <w:trHeight w:val="25"/>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Class B Non-Voting Common Stock outstanding</w:t>
            </w:r>
          </w:p>
        </w:tc>
        <w:tc>
          <w:tcPr>
            <w:tcW w:w="4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222,129</w:t>
            </w:r>
          </w:p>
        </w:tc>
      </w:tr>
      <w:tr>
        <w:trPr>
          <w:trHeight w:val="225"/>
        </w:trPr>
        <w:tc>
          <w:tcPr>
            <w:tcW w:w="6040" w:type="dxa"/>
            <w:vAlign w:val="bottom"/>
          </w:tcPr>
          <w:p>
            <w:pPr>
              <w:ind w:left="20"/>
              <w:spacing w:after="0"/>
              <w:rPr>
                <w:sz w:val="20"/>
                <w:szCs w:val="20"/>
                <w:color w:val="auto"/>
              </w:rPr>
            </w:pPr>
            <w:r>
              <w:rPr>
                <w:rFonts w:ascii="Arial" w:cs="Arial" w:eastAsia="Arial" w:hAnsi="Arial"/>
                <w:sz w:val="17"/>
                <w:szCs w:val="17"/>
                <w:color w:val="auto"/>
              </w:rPr>
              <w:t>Weighted-average Class C Restricted Common Stock outstanding</w:t>
            </w:r>
          </w:p>
        </w:tc>
        <w:tc>
          <w:tcPr>
            <w:tcW w:w="4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382,085</w:t>
            </w:r>
          </w:p>
        </w:tc>
      </w:tr>
      <w:tr>
        <w:trPr>
          <w:trHeight w:val="25"/>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w w:val="99"/>
              </w:rPr>
              <w:t>Total weighted-average common shares outstanding for basic computations</w:t>
            </w:r>
          </w:p>
        </w:tc>
        <w:tc>
          <w:tcPr>
            <w:tcW w:w="4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148,218,968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146,494,407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145,414,120</w:t>
            </w:r>
          </w:p>
        </w:tc>
      </w:tr>
      <w:tr>
        <w:trPr>
          <w:trHeight w:val="225"/>
        </w:trPr>
        <w:tc>
          <w:tcPr>
            <w:tcW w:w="6040" w:type="dxa"/>
            <w:vAlign w:val="bottom"/>
          </w:tcPr>
          <w:p>
            <w:pPr>
              <w:ind w:left="20"/>
              <w:spacing w:after="0"/>
              <w:rPr>
                <w:sz w:val="20"/>
                <w:szCs w:val="20"/>
                <w:color w:val="auto"/>
              </w:rPr>
            </w:pPr>
            <w:r>
              <w:rPr>
                <w:rFonts w:ascii="Arial" w:cs="Arial" w:eastAsia="Arial" w:hAnsi="Arial"/>
                <w:sz w:val="17"/>
                <w:szCs w:val="17"/>
                <w:color w:val="auto"/>
              </w:rPr>
              <w:t>Earnings for diluted computations (1)</w:t>
            </w: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250,249</w:t>
            </w:r>
          </w:p>
        </w:tc>
        <w:tc>
          <w:tcPr>
            <w:tcW w:w="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290,596</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229,101</w:t>
            </w:r>
          </w:p>
        </w:tc>
      </w:tr>
      <w:tr>
        <w:trPr>
          <w:trHeight w:val="25"/>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Dilutive stock options and restricted stock</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2,055,672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3,224,730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4,961,411</w:t>
            </w:r>
          </w:p>
        </w:tc>
      </w:tr>
      <w:tr>
        <w:trPr>
          <w:trHeight w:val="225"/>
        </w:trPr>
        <w:tc>
          <w:tcPr>
            <w:tcW w:w="6040" w:type="dxa"/>
            <w:vAlign w:val="bottom"/>
          </w:tcPr>
          <w:p>
            <w:pPr>
              <w:ind w:left="340"/>
              <w:spacing w:after="0"/>
              <w:rPr>
                <w:sz w:val="20"/>
                <w:szCs w:val="20"/>
                <w:color w:val="auto"/>
              </w:rPr>
            </w:pPr>
            <w:r>
              <w:rPr>
                <w:rFonts w:ascii="Arial" w:cs="Arial" w:eastAsia="Arial" w:hAnsi="Arial"/>
                <w:sz w:val="17"/>
                <w:szCs w:val="17"/>
                <w:color w:val="auto"/>
              </w:rPr>
              <w:t>Average number of common shares outstanding for diluted computations</w:t>
            </w:r>
          </w:p>
        </w:tc>
        <w:tc>
          <w:tcPr>
            <w:tcW w:w="42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150,274,640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149,719,137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150,375,531</w:t>
            </w:r>
          </w:p>
        </w:tc>
      </w:tr>
      <w:tr>
        <w:trPr>
          <w:trHeight w:val="25"/>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common share</w:t>
            </w:r>
          </w:p>
        </w:tc>
        <w:tc>
          <w:tcPr>
            <w:tcW w:w="4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5"/>
        </w:trPr>
        <w:tc>
          <w:tcPr>
            <w:tcW w:w="6040" w:type="dxa"/>
            <w:vAlign w:val="bottom"/>
          </w:tcPr>
          <w:p>
            <w:pPr>
              <w:ind w:left="340"/>
              <w:spacing w:after="0"/>
              <w:rPr>
                <w:sz w:val="20"/>
                <w:szCs w:val="20"/>
                <w:color w:val="auto"/>
              </w:rPr>
            </w:pPr>
            <w:r>
              <w:rPr>
                <w:rFonts w:ascii="Arial" w:cs="Arial" w:eastAsia="Arial" w:hAnsi="Arial"/>
                <w:sz w:val="17"/>
                <w:szCs w:val="17"/>
                <w:color w:val="auto"/>
              </w:rPr>
              <w:t>Basic</w:t>
            </w: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1.98</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1.58</w:t>
            </w:r>
          </w:p>
        </w:tc>
      </w:tr>
      <w:tr>
        <w:trPr>
          <w:trHeight w:val="65"/>
        </w:trPr>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3"/>
        </w:trPr>
        <w:tc>
          <w:tcPr>
            <w:tcW w:w="6040" w:type="dxa"/>
            <w:vAlign w:val="bottom"/>
            <w:tcBorders>
              <w:bottom w:val="single" w:sz="8" w:color="CCEEFF"/>
            </w:tcBorders>
            <w:shd w:val="clear" w:color="auto" w:fill="CCEEFF"/>
          </w:tcPr>
          <w:p>
            <w:pPr>
              <w:ind w:left="340"/>
              <w:spacing w:after="0" w:line="178" w:lineRule="exact"/>
              <w:rPr>
                <w:sz w:val="20"/>
                <w:szCs w:val="20"/>
                <w:color w:val="auto"/>
              </w:rPr>
            </w:pPr>
            <w:r>
              <w:rPr>
                <w:rFonts w:ascii="Arial" w:cs="Arial" w:eastAsia="Arial" w:hAnsi="Arial"/>
                <w:sz w:val="17"/>
                <w:szCs w:val="17"/>
                <w:color w:val="auto"/>
              </w:rPr>
              <w:t>Diluted</w:t>
            </w: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40"/>
        <w:spacing w:after="0" w:line="289" w:lineRule="auto"/>
        <w:tabs>
          <w:tab w:leader="none" w:pos="236" w:val="left"/>
        </w:tabs>
        <w:numPr>
          <w:ilvl w:val="0"/>
          <w:numId w:val="63"/>
        </w:numPr>
        <w:rPr>
          <w:rFonts w:ascii="Arial" w:cs="Arial" w:eastAsia="Arial" w:hAnsi="Arial"/>
          <w:sz w:val="15"/>
          <w:szCs w:val="15"/>
          <w:color w:val="auto"/>
        </w:rPr>
      </w:pPr>
      <w:r>
        <w:rPr>
          <w:rFonts w:ascii="Arial" w:cs="Arial" w:eastAsia="Arial" w:hAnsi="Arial"/>
          <w:sz w:val="15"/>
          <w:szCs w:val="15"/>
          <w:color w:val="auto"/>
        </w:rPr>
        <w:t>During fiscal 2017, 2016, and 2015 approximately 1.3 million, 1.8 million, and 2.2 million shares of participating securities were paid dividends totaling $0.9 million, $1.0 million, and $3.2 million, respectively. For fiscal 2017 there were undistributed earnings of $1.4 million allocated to the participating class of securities in basic and diluted earnings per share, respectively. For fiscal 2016 there were undistributed earnings of $2.5 million allocated to the participating class of securities in both basic and diluted earnings per share, respectively. For fiscal 2015 there were undistributed earnings of $0.3 million and $0.2 million allocated to the participating class of securities in basic and diluted earnings per share, respectively. The allocated undistributed earnings and the dividends paid comprise the difference between net income presented on the consolidated statements of operations and earnings for basic and diluted computations for fiscal 2017, 2016 and 2015.</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EPS calculation for fiscal 2017, 2016, and 2015 excludes 0.05 million, 0.6 million, and 0.3 million options as their impact was anti-dilutive.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123" w:right="239" w:bottom="1440" w:gutter="0" w:footer="0" w:header="0"/>
        </w:sectPr>
      </w:pPr>
    </w:p>
    <w:bookmarkStart w:id="77" w:name="page78"/>
    <w:bookmarkEnd w:id="77"/>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w:t>
      </w:r>
    </w:p>
    <w:p>
      <w:pPr>
        <w:spacing w:after="0" w:line="109" w:lineRule="exact"/>
        <w:rPr>
          <w:sz w:val="20"/>
          <w:szCs w:val="20"/>
          <w:color w:val="auto"/>
        </w:rPr>
      </w:pPr>
    </w:p>
    <w:p>
      <w:pPr>
        <w:jc w:val="both"/>
        <w:ind w:right="360" w:firstLine="375"/>
        <w:spacing w:after="0" w:line="256" w:lineRule="auto"/>
        <w:rPr>
          <w:sz w:val="20"/>
          <w:szCs w:val="20"/>
          <w:color w:val="auto"/>
        </w:rPr>
      </w:pPr>
      <w:r>
        <w:rPr>
          <w:rFonts w:ascii="Arial" w:cs="Arial" w:eastAsia="Arial" w:hAnsi="Arial"/>
          <w:sz w:val="17"/>
          <w:szCs w:val="17"/>
          <w:color w:val="auto"/>
        </w:rPr>
        <w:t>On January 24, 2017, the Company acquired eGov Holdings, Inc., which we refer to as "Aquilent". As a result of the transaction, eGov Holdings, Inc. became a wholly owned subsidiary of Booz Allen Hamilton Inc. Aquilent is an architect of IT solutions for the U.S. Federal government. We expect the acquisition will further expand the Company's ability to blend its consulting heritage with advanced technical expertise.</w:t>
      </w:r>
    </w:p>
    <w:p>
      <w:pPr>
        <w:spacing w:after="0" w:line="75" w:lineRule="exact"/>
        <w:rPr>
          <w:sz w:val="20"/>
          <w:szCs w:val="20"/>
          <w:color w:val="auto"/>
        </w:rPr>
      </w:pPr>
    </w:p>
    <w:p>
      <w:pPr>
        <w:ind w:right="220" w:firstLine="375"/>
        <w:spacing w:after="0" w:line="298" w:lineRule="auto"/>
        <w:rPr>
          <w:sz w:val="20"/>
          <w:szCs w:val="20"/>
          <w:color w:val="auto"/>
        </w:rPr>
      </w:pPr>
      <w:r>
        <w:rPr>
          <w:rFonts w:ascii="Arial" w:cs="Arial" w:eastAsia="Arial" w:hAnsi="Arial"/>
          <w:sz w:val="16"/>
          <w:szCs w:val="16"/>
          <w:color w:val="auto"/>
        </w:rPr>
        <w:t>The acquisition of Aquilent was accounted for under the acquisition method of accounting, which requires the total acquisition consideration to be allocated to the assets acquired and liabilities assumed based on an estimate of the acquisition date fair value, with the difference reflected in goodwill.</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preliminary determination of the total consideration transferred at the acquisition date of January 24, 2017:</w:t>
      </w:r>
    </w:p>
    <w:p>
      <w:pPr>
        <w:spacing w:after="0" w:line="243" w:lineRule="exact"/>
        <w:rPr>
          <w:sz w:val="20"/>
          <w:szCs w:val="20"/>
          <w:color w:val="auto"/>
        </w:rPr>
      </w:pPr>
    </w:p>
    <w:tbl>
      <w:tblPr>
        <w:tblLayout w:type="fixed"/>
        <w:tblInd w:w="680" w:type="dxa"/>
        <w:tblCellMar>
          <w:top w:w="0" w:type="dxa"/>
          <w:left w:w="0" w:type="dxa"/>
          <w:bottom w:w="0" w:type="dxa"/>
          <w:right w:w="0" w:type="dxa"/>
        </w:tblCellMar>
      </w:tblP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purchase price paid to Aquilent shareholders</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250,000</w:t>
            </w: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Working capital and other closing adjustments</w:t>
            </w:r>
          </w:p>
        </w:tc>
        <w:tc>
          <w:tcPr>
            <w:tcW w:w="8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(1,570)</w:t>
            </w:r>
          </w:p>
        </w:tc>
      </w:tr>
      <w:tr>
        <w:trPr>
          <w:trHeight w:val="25"/>
        </w:trPr>
        <w:tc>
          <w:tcPr>
            <w:tcW w:w="7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cash on hand</w:t>
            </w:r>
          </w:p>
        </w:tc>
        <w:tc>
          <w:tcPr>
            <w:tcW w:w="8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2,998</w:t>
            </w: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Acquisition-related compensation expenses</w:t>
            </w:r>
          </w:p>
        </w:tc>
        <w:tc>
          <w:tcPr>
            <w:tcW w:w="8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(1,291)</w:t>
            </w:r>
          </w:p>
        </w:tc>
      </w:tr>
      <w:tr>
        <w:trPr>
          <w:trHeight w:val="25"/>
        </w:trPr>
        <w:tc>
          <w:tcPr>
            <w:tcW w:w="7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Acquisition-related contingent consideration</w:t>
            </w: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3,576</w:t>
            </w:r>
          </w:p>
        </w:tc>
      </w:tr>
      <w:tr>
        <w:trPr>
          <w:trHeight w:val="237"/>
        </w:trPr>
        <w:tc>
          <w:tcPr>
            <w:tcW w:w="7860" w:type="dxa"/>
            <w:vAlign w:val="bottom"/>
          </w:tcPr>
          <w:p>
            <w:pPr>
              <w:ind w:left="160"/>
              <w:spacing w:after="0"/>
              <w:rPr>
                <w:sz w:val="20"/>
                <w:szCs w:val="20"/>
                <w:color w:val="auto"/>
              </w:rPr>
            </w:pPr>
            <w:r>
              <w:rPr>
                <w:rFonts w:ascii="Arial" w:cs="Arial" w:eastAsia="Arial" w:hAnsi="Arial"/>
                <w:sz w:val="17"/>
                <w:szCs w:val="17"/>
                <w:color w:val="auto"/>
              </w:rPr>
              <w:t>Total estimated purchase consideration and liabilities paid at closing</w:t>
            </w:r>
          </w:p>
        </w:tc>
        <w:tc>
          <w:tcPr>
            <w:tcW w:w="84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253,713</w:t>
            </w:r>
          </w:p>
        </w:tc>
      </w:tr>
      <w:tr>
        <w:trPr>
          <w:trHeight w:val="20"/>
        </w:trPr>
        <w:tc>
          <w:tcPr>
            <w:tcW w:w="7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20" w:firstLine="375"/>
        <w:spacing w:after="0" w:line="292" w:lineRule="auto"/>
        <w:rPr>
          <w:sz w:val="20"/>
          <w:szCs w:val="20"/>
          <w:color w:val="auto"/>
        </w:rPr>
      </w:pPr>
      <w:r>
        <w:rPr>
          <w:rFonts w:ascii="Arial" w:cs="Arial" w:eastAsia="Arial" w:hAnsi="Arial"/>
          <w:sz w:val="15"/>
          <w:szCs w:val="15"/>
          <w:color w:val="auto"/>
        </w:rPr>
        <w:t xml:space="preserve">As part of the acquisition, the Company and Aquilent agreed to jointly make an election under Section 338(h)(10) of the Internal Revenue Code (Section 338(h)(10)) to treat the acquisition as an asset purchase for income tax purposes and as part of the acquisition, the Company agreed to indemnify the selling stockholders for potential, incremental increases in income taxes and related costs as a result of the Section 338(h)(10) election. The indemnity is evaluated to be acquisition-related contingent consideration, which is preliminarily estimated at the acquisition date fair value of $3.6 million. The acquisition-related contingent consideration was estimated using probability-weighted cash flows and Level 3 inputs as described under the fair value hierarchy of ASC 820,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("ASC 820").</w:t>
      </w:r>
    </w:p>
    <w:p>
      <w:pPr>
        <w:spacing w:after="0" w:line="52" w:lineRule="exact"/>
        <w:rPr>
          <w:sz w:val="20"/>
          <w:szCs w:val="20"/>
          <w:color w:val="auto"/>
        </w:rPr>
      </w:pPr>
    </w:p>
    <w:p>
      <w:pPr>
        <w:ind w:firstLine="375"/>
        <w:spacing w:after="0" w:line="273" w:lineRule="auto"/>
        <w:rPr>
          <w:sz w:val="20"/>
          <w:szCs w:val="20"/>
          <w:color w:val="auto"/>
        </w:rPr>
      </w:pPr>
      <w:r>
        <w:rPr>
          <w:rFonts w:ascii="Arial" w:cs="Arial" w:eastAsia="Arial" w:hAnsi="Arial"/>
          <w:sz w:val="16"/>
          <w:szCs w:val="16"/>
          <w:color w:val="auto"/>
        </w:rPr>
        <w:t>Under the terms of the purchase agreement, the Company has 120 days after closing to provide proposed post-closing working capital adjustments to the stockholders' representatives on behalf of the selling stockholders, which are subject to dispute by the stockholders' representatives. The final purchase price allocations will be completed after the underlying information has been finalized and agreed upon by the stockholders' representatives and the Company. Preliminary transaction costs were $4.0 million, which were recorded as incurred, primarily as general and administrative expense.</w:t>
      </w:r>
    </w:p>
    <w:p>
      <w:pPr>
        <w:spacing w:after="0" w:line="64" w:lineRule="exact"/>
        <w:rPr>
          <w:sz w:val="20"/>
          <w:szCs w:val="20"/>
          <w:color w:val="auto"/>
        </w:rPr>
      </w:pPr>
    </w:p>
    <w:p>
      <w:pPr>
        <w:jc w:val="both"/>
        <w:ind w:right="280" w:firstLine="375"/>
        <w:spacing w:after="0" w:line="256" w:lineRule="auto"/>
        <w:rPr>
          <w:sz w:val="20"/>
          <w:szCs w:val="20"/>
          <w:color w:val="auto"/>
        </w:rPr>
      </w:pPr>
      <w:r>
        <w:rPr>
          <w:rFonts w:ascii="Arial" w:cs="Arial" w:eastAsia="Arial" w:hAnsi="Arial"/>
          <w:sz w:val="17"/>
          <w:szCs w:val="17"/>
          <w:color w:val="auto"/>
        </w:rPr>
        <w:t>The Company recorded, on a preliminary basis, the assets acquired and liabilities assumed at their acquisition date fair value, with the difference between the fair value of the net assets acquired and the acquisition consideration reflected as goodwill. The following table represents the preliminary fair value of assets acquired and liabilities assumed as of the acquisition date:</w:t>
      </w:r>
    </w:p>
    <w:p>
      <w:pPr>
        <w:spacing w:after="0" w:line="226" w:lineRule="exact"/>
        <w:rPr>
          <w:sz w:val="20"/>
          <w:szCs w:val="20"/>
          <w:color w:val="auto"/>
        </w:rPr>
      </w:pPr>
    </w:p>
    <w:tbl>
      <w:tblPr>
        <w:tblLayout w:type="fixed"/>
        <w:tblInd w:w="680" w:type="dxa"/>
        <w:tblCellMar>
          <w:top w:w="0" w:type="dxa"/>
          <w:left w:w="0" w:type="dxa"/>
          <w:bottom w:w="0" w:type="dxa"/>
          <w:right w:w="0" w:type="dxa"/>
        </w:tblCellMar>
      </w:tblPr>
      <w:tr>
        <w:trPr>
          <w:trHeight w:val="213"/>
        </w:trPr>
        <w:tc>
          <w:tcPr>
            <w:tcW w:w="7860" w:type="dxa"/>
            <w:vAlign w:val="bottom"/>
          </w:tcPr>
          <w:p>
            <w:pPr>
              <w:ind w:left="20"/>
              <w:spacing w:after="0"/>
              <w:rPr>
                <w:sz w:val="20"/>
                <w:szCs w:val="20"/>
                <w:color w:val="auto"/>
              </w:rPr>
            </w:pPr>
            <w:r>
              <w:rPr>
                <w:rFonts w:ascii="Arial" w:cs="Arial" w:eastAsia="Arial" w:hAnsi="Arial"/>
                <w:sz w:val="17"/>
                <w:szCs w:val="17"/>
                <w:color w:val="auto"/>
              </w:rPr>
              <w:t>Preliminary allocation:</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
        </w:trPr>
        <w:tc>
          <w:tcPr>
            <w:tcW w:w="7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84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15,809</w:t>
            </w: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Other tangible assets</w:t>
            </w:r>
          </w:p>
        </w:tc>
        <w:tc>
          <w:tcPr>
            <w:tcW w:w="84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1,144</w:t>
            </w:r>
          </w:p>
        </w:tc>
      </w:tr>
      <w:tr>
        <w:trPr>
          <w:trHeight w:val="25"/>
        </w:trPr>
        <w:tc>
          <w:tcPr>
            <w:tcW w:w="7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Customer-relationship intangible assets</w:t>
            </w:r>
          </w:p>
        </w:tc>
        <w:tc>
          <w:tcPr>
            <w:tcW w:w="8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69,000</w:t>
            </w: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Goodwill</w:t>
            </w:r>
          </w:p>
        </w:tc>
        <w:tc>
          <w:tcPr>
            <w:tcW w:w="84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199,830</w:t>
            </w:r>
          </w:p>
        </w:tc>
      </w:tr>
      <w:tr>
        <w:trPr>
          <w:trHeight w:val="25"/>
        </w:trPr>
        <w:tc>
          <w:tcPr>
            <w:tcW w:w="7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8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(8,295)</w:t>
            </w:r>
          </w:p>
        </w:tc>
      </w:tr>
      <w:tr>
        <w:trPr>
          <w:trHeight w:val="225"/>
        </w:trPr>
        <w:tc>
          <w:tcPr>
            <w:tcW w:w="7860" w:type="dxa"/>
            <w:vAlign w:val="bottom"/>
          </w:tcPr>
          <w:p>
            <w:pPr>
              <w:ind w:left="20"/>
              <w:spacing w:after="0"/>
              <w:rPr>
                <w:sz w:val="20"/>
                <w:szCs w:val="20"/>
                <w:color w:val="auto"/>
              </w:rPr>
            </w:pPr>
            <w:r>
              <w:rPr>
                <w:rFonts w:ascii="Arial" w:cs="Arial" w:eastAsia="Arial" w:hAnsi="Arial"/>
                <w:sz w:val="17"/>
                <w:szCs w:val="17"/>
                <w:color w:val="auto"/>
              </w:rPr>
              <w:t>Tax indemnification liability</w:t>
            </w:r>
          </w:p>
        </w:tc>
        <w:tc>
          <w:tcPr>
            <w:tcW w:w="8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(13,554)</w:t>
            </w:r>
          </w:p>
        </w:tc>
      </w:tr>
      <w:tr>
        <w:trPr>
          <w:trHeight w:val="25"/>
        </w:trPr>
        <w:tc>
          <w:tcPr>
            <w:tcW w:w="7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uncertainty</w:t>
            </w:r>
          </w:p>
        </w:tc>
        <w:tc>
          <w:tcPr>
            <w:tcW w:w="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(10,221)</w:t>
            </w:r>
          </w:p>
        </w:tc>
      </w:tr>
      <w:tr>
        <w:trPr>
          <w:trHeight w:val="218"/>
        </w:trPr>
        <w:tc>
          <w:tcPr>
            <w:tcW w:w="7860" w:type="dxa"/>
            <w:vAlign w:val="bottom"/>
          </w:tcPr>
          <w:p>
            <w:pPr>
              <w:ind w:left="120"/>
              <w:spacing w:after="0"/>
              <w:rPr>
                <w:sz w:val="20"/>
                <w:szCs w:val="20"/>
                <w:color w:val="auto"/>
              </w:rPr>
            </w:pPr>
            <w:r>
              <w:rPr>
                <w:rFonts w:ascii="Arial" w:cs="Arial" w:eastAsia="Arial" w:hAnsi="Arial"/>
                <w:sz w:val="17"/>
                <w:szCs w:val="17"/>
                <w:color w:val="auto"/>
              </w:rPr>
              <w:t>Estimated total purchase consideration and liabilities paid at closing</w:t>
            </w:r>
          </w:p>
        </w:tc>
        <w:tc>
          <w:tcPr>
            <w:tcW w:w="840" w:type="dxa"/>
            <w:vAlign w:val="bottom"/>
            <w:tcBorders>
              <w:top w:val="single" w:sz="8" w:color="auto"/>
            </w:tcBorders>
          </w:tcPr>
          <w:p>
            <w:pPr>
              <w:jc w:val="right"/>
              <w:ind w:right="657"/>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253,713</w:t>
            </w:r>
          </w:p>
        </w:tc>
      </w:tr>
    </w:tbl>
    <w:p>
      <w:pPr>
        <w:spacing w:after="0" w:line="113" w:lineRule="exact"/>
        <w:rPr>
          <w:sz w:val="20"/>
          <w:szCs w:val="20"/>
          <w:color w:val="auto"/>
        </w:rPr>
      </w:pPr>
    </w:p>
    <w:p>
      <w:pPr>
        <w:ind w:right="200" w:firstLine="375"/>
        <w:spacing w:after="0" w:line="306" w:lineRule="auto"/>
        <w:rPr>
          <w:sz w:val="20"/>
          <w:szCs w:val="20"/>
          <w:color w:val="auto"/>
        </w:rPr>
      </w:pPr>
      <w:r>
        <w:rPr>
          <w:rFonts w:ascii="Arial" w:cs="Arial" w:eastAsia="Arial" w:hAnsi="Arial"/>
          <w:sz w:val="15"/>
          <w:szCs w:val="15"/>
          <w:color w:val="auto"/>
        </w:rPr>
        <w:t>The identifiable customer-relationship intangible assets of $69 million was valued using the excess earnings method discounted cash flow approach, incorporating Level 3 inputs as described under the fair value hierarchy of ASC 820. These unobservable inputs reflect the Company's own assumptions about which assumptions market participants would use in pricing an asset on a non-recurring basis. This asset is expected to be amortized over the estimated useful life of 12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123" w:right="239" w:bottom="1440" w:gutter="0" w:footer="0" w:header="0"/>
        </w:sectPr>
      </w:pPr>
    </w:p>
    <w:bookmarkStart w:id="78" w:name="page79"/>
    <w:bookmarkEnd w:id="78"/>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jc w:val="both"/>
        <w:ind w:right="140" w:firstLine="375"/>
        <w:spacing w:after="0" w:line="252" w:lineRule="auto"/>
        <w:rPr>
          <w:sz w:val="20"/>
          <w:szCs w:val="20"/>
          <w:color w:val="auto"/>
        </w:rPr>
      </w:pPr>
      <w:r>
        <w:rPr>
          <w:rFonts w:ascii="Arial" w:cs="Arial" w:eastAsia="Arial" w:hAnsi="Arial"/>
          <w:sz w:val="17"/>
          <w:szCs w:val="17"/>
          <w:color w:val="auto"/>
        </w:rPr>
        <w:t>As part of the acquisition, the Company agreed to contractually reimburse the selling stockholders for previously unrealized tax consequences on Aquilent's prior tax-return positions that become realized with the acquisition. Accordingly, the Company recognized a tax indemnification liability of $13.6 million. The Company also recognized a related reserve of $10.2 million for income tax uncertainties created with the acquisition resulting from uncertainties in the sustainability of Aquilent's prior tax-return positions under examination with the relevant tax authorities.</w:t>
      </w:r>
    </w:p>
    <w:p>
      <w:pPr>
        <w:spacing w:after="0" w:line="80" w:lineRule="exact"/>
        <w:rPr>
          <w:sz w:val="20"/>
          <w:szCs w:val="20"/>
          <w:color w:val="auto"/>
        </w:rPr>
      </w:pPr>
    </w:p>
    <w:p>
      <w:pPr>
        <w:ind w:right="120" w:firstLine="375"/>
        <w:spacing w:after="0" w:line="266" w:lineRule="auto"/>
        <w:rPr>
          <w:sz w:val="20"/>
          <w:szCs w:val="20"/>
          <w:color w:val="auto"/>
        </w:rPr>
      </w:pPr>
      <w:r>
        <w:rPr>
          <w:rFonts w:ascii="Arial" w:cs="Arial" w:eastAsia="Arial" w:hAnsi="Arial"/>
          <w:sz w:val="17"/>
          <w:szCs w:val="17"/>
          <w:color w:val="auto"/>
        </w:rPr>
        <w:t>The goodwill of $199.8 million is primarily attributed to the specialized workforce and the expected synergies between the Company and Aquilent. The majority of the goodwill is expected to be deductible for tax purposes.</w:t>
      </w:r>
    </w:p>
    <w:p>
      <w:pPr>
        <w:spacing w:after="0" w:line="67" w:lineRule="exact"/>
        <w:rPr>
          <w:sz w:val="20"/>
          <w:szCs w:val="20"/>
          <w:color w:val="auto"/>
        </w:rPr>
      </w:pPr>
    </w:p>
    <w:p>
      <w:pPr>
        <w:ind w:right="180" w:firstLine="375"/>
        <w:spacing w:after="0" w:line="292" w:lineRule="auto"/>
        <w:rPr>
          <w:sz w:val="20"/>
          <w:szCs w:val="20"/>
          <w:color w:val="auto"/>
        </w:rPr>
      </w:pPr>
      <w:r>
        <w:rPr>
          <w:rFonts w:ascii="Arial" w:cs="Arial" w:eastAsia="Arial" w:hAnsi="Arial"/>
          <w:sz w:val="15"/>
          <w:szCs w:val="15"/>
          <w:color w:val="auto"/>
        </w:rPr>
        <w:t>The fair values of assets acquired and liabilities assumed are preliminary and based on valuation estimates and assumptions that are subject to change and could result in material changes since the timing of the acquisition and related judgments required to make certain valuation estimates could necessitate the use of the one year measurement period to adequately analyze and assess a number of factors used in establishing the fair value of the net assets acquired. Although the Company does not currently expect material changes to the initial value of net assets acquired, the Company continues to evaluate assumptions associated with the customer-relationship intangible, assumptions underlying income tax related liabilities and contingent consideration, and working capital adjustments.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 forma results of operations for this acquisition are not presented because it is not material to the Company's consolidated results of operations.</w:t>
      </w:r>
    </w:p>
    <w:p>
      <w:pPr>
        <w:spacing w:after="0" w:line="200" w:lineRule="exact"/>
        <w:rPr>
          <w:sz w:val="20"/>
          <w:szCs w:val="20"/>
          <w:color w:val="auto"/>
        </w:rPr>
      </w:pPr>
    </w:p>
    <w:p>
      <w:pPr>
        <w:spacing w:after="0" w:line="226" w:lineRule="exact"/>
        <w:rPr>
          <w:sz w:val="20"/>
          <w:szCs w:val="20"/>
          <w:color w:val="auto"/>
        </w:rPr>
      </w:pPr>
    </w:p>
    <w:p>
      <w:pPr>
        <w:ind w:left="220" w:right="8120" w:hanging="220"/>
        <w:spacing w:after="0" w:line="340" w:lineRule="auto"/>
        <w:tabs>
          <w:tab w:leader="none" w:pos="162"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b w:val="1"/>
          <w:bCs w:val="1"/>
          <w:i w:val="1"/>
          <w:iCs w:val="1"/>
          <w:color w:val="auto"/>
        </w:rPr>
        <w:t>Goodwill</w:t>
      </w:r>
    </w:p>
    <w:p>
      <w:pPr>
        <w:spacing w:after="0" w:line="1" w:lineRule="exact"/>
        <w:rPr>
          <w:sz w:val="20"/>
          <w:szCs w:val="20"/>
          <w:color w:val="auto"/>
        </w:rPr>
      </w:pPr>
    </w:p>
    <w:p>
      <w:pPr>
        <w:ind w:right="80" w:firstLine="375"/>
        <w:spacing w:after="0" w:line="256" w:lineRule="auto"/>
        <w:rPr>
          <w:sz w:val="20"/>
          <w:szCs w:val="20"/>
          <w:color w:val="auto"/>
        </w:rPr>
      </w:pPr>
      <w:r>
        <w:rPr>
          <w:rFonts w:ascii="Arial" w:cs="Arial" w:eastAsia="Arial" w:hAnsi="Arial"/>
          <w:sz w:val="17"/>
          <w:szCs w:val="17"/>
          <w:color w:val="auto"/>
        </w:rPr>
        <w:t>As of March 31, 2017 and 2016, goodwill was $1,571.2 million and $1,361.9 million, respectively. The increase in the carrying amount of goodwill was attributable to the Company's acquisition of Aquilent as discussed in Note 4 and an increase of $9.4 million as a result of the correction of the immaterial misstatement discussed in Note 2.</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performed an annual impairment test of goodwill as of January 1, 2017 and 2016, and did not identify any impairment.</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Intangible assets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March 31, 2017</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March 31, 2016</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1"/>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3"/>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Gross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Net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2"/>
              </w:rPr>
              <w:t>Gross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5"/>
              <w:spacing w:after="0"/>
              <w:rPr>
                <w:sz w:val="20"/>
                <w:szCs w:val="20"/>
                <w:color w:val="auto"/>
              </w:rPr>
            </w:pPr>
            <w:r>
              <w:rPr>
                <w:rFonts w:ascii="Arial" w:cs="Arial" w:eastAsia="Arial" w:hAnsi="Arial"/>
                <w:sz w:val="15"/>
                <w:szCs w:val="15"/>
                <w:b w:val="1"/>
                <w:bCs w:val="1"/>
                <w:color w:val="auto"/>
                <w:w w:val="90"/>
              </w:rPr>
              <w:t>Net</w:t>
            </w:r>
          </w:p>
        </w:tc>
      </w:tr>
      <w:tr>
        <w:trPr>
          <w:trHeight w:val="188"/>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7"/>
              </w:rPr>
              <w:t>Carrying</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7"/>
              </w:rPr>
              <w:t>Carrying</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7"/>
              </w:rPr>
              <w:t>Carrying</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40" w:type="dxa"/>
            <w:vAlign w:val="bottom"/>
          </w:tcPr>
          <w:p>
            <w:pPr>
              <w:spacing w:after="0"/>
              <w:rPr>
                <w:sz w:val="16"/>
                <w:szCs w:val="16"/>
                <w:color w:val="auto"/>
              </w:rPr>
            </w:pPr>
          </w:p>
        </w:tc>
        <w:tc>
          <w:tcPr>
            <w:tcW w:w="760" w:type="dxa"/>
            <w:vAlign w:val="bottom"/>
          </w:tcPr>
          <w:p>
            <w:pPr>
              <w:jc w:val="center"/>
              <w:ind w:right="45"/>
              <w:spacing w:after="0"/>
              <w:rPr>
                <w:sz w:val="20"/>
                <w:szCs w:val="20"/>
                <w:color w:val="auto"/>
              </w:rPr>
            </w:pPr>
            <w:r>
              <w:rPr>
                <w:rFonts w:ascii="Arial" w:cs="Arial" w:eastAsia="Arial" w:hAnsi="Arial"/>
                <w:sz w:val="15"/>
                <w:szCs w:val="15"/>
                <w:b w:val="1"/>
                <w:bCs w:val="1"/>
                <w:color w:val="auto"/>
                <w:w w:val="97"/>
              </w:rPr>
              <w:t>Carrying</w:t>
            </w:r>
          </w:p>
        </w:tc>
      </w:tr>
      <w:tr>
        <w:trPr>
          <w:trHeight w:val="194"/>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Value</w:t>
            </w:r>
          </w:p>
        </w:tc>
        <w:tc>
          <w:tcPr>
            <w:tcW w:w="1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Amortization</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Value</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Amortization</w:t>
            </w:r>
          </w:p>
        </w:tc>
        <w:tc>
          <w:tcPr>
            <w:tcW w:w="140" w:type="dxa"/>
            <w:vAlign w:val="bottom"/>
          </w:tcPr>
          <w:p>
            <w:pPr>
              <w:spacing w:after="0"/>
              <w:rPr>
                <w:sz w:val="16"/>
                <w:szCs w:val="16"/>
                <w:color w:val="auto"/>
              </w:rPr>
            </w:pPr>
          </w:p>
        </w:tc>
        <w:tc>
          <w:tcPr>
            <w:tcW w:w="760" w:type="dxa"/>
            <w:vAlign w:val="bottom"/>
          </w:tcPr>
          <w:p>
            <w:pPr>
              <w:jc w:val="center"/>
              <w:ind w:right="45"/>
              <w:spacing w:after="0"/>
              <w:rPr>
                <w:sz w:val="20"/>
                <w:szCs w:val="20"/>
                <w:color w:val="auto"/>
              </w:rPr>
            </w:pPr>
            <w:r>
              <w:rPr>
                <w:rFonts w:ascii="Arial" w:cs="Arial" w:eastAsia="Arial" w:hAnsi="Arial"/>
                <w:sz w:val="15"/>
                <w:szCs w:val="15"/>
                <w:b w:val="1"/>
                <w:bCs w:val="1"/>
                <w:color w:val="auto"/>
                <w:w w:val="89"/>
              </w:rPr>
              <w:t>Value</w:t>
            </w:r>
          </w:p>
        </w:tc>
      </w:tr>
      <w:tr>
        <w:trPr>
          <w:trHeight w:val="31"/>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Amortizable intangible assets: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19"/>
        </w:trPr>
        <w:tc>
          <w:tcPr>
            <w:tcW w:w="4700" w:type="dxa"/>
            <w:vAlign w:val="bottom"/>
          </w:tcPr>
          <w:p>
            <w:pPr>
              <w:ind w:left="260"/>
              <w:spacing w:after="0"/>
              <w:rPr>
                <w:sz w:val="20"/>
                <w:szCs w:val="20"/>
                <w:color w:val="auto"/>
              </w:rPr>
            </w:pPr>
            <w:r>
              <w:rPr>
                <w:rFonts w:ascii="Arial" w:cs="Arial" w:eastAsia="Arial" w:hAnsi="Arial"/>
                <w:sz w:val="15"/>
                <w:szCs w:val="15"/>
                <w:color w:val="auto"/>
              </w:rPr>
              <w:t>Customer relationships and other amortizable intangible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274,915</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193,235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5"/>
              <w:spacing w:after="0"/>
              <w:rPr>
                <w:sz w:val="20"/>
                <w:szCs w:val="20"/>
                <w:color w:val="auto"/>
              </w:rPr>
            </w:pPr>
            <w:r>
              <w:rPr>
                <w:rFonts w:ascii="Arial" w:cs="Arial" w:eastAsia="Arial" w:hAnsi="Arial"/>
                <w:sz w:val="15"/>
                <w:szCs w:val="15"/>
                <w:color w:val="auto"/>
              </w:rPr>
              <w:t>81,680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209,759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179,301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30,458</w:t>
            </w:r>
          </w:p>
        </w:tc>
      </w:tr>
      <w:tr>
        <w:trPr>
          <w:trHeight w:val="31"/>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3"/>
        </w:trPr>
        <w:tc>
          <w:tcPr>
            <w:tcW w:w="4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19"/>
        </w:trPr>
        <w:tc>
          <w:tcPr>
            <w:tcW w:w="4700" w:type="dxa"/>
            <w:vAlign w:val="bottom"/>
          </w:tcPr>
          <w:p>
            <w:pPr>
              <w:ind w:left="20"/>
              <w:spacing w:after="0"/>
              <w:rPr>
                <w:sz w:val="20"/>
                <w:szCs w:val="20"/>
                <w:color w:val="auto"/>
              </w:rPr>
            </w:pPr>
            <w:r>
              <w:rPr>
                <w:rFonts w:ascii="Arial" w:cs="Arial" w:eastAsia="Arial" w:hAnsi="Arial"/>
                <w:sz w:val="15"/>
                <w:szCs w:val="15"/>
                <w:color w:val="auto"/>
              </w:rPr>
              <w:t>Unamortizable intangible assets: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1"/>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Trade name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190,200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190,200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190,200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190,200</w:t>
            </w:r>
          </w:p>
        </w:tc>
      </w:tr>
      <w:tr>
        <w:trPr>
          <w:trHeight w:val="163"/>
        </w:trPr>
        <w:tc>
          <w:tcPr>
            <w:tcW w:w="4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465,115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193,235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271,880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399,959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179,301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220,658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720" w:firstLine="375"/>
        <w:spacing w:after="0" w:line="266" w:lineRule="auto"/>
        <w:rPr>
          <w:sz w:val="20"/>
          <w:szCs w:val="20"/>
          <w:color w:val="auto"/>
        </w:rPr>
      </w:pPr>
      <w:r>
        <w:rPr>
          <w:rFonts w:ascii="Arial" w:cs="Arial" w:eastAsia="Arial" w:hAnsi="Arial"/>
          <w:sz w:val="17"/>
          <w:szCs w:val="17"/>
          <w:color w:val="auto"/>
        </w:rPr>
        <w:t>Intangible assets are primarily amortized on an accelerated basis over periods ranging from 7 years to 12 years. The weighted-average remaining period of amortization for all customer relationships is 11 years.</w:t>
      </w:r>
    </w:p>
    <w:p>
      <w:pPr>
        <w:spacing w:after="0" w:line="142" w:lineRule="exact"/>
        <w:rPr>
          <w:sz w:val="20"/>
          <w:szCs w:val="20"/>
          <w:color w:val="auto"/>
        </w:rPr>
      </w:pPr>
    </w:p>
    <w:p>
      <w:pPr>
        <w:ind w:right="100" w:firstLine="375"/>
        <w:spacing w:after="0" w:line="256" w:lineRule="auto"/>
        <w:rPr>
          <w:sz w:val="20"/>
          <w:szCs w:val="20"/>
          <w:color w:val="auto"/>
        </w:rPr>
      </w:pPr>
      <w:r>
        <w:rPr>
          <w:rFonts w:ascii="Arial" w:cs="Arial" w:eastAsia="Arial" w:hAnsi="Arial"/>
          <w:sz w:val="17"/>
          <w:szCs w:val="17"/>
          <w:color w:val="auto"/>
        </w:rPr>
        <w:t>The Company performed an annual impairment test of the trade name as of January 1, 2017 and 2016, and did not identify any impairment. However, the Company recognized an impairment charge of $3.8 million in fiscal 2017 for acquired technology, customer relationships and other intangible assets associated with a historical business acquisition.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123" w:right="239" w:bottom="1440" w:gutter="0" w:footer="0" w:header="0"/>
        </w:sectPr>
      </w:pPr>
    </w:p>
    <w:bookmarkStart w:id="79" w:name="page80"/>
    <w:bookmarkEnd w:id="79"/>
    <w:p>
      <w:pPr>
        <w:jc w:val="center"/>
        <w:ind w:left="280" w:right="2400"/>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560" w:firstLine="375"/>
        <w:spacing w:after="0" w:line="266" w:lineRule="auto"/>
        <w:rPr>
          <w:sz w:val="20"/>
          <w:szCs w:val="20"/>
          <w:color w:val="auto"/>
        </w:rPr>
      </w:pPr>
      <w:r>
        <w:rPr>
          <w:rFonts w:ascii="Arial" w:cs="Arial" w:eastAsia="Arial" w:hAnsi="Arial"/>
          <w:sz w:val="17"/>
          <w:szCs w:val="17"/>
          <w:color w:val="auto"/>
        </w:rPr>
        <w:t>Amortization expense for fiscal 2017, 2016, and 2015 was $13.9 million, $12.1 million, and $10.7 million, respectively. The following table summarizes the estimated annual amortization expense for future periods indicated below:</w:t>
      </w:r>
    </w:p>
    <w:p>
      <w:pPr>
        <w:spacing w:after="0" w:line="268" w:lineRule="exact"/>
        <w:rPr>
          <w:sz w:val="20"/>
          <w:szCs w:val="20"/>
          <w:color w:val="auto"/>
        </w:rPr>
      </w:pPr>
    </w:p>
    <w:tbl>
      <w:tblPr>
        <w:tblLayout w:type="fixed"/>
        <w:tblInd w:w="680" w:type="dxa"/>
        <w:tblCellMar>
          <w:top w:w="0" w:type="dxa"/>
          <w:left w:w="0" w:type="dxa"/>
          <w:bottom w:w="0" w:type="dxa"/>
          <w:right w:w="0" w:type="dxa"/>
        </w:tblCellMar>
      </w:tblPr>
      <w:tr>
        <w:trPr>
          <w:trHeight w:val="194"/>
        </w:trPr>
        <w:tc>
          <w:tcPr>
            <w:tcW w:w="9080" w:type="dxa"/>
            <w:vAlign w:val="bottom"/>
          </w:tcPr>
          <w:p>
            <w:pPr>
              <w:ind w:left="20"/>
              <w:spacing w:after="0"/>
              <w:rPr>
                <w:sz w:val="20"/>
                <w:szCs w:val="20"/>
                <w:color w:val="auto"/>
              </w:rPr>
            </w:pPr>
            <w:r>
              <w:rPr>
                <w:rFonts w:ascii="Arial" w:cs="Arial" w:eastAsia="Arial" w:hAnsi="Arial"/>
                <w:sz w:val="15"/>
                <w:szCs w:val="15"/>
                <w:b w:val="1"/>
                <w:bCs w:val="1"/>
                <w:color w:val="auto"/>
              </w:rPr>
              <w:t>For the Fiscal Year Ended March 31,</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1"/>
        </w:trPr>
        <w:tc>
          <w:tcPr>
            <w:tcW w:w="9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8"/>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16,026</w:t>
            </w:r>
          </w:p>
        </w:tc>
      </w:tr>
      <w:tr>
        <w:trPr>
          <w:trHeight w:val="207"/>
        </w:trPr>
        <w:tc>
          <w:tcPr>
            <w:tcW w:w="9080" w:type="dxa"/>
            <w:vAlign w:val="bottom"/>
          </w:tcPr>
          <w:p>
            <w:pPr>
              <w:ind w:left="20"/>
              <w:spacing w:after="0"/>
              <w:rPr>
                <w:sz w:val="20"/>
                <w:szCs w:val="20"/>
                <w:color w:val="auto"/>
              </w:rPr>
            </w:pPr>
            <w:r>
              <w:rPr>
                <w:rFonts w:ascii="Arial" w:cs="Arial" w:eastAsia="Arial" w:hAnsi="Arial"/>
                <w:sz w:val="15"/>
                <w:szCs w:val="15"/>
                <w:color w:val="auto"/>
              </w:rPr>
              <w:t>2019</w:t>
            </w:r>
          </w:p>
        </w:tc>
        <w:tc>
          <w:tcPr>
            <w:tcW w:w="280" w:type="dxa"/>
            <w:vAlign w:val="bottom"/>
          </w:tcPr>
          <w:p>
            <w:pPr>
              <w:spacing w:after="0"/>
              <w:rPr>
                <w:sz w:val="17"/>
                <w:szCs w:val="17"/>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13,742</w:t>
            </w:r>
          </w:p>
        </w:tc>
      </w:tr>
      <w:tr>
        <w:trPr>
          <w:trHeight w:val="31"/>
        </w:trPr>
        <w:tc>
          <w:tcPr>
            <w:tcW w:w="9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8"/>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11,004</w:t>
            </w:r>
          </w:p>
        </w:tc>
      </w:tr>
      <w:tr>
        <w:trPr>
          <w:trHeight w:val="207"/>
        </w:trPr>
        <w:tc>
          <w:tcPr>
            <w:tcW w:w="9080" w:type="dxa"/>
            <w:vAlign w:val="bottom"/>
          </w:tcPr>
          <w:p>
            <w:pPr>
              <w:ind w:left="20"/>
              <w:spacing w:after="0"/>
              <w:rPr>
                <w:sz w:val="20"/>
                <w:szCs w:val="20"/>
                <w:color w:val="auto"/>
              </w:rPr>
            </w:pPr>
            <w:r>
              <w:rPr>
                <w:rFonts w:ascii="Arial" w:cs="Arial" w:eastAsia="Arial" w:hAnsi="Arial"/>
                <w:sz w:val="15"/>
                <w:szCs w:val="15"/>
                <w:color w:val="auto"/>
              </w:rPr>
              <w:t>2021</w:t>
            </w:r>
          </w:p>
        </w:tc>
        <w:tc>
          <w:tcPr>
            <w:tcW w:w="280" w:type="dxa"/>
            <w:vAlign w:val="bottom"/>
          </w:tcPr>
          <w:p>
            <w:pPr>
              <w:spacing w:after="0"/>
              <w:rPr>
                <w:sz w:val="17"/>
                <w:szCs w:val="17"/>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9,011</w:t>
            </w:r>
          </w:p>
        </w:tc>
      </w:tr>
      <w:tr>
        <w:trPr>
          <w:trHeight w:val="31"/>
        </w:trPr>
        <w:tc>
          <w:tcPr>
            <w:tcW w:w="9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8"/>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7,647</w:t>
            </w:r>
          </w:p>
        </w:tc>
      </w:tr>
      <w:tr>
        <w:trPr>
          <w:trHeight w:val="207"/>
        </w:trPr>
        <w:tc>
          <w:tcPr>
            <w:tcW w:w="908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280" w:type="dxa"/>
            <w:vAlign w:val="bottom"/>
          </w:tcPr>
          <w:p>
            <w:pPr>
              <w:spacing w:after="0"/>
              <w:rPr>
                <w:sz w:val="17"/>
                <w:szCs w:val="17"/>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24,250</w:t>
            </w:r>
          </w:p>
        </w:tc>
      </w:tr>
      <w:tr>
        <w:trPr>
          <w:trHeight w:val="31"/>
        </w:trPr>
        <w:tc>
          <w:tcPr>
            <w:tcW w:w="9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estimated amortization expense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81,680</w:t>
            </w:r>
          </w:p>
        </w:tc>
      </w:tr>
      <w:tr>
        <w:trPr>
          <w:trHeight w:val="20"/>
        </w:trPr>
        <w:tc>
          <w:tcPr>
            <w:tcW w:w="9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ACCOUNTS RECEIVABLE,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Accounts receivable, net consisted of the following:</w:t>
      </w:r>
    </w:p>
    <w:p>
      <w:pPr>
        <w:spacing w:after="0" w:line="310" w:lineRule="exact"/>
        <w:rPr>
          <w:sz w:val="20"/>
          <w:szCs w:val="20"/>
          <w:color w:val="auto"/>
        </w:rPr>
      </w:pPr>
    </w:p>
    <w:p>
      <w:pPr>
        <w:ind w:left="876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20955</wp:posOffset>
            </wp:positionV>
            <wp:extent cx="19075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7540" cy="8255"/>
                    </a:xfrm>
                    <a:prstGeom prst="rect">
                      <a:avLst/>
                    </a:prstGeom>
                    <a:noFill/>
                  </pic:spPr>
                </pic:pic>
              </a:graphicData>
            </a:graphic>
          </wp:anchor>
        </w:drawing>
      </w:r>
    </w:p>
    <w:p>
      <w:pPr>
        <w:spacing w:after="0" w:line="93" w:lineRule="exact"/>
        <w:rPr>
          <w:sz w:val="20"/>
          <w:szCs w:val="20"/>
          <w:color w:val="auto"/>
        </w:rPr>
      </w:pPr>
    </w:p>
    <w:tbl>
      <w:tblPr>
        <w:tblLayout w:type="fixed"/>
        <w:tblInd w:w="880" w:type="dxa"/>
        <w:tblCellMar>
          <w:top w:w="0" w:type="dxa"/>
          <w:left w:w="0" w:type="dxa"/>
          <w:bottom w:w="0" w:type="dxa"/>
          <w:right w:w="0" w:type="dxa"/>
        </w:tblCellMar>
      </w:tblPr>
      <w:tr>
        <w:trPr>
          <w:trHeight w:val="178"/>
        </w:trPr>
        <w:tc>
          <w:tcPr>
            <w:tcW w:w="66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2016</w:t>
            </w: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5"/>
        </w:trPr>
        <w:tc>
          <w:tcPr>
            <w:tcW w:w="6660" w:type="dxa"/>
            <w:vAlign w:val="bottom"/>
          </w:tcPr>
          <w:p>
            <w:pPr>
              <w:ind w:left="360"/>
              <w:spacing w:after="0"/>
              <w:rPr>
                <w:sz w:val="20"/>
                <w:szCs w:val="20"/>
                <w:color w:val="auto"/>
              </w:rPr>
            </w:pPr>
            <w:r>
              <w:rPr>
                <w:rFonts w:ascii="Arial" w:cs="Arial" w:eastAsia="Arial" w:hAnsi="Arial"/>
                <w:sz w:val="17"/>
                <w:szCs w:val="17"/>
                <w:color w:val="auto"/>
              </w:rPr>
              <w:t>Accounts receivable–billed</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340,716</w:t>
            </w:r>
          </w:p>
        </w:tc>
        <w:tc>
          <w:tcPr>
            <w:tcW w:w="10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308,670</w:t>
            </w:r>
          </w:p>
        </w:tc>
      </w:tr>
      <w:tr>
        <w:trPr>
          <w:trHeight w:val="25"/>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receivable–unbilled</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651,094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584,275</w:t>
            </w:r>
          </w:p>
        </w:tc>
      </w:tr>
      <w:tr>
        <w:trPr>
          <w:trHeight w:val="225"/>
        </w:trPr>
        <w:tc>
          <w:tcPr>
            <w:tcW w:w="6660" w:type="dxa"/>
            <w:vAlign w:val="bottom"/>
          </w:tcPr>
          <w:p>
            <w:pPr>
              <w:ind w:left="360"/>
              <w:spacing w:after="0"/>
              <w:rPr>
                <w:sz w:val="20"/>
                <w:szCs w:val="20"/>
                <w:color w:val="auto"/>
              </w:rPr>
            </w:pPr>
            <w:r>
              <w:rPr>
                <w:rFonts w:ascii="Arial" w:cs="Arial" w:eastAsia="Arial" w:hAnsi="Arial"/>
                <w:sz w:val="17"/>
                <w:szCs w:val="17"/>
                <w:color w:val="auto"/>
              </w:rPr>
              <w:t>Allowance for doubtful accounts</w:t>
            </w:r>
          </w:p>
        </w:tc>
        <w:tc>
          <w:tcPr>
            <w:tcW w:w="3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(656)</w:t>
            </w:r>
          </w:p>
        </w:tc>
      </w:tr>
      <w:tr>
        <w:trPr>
          <w:trHeight w:val="25"/>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6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Accounts receivable, net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991,810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892,289</w:t>
            </w:r>
          </w:p>
        </w:tc>
      </w:tr>
      <w:tr>
        <w:trPr>
          <w:trHeight w:val="225"/>
        </w:trPr>
        <w:tc>
          <w:tcPr>
            <w:tcW w:w="6660" w:type="dxa"/>
            <w:vAlign w:val="bottom"/>
          </w:tcPr>
          <w:p>
            <w:pPr>
              <w:ind w:left="20"/>
              <w:spacing w:after="0"/>
              <w:rPr>
                <w:sz w:val="20"/>
                <w:szCs w:val="20"/>
                <w:color w:val="auto"/>
              </w:rPr>
            </w:pPr>
            <w:r>
              <w:rPr>
                <w:rFonts w:ascii="Arial" w:cs="Arial" w:eastAsia="Arial" w:hAnsi="Arial"/>
                <w:sz w:val="17"/>
                <w:szCs w:val="17"/>
                <w:color w:val="auto"/>
              </w:rPr>
              <w:t>Long-term</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receivable–unbilled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59,913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51,145</w:t>
            </w:r>
          </w:p>
        </w:tc>
      </w:tr>
      <w:tr>
        <w:trPr>
          <w:trHeight w:val="218"/>
        </w:trPr>
        <w:tc>
          <w:tcPr>
            <w:tcW w:w="6660" w:type="dxa"/>
            <w:vAlign w:val="bottom"/>
          </w:tcPr>
          <w:p>
            <w:pPr>
              <w:ind w:left="660"/>
              <w:spacing w:after="0"/>
              <w:rPr>
                <w:sz w:val="20"/>
                <w:szCs w:val="20"/>
                <w:color w:val="auto"/>
              </w:rPr>
            </w:pPr>
            <w:r>
              <w:rPr>
                <w:rFonts w:ascii="Arial" w:cs="Arial" w:eastAsia="Arial" w:hAnsi="Arial"/>
                <w:sz w:val="17"/>
                <w:szCs w:val="17"/>
                <w:color w:val="auto"/>
              </w:rPr>
              <w:t>Total accounts receivable, net</w:t>
            </w: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1,051,723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943,434</w:t>
            </w:r>
          </w:p>
        </w:tc>
      </w:tr>
      <w:tr>
        <w:trPr>
          <w:trHeight w:val="25"/>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firstLine="375"/>
        <w:spacing w:after="0" w:line="297" w:lineRule="auto"/>
        <w:rPr>
          <w:sz w:val="20"/>
          <w:szCs w:val="20"/>
          <w:color w:val="auto"/>
        </w:rPr>
      </w:pPr>
      <w:r>
        <w:rPr>
          <w:rFonts w:ascii="Arial" w:cs="Arial" w:eastAsia="Arial" w:hAnsi="Arial"/>
          <w:sz w:val="15"/>
          <w:szCs w:val="15"/>
          <w:color w:val="auto"/>
        </w:rPr>
        <w:t>Unbilled amounts represent revenues for which billings have not been presented to customers at year 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consolidated balance sheets. The Company recognized a provision (benefit) for doubtful accounts (including certain unbilled reserves) of $0.6 million, $1.1 million, and $(1.0) million for fiscal 2017, 2016, and 2015,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AND EQUIPMENT, NET</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property and equipment, net were as follows:</w:t>
      </w:r>
    </w:p>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7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bottom w:val="single" w:sz="8" w:color="auto"/>
            </w:tcBorders>
          </w:tcPr>
          <w:p>
            <w:pPr>
              <w:spacing w:after="0"/>
              <w:rPr>
                <w:sz w:val="15"/>
                <w:szCs w:val="15"/>
                <w:color w:val="auto"/>
              </w:rPr>
            </w:pPr>
          </w:p>
        </w:tc>
      </w:tr>
      <w:tr>
        <w:trPr>
          <w:trHeight w:val="243"/>
        </w:trPr>
        <w:tc>
          <w:tcPr>
            <w:tcW w:w="7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2016</w:t>
            </w:r>
          </w:p>
        </w:tc>
      </w:tr>
      <w:tr>
        <w:trPr>
          <w:trHeight w:val="22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Furniture and equipment</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151,552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145,292</w:t>
            </w:r>
          </w:p>
        </w:tc>
      </w:tr>
      <w:tr>
        <w:trPr>
          <w:trHeight w:val="225"/>
        </w:trPr>
        <w:tc>
          <w:tcPr>
            <w:tcW w:w="7260" w:type="dxa"/>
            <w:vAlign w:val="bottom"/>
          </w:tcPr>
          <w:p>
            <w:pPr>
              <w:ind w:left="20"/>
              <w:spacing w:after="0"/>
              <w:rPr>
                <w:sz w:val="20"/>
                <w:szCs w:val="20"/>
                <w:color w:val="auto"/>
              </w:rPr>
            </w:pPr>
            <w:r>
              <w:rPr>
                <w:rFonts w:ascii="Arial" w:cs="Arial" w:eastAsia="Arial" w:hAnsi="Arial"/>
                <w:sz w:val="17"/>
                <w:szCs w:val="17"/>
                <w:color w:val="auto"/>
              </w:rPr>
              <w:t>Computer equipment</w:t>
            </w:r>
          </w:p>
        </w:tc>
        <w:tc>
          <w:tcPr>
            <w:tcW w:w="34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7"/>
                <w:szCs w:val="17"/>
                <w:color w:val="auto"/>
              </w:rPr>
              <w:t>75,159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69,075</w:t>
            </w:r>
          </w:p>
        </w:tc>
      </w:tr>
      <w:tr>
        <w:trPr>
          <w:trHeight w:val="25"/>
        </w:trPr>
        <w:tc>
          <w:tcPr>
            <w:tcW w:w="7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48,361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48,316</w:t>
            </w:r>
          </w:p>
        </w:tc>
      </w:tr>
      <w:tr>
        <w:trPr>
          <w:trHeight w:val="225"/>
        </w:trPr>
        <w:tc>
          <w:tcPr>
            <w:tcW w:w="726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4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7"/>
                <w:szCs w:val="17"/>
                <w:color w:val="auto"/>
              </w:rPr>
              <w:t>177,009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155,803</w:t>
            </w:r>
          </w:p>
        </w:tc>
      </w:tr>
      <w:tr>
        <w:trPr>
          <w:trHeight w:val="25"/>
        </w:trPr>
        <w:tc>
          <w:tcPr>
            <w:tcW w:w="7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452,081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418,486</w:t>
            </w:r>
          </w:p>
        </w:tc>
      </w:tr>
      <w:tr>
        <w:trPr>
          <w:trHeight w:val="225"/>
        </w:trPr>
        <w:tc>
          <w:tcPr>
            <w:tcW w:w="7260" w:type="dxa"/>
            <w:vAlign w:val="bottom"/>
          </w:tcPr>
          <w:p>
            <w:pPr>
              <w:ind w:left="640"/>
              <w:spacing w:after="0"/>
              <w:rPr>
                <w:sz w:val="20"/>
                <w:szCs w:val="20"/>
                <w:color w:val="auto"/>
              </w:rPr>
            </w:pPr>
            <w:r>
              <w:rPr>
                <w:rFonts w:ascii="Arial" w:cs="Arial" w:eastAsia="Arial" w:hAnsi="Arial"/>
                <w:sz w:val="17"/>
                <w:szCs w:val="17"/>
                <w:color w:val="auto"/>
              </w:rPr>
              <w:t>Less: Accumulated 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(312,914)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(288,317)</w:t>
            </w:r>
          </w:p>
        </w:tc>
      </w:tr>
      <w:tr>
        <w:trPr>
          <w:trHeight w:val="25"/>
        </w:trPr>
        <w:tc>
          <w:tcPr>
            <w:tcW w:w="7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8"/>
        </w:trPr>
        <w:tc>
          <w:tcPr>
            <w:tcW w:w="72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rPr>
              <w:t>Property and equipment, net</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139,167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130,169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760" w:firstLine="400"/>
        <w:spacing w:after="0" w:line="266" w:lineRule="auto"/>
        <w:rPr>
          <w:sz w:val="20"/>
          <w:szCs w:val="20"/>
          <w:color w:val="auto"/>
        </w:rPr>
      </w:pPr>
      <w:r>
        <w:rPr>
          <w:rFonts w:ascii="Arial" w:cs="Arial" w:eastAsia="Arial" w:hAnsi="Arial"/>
          <w:sz w:val="17"/>
          <w:szCs w:val="17"/>
          <w:color w:val="auto"/>
        </w:rPr>
        <w:t>Property and equipment, net, includes $8.1 million and $6.9 million of internally developed software, net of depreciation as of March 31, 2017 and 2016, respectively. Depreciation and amortization expense relating to property and equipment for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380"/>
          </w:cols>
          <w:pgMar w:left="240" w:top="123" w:right="279" w:bottom="1440" w:gutter="0" w:footer="0" w:header="0"/>
        </w:sectPr>
      </w:pPr>
    </w:p>
    <w:bookmarkStart w:id="80" w:name="page81"/>
    <w:bookmarkEnd w:id="80"/>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420"/>
        <w:spacing w:after="0" w:line="334" w:lineRule="auto"/>
        <w:rPr>
          <w:sz w:val="20"/>
          <w:szCs w:val="20"/>
          <w:color w:val="auto"/>
        </w:rPr>
      </w:pPr>
      <w:r>
        <w:rPr>
          <w:rFonts w:ascii="Arial" w:cs="Arial" w:eastAsia="Arial" w:hAnsi="Arial"/>
          <w:sz w:val="15"/>
          <w:szCs w:val="15"/>
          <w:color w:val="auto"/>
        </w:rPr>
        <w:t>fiscal 2017, 2016, and 2015 was $46.3 million, $50.1 million, and $52.7 million, respectively. During fiscal 2017 and 2016, the Company reduced the gross cost and accumulated depreciation and amortization by $11.9 million and $6.6 million, respectively, for zero net book value assets deemed no longer in service.</w:t>
      </w:r>
    </w:p>
    <w:p>
      <w:pPr>
        <w:spacing w:after="0" w:line="217" w:lineRule="exact"/>
        <w:rPr>
          <w:sz w:val="20"/>
          <w:szCs w:val="20"/>
          <w:color w:val="auto"/>
        </w:rPr>
      </w:pPr>
    </w:p>
    <w:p>
      <w:pPr>
        <w:ind w:left="400" w:right="6140" w:hanging="400"/>
        <w:spacing w:after="0" w:line="479" w:lineRule="auto"/>
        <w:tabs>
          <w:tab w:leader="none" w:pos="166"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ACCOUNTS PAYABLE AND OTHER ACCRUED EXPENSES </w:t>
      </w:r>
      <w:r>
        <w:rPr>
          <w:rFonts w:ascii="Arial" w:cs="Arial" w:eastAsia="Arial" w:hAnsi="Arial"/>
          <w:sz w:val="15"/>
          <w:szCs w:val="15"/>
          <w:color w:val="auto"/>
        </w:rPr>
        <w:t>Accounts payable and other accrued expenses consisted of the following:</w:t>
      </w:r>
    </w:p>
    <w:p>
      <w:pPr>
        <w:spacing w:after="0" w:line="121" w:lineRule="exact"/>
        <w:rPr>
          <w:sz w:val="20"/>
          <w:szCs w:val="20"/>
          <w:color w:val="auto"/>
        </w:rPr>
      </w:pPr>
    </w:p>
    <w:tbl>
      <w:tblPr>
        <w:tblLayout w:type="fixed"/>
        <w:tblInd w:w="84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243"/>
        </w:trPr>
        <w:tc>
          <w:tcPr>
            <w:tcW w:w="67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2016</w:t>
            </w:r>
          </w:p>
        </w:tc>
      </w:tr>
      <w:tr>
        <w:trPr>
          <w:trHeight w:val="22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Vendor payables</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268,630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246,670</w:t>
            </w:r>
          </w:p>
        </w:tc>
      </w:tr>
      <w:tr>
        <w:trPr>
          <w:trHeight w:val="225"/>
        </w:trPr>
        <w:tc>
          <w:tcPr>
            <w:tcW w:w="6720" w:type="dxa"/>
            <w:vAlign w:val="bottom"/>
          </w:tcPr>
          <w:p>
            <w:pPr>
              <w:ind w:left="20"/>
              <w:spacing w:after="0"/>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Arial" w:cs="Arial" w:eastAsia="Arial" w:hAnsi="Arial"/>
                <w:sz w:val="17"/>
                <w:szCs w:val="17"/>
                <w:color w:val="auto"/>
              </w:rPr>
              <w:t>235,487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7"/>
                <w:szCs w:val="17"/>
                <w:color w:val="auto"/>
              </w:rPr>
              <w:t>238,099</w:t>
            </w:r>
          </w:p>
        </w:tc>
      </w:tr>
      <w:tr>
        <w:trPr>
          <w:trHeight w:val="25"/>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8"/>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accounts payable and other accrued expenses</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504,117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484,769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160" w:firstLine="400"/>
        <w:spacing w:after="0" w:line="266" w:lineRule="auto"/>
        <w:rPr>
          <w:sz w:val="20"/>
          <w:szCs w:val="20"/>
          <w:color w:val="auto"/>
        </w:rPr>
      </w:pPr>
      <w:r>
        <w:rPr>
          <w:rFonts w:ascii="Arial" w:cs="Arial" w:eastAsia="Arial" w:hAnsi="Arial"/>
          <w:sz w:val="17"/>
          <w:szCs w:val="17"/>
          <w:color w:val="auto"/>
        </w:rPr>
        <w:t>Accrued expenses consisted primarily of the Company’s reserve related to potential cost disallowance in conjunction with government audits. Refer to Note 20 for further discussion of this reserve.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ACCRUED COMPENSATION AND BENEFITS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Accrued compensation and benefits consisted of the following:</w:t>
      </w:r>
    </w:p>
    <w:p>
      <w:pPr>
        <w:spacing w:after="0" w:line="310" w:lineRule="exact"/>
        <w:rPr>
          <w:sz w:val="20"/>
          <w:szCs w:val="20"/>
          <w:color w:val="auto"/>
        </w:rPr>
      </w:pPr>
    </w:p>
    <w:tbl>
      <w:tblPr>
        <w:tblLayout w:type="fixed"/>
        <w:tblInd w:w="880" w:type="dxa"/>
        <w:tblCellMar>
          <w:top w:w="0" w:type="dxa"/>
          <w:left w:w="0" w:type="dxa"/>
          <w:bottom w:w="0" w:type="dxa"/>
          <w:right w:w="0" w:type="dxa"/>
        </w:tblCellMar>
      </w:tblPr>
      <w:tr>
        <w:trPr>
          <w:trHeight w:val="178"/>
        </w:trPr>
        <w:tc>
          <w:tcPr>
            <w:tcW w:w="6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2016</w:t>
            </w: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Bonus</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77,765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73,040</w:t>
            </w:r>
          </w:p>
        </w:tc>
      </w:tr>
      <w:tr>
        <w:trPr>
          <w:trHeight w:val="225"/>
        </w:trPr>
        <w:tc>
          <w:tcPr>
            <w:tcW w:w="6660" w:type="dxa"/>
            <w:vAlign w:val="bottom"/>
          </w:tcPr>
          <w:p>
            <w:pPr>
              <w:ind w:left="20"/>
              <w:spacing w:after="0"/>
              <w:rPr>
                <w:sz w:val="20"/>
                <w:szCs w:val="20"/>
                <w:color w:val="auto"/>
              </w:rPr>
            </w:pPr>
            <w:r>
              <w:rPr>
                <w:rFonts w:ascii="Arial" w:cs="Arial" w:eastAsia="Arial" w:hAnsi="Arial"/>
                <w:sz w:val="17"/>
                <w:szCs w:val="17"/>
                <w:color w:val="auto"/>
              </w:rPr>
              <w:t>Retirement</w:t>
            </w: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7"/>
                <w:szCs w:val="17"/>
                <w:color w:val="auto"/>
              </w:rPr>
              <w:t>31,879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30,388</w:t>
            </w:r>
          </w:p>
        </w:tc>
      </w:tr>
      <w:tr>
        <w:trPr>
          <w:trHeight w:val="25"/>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124,486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114,599</w:t>
            </w:r>
          </w:p>
        </w:tc>
      </w:tr>
      <w:tr>
        <w:trPr>
          <w:trHeight w:val="225"/>
        </w:trPr>
        <w:tc>
          <w:tcPr>
            <w:tcW w:w="6660" w:type="dxa"/>
            <w:vAlign w:val="bottom"/>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7"/>
                <w:szCs w:val="17"/>
                <w:color w:val="auto"/>
              </w:rPr>
              <w:t>29,686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23,340</w:t>
            </w:r>
          </w:p>
        </w:tc>
      </w:tr>
      <w:tr>
        <w:trPr>
          <w:trHeight w:val="25"/>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8"/>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accrued compensation and benefits</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263,816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241,367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DEFERRED PAYMENT OBLIGATION</w:t>
      </w:r>
    </w:p>
    <w:p>
      <w:pPr>
        <w:spacing w:after="0" w:line="109" w:lineRule="exact"/>
        <w:rPr>
          <w:sz w:val="20"/>
          <w:szCs w:val="20"/>
          <w:color w:val="auto"/>
        </w:rPr>
      </w:pPr>
    </w:p>
    <w:p>
      <w:pPr>
        <w:ind w:right="40" w:firstLine="400"/>
        <w:spacing w:after="0" w:line="250" w:lineRule="auto"/>
        <w:rPr>
          <w:sz w:val="20"/>
          <w:szCs w:val="20"/>
          <w:color w:val="auto"/>
        </w:rPr>
      </w:pPr>
      <w:r>
        <w:rPr>
          <w:rFonts w:ascii="Arial" w:cs="Arial" w:eastAsia="Arial" w:hAnsi="Arial"/>
          <w:sz w:val="17"/>
          <w:szCs w:val="17"/>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or until settlement of all outstanding claims,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80" w:lineRule="exact"/>
        <w:rPr>
          <w:sz w:val="20"/>
          <w:szCs w:val="20"/>
          <w:color w:val="auto"/>
        </w:rPr>
      </w:pPr>
    </w:p>
    <w:p>
      <w:pPr>
        <w:ind w:right="40" w:firstLine="400"/>
        <w:spacing w:after="0" w:line="292" w:lineRule="auto"/>
        <w:rPr>
          <w:sz w:val="20"/>
          <w:szCs w:val="20"/>
          <w:color w:val="auto"/>
        </w:rPr>
      </w:pPr>
      <w:r>
        <w:rPr>
          <w:rFonts w:ascii="Arial" w:cs="Arial" w:eastAsia="Arial" w:hAnsi="Arial"/>
          <w:sz w:val="15"/>
          <w:szCs w:val="15"/>
          <w:color w:val="auto"/>
        </w:rPr>
        <w:t>The remaining $80.0 million is available to indemnify the Company for certain pre-acquisition tax contingencies, related interest and penalties, and other matters pursuant to the Merger Agreement. Any amounts remaining after the settlement of all claims will be paid out to the selling shareholders. During fiscal 2016, the Company effectively settled approximately $56.9 million of its pre-acquisition uncertain tax positions, thereby relieving an amount of approximately $21.4 million that was previously indemnified under the DPO. As of March 31, 2016, there were no estimated tax indemnified amounts recorded against the DPO. Remaining potential claims outstanding that may be indemnified pursuant to the Merger Agreement relate to former officers and stockholders’ suits that are still in litigation (See Note 20).</w:t>
      </w:r>
    </w:p>
    <w:p>
      <w:pPr>
        <w:spacing w:after="0" w:line="52" w:lineRule="exact"/>
        <w:rPr>
          <w:sz w:val="20"/>
          <w:szCs w:val="20"/>
          <w:color w:val="auto"/>
        </w:rPr>
      </w:pPr>
    </w:p>
    <w:p>
      <w:pPr>
        <w:ind w:firstLine="400"/>
        <w:spacing w:after="0" w:line="252" w:lineRule="auto"/>
        <w:rPr>
          <w:sz w:val="20"/>
          <w:szCs w:val="20"/>
          <w:color w:val="auto"/>
        </w:rPr>
      </w:pPr>
      <w:r>
        <w:rPr>
          <w:rFonts w:ascii="Arial" w:cs="Arial" w:eastAsia="Arial" w:hAnsi="Arial"/>
          <w:sz w:val="17"/>
          <w:szCs w:val="17"/>
          <w:color w:val="auto"/>
        </w:rPr>
        <w:t>During fiscal 2017, the Company accrued interest at a rate of 5% per six-month period on the unpaid DPO balance, net of any settled claims or payments, which was $80.0 million as of March 31, 2017 and 2016. Accordingly, the $81.3 million and $81.3 million recorded within other current liabilities as of March 31, 2017 and March 31, 2016, respectively, represent the residual balances estimated to be paid to the selling shareholders subject to any remaining potential claims based on consideration of accrued interest and other matters.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123" w:right="239" w:bottom="1440" w:gutter="0" w:footer="0" w:header="0"/>
        </w:sectPr>
      </w:pPr>
    </w:p>
    <w:bookmarkStart w:id="81" w:name="page82"/>
    <w:bookmarkEnd w:id="81"/>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the principal balance of the DPO to the amount recorded in the consolidated balance sheets for the periods presented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rPr>
              <w:t>March 31,</w:t>
            </w:r>
          </w:p>
        </w:tc>
        <w:tc>
          <w:tcPr>
            <w:tcW w:w="1220" w:type="dxa"/>
            <w:vAlign w:val="bottom"/>
            <w:tcBorders>
              <w:bottom w:val="single" w:sz="8" w:color="auto"/>
            </w:tcBorders>
          </w:tcPr>
          <w:p>
            <w:pPr>
              <w:spacing w:after="0"/>
              <w:rPr>
                <w:sz w:val="15"/>
                <w:szCs w:val="15"/>
                <w:color w:val="auto"/>
              </w:rPr>
            </w:pPr>
          </w:p>
        </w:tc>
      </w:tr>
      <w:tr>
        <w:trPr>
          <w:trHeight w:val="243"/>
        </w:trPr>
        <w:tc>
          <w:tcPr>
            <w:tcW w:w="78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2017</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2016</w:t>
            </w:r>
          </w:p>
        </w:tc>
      </w:tr>
      <w:tr>
        <w:trPr>
          <w:trHeight w:val="22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payment obligation:</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w w:val="96"/>
              </w:rPr>
              <w:t>80,000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80,000</w:t>
            </w:r>
          </w:p>
        </w:tc>
      </w:tr>
      <w:tr>
        <w:trPr>
          <w:trHeight w:val="225"/>
        </w:trPr>
        <w:tc>
          <w:tcPr>
            <w:tcW w:w="7820" w:type="dxa"/>
            <w:vAlign w:val="bottom"/>
          </w:tcPr>
          <w:p>
            <w:pPr>
              <w:ind w:left="360"/>
              <w:spacing w:after="0"/>
              <w:rPr>
                <w:sz w:val="20"/>
                <w:szCs w:val="20"/>
                <w:color w:val="auto"/>
              </w:rPr>
            </w:pPr>
            <w:r>
              <w:rPr>
                <w:rFonts w:ascii="Arial" w:cs="Arial" w:eastAsia="Arial" w:hAnsi="Arial"/>
                <w:sz w:val="17"/>
                <w:szCs w:val="17"/>
                <w:color w:val="auto"/>
              </w:rPr>
              <w:t>Indemnified pre-acquisition uncertain tax positions</w:t>
            </w:r>
          </w:p>
        </w:tc>
        <w:tc>
          <w:tcPr>
            <w:tcW w:w="10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(21,407)</w:t>
            </w:r>
          </w:p>
        </w:tc>
      </w:tr>
      <w:tr>
        <w:trPr>
          <w:trHeight w:val="25"/>
        </w:trPr>
        <w:tc>
          <w:tcPr>
            <w:tcW w:w="7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Release of indemnified pre-acquisition uncertain tax positions</w:t>
            </w:r>
          </w:p>
        </w:tc>
        <w:tc>
          <w:tcPr>
            <w:tcW w:w="10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21,407</w:t>
            </w:r>
          </w:p>
        </w:tc>
      </w:tr>
      <w:tr>
        <w:trPr>
          <w:trHeight w:val="225"/>
        </w:trPr>
        <w:tc>
          <w:tcPr>
            <w:tcW w:w="7820" w:type="dxa"/>
            <w:vAlign w:val="bottom"/>
          </w:tcPr>
          <w:p>
            <w:pPr>
              <w:ind w:left="360"/>
              <w:spacing w:after="0"/>
              <w:rPr>
                <w:sz w:val="20"/>
                <w:szCs w:val="20"/>
                <w:color w:val="auto"/>
              </w:rPr>
            </w:pPr>
            <w:r>
              <w:rPr>
                <w:rFonts w:ascii="Arial" w:cs="Arial" w:eastAsia="Arial" w:hAnsi="Arial"/>
                <w:sz w:val="17"/>
                <w:szCs w:val="17"/>
                <w:color w:val="auto"/>
              </w:rPr>
              <w:t>Accrued interest</w:t>
            </w:r>
          </w:p>
        </w:tc>
        <w:tc>
          <w:tcPr>
            <w:tcW w:w="106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7"/>
                <w:szCs w:val="17"/>
                <w:color w:val="auto"/>
              </w:rPr>
              <w:t>1,304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7"/>
                <w:szCs w:val="17"/>
                <w:color w:val="auto"/>
              </w:rPr>
              <w:t>1,319</w:t>
            </w:r>
          </w:p>
        </w:tc>
      </w:tr>
      <w:tr>
        <w:trPr>
          <w:trHeight w:val="25"/>
        </w:trPr>
        <w:tc>
          <w:tcPr>
            <w:tcW w:w="78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8"/>
        </w:trPr>
        <w:tc>
          <w:tcPr>
            <w:tcW w:w="7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Amount recorded in the consolidated balance sheet</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w w:val="96"/>
              </w:rPr>
              <w:t>81,304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81,319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paid $8.0 million in each of fiscal 2017 and 2016 of accrued interest to the selling shareholders.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Debt consisted of the following: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5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3"/>
                <w:szCs w:val="13"/>
                <w:b w:val="1"/>
                <w:bCs w:val="1"/>
                <w:color w:val="auto"/>
              </w:rPr>
              <w:t>March 31, 2017</w:t>
            </w: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3"/>
                <w:szCs w:val="13"/>
                <w:b w:val="1"/>
                <w:bCs w:val="1"/>
                <w:color w:val="auto"/>
              </w:rPr>
              <w:t>March 31, 2016</w:t>
            </w:r>
          </w:p>
        </w:tc>
      </w:tr>
      <w:tr>
        <w:trPr>
          <w:trHeight w:val="140"/>
        </w:trPr>
        <w:tc>
          <w:tcPr>
            <w:tcW w:w="5500" w:type="dxa"/>
            <w:vAlign w:val="bottom"/>
          </w:tcPr>
          <w:p>
            <w:pPr>
              <w:spacing w:after="0"/>
              <w:rPr>
                <w:sz w:val="12"/>
                <w:szCs w:val="12"/>
                <w:color w:val="auto"/>
              </w:rPr>
            </w:pPr>
          </w:p>
        </w:tc>
        <w:tc>
          <w:tcPr>
            <w:tcW w:w="940" w:type="dxa"/>
            <w:vAlign w:val="bottom"/>
          </w:tcPr>
          <w:p>
            <w:pPr>
              <w:jc w:val="center"/>
              <w:ind w:left="393"/>
              <w:spacing w:after="0" w:line="140" w:lineRule="exact"/>
              <w:rPr>
                <w:sz w:val="20"/>
                <w:szCs w:val="20"/>
                <w:color w:val="auto"/>
              </w:rPr>
            </w:pPr>
            <w:r>
              <w:rPr>
                <w:rFonts w:ascii="Arial" w:cs="Arial" w:eastAsia="Arial" w:hAnsi="Arial"/>
                <w:sz w:val="13"/>
                <w:szCs w:val="13"/>
                <w:b w:val="1"/>
                <w:bCs w:val="1"/>
                <w:color w:val="auto"/>
                <w:w w:val="93"/>
              </w:rPr>
              <w:t>Interest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60"/>
              <w:spacing w:after="0" w:line="140"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2"/>
                <w:szCs w:val="12"/>
                <w:color w:val="auto"/>
              </w:rPr>
            </w:pPr>
          </w:p>
        </w:tc>
        <w:tc>
          <w:tcPr>
            <w:tcW w:w="940" w:type="dxa"/>
            <w:vAlign w:val="bottom"/>
          </w:tcPr>
          <w:p>
            <w:pPr>
              <w:jc w:val="center"/>
              <w:ind w:left="433"/>
              <w:spacing w:after="0" w:line="140" w:lineRule="exact"/>
              <w:rPr>
                <w:sz w:val="20"/>
                <w:szCs w:val="20"/>
                <w:color w:val="auto"/>
              </w:rPr>
            </w:pPr>
            <w:r>
              <w:rPr>
                <w:rFonts w:ascii="Arial" w:cs="Arial" w:eastAsia="Arial" w:hAnsi="Arial"/>
                <w:sz w:val="13"/>
                <w:szCs w:val="13"/>
                <w:b w:val="1"/>
                <w:bCs w:val="1"/>
                <w:color w:val="auto"/>
                <w:w w:val="93"/>
              </w:rPr>
              <w:t>Interest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60"/>
              <w:spacing w:after="0" w:line="140" w:lineRule="exact"/>
              <w:rPr>
                <w:sz w:val="20"/>
                <w:szCs w:val="20"/>
                <w:color w:val="auto"/>
              </w:rPr>
            </w:pPr>
            <w:r>
              <w:rPr>
                <w:rFonts w:ascii="Arial" w:cs="Arial" w:eastAsia="Arial" w:hAnsi="Arial"/>
                <w:sz w:val="13"/>
                <w:szCs w:val="13"/>
                <w:b w:val="1"/>
                <w:bCs w:val="1"/>
                <w:color w:val="auto"/>
              </w:rPr>
              <w:t>Outstanding</w:t>
            </w:r>
          </w:p>
        </w:tc>
      </w:tr>
      <w:tr>
        <w:trPr>
          <w:trHeight w:val="178"/>
        </w:trPr>
        <w:tc>
          <w:tcPr>
            <w:tcW w:w="5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w w:val="92"/>
              </w:rPr>
              <w:t>Rate</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Balance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w w:val="92"/>
              </w:rPr>
              <w:t>Rate</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Balance</w:t>
            </w:r>
          </w:p>
        </w:tc>
      </w:tr>
      <w:tr>
        <w:trPr>
          <w:trHeight w:val="228"/>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Term Loan 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2.98%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1,153,425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2.94%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741,813</w:t>
            </w:r>
          </w:p>
        </w:tc>
      </w:tr>
      <w:tr>
        <w:trPr>
          <w:trHeight w:val="225"/>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Term Loan B</w:t>
            </w:r>
          </w:p>
        </w:tc>
        <w:tc>
          <w:tcPr>
            <w:tcW w:w="480" w:type="dxa"/>
            <w:vAlign w:val="bottom"/>
          </w:tcPr>
          <w:p>
            <w:pPr>
              <w:jc w:val="right"/>
              <w:spacing w:after="0"/>
              <w:rPr>
                <w:sz w:val="20"/>
                <w:szCs w:val="20"/>
                <w:color w:val="auto"/>
              </w:rPr>
            </w:pPr>
            <w:r>
              <w:rPr>
                <w:rFonts w:ascii="Arial" w:cs="Arial" w:eastAsia="Arial" w:hAnsi="Arial"/>
                <w:sz w:val="17"/>
                <w:szCs w:val="17"/>
                <w:color w:val="auto"/>
                <w:w w:val="87"/>
              </w:rPr>
              <w:t>3.08%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398,000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7"/>
              </w:rPr>
              <w:t>3.75%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841,188</w:t>
            </w:r>
          </w:p>
        </w:tc>
      </w:tr>
      <w:tr>
        <w:trPr>
          <w:trHeight w:val="25"/>
        </w:trPr>
        <w:tc>
          <w:tcPr>
            <w:tcW w:w="5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Revolving credit facility (ABR)</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80,000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35,000</w:t>
            </w:r>
          </w:p>
        </w:tc>
      </w:tr>
      <w:tr>
        <w:trPr>
          <w:trHeight w:val="225"/>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Revolving credit facility (LIBOR)</w:t>
            </w:r>
          </w:p>
        </w:tc>
        <w:tc>
          <w:tcPr>
            <w:tcW w:w="480" w:type="dxa"/>
            <w:vAlign w:val="bottom"/>
          </w:tcPr>
          <w:p>
            <w:pPr>
              <w:jc w:val="right"/>
              <w:spacing w:after="0"/>
              <w:rPr>
                <w:sz w:val="20"/>
                <w:szCs w:val="20"/>
                <w:color w:val="auto"/>
              </w:rPr>
            </w:pPr>
            <w:r>
              <w:rPr>
                <w:rFonts w:ascii="Arial" w:cs="Arial" w:eastAsia="Arial" w:hAnsi="Arial"/>
                <w:sz w:val="17"/>
                <w:szCs w:val="17"/>
                <w:color w:val="auto"/>
                <w:w w:val="87"/>
              </w:rPr>
              <w:t>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w:t>
            </w:r>
          </w:p>
        </w:tc>
      </w:tr>
      <w:tr>
        <w:trPr>
          <w:trHeight w:val="25"/>
        </w:trPr>
        <w:tc>
          <w:tcPr>
            <w:tcW w:w="5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Unamortized debt issuance costs and discount on debt</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(20,740)</w:t>
            </w:r>
          </w:p>
        </w:tc>
      </w:tr>
      <w:tr>
        <w:trPr>
          <w:trHeight w:val="218"/>
        </w:trPr>
        <w:tc>
          <w:tcPr>
            <w:tcW w:w="6440" w:type="dxa"/>
            <w:vAlign w:val="bottom"/>
            <w:gridSpan w:val="2"/>
          </w:tcPr>
          <w:p>
            <w:pPr>
              <w:ind w:left="240"/>
              <w:spacing w:after="0"/>
              <w:rPr>
                <w:sz w:val="20"/>
                <w:szCs w:val="20"/>
                <w:color w:val="auto"/>
              </w:rPr>
            </w:pPr>
            <w:r>
              <w:rPr>
                <w:rFonts w:ascii="Arial" w:cs="Arial" w:eastAsia="Arial" w:hAnsi="Arial"/>
                <w:sz w:val="17"/>
                <w:szCs w:val="17"/>
                <w:color w:val="auto"/>
              </w:rPr>
              <w:t>Total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1,663,324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1,597,261</w:t>
            </w:r>
          </w:p>
        </w:tc>
      </w:tr>
      <w:tr>
        <w:trPr>
          <w:trHeight w:val="25"/>
        </w:trPr>
        <w:tc>
          <w:tcPr>
            <w:tcW w:w="5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Less: Current portion of long-term debt</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(193,150)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(112,813)</w:t>
            </w:r>
          </w:p>
        </w:tc>
      </w:tr>
      <w:tr>
        <w:trPr>
          <w:trHeight w:val="218"/>
        </w:trPr>
        <w:tc>
          <w:tcPr>
            <w:tcW w:w="6440" w:type="dxa"/>
            <w:vAlign w:val="bottom"/>
            <w:gridSpan w:val="2"/>
          </w:tcPr>
          <w:p>
            <w:pPr>
              <w:ind w:left="440"/>
              <w:spacing w:after="0"/>
              <w:rPr>
                <w:sz w:val="20"/>
                <w:szCs w:val="20"/>
                <w:color w:val="auto"/>
              </w:rPr>
            </w:pPr>
            <w:r>
              <w:rPr>
                <w:rFonts w:ascii="Arial" w:cs="Arial" w:eastAsia="Arial" w:hAnsi="Arial"/>
                <w:sz w:val="17"/>
                <w:szCs w:val="17"/>
                <w:color w:val="auto"/>
              </w:rPr>
              <w:t>Long-term debt, net of current portion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1,470,174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1,484,448</w:t>
            </w:r>
          </w:p>
        </w:tc>
      </w:tr>
      <w:tr>
        <w:trPr>
          <w:trHeight w:val="25"/>
        </w:trPr>
        <w:tc>
          <w:tcPr>
            <w:tcW w:w="5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firstLine="375"/>
        <w:spacing w:after="0" w:line="285" w:lineRule="auto"/>
        <w:rPr>
          <w:sz w:val="20"/>
          <w:szCs w:val="20"/>
          <w:color w:val="auto"/>
        </w:rPr>
      </w:pPr>
      <w:r>
        <w:rPr>
          <w:rFonts w:ascii="Arial" w:cs="Arial" w:eastAsia="Arial" w:hAnsi="Arial"/>
          <w:sz w:val="15"/>
          <w:szCs w:val="15"/>
          <w:color w:val="auto"/>
        </w:rPr>
        <w:t>On July 13, 2016 and February 6, 2017, Booz Allen Hamilton Inc. ("Booz Allen Hamilton"), Booz Allen Hamilton Investor Corporation ("Investor") and certain wholly-owned subsidiaries of Booz Allen Hamilton entered into the Third Amendment (the “Third Amendment”) and the Fourth Amendment (the "Fourth Amendment), respectively, to the Credit Agreement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and the Second Amendment to the Credit Agreement, dated as of May 7, 2014). Pursuant to the Third Amendment, Booz Allen Hamilton borrowed approximately $441 million of additional Term Loan A, with such funds used to pay off a portion of the Term Loan B facility. The Third Amendment also extended the maturity date of Term Loan A and the termination date for the revolving credit facility to June 30, 2021 and extended the maturity date of Term Loan B to June 30, 2023. The Third Amendment also amended certain existing debt covenants to provide greater operational and financial flexibility. Pursuant to the Fourth Amendment, the Company reduced the interest rate spread applicable to Term Loan B. The interest rate spread applicable to Term Loan A remained unchanged.</w:t>
      </w:r>
    </w:p>
    <w:p>
      <w:pPr>
        <w:spacing w:after="0" w:line="59" w:lineRule="exact"/>
        <w:rPr>
          <w:sz w:val="20"/>
          <w:szCs w:val="20"/>
          <w:color w:val="auto"/>
        </w:rPr>
      </w:pPr>
    </w:p>
    <w:p>
      <w:pPr>
        <w:ind w:right="20" w:firstLine="375"/>
        <w:spacing w:after="0" w:line="306" w:lineRule="auto"/>
        <w:rPr>
          <w:sz w:val="20"/>
          <w:szCs w:val="20"/>
          <w:color w:val="auto"/>
        </w:rPr>
      </w:pPr>
      <w:r>
        <w:rPr>
          <w:rFonts w:ascii="Arial" w:cs="Arial" w:eastAsia="Arial" w:hAnsi="Arial"/>
          <w:sz w:val="15"/>
          <w:szCs w:val="15"/>
          <w:color w:val="auto"/>
        </w:rPr>
        <w:t>Prior to the Fourth Amendment, $399 million was outstanding under Term Loan B. Pursuant to the Fourth Amendment, certain lenders converted their existing Term Loan B loans into a new tranche of Term Loan B loans in an aggregate amount, along with Term Loan B loans advanced by certain new lenders, of approximately $399 million. The proceeds from the new lenders were used to prepay in full all of the existing Term Loan B Loans that were not converted into the new Term Loan B tranche.</w:t>
      </w:r>
    </w:p>
    <w:p>
      <w:pPr>
        <w:spacing w:after="0" w:line="41" w:lineRule="exact"/>
        <w:rPr>
          <w:sz w:val="20"/>
          <w:szCs w:val="20"/>
          <w:color w:val="auto"/>
        </w:rPr>
      </w:pPr>
    </w:p>
    <w:p>
      <w:pPr>
        <w:ind w:right="20" w:firstLine="375"/>
        <w:spacing w:after="0" w:line="306" w:lineRule="auto"/>
        <w:rPr>
          <w:sz w:val="20"/>
          <w:szCs w:val="20"/>
          <w:color w:val="auto"/>
        </w:rPr>
      </w:pPr>
      <w:r>
        <w:rPr>
          <w:rFonts w:ascii="Arial" w:cs="Arial" w:eastAsia="Arial" w:hAnsi="Arial"/>
          <w:sz w:val="15"/>
          <w:szCs w:val="15"/>
          <w:color w:val="auto"/>
        </w:rPr>
        <w:t>In connection with the Third and Fourth Amendments, the Company accelerated the amortization of ratable portions of the amortization of debt issuance costs (DIC) and original issue discount (OID) that did not qualify for deferral of approximately $5.5 million and $0.1 million, respectively. These expenses are reflected in other income (expense), net in fiscal 2017. Furthermore, the Company expensed third party debt issuance costs and creditor fees of approximately $3.4 million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123" w:right="239" w:bottom="1440" w:gutter="0" w:footer="0" w:header="0"/>
        </w:sectPr>
      </w:pPr>
    </w:p>
    <w:bookmarkStart w:id="82" w:name="page83"/>
    <w:bookmarkEnd w:id="82"/>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200" w:firstLine="42"/>
        <w:spacing w:after="0" w:line="266" w:lineRule="auto"/>
        <w:rPr>
          <w:sz w:val="20"/>
          <w:szCs w:val="20"/>
          <w:color w:val="auto"/>
        </w:rPr>
      </w:pPr>
      <w:r>
        <w:rPr>
          <w:rFonts w:ascii="Arial" w:cs="Arial" w:eastAsia="Arial" w:hAnsi="Arial"/>
          <w:sz w:val="17"/>
          <w:szCs w:val="17"/>
          <w:color w:val="auto"/>
        </w:rPr>
        <w:t>$0.9 million in connection with the Third and Fourth Amendments, respectively, that did not qualify for deferral and are reflected in general and administrative costs in fiscal 2017.</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March 31, 2017, the Credit Agreement, as amended, provided the Company with a $1,153 million Term Loan A and a $398.0 million Term Loan B, and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$500.0 million revolving credit facility, (the “Revolving Credit Facility”) with a sub-limit for letters of credit of $100.0 million. Booz Allen Hamilton’s obligations and the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guarantors’ guarantees under the Credit Agreement, as amended, are secured by a first priority lien on substantially all of the assets (including capital stock of</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subsidiaries) of Booz Allen Hamilton, Investor and the subsidiary guarantors, subject to certain exceptions set forth in the Credit Agreement, as amended, and related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documentation. Subject to specified conditions, without the consent of the then-existing lenders (but subject to the receipt of commitments), the Term Loans or Revolving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Credit Facility may be expanded (or a new term loan facility or revolving credit facility added to the existing facilities) by up to (i) $400.0 million plus (ii) the aggregate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under which pro forma consolidated net secured leverage remains less than or equal to 3.50:1.00.</w:t>
      </w:r>
    </w:p>
    <w:p>
      <w:pPr>
        <w:spacing w:after="0" w:line="93" w:lineRule="exact"/>
        <w:rPr>
          <w:sz w:val="20"/>
          <w:szCs w:val="20"/>
          <w:color w:val="auto"/>
        </w:rPr>
      </w:pPr>
    </w:p>
    <w:p>
      <w:pPr>
        <w:jc w:val="both"/>
        <w:ind w:right="60" w:firstLine="375"/>
        <w:spacing w:after="0" w:line="279" w:lineRule="auto"/>
        <w:rPr>
          <w:sz w:val="20"/>
          <w:szCs w:val="20"/>
          <w:color w:val="auto"/>
        </w:rPr>
      </w:pPr>
      <w:r>
        <w:rPr>
          <w:rFonts w:ascii="Arial" w:cs="Arial" w:eastAsia="Arial" w:hAnsi="Arial"/>
          <w:sz w:val="16"/>
          <w:szCs w:val="16"/>
          <w:color w:val="auto"/>
        </w:rPr>
        <w:t>Booz Allen Hamilton occasionally borrows under the Revolving Credit Facility in anticipation of cash demands. During fiscal 2017 and 2016, Booz Allen Hamilton accessed a total of $575.0 million and $273.0 million, respectively, of its $500.0 million Revolving Credit Facility. As of March 31, 2017, $130.0 million was outstanding on the Revolving Credit Facility. As of March 31, 2016, $35.0 million was outstanding on the Revolving Credit Facility. See Note 24.</w:t>
      </w:r>
    </w:p>
    <w:p>
      <w:pPr>
        <w:spacing w:after="0" w:line="59" w:lineRule="exact"/>
        <w:rPr>
          <w:sz w:val="20"/>
          <w:szCs w:val="20"/>
          <w:color w:val="auto"/>
        </w:rPr>
      </w:pPr>
    </w:p>
    <w:p>
      <w:pPr>
        <w:ind w:right="380" w:firstLine="375"/>
        <w:spacing w:after="0" w:line="266" w:lineRule="auto"/>
        <w:rPr>
          <w:sz w:val="20"/>
          <w:szCs w:val="20"/>
          <w:color w:val="auto"/>
        </w:rPr>
      </w:pPr>
      <w:r>
        <w:rPr>
          <w:rFonts w:ascii="Arial" w:cs="Arial" w:eastAsia="Arial" w:hAnsi="Arial"/>
          <w:sz w:val="17"/>
          <w:szCs w:val="17"/>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required future debt principal repayments on the term loans: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97"/>
              <w:spacing w:after="0"/>
              <w:rPr>
                <w:sz w:val="20"/>
                <w:szCs w:val="20"/>
                <w:color w:val="auto"/>
              </w:rPr>
            </w:pPr>
            <w:r>
              <w:rPr>
                <w:rFonts w:ascii="Arial" w:cs="Arial" w:eastAsia="Arial" w:hAnsi="Arial"/>
                <w:sz w:val="13"/>
                <w:szCs w:val="13"/>
                <w:b w:val="1"/>
                <w:bCs w:val="1"/>
                <w:color w:val="auto"/>
              </w:rPr>
              <w:t>Payments Due By March 31,</w:t>
            </w: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43"/>
        </w:trPr>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21"/>
                <w:szCs w:val="21"/>
                <w:color w:val="auto"/>
              </w:rPr>
            </w:pPr>
          </w:p>
        </w:tc>
        <w:tc>
          <w:tcPr>
            <w:tcW w:w="880" w:type="dxa"/>
            <w:vAlign w:val="bottom"/>
          </w:tcPr>
          <w:p>
            <w:pPr>
              <w:jc w:val="right"/>
              <w:ind w:right="36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42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401"/>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41"/>
              <w:spacing w:after="0"/>
              <w:rPr>
                <w:sz w:val="20"/>
                <w:szCs w:val="20"/>
                <w:color w:val="auto"/>
              </w:rPr>
            </w:pPr>
            <w:r>
              <w:rPr>
                <w:rFonts w:ascii="Arial" w:cs="Arial" w:eastAsia="Arial" w:hAnsi="Arial"/>
                <w:sz w:val="13"/>
                <w:szCs w:val="13"/>
                <w:b w:val="1"/>
                <w:bCs w:val="1"/>
                <w:color w:val="auto"/>
              </w:rPr>
              <w:t>Thereafter</w:t>
            </w:r>
          </w:p>
        </w:tc>
      </w:tr>
      <w:tr>
        <w:trPr>
          <w:trHeight w:val="228"/>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 A</w:t>
            </w:r>
          </w:p>
        </w:tc>
        <w:tc>
          <w:tcPr>
            <w:tcW w:w="3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1,153,425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59,150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59,150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59,150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59,150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916,825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r>
      <w:tr>
        <w:trPr>
          <w:trHeight w:val="225"/>
        </w:trPr>
        <w:tc>
          <w:tcPr>
            <w:tcW w:w="2300" w:type="dxa"/>
            <w:vAlign w:val="bottom"/>
          </w:tcPr>
          <w:p>
            <w:pPr>
              <w:ind w:left="20"/>
              <w:spacing w:after="0"/>
              <w:rPr>
                <w:sz w:val="20"/>
                <w:szCs w:val="20"/>
                <w:color w:val="auto"/>
              </w:rPr>
            </w:pPr>
            <w:r>
              <w:rPr>
                <w:rFonts w:ascii="Arial" w:cs="Arial" w:eastAsia="Arial" w:hAnsi="Arial"/>
                <w:sz w:val="17"/>
                <w:szCs w:val="17"/>
                <w:color w:val="auto"/>
              </w:rPr>
              <w:t>Term Loan B</w:t>
            </w:r>
          </w:p>
        </w:tc>
        <w:tc>
          <w:tcPr>
            <w:tcW w:w="300" w:type="dxa"/>
            <w:vAlign w:val="bottom"/>
          </w:tcPr>
          <w:p>
            <w:pPr>
              <w:spacing w:after="0"/>
              <w:rPr>
                <w:sz w:val="19"/>
                <w:szCs w:val="19"/>
                <w:color w:val="auto"/>
              </w:rPr>
            </w:pPr>
          </w:p>
        </w:tc>
        <w:tc>
          <w:tcPr>
            <w:tcW w:w="980" w:type="dxa"/>
            <w:vAlign w:val="bottom"/>
          </w:tcPr>
          <w:p>
            <w:pPr>
              <w:jc w:val="right"/>
              <w:ind w:right="61"/>
              <w:spacing w:after="0"/>
              <w:rPr>
                <w:sz w:val="20"/>
                <w:szCs w:val="20"/>
                <w:color w:val="auto"/>
              </w:rPr>
            </w:pPr>
            <w:r>
              <w:rPr>
                <w:rFonts w:ascii="Arial" w:cs="Arial" w:eastAsia="Arial" w:hAnsi="Arial"/>
                <w:sz w:val="17"/>
                <w:szCs w:val="17"/>
                <w:color w:val="auto"/>
              </w:rPr>
              <w:t>398,000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7"/>
                <w:szCs w:val="17"/>
                <w:color w:val="auto"/>
              </w:rPr>
              <w:t>4,000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43"/>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7"/>
                <w:szCs w:val="17"/>
                <w:color w:val="auto"/>
              </w:rPr>
              <w:t>4,000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7"/>
                <w:szCs w:val="17"/>
                <w:color w:val="auto"/>
              </w:rPr>
              <w:t>4,000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378,000</w:t>
            </w:r>
          </w:p>
        </w:tc>
      </w:tr>
      <w:tr>
        <w:trPr>
          <w:trHeight w:val="25"/>
        </w:trPr>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8"/>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1,551,425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63,150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63,150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63,150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63,150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920,825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378,000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40" w:firstLine="375"/>
        <w:spacing w:after="0" w:line="287" w:lineRule="auto"/>
        <w:rPr>
          <w:sz w:val="20"/>
          <w:szCs w:val="20"/>
          <w:color w:val="auto"/>
        </w:rPr>
      </w:pPr>
      <w:r>
        <w:rPr>
          <w:rFonts w:ascii="Arial" w:cs="Arial" w:eastAsia="Arial" w:hAnsi="Arial"/>
          <w:sz w:val="15"/>
          <w:szCs w:val="15"/>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B is 2.25% for LIBOR loans and 1.25% for base rate loans. The applicable margin for Term Loan A and borrowings under the Revolving Credit Facility ranges from 1.50% to 2.25% for LIBOR loans and 0.50% to 1.25% for base rate loans, in each case based on the Booz Allen Hamilton’s consolidated total net leverage ratio. Unused commitments under the Revolving Credit Facility are subject to a quarterly fee ranging from 0.30% to 0.40% based on Booz Allen Hamilton’s consolidated total net leverage ratio.</w:t>
      </w:r>
    </w:p>
    <w:p>
      <w:pPr>
        <w:spacing w:after="0" w:line="58" w:lineRule="exact"/>
        <w:rPr>
          <w:sz w:val="20"/>
          <w:szCs w:val="20"/>
          <w:color w:val="auto"/>
        </w:rPr>
      </w:pPr>
    </w:p>
    <w:p>
      <w:pPr>
        <w:ind w:right="120" w:firstLine="375"/>
        <w:spacing w:after="0" w:line="282" w:lineRule="auto"/>
        <w:rPr>
          <w:sz w:val="20"/>
          <w:szCs w:val="20"/>
          <w:color w:val="auto"/>
        </w:rPr>
      </w:pPr>
      <w:r>
        <w:rPr>
          <w:rFonts w:ascii="Arial" w:cs="Arial" w:eastAsia="Arial" w:hAnsi="Arial"/>
          <w:sz w:val="15"/>
          <w:szCs w:val="15"/>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sale and lease back transactions; (viii) change in fiscal periods; (ix) negative pledges; (x) restrictive agreements; (xi) line of business; and (xii) speculative hedging. The events of default include the following, in each case subject to certain exceptions: (a) failure to make required payments under the Secured Credit Facility;</w:t>
      </w:r>
    </w:p>
    <w:p>
      <w:pPr>
        <w:ind w:left="240" w:hanging="240"/>
        <w:spacing w:after="0"/>
        <w:tabs>
          <w:tab w:leader="none" w:pos="2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material breaches of representations or warranties under the Secured Credit Facility; (c) failure to observe covenants or agreements under the Secured Credit Facility;</w:t>
      </w:r>
    </w:p>
    <w:p>
      <w:pPr>
        <w:spacing w:after="0" w:line="27" w:lineRule="exact"/>
        <w:rPr>
          <w:rFonts w:ascii="Arial" w:cs="Arial" w:eastAsia="Arial" w:hAnsi="Arial"/>
          <w:sz w:val="15"/>
          <w:szCs w:val="15"/>
          <w:color w:val="auto"/>
        </w:rPr>
      </w:pPr>
    </w:p>
    <w:p>
      <w:pPr>
        <w:ind w:right="60"/>
        <w:spacing w:after="0" w:line="291" w:lineRule="auto"/>
        <w:tabs>
          <w:tab w:leader="none" w:pos="236" w:val="left"/>
        </w:tabs>
        <w:numPr>
          <w:ilvl w:val="0"/>
          <w:numId w:val="67"/>
        </w:numPr>
        <w:rPr>
          <w:rFonts w:ascii="Arial" w:cs="Arial" w:eastAsia="Arial" w:hAnsi="Arial"/>
          <w:sz w:val="15"/>
          <w:szCs w:val="15"/>
          <w:color w:val="auto"/>
        </w:rPr>
      </w:pPr>
      <w:r>
        <w:rPr>
          <w:rFonts w:ascii="Arial" w:cs="Arial" w:eastAsia="Arial" w:hAnsi="Arial"/>
          <w:sz w:val="15"/>
          <w:szCs w:val="15"/>
          <w:color w:val="auto"/>
        </w:rPr>
        <w:t>failure to pay or default under certain other material indebtedness; (e) bankruptcy or insolvency; (f) certain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March 31, 2017 and 2016, Booz Allen Hamilton was in compliance with all of these covenants.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fiscal 2017, interest payments of $28.8 million and $19.5 million were made for Term Loan A and Term Loan B,</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123" w:right="239" w:bottom="1440" w:gutter="0" w:footer="0" w:header="0"/>
        </w:sectPr>
      </w:pPr>
    </w:p>
    <w:bookmarkStart w:id="83" w:name="page84"/>
    <w:bookmarkEnd w:id="83"/>
    <w:p>
      <w:pPr>
        <w:jc w:val="center"/>
        <w:ind w:left="260" w:right="2420"/>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respectively. During fiscal 2016, interest payments of $22.0 million and $34.7 million were made for Term Loan A and Term Loan B, respectively.</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Interest on debt and debt-like instruments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3"/>
              </w:rPr>
              <w:t>Fiscal Year Ended March 31,</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3"/>
        </w:trPr>
        <w:tc>
          <w:tcPr>
            <w:tcW w:w="58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2015</w:t>
            </w:r>
          </w:p>
        </w:tc>
      </w:tr>
      <w:tr>
        <w:trPr>
          <w:trHeight w:val="230"/>
        </w:trPr>
        <w:tc>
          <w:tcPr>
            <w:tcW w:w="5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(In thousands)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 A Interest Expense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6"/>
              </w:rPr>
              <w:t>28,646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21,790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22,189</w:t>
            </w:r>
          </w:p>
        </w:tc>
      </w:tr>
      <w:tr>
        <w:trPr>
          <w:trHeight w:val="225"/>
        </w:trPr>
        <w:tc>
          <w:tcPr>
            <w:tcW w:w="5880" w:type="dxa"/>
            <w:vAlign w:val="bottom"/>
          </w:tcPr>
          <w:p>
            <w:pPr>
              <w:ind w:left="20"/>
              <w:spacing w:after="0"/>
              <w:rPr>
                <w:sz w:val="20"/>
                <w:szCs w:val="20"/>
                <w:color w:val="auto"/>
              </w:rPr>
            </w:pPr>
            <w:r>
              <w:rPr>
                <w:rFonts w:ascii="Arial" w:cs="Arial" w:eastAsia="Arial" w:hAnsi="Arial"/>
                <w:sz w:val="17"/>
                <w:szCs w:val="17"/>
                <w:color w:val="auto"/>
              </w:rPr>
              <w:t>Term Loan B Interest Expense</w:t>
            </w:r>
          </w:p>
        </w:tc>
        <w:tc>
          <w:tcPr>
            <w:tcW w:w="102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7"/>
                <w:szCs w:val="17"/>
                <w:color w:val="auto"/>
                <w:w w:val="96"/>
              </w:rPr>
              <w:t>18,874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32,070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33,079</w:t>
            </w:r>
          </w:p>
        </w:tc>
      </w:tr>
      <w:tr>
        <w:trPr>
          <w:trHeight w:val="25"/>
        </w:trPr>
        <w:tc>
          <w:tcPr>
            <w:tcW w:w="5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on Revolving Credit Facility</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68</w:t>
            </w:r>
          </w:p>
        </w:tc>
      </w:tr>
      <w:tr>
        <w:trPr>
          <w:trHeight w:val="250"/>
        </w:trPr>
        <w:tc>
          <w:tcPr>
            <w:tcW w:w="5880" w:type="dxa"/>
            <w:vAlign w:val="bottom"/>
          </w:tcPr>
          <w:p>
            <w:pPr>
              <w:ind w:left="20"/>
              <w:spacing w:after="0" w:line="251" w:lineRule="exact"/>
              <w:rPr>
                <w:sz w:val="20"/>
                <w:szCs w:val="20"/>
                <w:color w:val="auto"/>
              </w:rPr>
            </w:pPr>
            <w:r>
              <w:rPr>
                <w:rFonts w:ascii="Arial" w:cs="Arial" w:eastAsia="Arial" w:hAnsi="Arial"/>
                <w:sz w:val="17"/>
                <w:szCs w:val="17"/>
                <w:color w:val="auto"/>
              </w:rPr>
              <w:t xml:space="preserve">Deferred Payment Obligation Interest </w:t>
            </w:r>
            <w:r>
              <w:rPr>
                <w:rFonts w:ascii="Arial" w:cs="Arial" w:eastAsia="Arial" w:hAnsi="Arial"/>
                <w:sz w:val="23"/>
                <w:szCs w:val="23"/>
                <w:color w:val="auto"/>
                <w:vertAlign w:val="superscript"/>
              </w:rPr>
              <w:t>1</w:t>
            </w:r>
          </w:p>
        </w:tc>
        <w:tc>
          <w:tcPr>
            <w:tcW w:w="1020" w:type="dxa"/>
            <w:vAlign w:val="bottom"/>
          </w:tcPr>
          <w:p>
            <w:pPr>
              <w:spacing w:after="0"/>
              <w:rPr>
                <w:sz w:val="21"/>
                <w:szCs w:val="21"/>
                <w:color w:val="auto"/>
              </w:rPr>
            </w:pPr>
          </w:p>
        </w:tc>
        <w:tc>
          <w:tcPr>
            <w:tcW w:w="620" w:type="dxa"/>
            <w:vAlign w:val="bottom"/>
          </w:tcPr>
          <w:p>
            <w:pPr>
              <w:jc w:val="right"/>
              <w:ind w:right="17"/>
              <w:spacing w:after="0"/>
              <w:rPr>
                <w:sz w:val="20"/>
                <w:szCs w:val="20"/>
                <w:color w:val="auto"/>
              </w:rPr>
            </w:pPr>
            <w:r>
              <w:rPr>
                <w:rFonts w:ascii="Arial" w:cs="Arial" w:eastAsia="Arial" w:hAnsi="Arial"/>
                <w:sz w:val="17"/>
                <w:szCs w:val="17"/>
                <w:color w:val="auto"/>
              </w:rPr>
              <w:t>7,985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8,015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8,000</w:t>
            </w:r>
          </w:p>
        </w:tc>
      </w:tr>
      <w:tr>
        <w:trPr>
          <w:trHeight w:val="250"/>
        </w:trPr>
        <w:tc>
          <w:tcPr>
            <w:tcW w:w="5880" w:type="dxa"/>
            <w:vAlign w:val="bottom"/>
            <w:shd w:val="clear" w:color="auto" w:fill="CCEEFF"/>
          </w:tcPr>
          <w:p>
            <w:pPr>
              <w:ind w:left="20"/>
              <w:spacing w:after="0" w:line="251" w:lineRule="exact"/>
              <w:rPr>
                <w:sz w:val="20"/>
                <w:szCs w:val="20"/>
                <w:color w:val="auto"/>
              </w:rPr>
            </w:pPr>
            <w:r>
              <w:rPr>
                <w:rFonts w:ascii="Arial" w:cs="Arial" w:eastAsia="Arial" w:hAnsi="Arial"/>
                <w:sz w:val="17"/>
                <w:szCs w:val="17"/>
                <w:color w:val="auto"/>
                <w:w w:val="98"/>
              </w:rPr>
              <w:t xml:space="preserve">Amortization of Debt Issuance Costs (DIC) and Original Issue Discount (OID) </w:t>
            </w:r>
            <w:r>
              <w:rPr>
                <w:rFonts w:ascii="Arial" w:cs="Arial" w:eastAsia="Arial" w:hAnsi="Arial"/>
                <w:sz w:val="23"/>
                <w:szCs w:val="23"/>
                <w:color w:val="auto"/>
                <w:w w:val="98"/>
                <w:vertAlign w:val="superscript"/>
              </w:rPr>
              <w:t>2</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5,683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8,359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8,331</w:t>
            </w:r>
          </w:p>
        </w:tc>
      </w:tr>
      <w:tr>
        <w:trPr>
          <w:trHeight w:val="225"/>
        </w:trPr>
        <w:tc>
          <w:tcPr>
            <w:tcW w:w="5880" w:type="dxa"/>
            <w:vAlign w:val="bottom"/>
          </w:tcPr>
          <w:p>
            <w:pPr>
              <w:ind w:left="20"/>
              <w:spacing w:after="0"/>
              <w:rPr>
                <w:sz w:val="20"/>
                <w:szCs w:val="20"/>
                <w:color w:val="auto"/>
              </w:rPr>
            </w:pPr>
            <w:r>
              <w:rPr>
                <w:rFonts w:ascii="Arial" w:cs="Arial" w:eastAsia="Arial" w:hAnsi="Arial"/>
                <w:sz w:val="17"/>
                <w:szCs w:val="17"/>
                <w:color w:val="auto"/>
              </w:rPr>
              <w:t>Other</w:t>
            </w:r>
          </w:p>
        </w:tc>
        <w:tc>
          <w:tcPr>
            <w:tcW w:w="102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165</w:t>
            </w:r>
          </w:p>
        </w:tc>
      </w:tr>
      <w:tr>
        <w:trPr>
          <w:trHeight w:val="25"/>
        </w:trPr>
        <w:tc>
          <w:tcPr>
            <w:tcW w:w="5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96"/>
              </w:rPr>
              <w:t>62,298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70,815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71,832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00" w:hanging="100"/>
        <w:spacing w:after="0"/>
        <w:tabs>
          <w:tab w:leader="none" w:pos="100" w:val="left"/>
        </w:tabs>
        <w:numPr>
          <w:ilvl w:val="0"/>
          <w:numId w:val="68"/>
        </w:numPr>
        <w:rPr>
          <w:rFonts w:ascii="Arial" w:cs="Arial" w:eastAsia="Arial" w:hAnsi="Arial"/>
          <w:sz w:val="23"/>
          <w:szCs w:val="23"/>
          <w:color w:val="auto"/>
          <w:vertAlign w:val="superscript"/>
        </w:rPr>
      </w:pPr>
      <w:r>
        <w:rPr>
          <w:rFonts w:ascii="Arial" w:cs="Arial" w:eastAsia="Arial" w:hAnsi="Arial"/>
          <w:sz w:val="17"/>
          <w:szCs w:val="17"/>
          <w:color w:val="auto"/>
        </w:rPr>
        <w:t>Interest payments on the deferred payment obligation are made twice a year in January and July. See Note 10.</w:t>
      </w:r>
    </w:p>
    <w:p>
      <w:pPr>
        <w:spacing w:after="0" w:line="90" w:lineRule="exact"/>
        <w:rPr>
          <w:sz w:val="20"/>
          <w:szCs w:val="20"/>
          <w:color w:val="auto"/>
        </w:rPr>
      </w:pPr>
    </w:p>
    <w:p>
      <w:pPr>
        <w:ind w:right="120"/>
        <w:spacing w:after="0" w:line="223" w:lineRule="auto"/>
        <w:tabs>
          <w:tab w:leader="none" w:pos="100" w:val="left"/>
        </w:tabs>
        <w:numPr>
          <w:ilvl w:val="0"/>
          <w:numId w:val="69"/>
        </w:numPr>
        <w:rPr>
          <w:rFonts w:ascii="Arial" w:cs="Arial" w:eastAsia="Arial" w:hAnsi="Arial"/>
          <w:sz w:val="23"/>
          <w:szCs w:val="23"/>
          <w:color w:val="auto"/>
          <w:vertAlign w:val="superscript"/>
        </w:rPr>
      </w:pPr>
      <w:r>
        <w:rPr>
          <w:rFonts w:ascii="Arial" w:cs="Arial" w:eastAsia="Arial" w:hAnsi="Arial"/>
          <w:sz w:val="17"/>
          <w:szCs w:val="17"/>
          <w:color w:val="auto"/>
        </w:rPr>
        <w:t>DIC and OID on the Company's term loans are recorded as a reduction of long-term debt in the consolidated balance sheet and are amortized ratably over the life of the related debt using the effective rate method. DIC on the Company's revolving line of credit is recorded as a long term asset on the consolidated balance sheet and amortized ratably over the term of the revolving credit facility.</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income tax expense were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Fiscal Year Ended March 31,</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43"/>
        </w:trPr>
        <w:tc>
          <w:tcPr>
            <w:tcW w:w="58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b w:val="1"/>
                <w:bCs w:val="1"/>
                <w:color w:val="auto"/>
              </w:rPr>
              <w:t>2015</w:t>
            </w:r>
          </w:p>
        </w:tc>
      </w:tr>
      <w:tr>
        <w:trPr>
          <w:trHeight w:val="22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25"/>
        </w:trPr>
        <w:tc>
          <w:tcPr>
            <w:tcW w:w="584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1100" w:type="dxa"/>
            <w:vAlign w:val="bottom"/>
          </w:tcPr>
          <w:p>
            <w:pPr>
              <w:jc w:val="right"/>
              <w:ind w:right="922"/>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7"/>
              <w:spacing w:after="0"/>
              <w:rPr>
                <w:sz w:val="20"/>
                <w:szCs w:val="20"/>
                <w:color w:val="auto"/>
              </w:rPr>
            </w:pPr>
            <w:r>
              <w:rPr>
                <w:rFonts w:ascii="Arial" w:cs="Arial" w:eastAsia="Arial" w:hAnsi="Arial"/>
                <w:sz w:val="17"/>
                <w:szCs w:val="17"/>
                <w:color w:val="auto"/>
                <w:w w:val="94"/>
              </w:rPr>
              <w:t>119,601</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61,339</w:t>
            </w:r>
          </w:p>
        </w:tc>
        <w:tc>
          <w:tcPr>
            <w:tcW w:w="100" w:type="dxa"/>
            <w:vAlign w:val="bottom"/>
          </w:tcPr>
          <w:p>
            <w:pPr>
              <w:spacing w:after="0"/>
              <w:rPr>
                <w:sz w:val="19"/>
                <w:szCs w:val="19"/>
                <w:color w:val="auto"/>
              </w:rPr>
            </w:pPr>
          </w:p>
        </w:tc>
        <w:tc>
          <w:tcPr>
            <w:tcW w:w="440" w:type="dxa"/>
            <w:vAlign w:val="bottom"/>
          </w:tcPr>
          <w:p>
            <w:pPr>
              <w:jc w:val="right"/>
              <w:ind w:right="23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9"/>
              <w:spacing w:after="0"/>
              <w:rPr>
                <w:sz w:val="20"/>
                <w:szCs w:val="20"/>
                <w:color w:val="auto"/>
              </w:rPr>
            </w:pPr>
            <w:r>
              <w:rPr>
                <w:rFonts w:ascii="Arial" w:cs="Arial" w:eastAsia="Arial" w:hAnsi="Arial"/>
                <w:sz w:val="17"/>
                <w:szCs w:val="17"/>
                <w:color w:val="auto"/>
              </w:rPr>
              <w:t>133,400</w:t>
            </w:r>
          </w:p>
        </w:tc>
      </w:tr>
      <w:tr>
        <w:trPr>
          <w:trHeight w:val="25"/>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State and local</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20,480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22,492</w:t>
            </w:r>
          </w:p>
        </w:tc>
      </w:tr>
      <w:tr>
        <w:trPr>
          <w:trHeight w:val="218"/>
        </w:trPr>
        <w:tc>
          <w:tcPr>
            <w:tcW w:w="5840" w:type="dxa"/>
            <w:vAlign w:val="bottom"/>
          </w:tcPr>
          <w:p>
            <w:pPr>
              <w:ind w:left="660"/>
              <w:spacing w:after="0"/>
              <w:rPr>
                <w:sz w:val="20"/>
                <w:szCs w:val="20"/>
                <w:color w:val="auto"/>
              </w:rPr>
            </w:pPr>
            <w:r>
              <w:rPr>
                <w:rFonts w:ascii="Arial" w:cs="Arial" w:eastAsia="Arial" w:hAnsi="Arial"/>
                <w:sz w:val="17"/>
                <w:szCs w:val="17"/>
                <w:color w:val="auto"/>
              </w:rPr>
              <w:t>Total current</w:t>
            </w:r>
          </w:p>
        </w:tc>
        <w:tc>
          <w:tcPr>
            <w:tcW w:w="1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94"/>
              </w:rPr>
              <w:t>143,874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81,819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155,892</w:t>
            </w:r>
          </w:p>
        </w:tc>
      </w:tr>
      <w:tr>
        <w:trPr>
          <w:trHeight w:val="25"/>
        </w:trPr>
        <w:tc>
          <w:tcPr>
            <w:tcW w:w="5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25"/>
        </w:trPr>
        <w:tc>
          <w:tcPr>
            <w:tcW w:w="584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1100" w:type="dxa"/>
            <w:vAlign w:val="bottom"/>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18,451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8,664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(2,938)</w:t>
            </w:r>
          </w:p>
        </w:tc>
      </w:tr>
      <w:tr>
        <w:trPr>
          <w:trHeight w:val="25"/>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State and local</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395</w:t>
            </w:r>
          </w:p>
        </w:tc>
      </w:tr>
      <w:tr>
        <w:trPr>
          <w:trHeight w:val="218"/>
        </w:trPr>
        <w:tc>
          <w:tcPr>
            <w:tcW w:w="5840" w:type="dxa"/>
            <w:vAlign w:val="bottom"/>
          </w:tcPr>
          <w:p>
            <w:pPr>
              <w:ind w:left="660"/>
              <w:spacing w:after="0"/>
              <w:rPr>
                <w:sz w:val="20"/>
                <w:szCs w:val="20"/>
                <w:color w:val="auto"/>
              </w:rPr>
            </w:pPr>
            <w:r>
              <w:rPr>
                <w:rFonts w:ascii="Arial" w:cs="Arial" w:eastAsia="Arial" w:hAnsi="Arial"/>
                <w:sz w:val="17"/>
                <w:szCs w:val="17"/>
                <w:color w:val="auto"/>
              </w:rPr>
              <w:t>Total deferred</w:t>
            </w:r>
          </w:p>
        </w:tc>
        <w:tc>
          <w:tcPr>
            <w:tcW w:w="1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15,536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3,549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(2,543)</w:t>
            </w:r>
          </w:p>
        </w:tc>
      </w:tr>
      <w:tr>
        <w:trPr>
          <w:trHeight w:val="25"/>
        </w:trPr>
        <w:tc>
          <w:tcPr>
            <w:tcW w:w="5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58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4"/>
              </w:rPr>
              <w:t>159,410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85,368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153,349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340" w:firstLine="375"/>
        <w:spacing w:after="0" w:line="266" w:lineRule="auto"/>
        <w:rPr>
          <w:sz w:val="20"/>
          <w:szCs w:val="20"/>
          <w:color w:val="auto"/>
        </w:rPr>
      </w:pPr>
      <w:r>
        <w:rPr>
          <w:rFonts w:ascii="Arial" w:cs="Arial" w:eastAsia="Arial" w:hAnsi="Arial"/>
          <w:sz w:val="17"/>
          <w:szCs w:val="17"/>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00"/>
          </w:cols>
          <w:pgMar w:left="240" w:top="123" w:right="259" w:bottom="1440" w:gutter="0" w:footer="0" w:header="0"/>
        </w:sectPr>
      </w:pPr>
    </w:p>
    <w:bookmarkStart w:id="84" w:name="page85"/>
    <w:bookmarkEnd w:id="84"/>
    <w:p>
      <w:pPr>
        <w:jc w:val="center"/>
        <w:ind w:left="260" w:right="2420"/>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Fiscal Year Ended March 31,</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r>
        <w:trPr>
          <w:trHeight w:val="243"/>
        </w:trPr>
        <w:tc>
          <w:tcPr>
            <w:tcW w:w="60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2015</w:t>
            </w:r>
          </w:p>
        </w:tc>
        <w:tc>
          <w:tcPr>
            <w:tcW w:w="480" w:type="dxa"/>
            <w:vAlign w:val="bottom"/>
            <w:tcBorders>
              <w:bottom w:val="single" w:sz="8" w:color="auto"/>
            </w:tcBorders>
          </w:tcPr>
          <w:p>
            <w:pPr>
              <w:spacing w:after="0"/>
              <w:rPr>
                <w:sz w:val="21"/>
                <w:szCs w:val="21"/>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 computed at U.S. federal statutory rate (35%)</w:t>
            </w: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144,165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w w:val="84"/>
              </w:rPr>
              <w:t>132,812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135,071</w:t>
            </w:r>
          </w:p>
        </w:tc>
      </w:tr>
      <w:tr>
        <w:trPr>
          <w:trHeight w:val="225"/>
        </w:trPr>
        <w:tc>
          <w:tcPr>
            <w:tcW w:w="6060" w:type="dxa"/>
            <w:vAlign w:val="bottom"/>
          </w:tcPr>
          <w:p>
            <w:pPr>
              <w:ind w:left="360"/>
              <w:spacing w:after="0"/>
              <w:rPr>
                <w:sz w:val="20"/>
                <w:szCs w:val="20"/>
                <w:color w:val="auto"/>
              </w:rPr>
            </w:pPr>
            <w:r>
              <w:rPr>
                <w:rFonts w:ascii="Arial" w:cs="Arial" w:eastAsia="Arial" w:hAnsi="Arial"/>
                <w:sz w:val="17"/>
                <w:szCs w:val="17"/>
                <w:color w:val="auto"/>
              </w:rPr>
              <w:t>Increases (reductions) resulting from:</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Changes in uncertain tax positions</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(56,428)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1,038</w:t>
            </w:r>
          </w:p>
        </w:tc>
      </w:tr>
      <w:tr>
        <w:trPr>
          <w:trHeight w:val="225"/>
        </w:trPr>
        <w:tc>
          <w:tcPr>
            <w:tcW w:w="6060" w:type="dxa"/>
            <w:vAlign w:val="bottom"/>
          </w:tcPr>
          <w:p>
            <w:pPr>
              <w:ind w:left="660"/>
              <w:spacing w:after="0"/>
              <w:rPr>
                <w:sz w:val="20"/>
                <w:szCs w:val="20"/>
                <w:color w:val="auto"/>
              </w:rPr>
            </w:pPr>
            <w:r>
              <w:rPr>
                <w:rFonts w:ascii="Arial" w:cs="Arial" w:eastAsia="Arial" w:hAnsi="Arial"/>
                <w:sz w:val="17"/>
                <w:szCs w:val="17"/>
                <w:color w:val="auto"/>
              </w:rPr>
              <w:t>State and local income taxes, net of federal tax</w:t>
            </w:r>
          </w:p>
        </w:tc>
        <w:tc>
          <w:tcPr>
            <w:tcW w:w="420" w:type="dxa"/>
            <w:vAlign w:val="bottom"/>
          </w:tcPr>
          <w:p>
            <w:pPr>
              <w:spacing w:after="0"/>
              <w:rPr>
                <w:sz w:val="19"/>
                <w:szCs w:val="19"/>
                <w:color w:val="auto"/>
              </w:rPr>
            </w:pPr>
          </w:p>
        </w:tc>
        <w:tc>
          <w:tcPr>
            <w:tcW w:w="1300" w:type="dxa"/>
            <w:vAlign w:val="bottom"/>
            <w:gridSpan w:val="2"/>
          </w:tcPr>
          <w:p>
            <w:pPr>
              <w:jc w:val="right"/>
              <w:ind w:right="37"/>
              <w:spacing w:after="0"/>
              <w:rPr>
                <w:sz w:val="20"/>
                <w:szCs w:val="20"/>
                <w:color w:val="auto"/>
              </w:rPr>
            </w:pPr>
            <w:r>
              <w:rPr>
                <w:rFonts w:ascii="Arial" w:cs="Arial" w:eastAsia="Arial" w:hAnsi="Arial"/>
                <w:sz w:val="17"/>
                <w:szCs w:val="17"/>
                <w:color w:val="auto"/>
              </w:rPr>
              <w:t>13,882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3"/>
          </w:tcPr>
          <w:p>
            <w:pPr>
              <w:jc w:val="right"/>
              <w:ind w:right="17"/>
              <w:spacing w:after="0"/>
              <w:rPr>
                <w:sz w:val="20"/>
                <w:szCs w:val="20"/>
                <w:color w:val="auto"/>
              </w:rPr>
            </w:pPr>
            <w:r>
              <w:rPr>
                <w:rFonts w:ascii="Arial" w:cs="Arial" w:eastAsia="Arial" w:hAnsi="Arial"/>
                <w:sz w:val="17"/>
                <w:szCs w:val="17"/>
                <w:color w:val="auto"/>
                <w:w w:val="99"/>
              </w:rPr>
              <w:t>10,092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15,039</w:t>
            </w: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Meals and entertainment</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1,328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1,321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1,513</w:t>
            </w:r>
          </w:p>
        </w:tc>
      </w:tr>
      <w:tr>
        <w:trPr>
          <w:trHeight w:val="225"/>
        </w:trPr>
        <w:tc>
          <w:tcPr>
            <w:tcW w:w="6060" w:type="dxa"/>
            <w:vAlign w:val="bottom"/>
          </w:tcPr>
          <w:p>
            <w:pPr>
              <w:ind w:left="660"/>
              <w:spacing w:after="0"/>
              <w:rPr>
                <w:sz w:val="20"/>
                <w:szCs w:val="20"/>
                <w:color w:val="auto"/>
              </w:rPr>
            </w:pPr>
            <w:r>
              <w:rPr>
                <w:rFonts w:ascii="Arial" w:cs="Arial" w:eastAsia="Arial" w:hAnsi="Arial"/>
                <w:sz w:val="17"/>
                <w:szCs w:val="17"/>
                <w:color w:val="auto"/>
              </w:rPr>
              <w:t>Other</w:t>
            </w:r>
          </w:p>
        </w:tc>
        <w:tc>
          <w:tcPr>
            <w:tcW w:w="420" w:type="dxa"/>
            <w:vAlign w:val="bottom"/>
          </w:tcPr>
          <w:p>
            <w:pPr>
              <w:spacing w:after="0"/>
              <w:rPr>
                <w:sz w:val="19"/>
                <w:szCs w:val="19"/>
                <w:color w:val="auto"/>
              </w:rPr>
            </w:pPr>
          </w:p>
        </w:tc>
        <w:tc>
          <w:tcPr>
            <w:tcW w:w="1300" w:type="dxa"/>
            <w:vAlign w:val="bottom"/>
            <w:gridSpan w:val="2"/>
          </w:tcPr>
          <w:p>
            <w:pPr>
              <w:jc w:val="right"/>
              <w:ind w:right="37"/>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(2,429)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688</w:t>
            </w:r>
          </w:p>
        </w:tc>
      </w:tr>
      <w:tr>
        <w:trPr>
          <w:trHeight w:val="25"/>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8"/>
        </w:trPr>
        <w:tc>
          <w:tcPr>
            <w:tcW w:w="60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Income tax expense from operations</w:t>
            </w: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159,410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w w:val="99"/>
              </w:rPr>
              <w:t>85,368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153,349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880" w:type="dxa"/>
            <w:vAlign w:val="bottom"/>
            <w:gridSpan w:val="5"/>
          </w:tcPr>
          <w:p>
            <w:pPr>
              <w:ind w:left="380"/>
              <w:spacing w:after="0"/>
              <w:rPr>
                <w:sz w:val="20"/>
                <w:szCs w:val="20"/>
                <w:color w:val="auto"/>
              </w:rPr>
            </w:pPr>
            <w:r>
              <w:rPr>
                <w:rFonts w:ascii="Arial" w:cs="Arial" w:eastAsia="Arial" w:hAnsi="Arial"/>
                <w:sz w:val="17"/>
                <w:szCs w:val="17"/>
                <w:color w:val="auto"/>
                <w:w w:val="96"/>
              </w:rPr>
              <w:t>The significant components of the Company’s deferred income tax assets and liabilties were as follows: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1"/>
        </w:trPr>
        <w:tc>
          <w:tcPr>
            <w:tcW w:w="6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900"/>
              <w:spacing w:after="0"/>
              <w:rPr>
                <w:sz w:val="20"/>
                <w:szCs w:val="20"/>
                <w:color w:val="auto"/>
              </w:rPr>
            </w:pPr>
            <w:r>
              <w:rPr>
                <w:rFonts w:ascii="Arial" w:cs="Arial" w:eastAsia="Arial" w:hAnsi="Arial"/>
                <w:sz w:val="13"/>
                <w:szCs w:val="13"/>
                <w:b w:val="1"/>
                <w:bCs w:val="1"/>
                <w:color w:val="auto"/>
              </w:rPr>
              <w:t>March 31,</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243"/>
        </w:trPr>
        <w:tc>
          <w:tcPr>
            <w:tcW w:w="60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2017</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18"/>
              <w:spacing w:after="0"/>
              <w:rPr>
                <w:sz w:val="20"/>
                <w:szCs w:val="20"/>
                <w:color w:val="auto"/>
              </w:rPr>
            </w:pPr>
            <w:r>
              <w:rPr>
                <w:rFonts w:ascii="Arial" w:cs="Arial" w:eastAsia="Arial" w:hAnsi="Arial"/>
                <w:sz w:val="13"/>
                <w:szCs w:val="13"/>
                <w:b w:val="1"/>
                <w:bCs w:val="1"/>
                <w:color w:val="auto"/>
                <w:w w:val="89"/>
              </w:rPr>
              <w:t>2016</w:t>
            </w:r>
          </w:p>
        </w:tc>
        <w:tc>
          <w:tcPr>
            <w:tcW w:w="480" w:type="dxa"/>
            <w:vAlign w:val="bottom"/>
          </w:tcPr>
          <w:p>
            <w:pPr>
              <w:spacing w:after="0"/>
              <w:rPr>
                <w:sz w:val="21"/>
                <w:szCs w:val="21"/>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 assets:</w:t>
            </w: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25"/>
        </w:trPr>
        <w:tc>
          <w:tcPr>
            <w:tcW w:w="6060" w:type="dxa"/>
            <w:vAlign w:val="bottom"/>
          </w:tcPr>
          <w:p>
            <w:pPr>
              <w:ind w:left="360"/>
              <w:spacing w:after="0"/>
              <w:rPr>
                <w:sz w:val="20"/>
                <w:szCs w:val="20"/>
                <w:color w:val="auto"/>
              </w:rPr>
            </w:pPr>
            <w:r>
              <w:rPr>
                <w:rFonts w:ascii="Arial" w:cs="Arial" w:eastAsia="Arial" w:hAnsi="Arial"/>
                <w:sz w:val="17"/>
                <w:szCs w:val="17"/>
                <w:color w:val="auto"/>
              </w:rPr>
              <w:t>Accrued expenses</w:t>
            </w:r>
          </w:p>
        </w:tc>
        <w:tc>
          <w:tcPr>
            <w:tcW w:w="420" w:type="dxa"/>
            <w:vAlign w:val="bottom"/>
          </w:tcPr>
          <w:p>
            <w:pPr>
              <w:spacing w:after="0"/>
              <w:rPr>
                <w:sz w:val="19"/>
                <w:szCs w:val="19"/>
                <w:color w:val="auto"/>
              </w:rPr>
            </w:pPr>
          </w:p>
        </w:tc>
        <w:tc>
          <w:tcPr>
            <w:tcW w:w="1300" w:type="dxa"/>
            <w:vAlign w:val="bottom"/>
            <w:gridSpan w:val="2"/>
          </w:tcPr>
          <w:p>
            <w:pPr>
              <w:jc w:val="right"/>
              <w:ind w:right="37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85,459</w:t>
            </w:r>
          </w:p>
        </w:tc>
        <w:tc>
          <w:tcPr>
            <w:tcW w:w="640" w:type="dxa"/>
            <w:vAlign w:val="bottom"/>
            <w:gridSpan w:val="3"/>
          </w:tcPr>
          <w:p>
            <w:pPr>
              <w:jc w:val="right"/>
              <w:ind w:right="31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85,412</w:t>
            </w:r>
          </w:p>
        </w:tc>
        <w:tc>
          <w:tcPr>
            <w:tcW w:w="480" w:type="dxa"/>
            <w:vAlign w:val="bottom"/>
          </w:tcPr>
          <w:p>
            <w:pPr>
              <w:spacing w:after="0"/>
              <w:rPr>
                <w:sz w:val="19"/>
                <w:szCs w:val="19"/>
                <w:color w:val="auto"/>
              </w:rPr>
            </w:pP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Accrued compensation</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41,421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35,950</w:t>
            </w:r>
          </w:p>
        </w:tc>
        <w:tc>
          <w:tcPr>
            <w:tcW w:w="480" w:type="dxa"/>
            <w:vAlign w:val="bottom"/>
          </w:tcPr>
          <w:p>
            <w:pPr>
              <w:spacing w:after="0"/>
              <w:rPr>
                <w:sz w:val="20"/>
                <w:szCs w:val="20"/>
                <w:color w:val="auto"/>
              </w:rPr>
            </w:pPr>
          </w:p>
        </w:tc>
      </w:tr>
      <w:tr>
        <w:trPr>
          <w:trHeight w:val="225"/>
        </w:trPr>
        <w:tc>
          <w:tcPr>
            <w:tcW w:w="6060" w:type="dxa"/>
            <w:vAlign w:val="bottom"/>
          </w:tcPr>
          <w:p>
            <w:pPr>
              <w:ind w:left="360"/>
              <w:spacing w:after="0"/>
              <w:rPr>
                <w:sz w:val="20"/>
                <w:szCs w:val="20"/>
                <w:color w:val="auto"/>
              </w:rPr>
            </w:pPr>
            <w:r>
              <w:rPr>
                <w:rFonts w:ascii="Arial" w:cs="Arial" w:eastAsia="Arial" w:hAnsi="Arial"/>
                <w:sz w:val="17"/>
                <w:szCs w:val="17"/>
                <w:color w:val="auto"/>
              </w:rPr>
              <w:t>Stock-based compensation</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15,326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20,032</w:t>
            </w:r>
          </w:p>
        </w:tc>
        <w:tc>
          <w:tcPr>
            <w:tcW w:w="480" w:type="dxa"/>
            <w:vAlign w:val="bottom"/>
          </w:tcPr>
          <w:p>
            <w:pPr>
              <w:spacing w:after="0"/>
              <w:rPr>
                <w:sz w:val="19"/>
                <w:szCs w:val="19"/>
                <w:color w:val="auto"/>
              </w:rPr>
            </w:pP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Pension and postretirement benefits</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48,672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46,743</w:t>
            </w:r>
          </w:p>
        </w:tc>
        <w:tc>
          <w:tcPr>
            <w:tcW w:w="480" w:type="dxa"/>
            <w:vAlign w:val="bottom"/>
          </w:tcPr>
          <w:p>
            <w:pPr>
              <w:spacing w:after="0"/>
              <w:rPr>
                <w:sz w:val="20"/>
                <w:szCs w:val="20"/>
                <w:color w:val="auto"/>
              </w:rPr>
            </w:pPr>
          </w:p>
        </w:tc>
      </w:tr>
      <w:tr>
        <w:trPr>
          <w:trHeight w:val="225"/>
        </w:trPr>
        <w:tc>
          <w:tcPr>
            <w:tcW w:w="6060" w:type="dxa"/>
            <w:vAlign w:val="bottom"/>
          </w:tcPr>
          <w:p>
            <w:pPr>
              <w:ind w:left="360"/>
              <w:spacing w:after="0"/>
              <w:rPr>
                <w:sz w:val="20"/>
                <w:szCs w:val="20"/>
                <w:color w:val="auto"/>
              </w:rPr>
            </w:pPr>
            <w:r>
              <w:rPr>
                <w:rFonts w:ascii="Arial" w:cs="Arial" w:eastAsia="Arial" w:hAnsi="Arial"/>
                <w:sz w:val="17"/>
                <w:szCs w:val="17"/>
                <w:color w:val="auto"/>
              </w:rPr>
              <w:t>Property and equipment</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14,760</w:t>
            </w:r>
          </w:p>
        </w:tc>
        <w:tc>
          <w:tcPr>
            <w:tcW w:w="480" w:type="dxa"/>
            <w:vAlign w:val="bottom"/>
          </w:tcPr>
          <w:p>
            <w:pPr>
              <w:spacing w:after="0"/>
              <w:rPr>
                <w:sz w:val="19"/>
                <w:szCs w:val="19"/>
                <w:color w:val="auto"/>
              </w:rPr>
            </w:pP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Capital loss carryforwards</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283</w:t>
            </w:r>
          </w:p>
        </w:tc>
        <w:tc>
          <w:tcPr>
            <w:tcW w:w="480" w:type="dxa"/>
            <w:vAlign w:val="bottom"/>
          </w:tcPr>
          <w:p>
            <w:pPr>
              <w:spacing w:after="0"/>
              <w:rPr>
                <w:sz w:val="20"/>
                <w:szCs w:val="20"/>
                <w:color w:val="auto"/>
              </w:rPr>
            </w:pPr>
          </w:p>
        </w:tc>
      </w:tr>
      <w:tr>
        <w:trPr>
          <w:trHeight w:val="225"/>
        </w:trPr>
        <w:tc>
          <w:tcPr>
            <w:tcW w:w="6060" w:type="dxa"/>
            <w:vAlign w:val="bottom"/>
          </w:tcPr>
          <w:p>
            <w:pPr>
              <w:ind w:left="360"/>
              <w:spacing w:after="0"/>
              <w:rPr>
                <w:sz w:val="20"/>
                <w:szCs w:val="20"/>
                <w:color w:val="auto"/>
              </w:rPr>
            </w:pPr>
            <w:r>
              <w:rPr>
                <w:rFonts w:ascii="Arial" w:cs="Arial" w:eastAsia="Arial" w:hAnsi="Arial"/>
                <w:sz w:val="17"/>
                <w:szCs w:val="17"/>
                <w:color w:val="auto"/>
              </w:rPr>
              <w:t>Deferred rent and tenant allowance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25,167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20,964</w:t>
            </w:r>
          </w:p>
        </w:tc>
        <w:tc>
          <w:tcPr>
            <w:tcW w:w="480" w:type="dxa"/>
            <w:vAlign w:val="bottom"/>
          </w:tcPr>
          <w:p>
            <w:pPr>
              <w:spacing w:after="0"/>
              <w:rPr>
                <w:sz w:val="19"/>
                <w:szCs w:val="19"/>
                <w:color w:val="auto"/>
              </w:rPr>
            </w:pP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Extended disability benefits</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8,860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r>
      <w:tr>
        <w:trPr>
          <w:trHeight w:val="225"/>
        </w:trPr>
        <w:tc>
          <w:tcPr>
            <w:tcW w:w="6060" w:type="dxa"/>
            <w:vAlign w:val="bottom"/>
          </w:tcPr>
          <w:p>
            <w:pPr>
              <w:ind w:left="360"/>
              <w:spacing w:after="0"/>
              <w:rPr>
                <w:sz w:val="20"/>
                <w:szCs w:val="20"/>
                <w:color w:val="auto"/>
              </w:rPr>
            </w:pPr>
            <w:r>
              <w:rPr>
                <w:rFonts w:ascii="Arial" w:cs="Arial" w:eastAsia="Arial" w:hAnsi="Arial"/>
                <w:sz w:val="17"/>
                <w:szCs w:val="17"/>
                <w:color w:val="auto"/>
              </w:rPr>
              <w:t>Other</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4,793</w:t>
            </w:r>
          </w:p>
        </w:tc>
        <w:tc>
          <w:tcPr>
            <w:tcW w:w="480" w:type="dxa"/>
            <w:vAlign w:val="bottom"/>
          </w:tcPr>
          <w:p>
            <w:pPr>
              <w:spacing w:after="0"/>
              <w:rPr>
                <w:sz w:val="19"/>
                <w:szCs w:val="19"/>
                <w:color w:val="auto"/>
              </w:rPr>
            </w:pPr>
          </w:p>
        </w:tc>
      </w:tr>
      <w:tr>
        <w:trPr>
          <w:trHeight w:val="25"/>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23"/>
        </w:trPr>
        <w:tc>
          <w:tcPr>
            <w:tcW w:w="6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gross deferred income tax assets</w:t>
            </w: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235,853</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228,937</w:t>
            </w:r>
          </w:p>
        </w:tc>
        <w:tc>
          <w:tcPr>
            <w:tcW w:w="480" w:type="dxa"/>
            <w:vAlign w:val="bottom"/>
          </w:tcPr>
          <w:p>
            <w:pPr>
              <w:spacing w:after="0"/>
              <w:rPr>
                <w:sz w:val="19"/>
                <w:szCs w:val="19"/>
                <w:color w:val="auto"/>
              </w:rPr>
            </w:pPr>
          </w:p>
        </w:tc>
      </w:tr>
      <w:tr>
        <w:trPr>
          <w:trHeight w:val="225"/>
        </w:trPr>
        <w:tc>
          <w:tcPr>
            <w:tcW w:w="6060" w:type="dxa"/>
            <w:vAlign w:val="bottom"/>
          </w:tcPr>
          <w:p>
            <w:pPr>
              <w:ind w:left="1060"/>
              <w:spacing w:after="0"/>
              <w:rPr>
                <w:sz w:val="20"/>
                <w:szCs w:val="20"/>
                <w:color w:val="auto"/>
              </w:rPr>
            </w:pPr>
            <w:r>
              <w:rPr>
                <w:rFonts w:ascii="Arial" w:cs="Arial" w:eastAsia="Arial" w:hAnsi="Arial"/>
                <w:sz w:val="17"/>
                <w:szCs w:val="17"/>
                <w:color w:val="auto"/>
              </w:rPr>
              <w:t>Less: Valuation allowance</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r>
      <w:tr>
        <w:trPr>
          <w:trHeight w:val="25"/>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7"/>
                <w:szCs w:val="17"/>
                <w:color w:val="auto"/>
              </w:rPr>
              <w:t>Total net deferred income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235,853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228,937</w:t>
            </w:r>
          </w:p>
        </w:tc>
        <w:tc>
          <w:tcPr>
            <w:tcW w:w="480" w:type="dxa"/>
            <w:vAlign w:val="bottom"/>
          </w:tcPr>
          <w:p>
            <w:pPr>
              <w:spacing w:after="0"/>
              <w:rPr>
                <w:sz w:val="21"/>
                <w:szCs w:val="21"/>
                <w:color w:val="auto"/>
              </w:rPr>
            </w:pPr>
          </w:p>
        </w:tc>
      </w:tr>
      <w:tr>
        <w:trPr>
          <w:trHeight w:val="205"/>
        </w:trPr>
        <w:tc>
          <w:tcPr>
            <w:tcW w:w="6060" w:type="dxa"/>
            <w:vAlign w:val="bottom"/>
          </w:tcPr>
          <w:p>
            <w:pPr>
              <w:ind w:left="20"/>
              <w:spacing w:after="0"/>
              <w:rPr>
                <w:sz w:val="20"/>
                <w:szCs w:val="20"/>
                <w:color w:val="auto"/>
              </w:rPr>
            </w:pPr>
            <w:r>
              <w:rPr>
                <w:rFonts w:ascii="Arial" w:cs="Arial" w:eastAsia="Arial" w:hAnsi="Arial"/>
                <w:sz w:val="17"/>
                <w:szCs w:val="17"/>
                <w:color w:val="auto"/>
              </w:rPr>
              <w:t>Deferred income tax liabilities: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r>
      <w:tr>
        <w:trPr>
          <w:trHeight w:val="38"/>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3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Unbilled receivables</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(141,357)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(122,744)</w:t>
            </w:r>
          </w:p>
        </w:tc>
        <w:tc>
          <w:tcPr>
            <w:tcW w:w="480" w:type="dxa"/>
            <w:vAlign w:val="bottom"/>
          </w:tcPr>
          <w:p>
            <w:pPr>
              <w:spacing w:after="0"/>
              <w:rPr>
                <w:sz w:val="20"/>
                <w:szCs w:val="20"/>
                <w:color w:val="auto"/>
              </w:rPr>
            </w:pPr>
          </w:p>
        </w:tc>
      </w:tr>
      <w:tr>
        <w:trPr>
          <w:trHeight w:val="225"/>
        </w:trPr>
        <w:tc>
          <w:tcPr>
            <w:tcW w:w="6060" w:type="dxa"/>
            <w:vAlign w:val="bottom"/>
          </w:tcPr>
          <w:p>
            <w:pPr>
              <w:ind w:left="360"/>
              <w:spacing w:after="0"/>
              <w:rPr>
                <w:sz w:val="20"/>
                <w:szCs w:val="20"/>
                <w:color w:val="auto"/>
              </w:rPr>
            </w:pPr>
            <w:r>
              <w:rPr>
                <w:rFonts w:ascii="Arial" w:cs="Arial" w:eastAsia="Arial" w:hAnsi="Arial"/>
                <w:sz w:val="17"/>
                <w:szCs w:val="17"/>
                <w:color w:val="auto"/>
              </w:rPr>
              <w:t>Intangible assets</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(78,871)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(80,604)</w:t>
            </w:r>
          </w:p>
        </w:tc>
        <w:tc>
          <w:tcPr>
            <w:tcW w:w="480" w:type="dxa"/>
            <w:vAlign w:val="bottom"/>
          </w:tcPr>
          <w:p>
            <w:pPr>
              <w:spacing w:after="0"/>
              <w:rPr>
                <w:sz w:val="19"/>
                <w:szCs w:val="19"/>
                <w:color w:val="auto"/>
              </w:rPr>
            </w:pP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Debt issuance costs</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(3,354)</w:t>
            </w:r>
          </w:p>
        </w:tc>
        <w:tc>
          <w:tcPr>
            <w:tcW w:w="480" w:type="dxa"/>
            <w:vAlign w:val="bottom"/>
          </w:tcPr>
          <w:p>
            <w:pPr>
              <w:spacing w:after="0"/>
              <w:rPr>
                <w:sz w:val="20"/>
                <w:szCs w:val="20"/>
                <w:color w:val="auto"/>
              </w:rPr>
            </w:pPr>
          </w:p>
        </w:tc>
      </w:tr>
      <w:tr>
        <w:trPr>
          <w:trHeight w:val="225"/>
        </w:trPr>
        <w:tc>
          <w:tcPr>
            <w:tcW w:w="6060" w:type="dxa"/>
            <w:vAlign w:val="bottom"/>
          </w:tcPr>
          <w:p>
            <w:pPr>
              <w:ind w:left="360"/>
              <w:spacing w:after="0"/>
              <w:rPr>
                <w:sz w:val="20"/>
                <w:szCs w:val="20"/>
                <w:color w:val="auto"/>
              </w:rPr>
            </w:pPr>
            <w:r>
              <w:rPr>
                <w:rFonts w:ascii="Arial" w:cs="Arial" w:eastAsia="Arial" w:hAnsi="Arial"/>
                <w:sz w:val="17"/>
                <w:szCs w:val="17"/>
                <w:color w:val="auto"/>
              </w:rPr>
              <w:t>Other</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(181)</w:t>
            </w:r>
          </w:p>
        </w:tc>
        <w:tc>
          <w:tcPr>
            <w:tcW w:w="480" w:type="dxa"/>
            <w:vAlign w:val="bottom"/>
          </w:tcPr>
          <w:p>
            <w:pPr>
              <w:spacing w:after="0"/>
              <w:rPr>
                <w:sz w:val="19"/>
                <w:szCs w:val="19"/>
                <w:color w:val="auto"/>
              </w:rPr>
            </w:pPr>
          </w:p>
        </w:tc>
      </w:tr>
      <w:tr>
        <w:trPr>
          <w:trHeight w:val="25"/>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deferred income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(225,028)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(206,883)</w:t>
            </w:r>
          </w:p>
        </w:tc>
        <w:tc>
          <w:tcPr>
            <w:tcW w:w="480" w:type="dxa"/>
            <w:vAlign w:val="bottom"/>
          </w:tcPr>
          <w:p>
            <w:pPr>
              <w:spacing w:after="0"/>
              <w:rPr>
                <w:sz w:val="21"/>
                <w:szCs w:val="21"/>
                <w:color w:val="auto"/>
              </w:rPr>
            </w:pPr>
          </w:p>
        </w:tc>
      </w:tr>
      <w:tr>
        <w:trPr>
          <w:trHeight w:val="218"/>
        </w:trPr>
        <w:tc>
          <w:tcPr>
            <w:tcW w:w="6060" w:type="dxa"/>
            <w:vAlign w:val="bottom"/>
          </w:tcPr>
          <w:p>
            <w:pPr>
              <w:ind w:left="1060"/>
              <w:spacing w:after="0"/>
              <w:rPr>
                <w:sz w:val="20"/>
                <w:szCs w:val="20"/>
                <w:color w:val="auto"/>
              </w:rPr>
            </w:pPr>
            <w:r>
              <w:rPr>
                <w:rFonts w:ascii="Arial" w:cs="Arial" w:eastAsia="Arial" w:hAnsi="Arial"/>
                <w:sz w:val="17"/>
                <w:szCs w:val="17"/>
                <w:color w:val="auto"/>
              </w:rPr>
              <w:t>Net deferred income tax asset</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Borders>
              <w:top w:val="single" w:sz="8" w:color="auto"/>
            </w:tcBorders>
          </w:tcPr>
          <w:p>
            <w:pPr>
              <w:jc w:val="right"/>
              <w:ind w:right="377"/>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10,825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22,054</w:t>
            </w:r>
          </w:p>
        </w:tc>
        <w:tc>
          <w:tcPr>
            <w:tcW w:w="480" w:type="dxa"/>
            <w:vAlign w:val="bottom"/>
          </w:tcPr>
          <w:p>
            <w:pPr>
              <w:spacing w:after="0"/>
              <w:rPr>
                <w:sz w:val="18"/>
                <w:szCs w:val="18"/>
                <w:color w:val="auto"/>
              </w:rPr>
            </w:pP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88" w:lineRule="exact"/>
        <w:rPr>
          <w:sz w:val="20"/>
          <w:szCs w:val="20"/>
          <w:color w:val="auto"/>
        </w:rPr>
      </w:pPr>
    </w:p>
    <w:p>
      <w:pPr>
        <w:ind w:right="40" w:firstLine="375"/>
        <w:spacing w:after="0" w:line="287" w:lineRule="auto"/>
        <w:rPr>
          <w:sz w:val="20"/>
          <w:szCs w:val="20"/>
          <w:color w:val="auto"/>
        </w:rPr>
      </w:pPr>
      <w:r>
        <w:rPr>
          <w:rFonts w:ascii="Arial" w:cs="Arial" w:eastAsia="Arial" w:hAnsi="Arial"/>
          <w:sz w:val="15"/>
          <w:szCs w:val="15"/>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 As discussed in Note 2, the Company recognized deferred income tax assets of $8.9 million associated with the correction of an immaterial misstatement with the medical and dental benefits provided to employees and their eligible dependents on long-term disability. The Company believes it is more likely than not that the results of future operations will generate sufficient taxable income to realize the net deferred tax assets.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2017, the Company has no State net operating loss or NOL carryforwards.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00"/>
          </w:cols>
          <w:pgMar w:left="240" w:top="123" w:right="259" w:bottom="1440" w:gutter="0" w:footer="0" w:header="0"/>
        </w:sectPr>
      </w:pPr>
    </w:p>
    <w:bookmarkStart w:id="85" w:name="page86"/>
    <w:bookmarkEnd w:id="85"/>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Uncertain Tax Positions</w:t>
      </w:r>
    </w:p>
    <w:p>
      <w:pPr>
        <w:spacing w:after="0" w:line="105" w:lineRule="exact"/>
        <w:rPr>
          <w:sz w:val="20"/>
          <w:szCs w:val="20"/>
          <w:color w:val="auto"/>
        </w:rPr>
      </w:pPr>
    </w:p>
    <w:p>
      <w:pPr>
        <w:ind w:right="20" w:firstLine="375"/>
        <w:spacing w:after="0" w:line="270" w:lineRule="auto"/>
        <w:rPr>
          <w:sz w:val="20"/>
          <w:szCs w:val="20"/>
          <w:color w:val="auto"/>
        </w:rPr>
      </w:pPr>
      <w:r>
        <w:rPr>
          <w:rFonts w:ascii="Arial" w:cs="Arial" w:eastAsia="Arial" w:hAnsi="Arial"/>
          <w:sz w:val="16"/>
          <w:szCs w:val="16"/>
          <w:color w:val="auto"/>
        </w:rPr>
        <w:t>The Company maintains reserves for uncertain tax positions related to income tax benefits recognized. These reserves involve considerable judgment and estimation and are evaluated by management based on the best information available including changes in tax laws and other information. As of March 31, 2017, 2016, and 2015, the Company has recorded $11.6 million, $1.5 million, and $58.4 million, respectively, of reserves for uncertain tax positions which includes potential tax benefits of $1.4 million, $1.4 million, and $55.2 million respectively, that, when recognized, impact the effective tax rate. As discussed in Note 4, the Company has a pre-acquisition tax uncertainty that was recorded in purchase accounting in the amount of $10.2 million.</w:t>
      </w:r>
    </w:p>
    <w:p>
      <w:pPr>
        <w:spacing w:after="0" w:line="67" w:lineRule="exact"/>
        <w:rPr>
          <w:sz w:val="20"/>
          <w:szCs w:val="20"/>
          <w:color w:val="auto"/>
        </w:rPr>
      </w:pPr>
    </w:p>
    <w:p>
      <w:pPr>
        <w:ind w:right="280" w:firstLine="375"/>
        <w:spacing w:after="0" w:line="250" w:lineRule="auto"/>
        <w:rPr>
          <w:sz w:val="20"/>
          <w:szCs w:val="20"/>
          <w:color w:val="auto"/>
        </w:rPr>
      </w:pPr>
      <w:r>
        <w:rPr>
          <w:rFonts w:ascii="Arial" w:cs="Arial" w:eastAsia="Arial" w:hAnsi="Arial"/>
          <w:sz w:val="17"/>
          <w:szCs w:val="17"/>
          <w:color w:val="auto"/>
        </w:rPr>
        <w:t>For the fiscal year ended March 31, 2016, the Company's reserves for uncertain tax positions decreased primarily as a result of expired statute of limitations for a prior tax year and management's conclusion that the uncertain tax positions related to the statute lapse were effectively settled. The Company released approximately $56.9 million of its pre-acquisition uncertain tax positions during fiscal 2016, including $3.2 million of net interest and penalties that were incurred by the Company subsequent to the acquisition. This resulted in a decrease in the Company's effective tax rate for fiscal 2016. As part of this settlement, an amount of $21.4 million, previously indemnified under the remaining available DPO was relieved. As of March 31, 2016, there were no estimated tax indemnified amounts recorded against the DPO.</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reconciliation of the beginning and ending amount of potential tax benefits for the periods presented is as follows:</w:t>
      </w:r>
    </w:p>
    <w:p>
      <w:pPr>
        <w:spacing w:after="0" w:line="310" w:lineRule="exact"/>
        <w:rPr>
          <w:sz w:val="20"/>
          <w:szCs w:val="20"/>
          <w:color w:val="auto"/>
        </w:rPr>
      </w:pPr>
    </w:p>
    <w:tbl>
      <w:tblPr>
        <w:tblLayout w:type="fixed"/>
        <w:tblInd w:w="680" w:type="dxa"/>
        <w:tblCellMar>
          <w:top w:w="0" w:type="dxa"/>
          <w:left w:w="0" w:type="dxa"/>
          <w:bottom w:w="0" w:type="dxa"/>
          <w:right w:w="0" w:type="dxa"/>
        </w:tblCellMar>
      </w:tblPr>
      <w:tr>
        <w:trPr>
          <w:trHeight w:val="178"/>
        </w:trPr>
        <w:tc>
          <w:tcPr>
            <w:tcW w:w="5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March 31,</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243"/>
        </w:trPr>
        <w:tc>
          <w:tcPr>
            <w:tcW w:w="53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2015</w:t>
            </w:r>
          </w:p>
        </w:tc>
      </w:tr>
      <w:tr>
        <w:trPr>
          <w:trHeight w:val="22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of year</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55,164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54,966</w:t>
            </w:r>
          </w:p>
        </w:tc>
      </w:tr>
      <w:tr>
        <w:trPr>
          <w:trHeight w:val="225"/>
        </w:trPr>
        <w:tc>
          <w:tcPr>
            <w:tcW w:w="5320" w:type="dxa"/>
            <w:vAlign w:val="bottom"/>
          </w:tcPr>
          <w:p>
            <w:pPr>
              <w:ind w:left="360"/>
              <w:spacing w:after="0"/>
              <w:rPr>
                <w:sz w:val="20"/>
                <w:szCs w:val="20"/>
                <w:color w:val="auto"/>
              </w:rPr>
            </w:pPr>
            <w:r>
              <w:rPr>
                <w:rFonts w:ascii="Arial" w:cs="Arial" w:eastAsia="Arial" w:hAnsi="Arial"/>
                <w:sz w:val="17"/>
                <w:szCs w:val="17"/>
                <w:color w:val="auto"/>
              </w:rPr>
              <w:t>Increases in prior year position</w:t>
            </w:r>
          </w:p>
        </w:tc>
        <w:tc>
          <w:tcPr>
            <w:tcW w:w="92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27</w:t>
            </w:r>
          </w:p>
        </w:tc>
      </w:tr>
      <w:tr>
        <w:trPr>
          <w:trHeight w:val="25"/>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Increases in current year position</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2"/>
              </w:rPr>
              <w:t>10,278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203</w:t>
            </w:r>
          </w:p>
        </w:tc>
      </w:tr>
      <w:tr>
        <w:trPr>
          <w:trHeight w:val="225"/>
        </w:trPr>
        <w:tc>
          <w:tcPr>
            <w:tcW w:w="5320" w:type="dxa"/>
            <w:vAlign w:val="bottom"/>
          </w:tcPr>
          <w:p>
            <w:pPr>
              <w:ind w:left="360"/>
              <w:spacing w:after="0"/>
              <w:rPr>
                <w:sz w:val="20"/>
                <w:szCs w:val="20"/>
                <w:color w:val="auto"/>
              </w:rPr>
            </w:pPr>
            <w:r>
              <w:rPr>
                <w:rFonts w:ascii="Arial" w:cs="Arial" w:eastAsia="Arial" w:hAnsi="Arial"/>
                <w:sz w:val="17"/>
                <w:szCs w:val="17"/>
                <w:color w:val="auto"/>
              </w:rPr>
              <w:t>Settlements with taxing authorities</w:t>
            </w:r>
          </w:p>
        </w:tc>
        <w:tc>
          <w:tcPr>
            <w:tcW w:w="9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5"/>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Lapse of statute of limitations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r>
      <w:tr>
        <w:trPr>
          <w:trHeight w:val="218"/>
        </w:trPr>
        <w:tc>
          <w:tcPr>
            <w:tcW w:w="5320" w:type="dxa"/>
            <w:vAlign w:val="bottom"/>
          </w:tcPr>
          <w:p>
            <w:pPr>
              <w:ind w:left="660"/>
              <w:spacing w:after="0"/>
              <w:rPr>
                <w:sz w:val="20"/>
                <w:szCs w:val="20"/>
                <w:color w:val="auto"/>
              </w:rPr>
            </w:pPr>
            <w:r>
              <w:rPr>
                <w:rFonts w:ascii="Arial" w:cs="Arial" w:eastAsia="Arial" w:hAnsi="Arial"/>
                <w:sz w:val="17"/>
                <w:szCs w:val="17"/>
                <w:color w:val="auto"/>
              </w:rPr>
              <w:t>End of year</w:t>
            </w:r>
          </w:p>
        </w:tc>
        <w:tc>
          <w:tcPr>
            <w:tcW w:w="920" w:type="dxa"/>
            <w:vAlign w:val="bottom"/>
            <w:tcBorders>
              <w:top w:val="single" w:sz="8" w:color="auto"/>
            </w:tcBorders>
          </w:tcPr>
          <w:p>
            <w:pPr>
              <w:jc w:val="right"/>
              <w:ind w:right="722"/>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92"/>
              </w:rPr>
              <w:t>11,588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1,449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55,164</w:t>
            </w:r>
          </w:p>
        </w:tc>
      </w:tr>
      <w:tr>
        <w:trPr>
          <w:trHeight w:val="25"/>
        </w:trPr>
        <w:tc>
          <w:tcPr>
            <w:tcW w:w="5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140" w:firstLine="375"/>
        <w:spacing w:after="0" w:line="279" w:lineRule="auto"/>
        <w:rPr>
          <w:sz w:val="20"/>
          <w:szCs w:val="20"/>
          <w:color w:val="auto"/>
        </w:rPr>
      </w:pPr>
      <w:r>
        <w:rPr>
          <w:rFonts w:ascii="Arial" w:cs="Arial" w:eastAsia="Arial" w:hAnsi="Arial"/>
          <w:sz w:val="16"/>
          <w:szCs w:val="16"/>
          <w:color w:val="auto"/>
        </w:rPr>
        <w:t>The Company recognized accrued (released) interest and penalties of $(9) thousand, $(3.2) million and $0.8 million for fiscal 2017, 2016, and 2015, respectively, related to the reserves for uncertain tax positions in the income tax provision. Included in the total reserve for uncertain tax positions are accrued penalties and interest of approximately $0.1 million, $0.1 million and $3.3 million at March 31, 2017, 2016, and 2015 respectively.</w:t>
      </w:r>
    </w:p>
    <w:p>
      <w:pPr>
        <w:spacing w:after="0" w:line="59" w:lineRule="exact"/>
        <w:rPr>
          <w:sz w:val="20"/>
          <w:szCs w:val="20"/>
          <w:color w:val="auto"/>
        </w:rPr>
      </w:pPr>
    </w:p>
    <w:p>
      <w:pPr>
        <w:ind w:right="60" w:firstLine="375"/>
        <w:spacing w:after="0" w:line="256" w:lineRule="auto"/>
        <w:rPr>
          <w:sz w:val="20"/>
          <w:szCs w:val="20"/>
          <w:color w:val="auto"/>
        </w:rPr>
      </w:pPr>
      <w:r>
        <w:rPr>
          <w:rFonts w:ascii="Arial" w:cs="Arial" w:eastAsia="Arial" w:hAnsi="Arial"/>
          <w:sz w:val="17"/>
          <w:szCs w:val="17"/>
          <w:color w:val="auto"/>
        </w:rPr>
        <w:t>The Company is subject to taxation in the United States and various state and foreign jurisdictions. As of March 31, 2017, the Company's tax years ended March 31, 2013 and forward are open and subject to examination by the federal tax authorities. The other jurisdictions currently open or under examination are not considered to be material.</w:t>
      </w:r>
    </w:p>
    <w:p>
      <w:pPr>
        <w:spacing w:after="0" w:line="372" w:lineRule="exact"/>
        <w:rPr>
          <w:sz w:val="20"/>
          <w:szCs w:val="20"/>
          <w:color w:val="auto"/>
        </w:rPr>
      </w:pPr>
    </w:p>
    <w:p>
      <w:pPr>
        <w:ind w:left="300" w:right="8860" w:hanging="300"/>
        <w:spacing w:after="0" w:line="394" w:lineRule="auto"/>
        <w:tabs>
          <w:tab w:leader="none" w:pos="25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b w:val="1"/>
          <w:bCs w:val="1"/>
          <w:i w:val="1"/>
          <w:iCs w:val="1"/>
          <w:color w:val="auto"/>
        </w:rPr>
        <w:t>Defined Contribution Plan</w:t>
      </w:r>
    </w:p>
    <w:p>
      <w:pPr>
        <w:spacing w:after="0" w:line="1" w:lineRule="exact"/>
        <w:rPr>
          <w:sz w:val="20"/>
          <w:szCs w:val="20"/>
          <w:color w:val="auto"/>
        </w:rPr>
      </w:pPr>
    </w:p>
    <w:p>
      <w:pPr>
        <w:ind w:firstLine="375"/>
        <w:spacing w:after="0" w:line="292" w:lineRule="auto"/>
        <w:rPr>
          <w:sz w:val="20"/>
          <w:szCs w:val="20"/>
          <w:color w:val="auto"/>
        </w:rPr>
      </w:pPr>
      <w:r>
        <w:rPr>
          <w:rFonts w:ascii="Arial" w:cs="Arial" w:eastAsia="Arial" w:hAnsi="Arial"/>
          <w:sz w:val="15"/>
          <w:szCs w:val="15"/>
          <w:color w:val="auto"/>
        </w:rPr>
        <w:t>The Company sponsors the Employees’ Capital Accumulation Plan, or ECAP, which is a qualified defined contribution plan that covers eligible U.S. and international employees. The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for fiscal 2017, 2016, and 2015 was $116.6 million, $108.7 million, and $110.7 million, respectively, and the Company-paid contributions were $114.8 million, $107.5 million, and $124.8 million, respectively.</w:t>
      </w:r>
    </w:p>
    <w:p>
      <w:pPr>
        <w:spacing w:after="0" w:line="5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Defined Benefit Plan and Other Postretirement Benefit Plans</w:t>
      </w:r>
    </w:p>
    <w:p>
      <w:pPr>
        <w:spacing w:after="0" w:line="105" w:lineRule="exact"/>
        <w:rPr>
          <w:sz w:val="20"/>
          <w:szCs w:val="20"/>
          <w:color w:val="auto"/>
        </w:rPr>
      </w:pPr>
    </w:p>
    <w:p>
      <w:pPr>
        <w:ind w:right="200" w:firstLine="375"/>
        <w:spacing w:after="0" w:line="273" w:lineRule="auto"/>
        <w:rPr>
          <w:sz w:val="20"/>
          <w:szCs w:val="20"/>
          <w:color w:val="auto"/>
        </w:rPr>
      </w:pPr>
      <w:r>
        <w:rPr>
          <w:rFonts w:ascii="Arial" w:cs="Arial" w:eastAsia="Arial" w:hAnsi="Arial"/>
          <w:sz w:val="16"/>
          <w:szCs w:val="16"/>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123" w:right="239" w:bottom="1440" w:gutter="0" w:footer="0" w:header="0"/>
        </w:sectPr>
      </w:pPr>
    </w:p>
    <w:bookmarkStart w:id="86" w:name="page87"/>
    <w:bookmarkEnd w:id="86"/>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Bonus Plan is not salary related, but rather is based primarily on years of service. In the fourth quarter of fiscal 2017, the Company adopted a new plan which will provide for a one-time, lump sum retirement payment of one month’s salary when a vice-president retires from the Company, effective April 1, 2017. This is referred to as the Retired Vice-President Bonus Plan.</w:t>
      </w:r>
    </w:p>
    <w:p>
      <w:pPr>
        <w:spacing w:after="0" w:line="75" w:lineRule="exact"/>
        <w:rPr>
          <w:sz w:val="20"/>
          <w:szCs w:val="20"/>
          <w:color w:val="auto"/>
        </w:rPr>
      </w:pPr>
    </w:p>
    <w:p>
      <w:pPr>
        <w:jc w:val="both"/>
        <w:ind w:right="60" w:firstLine="375"/>
        <w:spacing w:after="0" w:line="306" w:lineRule="auto"/>
        <w:rPr>
          <w:sz w:val="20"/>
          <w:szCs w:val="20"/>
          <w:color w:val="auto"/>
        </w:rPr>
      </w:pPr>
      <w:r>
        <w:rPr>
          <w:rFonts w:ascii="Arial" w:cs="Arial" w:eastAsia="Arial" w:hAnsi="Arial"/>
          <w:sz w:val="15"/>
          <w:szCs w:val="15"/>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cost.The components of net postretirement medical expense for the Officer Medical Plan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4"/>
              </w:rPr>
              <w:t>Fiscal Year Ended March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3"/>
        </w:trPr>
        <w:tc>
          <w:tcPr>
            <w:tcW w:w="67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2015</w:t>
            </w:r>
          </w:p>
        </w:tc>
      </w:tr>
      <w:tr>
        <w:trPr>
          <w:trHeight w:val="22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4,851</w:t>
            </w:r>
          </w:p>
        </w:tc>
        <w:tc>
          <w:tcPr>
            <w:tcW w:w="48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5,702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4,086</w:t>
            </w:r>
          </w:p>
        </w:tc>
      </w:tr>
      <w:tr>
        <w:trPr>
          <w:trHeight w:val="225"/>
        </w:trPr>
        <w:tc>
          <w:tcPr>
            <w:tcW w:w="676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900" w:type="dxa"/>
            <w:vAlign w:val="bottom"/>
          </w:tcPr>
          <w:p>
            <w:pPr>
              <w:spacing w:after="0"/>
              <w:rPr>
                <w:sz w:val="19"/>
                <w:szCs w:val="19"/>
                <w:color w:val="auto"/>
              </w:rPr>
            </w:pPr>
          </w:p>
        </w:tc>
        <w:tc>
          <w:tcPr>
            <w:tcW w:w="580" w:type="dxa"/>
            <w:vAlign w:val="bottom"/>
          </w:tcPr>
          <w:p>
            <w:pPr>
              <w:jc w:val="right"/>
              <w:ind w:right="17"/>
              <w:spacing w:after="0"/>
              <w:rPr>
                <w:sz w:val="20"/>
                <w:szCs w:val="20"/>
                <w:color w:val="auto"/>
              </w:rPr>
            </w:pPr>
            <w:r>
              <w:rPr>
                <w:rFonts w:ascii="Arial" w:cs="Arial" w:eastAsia="Arial" w:hAnsi="Arial"/>
                <w:sz w:val="17"/>
                <w:szCs w:val="17"/>
                <w:color w:val="auto"/>
              </w:rPr>
              <w:t>4,782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7"/>
                <w:szCs w:val="17"/>
                <w:color w:val="auto"/>
              </w:rPr>
              <w:t>4,505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3,568</w:t>
            </w:r>
          </w:p>
        </w:tc>
      </w:tr>
      <w:tr>
        <w:trPr>
          <w:trHeight w:val="25"/>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actuarial loss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582</w:t>
            </w:r>
          </w:p>
        </w:tc>
      </w:tr>
      <w:tr>
        <w:trPr>
          <w:trHeight w:val="218"/>
        </w:trPr>
        <w:tc>
          <w:tcPr>
            <w:tcW w:w="6760" w:type="dxa"/>
            <w:vAlign w:val="bottom"/>
          </w:tcPr>
          <w:p>
            <w:pPr>
              <w:ind w:left="360"/>
              <w:spacing w:after="0"/>
              <w:rPr>
                <w:sz w:val="20"/>
                <w:szCs w:val="20"/>
                <w:color w:val="auto"/>
              </w:rPr>
            </w:pPr>
            <w:r>
              <w:rPr>
                <w:rFonts w:ascii="Arial" w:cs="Arial" w:eastAsia="Arial" w:hAnsi="Arial"/>
                <w:sz w:val="17"/>
                <w:szCs w:val="17"/>
                <w:color w:val="auto"/>
              </w:rPr>
              <w:t>Total postretirement medical expense</w:t>
            </w:r>
          </w:p>
        </w:tc>
        <w:tc>
          <w:tcPr>
            <w:tcW w:w="900" w:type="dxa"/>
            <w:vAlign w:val="bottom"/>
            <w:tcBorders>
              <w:top w:val="single" w:sz="8" w:color="auto"/>
            </w:tcBorders>
          </w:tcPr>
          <w:p>
            <w:pPr>
              <w:jc w:val="right"/>
              <w:ind w:right="722"/>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8"/>
              </w:rPr>
              <w:t>12,685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13,743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8,236</w:t>
            </w:r>
          </w:p>
        </w:tc>
      </w:tr>
      <w:tr>
        <w:trPr>
          <w:trHeight w:val="25"/>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weighted-average discount rate used to determine the year-end benefit obligations was as follows:</w:t>
      </w:r>
    </w:p>
    <w:p>
      <w:pPr>
        <w:spacing w:after="0" w:line="200" w:lineRule="exact"/>
        <w:rPr>
          <w:sz w:val="20"/>
          <w:szCs w:val="20"/>
          <w:color w:val="auto"/>
        </w:rPr>
      </w:pPr>
    </w:p>
    <w:p>
      <w:pPr>
        <w:spacing w:after="0" w:line="310" w:lineRule="exact"/>
        <w:rPr>
          <w:sz w:val="20"/>
          <w:szCs w:val="20"/>
          <w:color w:val="auto"/>
        </w:rPr>
      </w:pPr>
    </w:p>
    <w:p>
      <w:pPr>
        <w:ind w:left="8220"/>
        <w:spacing w:after="0"/>
        <w:rPr>
          <w:sz w:val="20"/>
          <w:szCs w:val="20"/>
          <w:color w:val="auto"/>
        </w:rPr>
      </w:pPr>
      <w:r>
        <w:rPr>
          <w:rFonts w:ascii="Arial" w:cs="Arial" w:eastAsia="Arial" w:hAnsi="Arial"/>
          <w:sz w:val="13"/>
          <w:szCs w:val="13"/>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20955</wp:posOffset>
            </wp:positionV>
            <wp:extent cx="3051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2016</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2015</w:t>
            </w:r>
          </w:p>
        </w:tc>
      </w:tr>
      <w:tr>
        <w:trPr>
          <w:trHeight w:val="22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Officer Medical Plan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w:t>
            </w:r>
          </w:p>
        </w:tc>
      </w:tr>
      <w:tr>
        <w:trPr>
          <w:trHeight w:val="225"/>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Retired Officers’ Bonus Plan</w:t>
            </w:r>
          </w:p>
        </w:tc>
        <w:tc>
          <w:tcPr>
            <w:tcW w:w="540" w:type="dxa"/>
            <w:vAlign w:val="bottom"/>
          </w:tcPr>
          <w:p>
            <w:pPr>
              <w:jc w:val="right"/>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25"/>
        </w:trPr>
        <w:tc>
          <w:tcPr>
            <w:tcW w:w="6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Retired Vice Presidents' Bonus Plan</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Assumed healthcare cost trend rates for the Officer Medical Plan at March 31, 2017 and 2016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Pre-65 initial rate</w:t>
            </w:r>
          </w:p>
        </w:tc>
        <w:tc>
          <w:tcPr>
            <w:tcW w:w="154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2016</w:t>
            </w:r>
          </w:p>
        </w:tc>
      </w:tr>
      <w:tr>
        <w:trPr>
          <w:trHeight w:val="22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Healthcare cost trend rate assumed for next year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Rate to which the cost trend rate is assumed to decline (the ultimate trend rate)</w:t>
            </w:r>
          </w:p>
        </w:tc>
        <w:tc>
          <w:tcPr>
            <w:tcW w:w="154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5"/>
        </w:trPr>
        <w:tc>
          <w:tcPr>
            <w:tcW w:w="8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that the rate reaches the ultimate trend rate</w:t>
            </w:r>
          </w:p>
        </w:tc>
        <w:tc>
          <w:tcPr>
            <w:tcW w:w="15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7"/>
                <w:szCs w:val="17"/>
                <w:color w:val="auto"/>
              </w:rPr>
              <w:t>2024</w:t>
            </w:r>
          </w:p>
        </w:tc>
      </w:tr>
      <w:tr>
        <w:trPr>
          <w:trHeight w:val="37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Post-65 initial rate</w:t>
            </w:r>
          </w:p>
        </w:tc>
        <w:tc>
          <w:tcPr>
            <w:tcW w:w="154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2016</w:t>
            </w:r>
          </w:p>
        </w:tc>
      </w:tr>
      <w:tr>
        <w:trPr>
          <w:trHeight w:val="22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Healthcare cost trend rate assumed for next year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Rate to which the cost trend rate is assumed to decline (the ultimate trend rate)</w:t>
            </w:r>
          </w:p>
        </w:tc>
        <w:tc>
          <w:tcPr>
            <w:tcW w:w="154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5"/>
        </w:trPr>
        <w:tc>
          <w:tcPr>
            <w:tcW w:w="8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that the rate reaches the ultimate trend rate</w:t>
            </w:r>
          </w:p>
        </w:tc>
        <w:tc>
          <w:tcPr>
            <w:tcW w:w="154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2024</w:t>
            </w:r>
          </w:p>
        </w:tc>
      </w:tr>
      <w:tr>
        <w:trPr>
          <w:trHeight w:val="25"/>
        </w:trPr>
        <w:tc>
          <w:tcPr>
            <w:tcW w:w="8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ind w:right="60" w:firstLine="375"/>
        <w:spacing w:after="0" w:line="266" w:lineRule="auto"/>
        <w:rPr>
          <w:sz w:val="20"/>
          <w:szCs w:val="20"/>
          <w:color w:val="auto"/>
        </w:rPr>
      </w:pPr>
      <w:r>
        <w:rPr>
          <w:rFonts w:ascii="Arial" w:cs="Arial" w:eastAsia="Arial" w:hAnsi="Arial"/>
          <w:sz w:val="17"/>
          <w:szCs w:val="17"/>
          <w:color w:val="auto"/>
        </w:rPr>
        <w:t>Assumed healthcare cost trend rates have a significant effect on the amounts reported for the healthcare plans. A one-percentage-point change in assumed healthcare cost trend rates calculated as of March 31, 2017 would have the following effects: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 Increase</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1% Decrease</w:t>
            </w: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on total of service and interest cost</w:t>
            </w:r>
          </w:p>
        </w:tc>
        <w:tc>
          <w:tcPr>
            <w:tcW w:w="1440" w:type="dxa"/>
            <w:vAlign w:val="bottom"/>
            <w:tcBorders>
              <w:bottom w:val="single" w:sz="8" w:color="CCEEFF"/>
            </w:tcBorders>
            <w:shd w:val="clear" w:color="auto" w:fill="CCEEFF"/>
          </w:tcPr>
          <w:p>
            <w:pPr>
              <w:jc w:val="right"/>
              <w:ind w:right="124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2,160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(1,667)</w:t>
            </w: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Effect on postretirement benefit obligation</w:t>
            </w:r>
          </w:p>
        </w:tc>
        <w:tc>
          <w:tcPr>
            <w:tcW w:w="144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7"/>
                <w:szCs w:val="17"/>
                <w:color w:val="auto"/>
                <w:w w:val="96"/>
              </w:rPr>
              <w:t>20,446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(16,374)</w:t>
            </w:r>
          </w:p>
        </w:tc>
      </w:tr>
    </w:tbl>
    <w:p>
      <w:pPr>
        <w:spacing w:after="0" w:line="113" w:lineRule="exact"/>
        <w:rPr>
          <w:sz w:val="20"/>
          <w:szCs w:val="20"/>
          <w:color w:val="auto"/>
        </w:rPr>
      </w:pPr>
    </w:p>
    <w:p>
      <w:pPr>
        <w:ind w:right="40" w:firstLine="375"/>
        <w:spacing w:after="0" w:line="250" w:lineRule="auto"/>
        <w:rPr>
          <w:sz w:val="20"/>
          <w:szCs w:val="20"/>
          <w:color w:val="auto"/>
        </w:rPr>
      </w:pPr>
      <w:r>
        <w:rPr>
          <w:rFonts w:ascii="Arial" w:cs="Arial" w:eastAsia="Arial" w:hAnsi="Arial"/>
          <w:sz w:val="17"/>
          <w:szCs w:val="17"/>
          <w:color w:val="auto"/>
        </w:rPr>
        <w:t>Total defined benefit plan expense, consisting of service, interest, and net actuarial gain associated with the Retired Officers' Bonus Plan was $0.7 million, $0.7 million, and $0.7 million for fiscal 2017, 2016, and 2015, respectively. Benefits paid associated with the Retired Officers’ Bonus Plan were $0.9 million, $0.3 million, and $1.3 million for fiscal 2017, 2016, and 2015, respectively. The end-of-period benefit obligation of $4.4 million and $4.5 million as of March 31, 2017 and 2016, respectively, is included in postretirement obligations within other long-term liabilities in the accompanying consolidated balance sheets. The projected benefit obligation associated with the Retired Vice-President Bonus Plan was $1.0 million as of March 31, 2017, which was recorded as postretirement obligations within other long-term liabilities in the accompanying consolidated balance sheets.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123" w:right="239" w:bottom="1440" w:gutter="0" w:footer="0" w:header="0"/>
        </w:sectPr>
      </w:pPr>
    </w:p>
    <w:bookmarkStart w:id="87" w:name="page88"/>
    <w:bookmarkEnd w:id="87"/>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120" w:firstLine="375"/>
        <w:spacing w:after="0" w:line="273" w:lineRule="auto"/>
        <w:rPr>
          <w:sz w:val="20"/>
          <w:szCs w:val="20"/>
          <w:color w:val="auto"/>
        </w:rPr>
      </w:pPr>
      <w:r>
        <w:rPr>
          <w:rFonts w:ascii="Arial" w:cs="Arial" w:eastAsia="Arial" w:hAnsi="Arial"/>
          <w:sz w:val="16"/>
          <w:szCs w:val="16"/>
          <w:color w:val="auto"/>
        </w:rPr>
        <w:t>Accumulated other comprehensive loss for fiscal 2017 includes unrecognized gross actuarial gain and prior service cost of $1.1 million, reduced by taxes of $0.4 million, that has not yet been recognized in net periodic pension cost for fiscal 2017 for the Retired Officers’ Bonus Plan, the Officer Medical Plan, and the Retired Vice-President Bonus Plan. Accumulated other comprehensive loss includes unrecognized gross actuarial gain of $0.7 million, reduced by taxes of $0.3 million for fiscal 2016 that has not yet been recognized in net periodic pension cost for the Retired Officers’ Bonus Plan and the Officer Medical Plan.</w:t>
      </w:r>
    </w:p>
    <w:p>
      <w:pPr>
        <w:spacing w:after="0" w:line="64" w:lineRule="exact"/>
        <w:rPr>
          <w:sz w:val="20"/>
          <w:szCs w:val="20"/>
          <w:color w:val="auto"/>
        </w:rPr>
      </w:pPr>
    </w:p>
    <w:p>
      <w:pPr>
        <w:ind w:right="160" w:firstLine="375"/>
        <w:spacing w:after="0" w:line="266" w:lineRule="auto"/>
        <w:rPr>
          <w:sz w:val="20"/>
          <w:szCs w:val="20"/>
          <w:color w:val="auto"/>
        </w:rPr>
      </w:pPr>
      <w:r>
        <w:rPr>
          <w:rFonts w:ascii="Arial" w:cs="Arial" w:eastAsia="Arial" w:hAnsi="Arial"/>
          <w:sz w:val="17"/>
          <w:szCs w:val="17"/>
          <w:color w:val="auto"/>
        </w:rPr>
        <w:t>The amounts in accumulated other comprehensive loss expected to be recognized as components of net periodic cost in fiscal 2018 are $2.3 million of net actuarial loss, $0.1 million of net prior service cost, and $0 of net transition (asset) obligation.</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changes in the benefit obligation, plan assets, and funded status of the Officer Medical Plan were as follows: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0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Fiscal Year Ended March 31,</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3"/>
        </w:trPr>
        <w:tc>
          <w:tcPr>
            <w:tcW w:w="60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2015</w:t>
            </w: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obligation, beginning of the year</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1"/>
              </w:rPr>
              <w:t>114,008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107,317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75,902</w:t>
            </w:r>
          </w:p>
        </w:tc>
      </w:tr>
      <w:tr>
        <w:trPr>
          <w:trHeight w:val="225"/>
        </w:trPr>
        <w:tc>
          <w:tcPr>
            <w:tcW w:w="6060" w:type="dxa"/>
            <w:vAlign w:val="bottom"/>
          </w:tcPr>
          <w:p>
            <w:pPr>
              <w:ind w:left="340"/>
              <w:spacing w:after="0"/>
              <w:rPr>
                <w:sz w:val="20"/>
                <w:szCs w:val="20"/>
                <w:color w:val="auto"/>
              </w:rPr>
            </w:pPr>
            <w:r>
              <w:rPr>
                <w:rFonts w:ascii="Arial" w:cs="Arial" w:eastAsia="Arial" w:hAnsi="Arial"/>
                <w:sz w:val="17"/>
                <w:szCs w:val="17"/>
                <w:color w:val="auto"/>
              </w:rPr>
              <w:t>Service cost</w:t>
            </w:r>
          </w:p>
        </w:tc>
        <w:tc>
          <w:tcPr>
            <w:tcW w:w="10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4,851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7"/>
                <w:szCs w:val="17"/>
                <w:color w:val="auto"/>
              </w:rPr>
              <w:t>5,702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4,086</w:t>
            </w:r>
          </w:p>
        </w:tc>
      </w:tr>
      <w:tr>
        <w:trPr>
          <w:trHeight w:val="25"/>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Interest cost</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4,505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3,568</w:t>
            </w:r>
          </w:p>
        </w:tc>
      </w:tr>
      <w:tr>
        <w:trPr>
          <w:trHeight w:val="225"/>
        </w:trPr>
        <w:tc>
          <w:tcPr>
            <w:tcW w:w="6060" w:type="dxa"/>
            <w:vAlign w:val="bottom"/>
          </w:tcPr>
          <w:p>
            <w:pPr>
              <w:ind w:left="340"/>
              <w:spacing w:after="0"/>
              <w:rPr>
                <w:sz w:val="20"/>
                <w:szCs w:val="20"/>
                <w:color w:val="auto"/>
              </w:rPr>
            </w:pPr>
            <w:r>
              <w:rPr>
                <w:rFonts w:ascii="Arial" w:cs="Arial" w:eastAsia="Arial" w:hAnsi="Arial"/>
                <w:sz w:val="17"/>
                <w:szCs w:val="17"/>
                <w:color w:val="auto"/>
              </w:rPr>
              <w:t>Net actuarial (gain) loss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26,293</w:t>
            </w:r>
          </w:p>
        </w:tc>
      </w:tr>
      <w:tr>
        <w:trPr>
          <w:trHeight w:val="25"/>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Benefits paid</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(2,532)</w:t>
            </w:r>
          </w:p>
        </w:tc>
      </w:tr>
      <w:tr>
        <w:trPr>
          <w:trHeight w:val="218"/>
        </w:trPr>
        <w:tc>
          <w:tcPr>
            <w:tcW w:w="6060" w:type="dxa"/>
            <w:vAlign w:val="bottom"/>
          </w:tcPr>
          <w:p>
            <w:pPr>
              <w:ind w:left="640"/>
              <w:spacing w:after="0"/>
              <w:rPr>
                <w:sz w:val="20"/>
                <w:szCs w:val="20"/>
                <w:color w:val="auto"/>
              </w:rPr>
            </w:pPr>
            <w:r>
              <w:rPr>
                <w:rFonts w:ascii="Arial" w:cs="Arial" w:eastAsia="Arial" w:hAnsi="Arial"/>
                <w:sz w:val="17"/>
                <w:szCs w:val="17"/>
                <w:color w:val="auto"/>
              </w:rPr>
              <w:t>Benefit obligation, end of the year</w:t>
            </w:r>
          </w:p>
        </w:tc>
        <w:tc>
          <w:tcPr>
            <w:tcW w:w="1020" w:type="dxa"/>
            <w:vAlign w:val="bottom"/>
            <w:tcBorders>
              <w:top w:val="single" w:sz="8" w:color="auto"/>
            </w:tcBorders>
          </w:tcPr>
          <w:p>
            <w:pPr>
              <w:jc w:val="right"/>
              <w:ind w:right="842"/>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91"/>
              </w:rPr>
              <w:t>118,089</w:t>
            </w:r>
          </w:p>
        </w:tc>
        <w:tc>
          <w:tcPr>
            <w:tcW w:w="120" w:type="dxa"/>
            <w:vAlign w:val="bottom"/>
          </w:tcPr>
          <w:p>
            <w:pPr>
              <w:spacing w:after="0"/>
              <w:rPr>
                <w:sz w:val="18"/>
                <w:szCs w:val="18"/>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114,008</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107,317</w:t>
            </w:r>
          </w:p>
        </w:tc>
      </w:tr>
      <w:tr>
        <w:trPr>
          <w:trHeight w:val="25"/>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60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Fiscal Year Ended March 31,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7"/>
                <w:szCs w:val="17"/>
                <w:b w:val="1"/>
                <w:bCs w:val="1"/>
                <w:color w:val="auto"/>
              </w:rPr>
              <w:t>Changes in plan assets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2015</w:t>
            </w:r>
          </w:p>
        </w:tc>
      </w:tr>
      <w:tr>
        <w:trPr>
          <w:trHeight w:val="225"/>
        </w:trPr>
        <w:tc>
          <w:tcPr>
            <w:tcW w:w="6060" w:type="dxa"/>
            <w:vAlign w:val="bottom"/>
          </w:tcPr>
          <w:p>
            <w:pPr>
              <w:ind w:left="20"/>
              <w:spacing w:after="0"/>
              <w:rPr>
                <w:sz w:val="20"/>
                <w:szCs w:val="20"/>
                <w:color w:val="auto"/>
              </w:rPr>
            </w:pPr>
            <w:r>
              <w:rPr>
                <w:rFonts w:ascii="Arial" w:cs="Arial" w:eastAsia="Arial" w:hAnsi="Arial"/>
                <w:sz w:val="17"/>
                <w:szCs w:val="17"/>
                <w:color w:val="auto"/>
              </w:rPr>
              <w:t>Fair value of plan assets, beginning of the year</w:t>
            </w:r>
          </w:p>
        </w:tc>
        <w:tc>
          <w:tcPr>
            <w:tcW w:w="1020" w:type="dxa"/>
            <w:vAlign w:val="bottom"/>
          </w:tcPr>
          <w:p>
            <w:pPr>
              <w:jc w:val="right"/>
              <w:ind w:right="842"/>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w:t>
            </w:r>
          </w:p>
        </w:tc>
      </w:tr>
      <w:tr>
        <w:trPr>
          <w:trHeight w:val="25"/>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Employer contributions</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3,333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3,020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2,532</w:t>
            </w:r>
          </w:p>
        </w:tc>
      </w:tr>
      <w:tr>
        <w:trPr>
          <w:trHeight w:val="225"/>
        </w:trPr>
        <w:tc>
          <w:tcPr>
            <w:tcW w:w="6060" w:type="dxa"/>
            <w:vAlign w:val="bottom"/>
          </w:tcPr>
          <w:p>
            <w:pPr>
              <w:ind w:left="340"/>
              <w:spacing w:after="0"/>
              <w:rPr>
                <w:sz w:val="20"/>
                <w:szCs w:val="20"/>
                <w:color w:val="auto"/>
              </w:rPr>
            </w:pPr>
            <w:r>
              <w:rPr>
                <w:rFonts w:ascii="Arial" w:cs="Arial" w:eastAsia="Arial" w:hAnsi="Arial"/>
                <w:sz w:val="17"/>
                <w:szCs w:val="17"/>
                <w:color w:val="auto"/>
              </w:rPr>
              <w:t>Benefits paid</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(2,532)</w:t>
            </w:r>
          </w:p>
        </w:tc>
      </w:tr>
      <w:tr>
        <w:trPr>
          <w:trHeight w:val="25"/>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8"/>
        </w:trPr>
        <w:tc>
          <w:tcPr>
            <w:tcW w:w="6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Fair value of plan assets, end of the year</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60" w:firstLine="375"/>
        <w:spacing w:after="0" w:line="266" w:lineRule="auto"/>
        <w:rPr>
          <w:sz w:val="20"/>
          <w:szCs w:val="20"/>
          <w:color w:val="auto"/>
        </w:rPr>
      </w:pPr>
      <w:r>
        <w:rPr>
          <w:rFonts w:ascii="Arial" w:cs="Arial" w:eastAsia="Arial" w:hAnsi="Arial"/>
          <w:sz w:val="17"/>
          <w:szCs w:val="17"/>
          <w:color w:val="auto"/>
        </w:rPr>
        <w:t>As of March 31, 2017 and 2016, the unfunded status of the Officer Medical Plan was $118.1 million and $114.0 million, respectively, which is included in other long-term liabilities in the accompanying consolidated balance sheets.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Funded Status for Defined Benefit Plans</w:t>
      </w:r>
    </w:p>
    <w:p>
      <w:pPr>
        <w:spacing w:after="0" w:line="105" w:lineRule="exact"/>
        <w:rPr>
          <w:sz w:val="20"/>
          <w:szCs w:val="20"/>
          <w:color w:val="auto"/>
        </w:rPr>
      </w:pPr>
    </w:p>
    <w:p>
      <w:pPr>
        <w:ind w:right="140" w:firstLine="375"/>
        <w:spacing w:after="0" w:line="297" w:lineRule="auto"/>
        <w:rPr>
          <w:sz w:val="20"/>
          <w:szCs w:val="20"/>
          <w:color w:val="auto"/>
        </w:rPr>
      </w:pPr>
      <w:r>
        <w:rPr>
          <w:rFonts w:ascii="Arial" w:cs="Arial" w:eastAsia="Arial" w:hAnsi="Arial"/>
          <w:sz w:val="15"/>
          <w:szCs w:val="15"/>
          <w:color w:val="auto"/>
        </w:rPr>
        <w:t>Generally, annual contributions are made at such times and in amounts as required by law and may, from time to time, exceed minimum funding requirements. The Retired Officers’ Bonus Plan and the Retired Vice-President Bonus Plan are unfunded plans and contributions are made as benefits are paid. As of March 31, 2017 and 2016, there were no plan assets for either the Retired Officers’ Bonus Plan or the Retired Vice-President Bonus Plan and therefore, the accumulated liability of $5.4 million and $4.5 million, respectively, is unfunded. The liability will be distributed in a lump-sum payment as each officer or vice-president retires.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123"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0"/>
        </w:trPr>
        <w:tc>
          <w:tcPr>
            <w:tcW w:w="380" w:type="dxa"/>
            <w:vAlign w:val="bottom"/>
          </w:tcPr>
          <w:p>
            <w:pPr>
              <w:spacing w:after="0"/>
              <w:rPr>
                <w:sz w:val="17"/>
                <w:szCs w:val="17"/>
                <w:color w:val="auto"/>
              </w:rPr>
            </w:pPr>
          </w:p>
        </w:tc>
        <w:tc>
          <w:tcPr>
            <w:tcW w:w="9020" w:type="dxa"/>
            <w:vAlign w:val="bottom"/>
          </w:tcPr>
          <w:p>
            <w:pPr>
              <w:jc w:val="center"/>
              <w:ind w:left="1557"/>
              <w:spacing w:after="0"/>
              <w:rPr>
                <w:sz w:val="20"/>
                <w:szCs w:val="20"/>
                <w:color w:val="auto"/>
              </w:rPr>
            </w:pPr>
            <w:r>
              <w:rPr>
                <w:rFonts w:ascii="Arial" w:cs="Arial" w:eastAsia="Arial" w:hAnsi="Arial"/>
                <w:sz w:val="17"/>
                <w:szCs w:val="17"/>
                <w:b w:val="1"/>
                <w:bCs w:val="1"/>
                <w:color w:val="auto"/>
              </w:rPr>
              <w:t>BOOZ ALLEN HAMILTON HOLDING CORPORATION</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380" w:type="dxa"/>
            <w:vAlign w:val="bottom"/>
          </w:tcPr>
          <w:p>
            <w:pPr>
              <w:spacing w:after="0"/>
              <w:rPr>
                <w:sz w:val="17"/>
                <w:szCs w:val="17"/>
                <w:color w:val="auto"/>
              </w:rPr>
            </w:pPr>
          </w:p>
        </w:tc>
        <w:tc>
          <w:tcPr>
            <w:tcW w:w="9020" w:type="dxa"/>
            <w:vAlign w:val="bottom"/>
          </w:tcPr>
          <w:p>
            <w:pPr>
              <w:jc w:val="center"/>
              <w:ind w:left="1557"/>
              <w:spacing w:after="0"/>
              <w:rPr>
                <w:sz w:val="20"/>
                <w:szCs w:val="20"/>
                <w:color w:val="auto"/>
              </w:rPr>
            </w:pPr>
            <w:r>
              <w:rPr>
                <w:rFonts w:ascii="Arial" w:cs="Arial" w:eastAsia="Arial" w:hAnsi="Arial"/>
                <w:sz w:val="17"/>
                <w:szCs w:val="17"/>
                <w:b w:val="1"/>
                <w:bCs w:val="1"/>
                <w:color w:val="auto"/>
                <w:w w:val="98"/>
              </w:rPr>
              <w:t>NOTES TO CONSOLIDATED FINANCIAL STATEMENTS</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7"/>
        </w:trPr>
        <w:tc>
          <w:tcPr>
            <w:tcW w:w="380" w:type="dxa"/>
            <w:vAlign w:val="bottom"/>
          </w:tcPr>
          <w:p>
            <w:pPr>
              <w:spacing w:after="0"/>
              <w:rPr>
                <w:sz w:val="18"/>
                <w:szCs w:val="18"/>
                <w:color w:val="auto"/>
              </w:rPr>
            </w:pPr>
          </w:p>
        </w:tc>
        <w:tc>
          <w:tcPr>
            <w:tcW w:w="9020" w:type="dxa"/>
            <w:vAlign w:val="bottom"/>
          </w:tcPr>
          <w:p>
            <w:pPr>
              <w:jc w:val="center"/>
              <w:ind w:left="1557"/>
              <w:spacing w:after="0"/>
              <w:rPr>
                <w:sz w:val="20"/>
                <w:szCs w:val="20"/>
                <w:color w:val="auto"/>
              </w:rPr>
            </w:pPr>
            <w:r>
              <w:rPr>
                <w:rFonts w:ascii="Arial" w:cs="Arial" w:eastAsia="Arial" w:hAnsi="Arial"/>
                <w:sz w:val="17"/>
                <w:szCs w:val="17"/>
                <w:b w:val="1"/>
                <w:bCs w:val="1"/>
                <w:color w:val="auto"/>
                <w:w w:val="86"/>
              </w:rPr>
              <w:t>(Amounts in tables in thousands, except share and per share data or unless otherwise noted)</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526"/>
        </w:trPr>
        <w:tc>
          <w:tcPr>
            <w:tcW w:w="380" w:type="dxa"/>
            <w:vAlign w:val="bottom"/>
          </w:tcPr>
          <w:p>
            <w:pPr>
              <w:spacing w:after="0"/>
              <w:rPr>
                <w:sz w:val="24"/>
                <w:szCs w:val="24"/>
                <w:color w:val="auto"/>
              </w:rPr>
            </w:pPr>
          </w:p>
        </w:tc>
        <w:tc>
          <w:tcPr>
            <w:tcW w:w="9020" w:type="dxa"/>
            <w:vAlign w:val="bottom"/>
          </w:tcPr>
          <w:p>
            <w:pPr>
              <w:ind w:left="20"/>
              <w:spacing w:after="0"/>
              <w:rPr>
                <w:sz w:val="20"/>
                <w:szCs w:val="20"/>
                <w:color w:val="auto"/>
              </w:rPr>
            </w:pPr>
            <w:r>
              <w:rPr>
                <w:rFonts w:ascii="Arial" w:cs="Arial" w:eastAsia="Arial" w:hAnsi="Arial"/>
                <w:sz w:val="17"/>
                <w:szCs w:val="17"/>
                <w:color w:val="auto"/>
              </w:rPr>
              <w:t>The expected future medical benefit payments and related contributions are as follows:</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1"/>
        </w:trPr>
        <w:tc>
          <w:tcPr>
            <w:tcW w:w="9400" w:type="dxa"/>
            <w:vAlign w:val="bottom"/>
            <w:gridSpan w:val="2"/>
          </w:tcPr>
          <w:p>
            <w:pPr>
              <w:ind w:left="20"/>
              <w:spacing w:after="0"/>
              <w:rPr>
                <w:sz w:val="20"/>
                <w:szCs w:val="20"/>
                <w:color w:val="auto"/>
              </w:rPr>
            </w:pPr>
            <w:r>
              <w:rPr>
                <w:rFonts w:ascii="Arial" w:cs="Arial" w:eastAsia="Arial" w:hAnsi="Arial"/>
                <w:sz w:val="13"/>
                <w:szCs w:val="13"/>
                <w:b w:val="1"/>
                <w:bCs w:val="1"/>
                <w:color w:val="auto"/>
              </w:rPr>
              <w:t>For the Fiscal Year Ending March 31,</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5"/>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9"/>
              </w:rPr>
              <w:t>2018</w:t>
            </w:r>
          </w:p>
        </w:tc>
        <w:tc>
          <w:tcPr>
            <w:tcW w:w="90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3,303</w:t>
            </w:r>
          </w:p>
        </w:tc>
      </w:tr>
      <w:tr>
        <w:trPr>
          <w:trHeight w:val="225"/>
        </w:trPr>
        <w:tc>
          <w:tcPr>
            <w:tcW w:w="380" w:type="dxa"/>
            <w:vAlign w:val="bottom"/>
          </w:tcPr>
          <w:p>
            <w:pPr>
              <w:ind w:left="20"/>
              <w:spacing w:after="0"/>
              <w:rPr>
                <w:sz w:val="20"/>
                <w:szCs w:val="20"/>
                <w:color w:val="auto"/>
              </w:rPr>
            </w:pPr>
            <w:r>
              <w:rPr>
                <w:rFonts w:ascii="Arial" w:cs="Arial" w:eastAsia="Arial" w:hAnsi="Arial"/>
                <w:sz w:val="17"/>
                <w:szCs w:val="17"/>
                <w:color w:val="auto"/>
                <w:w w:val="89"/>
              </w:rPr>
              <w:t>2019</w:t>
            </w:r>
          </w:p>
        </w:tc>
        <w:tc>
          <w:tcPr>
            <w:tcW w:w="9020" w:type="dxa"/>
            <w:vAlign w:val="bottom"/>
          </w:tcPr>
          <w:p>
            <w:pPr>
              <w:spacing w:after="0"/>
              <w:rPr>
                <w:sz w:val="19"/>
                <w:szCs w:val="19"/>
                <w:color w:val="auto"/>
              </w:rPr>
            </w:pPr>
          </w:p>
        </w:tc>
        <w:tc>
          <w:tcPr>
            <w:tcW w:w="980" w:type="dxa"/>
            <w:vAlign w:val="bottom"/>
          </w:tcPr>
          <w:p>
            <w:pPr>
              <w:jc w:val="right"/>
              <w:ind w:right="37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3,691</w:t>
            </w:r>
          </w:p>
        </w:tc>
      </w:tr>
      <w:tr>
        <w:trPr>
          <w:trHeight w:val="25"/>
        </w:trPr>
        <w:tc>
          <w:tcPr>
            <w:tcW w:w="3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9"/>
              </w:rPr>
              <w:t>2020</w:t>
            </w:r>
          </w:p>
        </w:tc>
        <w:tc>
          <w:tcPr>
            <w:tcW w:w="90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4,081</w:t>
            </w:r>
          </w:p>
        </w:tc>
      </w:tr>
      <w:tr>
        <w:trPr>
          <w:trHeight w:val="225"/>
        </w:trPr>
        <w:tc>
          <w:tcPr>
            <w:tcW w:w="380" w:type="dxa"/>
            <w:vAlign w:val="bottom"/>
          </w:tcPr>
          <w:p>
            <w:pPr>
              <w:ind w:left="20"/>
              <w:spacing w:after="0"/>
              <w:rPr>
                <w:sz w:val="20"/>
                <w:szCs w:val="20"/>
                <w:color w:val="auto"/>
              </w:rPr>
            </w:pPr>
            <w:r>
              <w:rPr>
                <w:rFonts w:ascii="Arial" w:cs="Arial" w:eastAsia="Arial" w:hAnsi="Arial"/>
                <w:sz w:val="17"/>
                <w:szCs w:val="17"/>
                <w:color w:val="auto"/>
                <w:w w:val="89"/>
              </w:rPr>
              <w:t>2021</w:t>
            </w:r>
          </w:p>
        </w:tc>
        <w:tc>
          <w:tcPr>
            <w:tcW w:w="9020" w:type="dxa"/>
            <w:vAlign w:val="bottom"/>
          </w:tcPr>
          <w:p>
            <w:pPr>
              <w:spacing w:after="0"/>
              <w:rPr>
                <w:sz w:val="19"/>
                <w:szCs w:val="19"/>
                <w:color w:val="auto"/>
              </w:rPr>
            </w:pPr>
          </w:p>
        </w:tc>
        <w:tc>
          <w:tcPr>
            <w:tcW w:w="980" w:type="dxa"/>
            <w:vAlign w:val="bottom"/>
          </w:tcPr>
          <w:p>
            <w:pPr>
              <w:jc w:val="right"/>
              <w:ind w:right="37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4,605</w:t>
            </w:r>
          </w:p>
        </w:tc>
      </w:tr>
      <w:tr>
        <w:trPr>
          <w:trHeight w:val="25"/>
        </w:trPr>
        <w:tc>
          <w:tcPr>
            <w:tcW w:w="3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9"/>
              </w:rPr>
              <w:t>2022</w:t>
            </w:r>
          </w:p>
        </w:tc>
        <w:tc>
          <w:tcPr>
            <w:tcW w:w="90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5,041</w:t>
            </w:r>
          </w:p>
        </w:tc>
      </w:tr>
      <w:tr>
        <w:trPr>
          <w:trHeight w:val="225"/>
        </w:trPr>
        <w:tc>
          <w:tcPr>
            <w:tcW w:w="380" w:type="dxa"/>
            <w:vAlign w:val="bottom"/>
          </w:tcPr>
          <w:p>
            <w:pPr>
              <w:ind w:left="20"/>
              <w:spacing w:after="0"/>
              <w:rPr>
                <w:sz w:val="20"/>
                <w:szCs w:val="20"/>
                <w:color w:val="auto"/>
              </w:rPr>
            </w:pPr>
            <w:r>
              <w:rPr>
                <w:rFonts w:ascii="Arial" w:cs="Arial" w:eastAsia="Arial" w:hAnsi="Arial"/>
                <w:sz w:val="17"/>
                <w:szCs w:val="17"/>
                <w:color w:val="auto"/>
                <w:w w:val="89"/>
              </w:rPr>
              <w:t>2023</w:t>
            </w:r>
          </w:p>
        </w:tc>
        <w:tc>
          <w:tcPr>
            <w:tcW w:w="9020" w:type="dxa"/>
            <w:vAlign w:val="bottom"/>
          </w:tcPr>
          <w:p>
            <w:pPr>
              <w:ind w:left="20"/>
              <w:spacing w:after="0"/>
              <w:rPr>
                <w:sz w:val="20"/>
                <w:szCs w:val="20"/>
                <w:color w:val="auto"/>
              </w:rPr>
            </w:pPr>
            <w:r>
              <w:rPr>
                <w:rFonts w:ascii="Arial" w:cs="Arial" w:eastAsia="Arial" w:hAnsi="Arial"/>
                <w:sz w:val="17"/>
                <w:szCs w:val="17"/>
                <w:color w:val="auto"/>
              </w:rPr>
              <w:t>- 2027</w:t>
            </w:r>
          </w:p>
        </w:tc>
        <w:tc>
          <w:tcPr>
            <w:tcW w:w="980" w:type="dxa"/>
            <w:vAlign w:val="bottom"/>
          </w:tcPr>
          <w:p>
            <w:pPr>
              <w:jc w:val="right"/>
              <w:ind w:right="37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30,862</w:t>
            </w:r>
          </w:p>
        </w:tc>
      </w:tr>
    </w:tbl>
    <w:p>
      <w:pPr>
        <w:spacing w:after="0" w:line="1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Long-term Disability Benefits</w:t>
      </w:r>
    </w:p>
    <w:p>
      <w:pPr>
        <w:spacing w:after="0" w:line="105"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As discussed in Note 2, the Company identified misstatements associated with these benefits and as result, the effects of the immaterial misstatements have been corrected in the current period. The accrued cost for these benefits was $22.5 million at March 31, 2017 and is presented in other long-term liabilities. The cumulative effect of the changes in the historical actuarial gains and losses, including for fiscal 2017, has been recognized in earnings for $6.9 million and is recorded in general and administrative expenses.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LOSS</w:t>
      </w:r>
    </w:p>
    <w:p>
      <w:pPr>
        <w:spacing w:after="0" w:line="209" w:lineRule="exact"/>
        <w:rPr>
          <w:sz w:val="20"/>
          <w:szCs w:val="20"/>
          <w:color w:val="auto"/>
        </w:rPr>
      </w:pPr>
    </w:p>
    <w:p>
      <w:pPr>
        <w:ind w:right="480" w:firstLine="375"/>
        <w:spacing w:after="0" w:line="266" w:lineRule="auto"/>
        <w:rPr>
          <w:sz w:val="20"/>
          <w:szCs w:val="20"/>
          <w:color w:val="auto"/>
        </w:rPr>
      </w:pPr>
      <w:r>
        <w:rPr>
          <w:rFonts w:ascii="Arial" w:cs="Arial" w:eastAsia="Arial" w:hAnsi="Arial"/>
          <w:sz w:val="17"/>
          <w:szCs w:val="17"/>
          <w:color w:val="231F20"/>
        </w:rPr>
        <w:t xml:space="preserve">All amounts recorded in other comprehensive loss are related to the Company's </w:t>
      </w:r>
      <w:r>
        <w:rPr>
          <w:rFonts w:ascii="Arial" w:cs="Arial" w:eastAsia="Arial" w:hAnsi="Arial"/>
          <w:sz w:val="17"/>
          <w:szCs w:val="17"/>
          <w:color w:val="000000"/>
        </w:rPr>
        <w:t>post-retirement plan</w:t>
      </w:r>
      <w:r>
        <w:rPr>
          <w:rFonts w:ascii="Arial" w:cs="Arial" w:eastAsia="Arial" w:hAnsi="Arial"/>
          <w:sz w:val="17"/>
          <w:szCs w:val="17"/>
          <w:color w:val="231F20"/>
        </w:rPr>
        <w:t xml:space="preserve">. </w:t>
      </w:r>
      <w:r>
        <w:rPr>
          <w:rFonts w:ascii="Arial" w:cs="Arial" w:eastAsia="Arial" w:hAnsi="Arial"/>
          <w:sz w:val="17"/>
          <w:szCs w:val="17"/>
          <w:color w:val="000000"/>
        </w:rPr>
        <w:t>The following table represents a roll-forward of amounts</w:t>
      </w:r>
      <w:r>
        <w:rPr>
          <w:rFonts w:ascii="Arial" w:cs="Arial" w:eastAsia="Arial" w:hAnsi="Arial"/>
          <w:sz w:val="17"/>
          <w:szCs w:val="17"/>
          <w:color w:val="231F20"/>
        </w:rPr>
        <w:t xml:space="preserve"> </w:t>
      </w:r>
      <w:r>
        <w:rPr>
          <w:rFonts w:ascii="Arial" w:cs="Arial" w:eastAsia="Arial" w:hAnsi="Arial"/>
          <w:sz w:val="17"/>
          <w:szCs w:val="17"/>
          <w:color w:val="000000"/>
        </w:rPr>
        <w:t>recognized in accumulated other comprehensive loss, net of tax:</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March 31,</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6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2016</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of year</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(19,613)</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(22,159)</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7660" w:type="dxa"/>
            <w:vAlign w:val="bottom"/>
          </w:tcPr>
          <w:p>
            <w:pPr>
              <w:ind w:left="200"/>
              <w:spacing w:after="0"/>
              <w:rPr>
                <w:sz w:val="20"/>
                <w:szCs w:val="20"/>
                <w:color w:val="auto"/>
              </w:rPr>
            </w:pPr>
            <w:r>
              <w:rPr>
                <w:rFonts w:ascii="Arial" w:cs="Arial" w:eastAsia="Arial" w:hAnsi="Arial"/>
                <w:sz w:val="17"/>
                <w:szCs w:val="17"/>
                <w:color w:val="auto"/>
              </w:rPr>
              <w:t>Other comprehensive income (loss) before reclassifications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688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7"/>
                <w:szCs w:val="17"/>
                <w:color w:val="auto"/>
              </w:rPr>
              <w:t>404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Amounts reclassified from accumulated other comprehensive loss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1,848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2,142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7660" w:type="dxa"/>
            <w:vAlign w:val="bottom"/>
          </w:tcPr>
          <w:p>
            <w:pPr>
              <w:ind w:left="360"/>
              <w:spacing w:after="0"/>
              <w:rPr>
                <w:sz w:val="20"/>
                <w:szCs w:val="20"/>
                <w:color w:val="auto"/>
              </w:rPr>
            </w:pPr>
            <w:r>
              <w:rPr>
                <w:rFonts w:ascii="Arial" w:cs="Arial" w:eastAsia="Arial" w:hAnsi="Arial"/>
                <w:sz w:val="17"/>
                <w:szCs w:val="17"/>
                <w:color w:val="auto"/>
              </w:rPr>
              <w:t>Net current-period other comprehensive income (loss)</w:t>
            </w: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2,536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2,546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 of year</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(19,613)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60" w:type="dxa"/>
            <w:vAlign w:val="bottom"/>
            <w:vMerge w:val="restart"/>
          </w:tcPr>
          <w:p>
            <w:pPr>
              <w:ind w:left="300"/>
              <w:spacing w:after="0"/>
              <w:rPr>
                <w:sz w:val="20"/>
                <w:szCs w:val="20"/>
                <w:color w:val="auto"/>
              </w:rPr>
            </w:pPr>
            <w:r>
              <w:rPr>
                <w:rFonts w:ascii="Arial" w:cs="Arial" w:eastAsia="Arial" w:hAnsi="Arial"/>
                <w:sz w:val="17"/>
                <w:szCs w:val="17"/>
                <w:color w:val="auto"/>
                <w:w w:val="89"/>
              </w:rPr>
              <w:t>The following table presents the reclassifications out of accumulated other comprehensive loss to net income:</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60" w:type="dxa"/>
            <w:vAlign w:val="bottom"/>
          </w:tcPr>
          <w:p>
            <w:pPr>
              <w:spacing w:after="0"/>
              <w:rPr>
                <w:sz w:val="24"/>
                <w:szCs w:val="24"/>
                <w:color w:val="auto"/>
              </w:rPr>
            </w:pPr>
          </w:p>
        </w:tc>
        <w:tc>
          <w:tcPr>
            <w:tcW w:w="7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March 31,</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2017</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2016</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2015</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7660" w:type="dxa"/>
            <w:vAlign w:val="bottom"/>
          </w:tcPr>
          <w:p>
            <w:pPr>
              <w:ind w:left="120"/>
              <w:spacing w:after="0"/>
              <w:rPr>
                <w:sz w:val="20"/>
                <w:szCs w:val="20"/>
                <w:color w:val="auto"/>
              </w:rPr>
            </w:pPr>
            <w:r>
              <w:rPr>
                <w:rFonts w:ascii="Arial" w:cs="Arial" w:eastAsia="Arial" w:hAnsi="Arial"/>
                <w:sz w:val="17"/>
                <w:szCs w:val="17"/>
                <w:color w:val="auto"/>
              </w:rPr>
              <w:t>Amortization of net actuarial loss included in net periodic benefit cost (See Note 13)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before tax</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7660" w:type="dxa"/>
            <w:vAlign w:val="bottom"/>
          </w:tcPr>
          <w:p>
            <w:pPr>
              <w:ind w:left="380"/>
              <w:spacing w:after="0"/>
              <w:rPr>
                <w:sz w:val="20"/>
                <w:szCs w:val="20"/>
                <w:color w:val="auto"/>
              </w:rPr>
            </w:pPr>
            <w:r>
              <w:rPr>
                <w:rFonts w:ascii="Arial" w:cs="Arial" w:eastAsia="Arial" w:hAnsi="Arial"/>
                <w:sz w:val="17"/>
                <w:szCs w:val="17"/>
                <w:color w:val="auto"/>
              </w:rPr>
              <w:t>Tax benefit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(1,394)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5"/>
        </w:trPr>
        <w:tc>
          <w:tcPr>
            <w:tcW w:w="6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Net of tax</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bottom w:val="single" w:sz="8" w:color="CCEEFF"/>
            </w:tcBorders>
            <w:vMerge w:val="restart"/>
          </w:tcPr>
          <w:p>
            <w:pPr>
              <w:ind w:left="5480"/>
              <w:spacing w:after="0"/>
              <w:rPr>
                <w:sz w:val="20"/>
                <w:szCs w:val="20"/>
                <w:color w:val="auto"/>
              </w:rPr>
            </w:pPr>
            <w:r>
              <w:rPr>
                <w:rFonts w:ascii="Arial" w:cs="Arial" w:eastAsia="Arial" w:hAnsi="Arial"/>
                <w:sz w:val="17"/>
                <w:szCs w:val="17"/>
                <w:color w:val="auto"/>
              </w:rPr>
              <w:t>F-25</w:t>
            </w: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60" w:type="dxa"/>
            <w:vAlign w:val="bottom"/>
          </w:tcPr>
          <w:p>
            <w:pPr>
              <w:spacing w:after="0"/>
              <w:rPr>
                <w:sz w:val="24"/>
                <w:szCs w:val="24"/>
                <w:color w:val="auto"/>
              </w:rPr>
            </w:pPr>
          </w:p>
        </w:tc>
        <w:tc>
          <w:tcPr>
            <w:tcW w:w="7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89" w:name="page90"/>
    <w:bookmarkEnd w:id="89"/>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OTHER LONG-TERM LIABILITIES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Other long-term liabilities consisted of the following:</w:t>
      </w:r>
    </w:p>
    <w:p>
      <w:pPr>
        <w:spacing w:after="0" w:line="310"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76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March 31,</w:t>
            </w:r>
          </w:p>
        </w:tc>
        <w:tc>
          <w:tcPr>
            <w:tcW w:w="1060" w:type="dxa"/>
            <w:vAlign w:val="bottom"/>
            <w:tcBorders>
              <w:bottom w:val="single" w:sz="8" w:color="auto"/>
            </w:tcBorders>
          </w:tcPr>
          <w:p>
            <w:pPr>
              <w:spacing w:after="0"/>
              <w:rPr>
                <w:sz w:val="15"/>
                <w:szCs w:val="15"/>
                <w:color w:val="auto"/>
              </w:rPr>
            </w:pPr>
          </w:p>
        </w:tc>
      </w:tr>
      <w:tr>
        <w:trPr>
          <w:trHeight w:val="243"/>
        </w:trPr>
        <w:tc>
          <w:tcPr>
            <w:tcW w:w="76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2016</w:t>
            </w:r>
          </w:p>
        </w:tc>
      </w:tr>
      <w:tr>
        <w:trPr>
          <w:trHeight w:val="228"/>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rent</w:t>
            </w: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63,854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53,170</w:t>
            </w:r>
          </w:p>
        </w:tc>
      </w:tr>
      <w:tr>
        <w:trPr>
          <w:trHeight w:val="225"/>
        </w:trPr>
        <w:tc>
          <w:tcPr>
            <w:tcW w:w="7660" w:type="dxa"/>
            <w:vAlign w:val="bottom"/>
          </w:tcPr>
          <w:p>
            <w:pPr>
              <w:ind w:left="40"/>
              <w:spacing w:after="0"/>
              <w:rPr>
                <w:sz w:val="20"/>
                <w:szCs w:val="20"/>
                <w:color w:val="auto"/>
              </w:rPr>
            </w:pPr>
            <w:r>
              <w:rPr>
                <w:rFonts w:ascii="Arial" w:cs="Arial" w:eastAsia="Arial" w:hAnsi="Arial"/>
                <w:sz w:val="17"/>
                <w:szCs w:val="17"/>
                <w:color w:val="auto"/>
              </w:rPr>
              <w:t>Postretirement benefit obligations</w:t>
            </w:r>
          </w:p>
        </w:tc>
        <w:tc>
          <w:tcPr>
            <w:tcW w:w="38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17"/>
                <w:szCs w:val="17"/>
                <w:color w:val="auto"/>
              </w:rPr>
              <w:t>123,492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7"/>
                <w:szCs w:val="17"/>
                <w:color w:val="auto"/>
              </w:rPr>
              <w:t>118,554</w:t>
            </w:r>
          </w:p>
        </w:tc>
      </w:tr>
      <w:tr>
        <w:trPr>
          <w:trHeight w:val="25"/>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28,946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4,081</w:t>
            </w:r>
          </w:p>
        </w:tc>
      </w:tr>
      <w:tr>
        <w:trPr>
          <w:trHeight w:val="218"/>
        </w:trPr>
        <w:tc>
          <w:tcPr>
            <w:tcW w:w="7660" w:type="dxa"/>
            <w:vAlign w:val="bottom"/>
          </w:tcPr>
          <w:p>
            <w:pPr>
              <w:ind w:left="360"/>
              <w:spacing w:after="0"/>
              <w:rPr>
                <w:sz w:val="20"/>
                <w:szCs w:val="20"/>
                <w:color w:val="auto"/>
              </w:rPr>
            </w:pPr>
            <w:r>
              <w:rPr>
                <w:rFonts w:ascii="Arial" w:cs="Arial" w:eastAsia="Arial" w:hAnsi="Arial"/>
                <w:sz w:val="17"/>
                <w:szCs w:val="17"/>
                <w:color w:val="auto"/>
              </w:rPr>
              <w:t>Total other long-term liabilities</w:t>
            </w:r>
          </w:p>
        </w:tc>
        <w:tc>
          <w:tcPr>
            <w:tcW w:w="38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216,292</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175,805</w:t>
            </w:r>
          </w:p>
        </w:tc>
      </w:tr>
      <w:tr>
        <w:trPr>
          <w:trHeight w:val="25"/>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20"/>
        <w:spacing w:after="0" w:line="266" w:lineRule="auto"/>
        <w:tabs>
          <w:tab w:leader="none" w:pos="2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Balance at March 31, 2017 includes a long-term disability obligation as discussed in Note 13 for $22.5 million and contingent consideration of $3.6 million as discussed in Note 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STOCKHOLDERS’ EQUITY</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Common Stock</w:t>
      </w:r>
    </w:p>
    <w:p>
      <w:pPr>
        <w:spacing w:after="0" w:line="105" w:lineRule="exact"/>
        <w:rPr>
          <w:sz w:val="20"/>
          <w:szCs w:val="20"/>
          <w:color w:val="auto"/>
        </w:rPr>
      </w:pPr>
    </w:p>
    <w:p>
      <w:pPr>
        <w:ind w:right="480" w:firstLine="375"/>
        <w:spacing w:after="0" w:line="334" w:lineRule="auto"/>
        <w:rPr>
          <w:sz w:val="20"/>
          <w:szCs w:val="20"/>
          <w:color w:val="auto"/>
        </w:rPr>
      </w:pPr>
      <w:r>
        <w:rPr>
          <w:rFonts w:ascii="Arial" w:cs="Arial" w:eastAsia="Arial" w:hAnsi="Arial"/>
          <w:sz w:val="15"/>
          <w:szCs w:val="15"/>
          <w:color w:val="auto"/>
        </w:rPr>
        <w:t>Holders of Class A Common Stock, Class C Restricted Common Stock, and Class E Special Voting Common Stock are entitled to one vote for each share as a holder. The holders of the Voting Common Stock shall vote together as a single class. The holders of Class B Non-Voting Common Stock have no voting rights.</w:t>
      </w:r>
    </w:p>
    <w:p>
      <w:pPr>
        <w:spacing w:after="0" w:line="21" w:lineRule="exact"/>
        <w:rPr>
          <w:sz w:val="20"/>
          <w:szCs w:val="20"/>
          <w:color w:val="auto"/>
        </w:rPr>
      </w:pPr>
    </w:p>
    <w:p>
      <w:pPr>
        <w:ind w:right="420" w:firstLine="375"/>
        <w:spacing w:after="0" w:line="266" w:lineRule="auto"/>
        <w:rPr>
          <w:sz w:val="20"/>
          <w:szCs w:val="20"/>
          <w:color w:val="auto"/>
        </w:rPr>
      </w:pPr>
      <w:r>
        <w:rPr>
          <w:rFonts w:ascii="Arial" w:cs="Arial" w:eastAsia="Arial" w:hAnsi="Arial"/>
          <w:sz w:val="17"/>
          <w:szCs w:val="17"/>
          <w:color w:val="auto"/>
        </w:rPr>
        <w:t>Class C Restricted Common Stock was restricted in that a holder’s shares vested as set forth in the Rollover Plan. Refer to Note 17 for further discussion of the Rollover Plan.</w:t>
      </w:r>
    </w:p>
    <w:p>
      <w:pPr>
        <w:spacing w:after="0" w:line="67" w:lineRule="exact"/>
        <w:rPr>
          <w:sz w:val="20"/>
          <w:szCs w:val="20"/>
          <w:color w:val="auto"/>
        </w:rPr>
      </w:pPr>
    </w:p>
    <w:p>
      <w:pPr>
        <w:ind w:firstLine="375"/>
        <w:spacing w:after="0" w:line="250" w:lineRule="auto"/>
        <w:rPr>
          <w:sz w:val="20"/>
          <w:szCs w:val="20"/>
          <w:color w:val="auto"/>
        </w:rPr>
      </w:pPr>
      <w:r>
        <w:rPr>
          <w:rFonts w:ascii="Arial" w:cs="Arial" w:eastAsia="Arial" w:hAnsi="Arial"/>
          <w:sz w:val="17"/>
          <w:szCs w:val="17"/>
          <w:color w:val="auto"/>
        </w:rPr>
        <w:t>When shares of Class B Non-Voting Common Stock or Class C Restricted Common Stock are sold on the open market, they become Class A Common Stock shares. 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w:t>
      </w:r>
    </w:p>
    <w:p>
      <w:pPr>
        <w:spacing w:after="0" w:line="80" w:lineRule="exact"/>
        <w:rPr>
          <w:sz w:val="20"/>
          <w:szCs w:val="20"/>
          <w:color w:val="auto"/>
        </w:rPr>
      </w:pPr>
    </w:p>
    <w:p>
      <w:pPr>
        <w:ind w:right="60" w:firstLine="375"/>
        <w:spacing w:after="0" w:line="251" w:lineRule="auto"/>
        <w:rPr>
          <w:sz w:val="20"/>
          <w:szCs w:val="20"/>
          <w:color w:val="auto"/>
        </w:rPr>
      </w:pPr>
      <w:r>
        <w:rPr>
          <w:rFonts w:ascii="Arial" w:cs="Arial" w:eastAsia="Arial" w:hAnsi="Arial"/>
          <w:sz w:val="17"/>
          <w:szCs w:val="17"/>
          <w:color w:val="auto"/>
        </w:rPr>
        <w:t>Class E Special Voting Common Stock represents the voting rights that accompany the Rollover Options. Rollover Options have a fixed vesting and exercise schedule to comply with IRS Section 409A. Upon exercise, the option will convert to Class A Common Stock, and the corresponding Class E Special Voting Common Stock will be repurchased by the Company and retired. On September 30, 2015, the Company purchased, at par value, all issued and outstanding shares of Class E special voting common stock in connection with the exercise of the final tranche of rollover options during the second quarter of fiscal 2016. Refer to Note 17 for further discussion of the Rollover Options.</w:t>
      </w:r>
    </w:p>
    <w:p>
      <w:pPr>
        <w:spacing w:after="0" w:line="79" w:lineRule="exact"/>
        <w:rPr>
          <w:sz w:val="20"/>
          <w:szCs w:val="20"/>
          <w:color w:val="auto"/>
        </w:rPr>
      </w:pPr>
    </w:p>
    <w:p>
      <w:pPr>
        <w:ind w:right="60" w:firstLine="375"/>
        <w:spacing w:after="0" w:line="273" w:lineRule="auto"/>
        <w:rPr>
          <w:sz w:val="20"/>
          <w:szCs w:val="20"/>
          <w:color w:val="auto"/>
        </w:rPr>
      </w:pPr>
      <w:r>
        <w:rPr>
          <w:rFonts w:ascii="Arial" w:cs="Arial" w:eastAsia="Arial" w:hAnsi="Arial"/>
          <w:sz w:val="16"/>
          <w:szCs w:val="16"/>
          <w:color w:val="auto"/>
        </w:rPr>
        <w:t>Each share of common stock, except for Class E Special Voting Common Stock, is entitled to participate equally in dividends, when and if declared by the Board of Directors from time to time, such dividends and other distributions in cash, stock, or property from the Company’s assets or funds become legally available for such purposes subject to any dividend preferences that may be attributable to preferred stock that may be authorized. The Company’s ability to pay dividends to stockholders is limited as a practical matter by restrictions in the credit agreements governing the Senior Credit Facilities.</w:t>
      </w:r>
    </w:p>
    <w:p>
      <w:pPr>
        <w:spacing w:after="0" w:line="64" w:lineRule="exact"/>
        <w:rPr>
          <w:sz w:val="20"/>
          <w:szCs w:val="20"/>
          <w:color w:val="auto"/>
        </w:rPr>
      </w:pPr>
    </w:p>
    <w:p>
      <w:pPr>
        <w:ind w:left="200" w:right="180" w:firstLine="175"/>
        <w:spacing w:after="0" w:line="368" w:lineRule="auto"/>
        <w:rPr>
          <w:sz w:val="20"/>
          <w:szCs w:val="20"/>
          <w:color w:val="auto"/>
        </w:rPr>
      </w:pPr>
      <w:r>
        <w:rPr>
          <w:rFonts w:ascii="Arial" w:cs="Arial" w:eastAsia="Arial" w:hAnsi="Arial"/>
          <w:sz w:val="17"/>
          <w:szCs w:val="17"/>
          <w:color w:val="auto"/>
        </w:rPr>
        <w:t xml:space="preserve">The authorized and unissued Class A Common Stock shares are available for future issuance upon share option exercises, without additional stockholder approval. </w:t>
      </w:r>
      <w:r>
        <w:rPr>
          <w:rFonts w:ascii="Arial" w:cs="Arial" w:eastAsia="Arial" w:hAnsi="Arial"/>
          <w:sz w:val="17"/>
          <w:szCs w:val="17"/>
          <w:b w:val="1"/>
          <w:bCs w:val="1"/>
          <w:i w:val="1"/>
          <w:iCs w:val="1"/>
          <w:color w:val="auto"/>
        </w:rPr>
        <w:t>Employee Stock Purchase Plan</w:t>
      </w:r>
    </w:p>
    <w:p>
      <w:pPr>
        <w:spacing w:after="0" w:line="1" w:lineRule="exact"/>
        <w:rPr>
          <w:sz w:val="20"/>
          <w:szCs w:val="20"/>
          <w:color w:val="auto"/>
        </w:rPr>
      </w:pPr>
    </w:p>
    <w:p>
      <w:pPr>
        <w:ind w:firstLine="375"/>
        <w:spacing w:after="0" w:line="306" w:lineRule="auto"/>
        <w:rPr>
          <w:sz w:val="20"/>
          <w:szCs w:val="20"/>
          <w:color w:val="auto"/>
        </w:rPr>
      </w:pPr>
      <w:r>
        <w:rPr>
          <w:rFonts w:ascii="Arial" w:cs="Arial" w:eastAsia="Arial" w:hAnsi="Arial"/>
          <w:sz w:val="15"/>
          <w:szCs w:val="15"/>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123" w:right="239" w:bottom="1440" w:gutter="0" w:footer="0" w:header="0"/>
        </w:sectPr>
      </w:pPr>
    </w:p>
    <w:bookmarkStart w:id="90" w:name="page91"/>
    <w:bookmarkEnd w:id="90"/>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April 1, 2011. For the year ended March 31, 2017, 201,558 Class A Common Stock shares were purchased by employees under the ESPP. Since the program's inception, 1,934,907 shares have been purchased by employees.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05" w:lineRule="exact"/>
        <w:rPr>
          <w:sz w:val="20"/>
          <w:szCs w:val="20"/>
          <w:color w:val="auto"/>
        </w:rPr>
      </w:pPr>
    </w:p>
    <w:p>
      <w:pPr>
        <w:ind w:right="80" w:firstLine="375"/>
        <w:spacing w:after="0" w:line="284" w:lineRule="auto"/>
        <w:rPr>
          <w:sz w:val="20"/>
          <w:szCs w:val="20"/>
          <w:color w:val="auto"/>
        </w:rPr>
      </w:pPr>
      <w:r>
        <w:rPr>
          <w:rFonts w:ascii="Arial" w:cs="Arial" w:eastAsia="Arial" w:hAnsi="Arial"/>
          <w:sz w:val="15"/>
          <w:szCs w:val="15"/>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On January 27, 2015, the Board of Directors approved an increase to the share repurchase authorization to $180.0 million. On January 25, 2017, the Board of Directors approved an increase to the share repurchase authorization from $180.0 million to up to $410.0 million The share repurchase program may be suspended, modified or discontinued at any time at the Company’s discretion without prior notice. On November 5, 2014, the Company entered into an agreement with an affiliate of The Carlyle Group to repurchase 1,000,000 shares of our Class A common stock pursuant to the repurchase program. The shares were repurchased at a price of $25.10 per share as part of a private non-underwritten transaction. On February 2, 2015, the Company entered into a similar agreement with an affiliate of the Carlyle Group to repurchase an additional 1,000,000 shares of our Class A common stock pursuant to the repurchase program. The shares were repurchased from the Underwriter at a price of $28.36 per share. During fiscal 2016, the Company purchased 2,100,000 shares of the Company’s Class A Common Stock in a series of open market transactions for $54.9 million. During fiscal 2017, the Company purchased 1,306,388 shares of the Company’s Class A Common Stock in a series of open market transactions for $46.4 million. As of March 31, 2017, the Company had $255.3 million remaining under the repurchase program.</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Dividends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cash distributions recognized in the consolidated statement of cash flows: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3"/>
                <w:szCs w:val="13"/>
                <w:b w:val="1"/>
                <w:bCs w:val="1"/>
                <w:color w:val="auto"/>
                <w:w w:val="94"/>
              </w:rPr>
              <w:t>Fiscal Year Ended March 31,</w:t>
            </w:r>
          </w:p>
        </w:tc>
        <w:tc>
          <w:tcPr>
            <w:tcW w:w="940" w:type="dxa"/>
            <w:vAlign w:val="bottom"/>
            <w:tcBorders>
              <w:bottom w:val="single" w:sz="8" w:color="auto"/>
            </w:tcBorders>
          </w:tcPr>
          <w:p>
            <w:pPr>
              <w:spacing w:after="0"/>
              <w:rPr>
                <w:sz w:val="15"/>
                <w:szCs w:val="15"/>
                <w:color w:val="auto"/>
              </w:rPr>
            </w:pPr>
          </w:p>
        </w:tc>
      </w:tr>
      <w:tr>
        <w:trPr>
          <w:trHeight w:val="243"/>
        </w:trPr>
        <w:tc>
          <w:tcPr>
            <w:tcW w:w="74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2015</w:t>
            </w:r>
          </w:p>
        </w:tc>
      </w:tr>
      <w:tr>
        <w:trPr>
          <w:trHeight w:val="22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Recurring dividends (1)</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92,925</w:t>
            </w:r>
          </w:p>
        </w:tc>
        <w:tc>
          <w:tcPr>
            <w:tcW w:w="52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80,015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67,846</w:t>
            </w:r>
          </w:p>
        </w:tc>
      </w:tr>
      <w:tr>
        <w:trPr>
          <w:trHeight w:val="225"/>
        </w:trPr>
        <w:tc>
          <w:tcPr>
            <w:tcW w:w="7420" w:type="dxa"/>
            <w:vAlign w:val="bottom"/>
          </w:tcPr>
          <w:p>
            <w:pPr>
              <w:ind w:left="20"/>
              <w:spacing w:after="0"/>
              <w:rPr>
                <w:sz w:val="20"/>
                <w:szCs w:val="20"/>
                <w:color w:val="auto"/>
              </w:rPr>
            </w:pPr>
            <w:r>
              <w:rPr>
                <w:rFonts w:ascii="Arial" w:cs="Arial" w:eastAsia="Arial" w:hAnsi="Arial"/>
                <w:sz w:val="17"/>
                <w:szCs w:val="17"/>
                <w:color w:val="auto"/>
              </w:rPr>
              <w:t>Special dividends (2)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147,248</w:t>
            </w:r>
          </w:p>
        </w:tc>
      </w:tr>
      <w:tr>
        <w:trPr>
          <w:trHeight w:val="25"/>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 equivalents (3)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31,802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47,110</w:t>
            </w:r>
          </w:p>
        </w:tc>
      </w:tr>
      <w:tr>
        <w:trPr>
          <w:trHeight w:val="237"/>
        </w:trPr>
        <w:tc>
          <w:tcPr>
            <w:tcW w:w="7420" w:type="dxa"/>
            <w:vAlign w:val="bottom"/>
          </w:tcPr>
          <w:p>
            <w:pPr>
              <w:ind w:left="140"/>
              <w:spacing w:after="0"/>
              <w:rPr>
                <w:sz w:val="20"/>
                <w:szCs w:val="20"/>
                <w:color w:val="auto"/>
              </w:rPr>
            </w:pPr>
            <w:r>
              <w:rPr>
                <w:rFonts w:ascii="Arial" w:cs="Arial" w:eastAsia="Arial" w:hAnsi="Arial"/>
                <w:sz w:val="17"/>
                <w:szCs w:val="17"/>
                <w:color w:val="auto"/>
              </w:rPr>
              <w:t>Total distributions</w:t>
            </w:r>
          </w:p>
        </w:tc>
        <w:tc>
          <w:tcPr>
            <w:tcW w:w="3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95,179</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111,817</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262,204</w:t>
            </w: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240" w:hanging="240"/>
        <w:spacing w:after="0"/>
        <w:tabs>
          <w:tab w:leader="none" w:pos="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Amounts represent recurring quarterly dividends that were declared and paid for during each quarter of fiscal 2017, 2016, and 2015.</w:t>
      </w:r>
    </w:p>
    <w:p>
      <w:pPr>
        <w:spacing w:after="0" w:line="104" w:lineRule="exact"/>
        <w:rPr>
          <w:rFonts w:ascii="Arial" w:cs="Arial" w:eastAsia="Arial" w:hAnsi="Arial"/>
          <w:sz w:val="17"/>
          <w:szCs w:val="17"/>
          <w:color w:val="auto"/>
        </w:rPr>
      </w:pPr>
    </w:p>
    <w:p>
      <w:pPr>
        <w:ind w:left="240" w:hanging="240"/>
        <w:spacing w:after="0"/>
        <w:tabs>
          <w:tab w:leader="none" w:pos="2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Amount represents aggregate special dividends of $1.00 per share ($1.00 paid on August 29, 2014) that were declared and paid for during fiscal 2015.</w:t>
      </w:r>
    </w:p>
    <w:p>
      <w:pPr>
        <w:spacing w:after="0" w:line="116" w:lineRule="exact"/>
        <w:rPr>
          <w:rFonts w:ascii="Arial" w:cs="Arial" w:eastAsia="Arial" w:hAnsi="Arial"/>
          <w:sz w:val="16"/>
          <w:szCs w:val="16"/>
          <w:color w:val="auto"/>
        </w:rPr>
      </w:pPr>
    </w:p>
    <w:p>
      <w:pPr>
        <w:ind w:left="240" w:hanging="240"/>
        <w:spacing w:after="0"/>
        <w:tabs>
          <w:tab w:leader="none" w:pos="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Dividend equivalents are distributions made to option holders equal to the special dividends declared and paid.</w:t>
      </w:r>
    </w:p>
    <w:p>
      <w:pPr>
        <w:spacing w:after="0" w:line="105" w:lineRule="exact"/>
        <w:rPr>
          <w:sz w:val="20"/>
          <w:szCs w:val="20"/>
          <w:color w:val="auto"/>
        </w:rPr>
      </w:pPr>
    </w:p>
    <w:p>
      <w:pPr>
        <w:jc w:val="both"/>
        <w:ind w:right="280" w:firstLine="375"/>
        <w:spacing w:after="0" w:line="256" w:lineRule="auto"/>
        <w:rPr>
          <w:sz w:val="20"/>
          <w:szCs w:val="20"/>
          <w:color w:val="auto"/>
        </w:rPr>
      </w:pPr>
      <w:r>
        <w:rPr>
          <w:rFonts w:ascii="Arial" w:cs="Arial" w:eastAsia="Arial" w:hAnsi="Arial"/>
          <w:sz w:val="17"/>
          <w:szCs w:val="17"/>
          <w:color w:val="auto"/>
        </w:rPr>
        <w:t>For each special dividend authorized and declared, the Board of Directors, acting as the Administrator of the Officers' Rollover Stock Plan and the Amended and Restated Equity Incentive Plan, or EIP, is required to make a determination under the respective plan's antidilution provision to adjust the outstanding options. Refer to Note 17 for further discussion of the special dividends.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total payout of the dividend and the dividend equivalents have been presented as a financing activity within the consolidated statement of cash flows.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123" w:right="239" w:bottom="1440" w:gutter="0" w:footer="0" w:header="0"/>
        </w:sectPr>
      </w:pPr>
    </w:p>
    <w:bookmarkStart w:id="91" w:name="page92"/>
    <w:bookmarkEnd w:id="91"/>
    <w:p>
      <w:pPr>
        <w:jc w:val="center"/>
        <w:ind w:left="260" w:right="2420"/>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STOCK-BASED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stock-based compensation expense recognized in the consolidated statements of operations:</w:t>
      </w:r>
    </w:p>
    <w:p>
      <w:pPr>
        <w:spacing w:after="0" w:line="251" w:lineRule="exact"/>
        <w:rPr>
          <w:sz w:val="20"/>
          <w:szCs w:val="20"/>
          <w:color w:val="auto"/>
        </w:rPr>
      </w:pPr>
    </w:p>
    <w:tbl>
      <w:tblPr>
        <w:tblLayout w:type="fixed"/>
        <w:tblInd w:w="128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gridSpan w:val="6"/>
          </w:tcPr>
          <w:p>
            <w:pPr>
              <w:jc w:val="right"/>
              <w:ind w:right="77"/>
              <w:spacing w:after="0"/>
              <w:rPr>
                <w:sz w:val="20"/>
                <w:szCs w:val="20"/>
                <w:color w:val="auto"/>
              </w:rPr>
            </w:pPr>
            <w:r>
              <w:rPr>
                <w:rFonts w:ascii="Arial" w:cs="Arial" w:eastAsia="Arial" w:hAnsi="Arial"/>
                <w:sz w:val="17"/>
                <w:szCs w:val="17"/>
                <w:b w:val="1"/>
                <w:bCs w:val="1"/>
                <w:color w:val="auto"/>
              </w:rPr>
              <w:t>Fiscal Year Ended March 31,</w:t>
            </w:r>
          </w:p>
        </w:tc>
        <w:tc>
          <w:tcPr>
            <w:tcW w:w="1040" w:type="dxa"/>
            <w:vAlign w:val="bottom"/>
          </w:tcPr>
          <w:p>
            <w:pPr>
              <w:spacing w:after="0"/>
              <w:rPr>
                <w:sz w:val="18"/>
                <w:szCs w:val="18"/>
                <w:color w:val="auto"/>
              </w:rPr>
            </w:pPr>
          </w:p>
        </w:tc>
      </w:tr>
      <w:tr>
        <w:trPr>
          <w:trHeight w:val="25"/>
        </w:trPr>
        <w:tc>
          <w:tcPr>
            <w:tcW w:w="4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7"/>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477"/>
              <w:spacing w:after="0"/>
              <w:rPr>
                <w:sz w:val="20"/>
                <w:szCs w:val="20"/>
                <w:color w:val="auto"/>
              </w:rPr>
            </w:pPr>
            <w:r>
              <w:rPr>
                <w:rFonts w:ascii="Arial" w:cs="Arial" w:eastAsia="Arial" w:hAnsi="Arial"/>
                <w:sz w:val="17"/>
                <w:szCs w:val="17"/>
                <w:b w:val="1"/>
                <w:bCs w:val="1"/>
                <w:color w:val="auto"/>
              </w:rPr>
              <w:t>2015</w:t>
            </w:r>
          </w:p>
        </w:tc>
      </w:tr>
      <w:tr>
        <w:trPr>
          <w:trHeight w:val="25"/>
        </w:trPr>
        <w:tc>
          <w:tcPr>
            <w:tcW w:w="4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7,001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8,652</w:t>
            </w:r>
          </w:p>
        </w:tc>
      </w:tr>
      <w:tr>
        <w:trPr>
          <w:trHeight w:val="225"/>
        </w:trPr>
        <w:tc>
          <w:tcPr>
            <w:tcW w:w="43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15,493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17,991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17,511</w:t>
            </w:r>
          </w:p>
        </w:tc>
      </w:tr>
      <w:tr>
        <w:trPr>
          <w:trHeight w:val="25"/>
        </w:trPr>
        <w:tc>
          <w:tcPr>
            <w:tcW w:w="4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8"/>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26,163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The following table summarizes the total stock-based compensation expense recognized in the consolidated statements of operations by the following types of equity awards:</w:t>
      </w:r>
    </w:p>
    <w:p>
      <w:pPr>
        <w:spacing w:after="0" w:line="214" w:lineRule="exact"/>
        <w:rPr>
          <w:sz w:val="20"/>
          <w:szCs w:val="20"/>
          <w:color w:val="auto"/>
        </w:rPr>
      </w:pPr>
    </w:p>
    <w:tbl>
      <w:tblPr>
        <w:tblLayout w:type="fixed"/>
        <w:tblInd w:w="128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gridSpan w:val="6"/>
          </w:tcPr>
          <w:p>
            <w:pPr>
              <w:jc w:val="right"/>
              <w:ind w:right="77"/>
              <w:spacing w:after="0"/>
              <w:rPr>
                <w:sz w:val="20"/>
                <w:szCs w:val="20"/>
                <w:color w:val="auto"/>
              </w:rPr>
            </w:pPr>
            <w:r>
              <w:rPr>
                <w:rFonts w:ascii="Arial" w:cs="Arial" w:eastAsia="Arial" w:hAnsi="Arial"/>
                <w:sz w:val="17"/>
                <w:szCs w:val="17"/>
                <w:b w:val="1"/>
                <w:bCs w:val="1"/>
                <w:color w:val="auto"/>
              </w:rPr>
              <w:t>Fiscal Year Ended March 31,</w:t>
            </w:r>
          </w:p>
        </w:tc>
        <w:tc>
          <w:tcPr>
            <w:tcW w:w="1040" w:type="dxa"/>
            <w:vAlign w:val="bottom"/>
          </w:tcPr>
          <w:p>
            <w:pPr>
              <w:spacing w:after="0"/>
              <w:rPr>
                <w:sz w:val="18"/>
                <w:szCs w:val="18"/>
                <w:color w:val="auto"/>
              </w:rPr>
            </w:pPr>
          </w:p>
        </w:tc>
      </w:tr>
      <w:tr>
        <w:trPr>
          <w:trHeight w:val="25"/>
        </w:trPr>
        <w:tc>
          <w:tcPr>
            <w:tcW w:w="4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7"/>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477"/>
              <w:spacing w:after="0"/>
              <w:rPr>
                <w:sz w:val="20"/>
                <w:szCs w:val="20"/>
                <w:color w:val="auto"/>
              </w:rPr>
            </w:pPr>
            <w:r>
              <w:rPr>
                <w:rFonts w:ascii="Arial" w:cs="Arial" w:eastAsia="Arial" w:hAnsi="Arial"/>
                <w:sz w:val="17"/>
                <w:szCs w:val="17"/>
                <w:b w:val="1"/>
                <w:bCs w:val="1"/>
                <w:color w:val="auto"/>
              </w:rPr>
              <w:t>2015</w:t>
            </w:r>
          </w:p>
        </w:tc>
      </w:tr>
      <w:tr>
        <w:trPr>
          <w:trHeight w:val="25"/>
        </w:trPr>
        <w:tc>
          <w:tcPr>
            <w:tcW w:w="4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Incentive Plan Options</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4,897</w:t>
            </w:r>
          </w:p>
        </w:tc>
      </w:tr>
      <w:tr>
        <w:trPr>
          <w:trHeight w:val="225"/>
        </w:trPr>
        <w:tc>
          <w:tcPr>
            <w:tcW w:w="4380" w:type="dxa"/>
            <w:vAlign w:val="bottom"/>
          </w:tcPr>
          <w:p>
            <w:pPr>
              <w:ind w:left="20"/>
              <w:spacing w:after="0"/>
              <w:rPr>
                <w:sz w:val="20"/>
                <w:szCs w:val="20"/>
                <w:color w:val="auto"/>
              </w:rPr>
            </w:pPr>
            <w:r>
              <w:rPr>
                <w:rFonts w:ascii="Arial" w:cs="Arial" w:eastAsia="Arial" w:hAnsi="Arial"/>
                <w:sz w:val="17"/>
                <w:szCs w:val="17"/>
                <w:color w:val="auto"/>
              </w:rPr>
              <w:t>Class A Restricted Common Stock</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18,726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21,266</w:t>
            </w:r>
          </w:p>
        </w:tc>
      </w:tr>
      <w:tr>
        <w:trPr>
          <w:trHeight w:val="25"/>
        </w:trPr>
        <w:tc>
          <w:tcPr>
            <w:tcW w:w="4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8"/>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26,163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120" w:firstLine="375"/>
        <w:spacing w:after="0" w:line="251" w:lineRule="auto"/>
        <w:rPr>
          <w:sz w:val="20"/>
          <w:szCs w:val="20"/>
          <w:color w:val="auto"/>
        </w:rPr>
      </w:pPr>
      <w:r>
        <w:rPr>
          <w:rFonts w:ascii="Arial" w:cs="Arial" w:eastAsia="Arial" w:hAnsi="Arial"/>
          <w:sz w:val="17"/>
          <w:szCs w:val="17"/>
          <w:color w:val="auto"/>
        </w:rPr>
        <w:t>As of March 31, 2017 and 2016, there was $12.8 million and $20.3 million, respectively, of total unrecognized compensation cost related to unvested stock-based compensation agreements. The unrecognized compensation cost as of March 31, 2017 is expected to be fully amortized over the next 5 years. Absent the effect of accelerating stock compensation cost for any departures of employees who may continue to vest in their equity awards, the following tables summarize the unrecognized compensation cost, the weighted average period the cost is expected to be amortized, and the estimated annual compensation cost for the future periods indicated below (excludes any future awards):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7"/>
          </w:tcPr>
          <w:p>
            <w:pPr>
              <w:ind w:left="240"/>
              <w:spacing w:after="0"/>
              <w:rPr>
                <w:sz w:val="20"/>
                <w:szCs w:val="20"/>
                <w:color w:val="auto"/>
              </w:rPr>
            </w:pPr>
            <w:r>
              <w:rPr>
                <w:rFonts w:ascii="Arial" w:cs="Arial" w:eastAsia="Arial" w:hAnsi="Arial"/>
                <w:sz w:val="17"/>
                <w:szCs w:val="17"/>
                <w:b w:val="1"/>
                <w:bCs w:val="1"/>
                <w:color w:val="auto"/>
                <w:w w:val="97"/>
              </w:rPr>
              <w:t>Weighted Average Remaining</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9"/>
          </w:tcPr>
          <w:p>
            <w:pPr>
              <w:jc w:val="right"/>
              <w:spacing w:after="0"/>
              <w:rPr>
                <w:sz w:val="20"/>
                <w:szCs w:val="20"/>
                <w:color w:val="auto"/>
              </w:rPr>
            </w:pPr>
            <w:r>
              <w:rPr>
                <w:rFonts w:ascii="Arial" w:cs="Arial" w:eastAsia="Arial" w:hAnsi="Arial"/>
                <w:sz w:val="17"/>
                <w:szCs w:val="17"/>
                <w:b w:val="1"/>
                <w:bCs w:val="1"/>
                <w:color w:val="auto"/>
                <w:w w:val="89"/>
              </w:rPr>
              <w:t>Unrecognized Compensation Cost</w:t>
            </w:r>
          </w:p>
        </w:tc>
        <w:tc>
          <w:tcPr>
            <w:tcW w:w="120" w:type="dxa"/>
            <w:vAlign w:val="bottom"/>
          </w:tcPr>
          <w:p>
            <w:pPr>
              <w:spacing w:after="0"/>
              <w:rPr>
                <w:sz w:val="18"/>
                <w:szCs w:val="18"/>
                <w:color w:val="auto"/>
              </w:rPr>
            </w:pPr>
          </w:p>
        </w:tc>
        <w:tc>
          <w:tcPr>
            <w:tcW w:w="2600" w:type="dxa"/>
            <w:vAlign w:val="bottom"/>
            <w:gridSpan w:val="7"/>
          </w:tcPr>
          <w:p>
            <w:pPr>
              <w:ind w:left="440"/>
              <w:spacing w:after="0"/>
              <w:rPr>
                <w:sz w:val="20"/>
                <w:szCs w:val="20"/>
                <w:color w:val="auto"/>
              </w:rPr>
            </w:pPr>
            <w:r>
              <w:rPr>
                <w:rFonts w:ascii="Arial" w:cs="Arial" w:eastAsia="Arial" w:hAnsi="Arial"/>
                <w:sz w:val="17"/>
                <w:szCs w:val="17"/>
                <w:b w:val="1"/>
                <w:bCs w:val="1"/>
                <w:color w:val="auto"/>
              </w:rPr>
              <w:t>Period to be Recognized</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6"/>
              </w:rPr>
              <w:t>March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b w:val="1"/>
                <w:bCs w:val="1"/>
                <w:color w:val="auto"/>
                <w:w w:val="94"/>
              </w:rPr>
              <w:t>March 31,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ind w:left="2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37"/>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center"/>
              <w:ind w:left="477"/>
              <w:spacing w:after="0"/>
              <w:rPr>
                <w:sz w:val="20"/>
                <w:szCs w:val="20"/>
                <w:color w:val="auto"/>
              </w:rPr>
            </w:pPr>
            <w:r>
              <w:rPr>
                <w:rFonts w:ascii="Arial" w:cs="Arial" w:eastAsia="Arial" w:hAnsi="Arial"/>
                <w:sz w:val="17"/>
                <w:szCs w:val="17"/>
                <w:b w:val="1"/>
                <w:bCs w:val="1"/>
                <w:color w:val="auto"/>
                <w:w w:val="84"/>
              </w:rPr>
              <w:t>2017</w:t>
            </w:r>
          </w:p>
        </w:tc>
        <w:tc>
          <w:tcPr>
            <w:tcW w:w="260" w:type="dxa"/>
            <w:vAlign w:val="bottom"/>
          </w:tcPr>
          <w:p>
            <w:pPr>
              <w:spacing w:after="0"/>
              <w:rPr>
                <w:sz w:val="18"/>
                <w:szCs w:val="18"/>
                <w:color w:val="auto"/>
              </w:rPr>
            </w:pPr>
          </w:p>
        </w:tc>
        <w:tc>
          <w:tcPr>
            <w:tcW w:w="1540" w:type="dxa"/>
            <w:vAlign w:val="bottom"/>
            <w:gridSpan w:val="4"/>
          </w:tcPr>
          <w:p>
            <w:pPr>
              <w:jc w:val="center"/>
              <w:ind w:left="197"/>
              <w:spacing w:after="0"/>
              <w:rPr>
                <w:sz w:val="20"/>
                <w:szCs w:val="20"/>
                <w:color w:val="auto"/>
              </w:rPr>
            </w:pPr>
            <w:r>
              <w:rPr>
                <w:rFonts w:ascii="Arial" w:cs="Arial" w:eastAsia="Arial" w:hAnsi="Arial"/>
                <w:sz w:val="17"/>
                <w:szCs w:val="17"/>
                <w:b w:val="1"/>
                <w:bCs w:val="1"/>
                <w:color w:val="auto"/>
                <w:w w:val="89"/>
              </w:rPr>
              <w:t>2016</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Incentive Plan Options</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1,777</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4,324</w:t>
            </w:r>
          </w:p>
        </w:tc>
        <w:tc>
          <w:tcPr>
            <w:tcW w:w="920" w:type="dxa"/>
            <w:vAlign w:val="bottom"/>
            <w:tcBorders>
              <w:bottom w:val="single" w:sz="8" w:color="CCEEFF"/>
            </w:tcBorders>
            <w:gridSpan w:val="3"/>
            <w:shd w:val="clear" w:color="auto" w:fill="CCEEFF"/>
          </w:tcPr>
          <w:p>
            <w:pPr>
              <w:jc w:val="center"/>
              <w:ind w:left="477"/>
              <w:spacing w:after="0"/>
              <w:rPr>
                <w:sz w:val="20"/>
                <w:szCs w:val="20"/>
                <w:color w:val="auto"/>
              </w:rPr>
            </w:pPr>
            <w:r>
              <w:rPr>
                <w:rFonts w:ascii="Arial" w:cs="Arial" w:eastAsia="Arial" w:hAnsi="Arial"/>
                <w:sz w:val="17"/>
                <w:szCs w:val="17"/>
                <w:color w:val="auto"/>
                <w:w w:val="84"/>
              </w:rPr>
              <w:t>2.84</w:t>
            </w:r>
          </w:p>
        </w:tc>
        <w:tc>
          <w:tcPr>
            <w:tcW w:w="2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4"/>
            <w:shd w:val="clear" w:color="auto" w:fill="CCEEFF"/>
          </w:tcPr>
          <w:p>
            <w:pPr>
              <w:jc w:val="center"/>
              <w:ind w:left="197"/>
              <w:spacing w:after="0"/>
              <w:rPr>
                <w:sz w:val="20"/>
                <w:szCs w:val="20"/>
                <w:color w:val="auto"/>
              </w:rPr>
            </w:pPr>
            <w:r>
              <w:rPr>
                <w:rFonts w:ascii="Arial" w:cs="Arial" w:eastAsia="Arial" w:hAnsi="Arial"/>
                <w:sz w:val="17"/>
                <w:szCs w:val="17"/>
                <w:color w:val="auto"/>
                <w:w w:val="90"/>
              </w:rPr>
              <w:t>2.77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7"/>
                <w:szCs w:val="17"/>
                <w:color w:val="auto"/>
              </w:rPr>
              <w:t>Class A Restricted Common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11,007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7"/>
              <w:spacing w:after="0"/>
              <w:rPr>
                <w:sz w:val="20"/>
                <w:szCs w:val="20"/>
                <w:color w:val="auto"/>
              </w:rPr>
            </w:pPr>
            <w:r>
              <w:rPr>
                <w:rFonts w:ascii="Arial" w:cs="Arial" w:eastAsia="Arial" w:hAnsi="Arial"/>
                <w:sz w:val="17"/>
                <w:szCs w:val="17"/>
                <w:color w:val="auto"/>
              </w:rPr>
              <w:t>15,951</w:t>
            </w:r>
          </w:p>
        </w:tc>
        <w:tc>
          <w:tcPr>
            <w:tcW w:w="920" w:type="dxa"/>
            <w:vAlign w:val="bottom"/>
            <w:gridSpan w:val="3"/>
          </w:tcPr>
          <w:p>
            <w:pPr>
              <w:jc w:val="center"/>
              <w:ind w:left="477"/>
              <w:spacing w:after="0"/>
              <w:rPr>
                <w:sz w:val="20"/>
                <w:szCs w:val="20"/>
                <w:color w:val="auto"/>
              </w:rPr>
            </w:pPr>
            <w:r>
              <w:rPr>
                <w:rFonts w:ascii="Arial" w:cs="Arial" w:eastAsia="Arial" w:hAnsi="Arial"/>
                <w:sz w:val="17"/>
                <w:szCs w:val="17"/>
                <w:color w:val="auto"/>
                <w:w w:val="84"/>
              </w:rPr>
              <w:t>1.75</w:t>
            </w:r>
          </w:p>
        </w:tc>
        <w:tc>
          <w:tcPr>
            <w:tcW w:w="260" w:type="dxa"/>
            <w:vAlign w:val="bottom"/>
          </w:tcPr>
          <w:p>
            <w:pPr>
              <w:spacing w:after="0"/>
              <w:rPr>
                <w:sz w:val="19"/>
                <w:szCs w:val="19"/>
                <w:color w:val="auto"/>
              </w:rPr>
            </w:pPr>
          </w:p>
        </w:tc>
        <w:tc>
          <w:tcPr>
            <w:tcW w:w="1540" w:type="dxa"/>
            <w:vAlign w:val="bottom"/>
            <w:gridSpan w:val="4"/>
          </w:tcPr>
          <w:p>
            <w:pPr>
              <w:jc w:val="center"/>
              <w:ind w:left="197"/>
              <w:spacing w:after="0"/>
              <w:rPr>
                <w:sz w:val="20"/>
                <w:szCs w:val="20"/>
                <w:color w:val="auto"/>
              </w:rPr>
            </w:pPr>
            <w:r>
              <w:rPr>
                <w:rFonts w:ascii="Arial" w:cs="Arial" w:eastAsia="Arial" w:hAnsi="Arial"/>
                <w:sz w:val="17"/>
                <w:szCs w:val="17"/>
                <w:color w:val="auto"/>
                <w:w w:val="90"/>
              </w:rPr>
              <w:t>2.02</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12,784</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20,275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12"/>
          </w:tcPr>
          <w:p>
            <w:pPr>
              <w:jc w:val="right"/>
              <w:spacing w:after="0"/>
              <w:rPr>
                <w:sz w:val="20"/>
                <w:szCs w:val="20"/>
                <w:color w:val="auto"/>
              </w:rPr>
            </w:pPr>
            <w:r>
              <w:rPr>
                <w:rFonts w:ascii="Arial" w:cs="Arial" w:eastAsia="Arial" w:hAnsi="Arial"/>
                <w:sz w:val="17"/>
                <w:szCs w:val="17"/>
                <w:b w:val="1"/>
                <w:bCs w:val="1"/>
                <w:color w:val="auto"/>
              </w:rPr>
              <w:t>Total Unrecognized Compensation Cost</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8"/>
                <w:szCs w:val="18"/>
                <w:color w:val="auto"/>
              </w:rPr>
            </w:pPr>
          </w:p>
        </w:tc>
        <w:tc>
          <w:tcPr>
            <w:tcW w:w="820" w:type="dxa"/>
            <w:vAlign w:val="bottom"/>
          </w:tcPr>
          <w:p>
            <w:pPr>
              <w:jc w:val="right"/>
              <w:ind w:right="277"/>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97"/>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77"/>
              <w:spacing w:after="0"/>
              <w:rPr>
                <w:sz w:val="20"/>
                <w:szCs w:val="20"/>
                <w:color w:val="auto"/>
              </w:rPr>
            </w:pPr>
            <w:r>
              <w:rPr>
                <w:rFonts w:ascii="Arial" w:cs="Arial" w:eastAsia="Arial" w:hAnsi="Arial"/>
                <w:sz w:val="17"/>
                <w:szCs w:val="17"/>
                <w:b w:val="1"/>
                <w:bCs w:val="1"/>
                <w:color w:val="auto"/>
                <w:w w:val="95"/>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7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ind w:right="277"/>
              <w:spacing w:after="0"/>
              <w:rPr>
                <w:sz w:val="20"/>
                <w:szCs w:val="20"/>
                <w:color w:val="auto"/>
              </w:rPr>
            </w:pPr>
            <w:r>
              <w:rPr>
                <w:rFonts w:ascii="Arial" w:cs="Arial" w:eastAsia="Arial" w:hAnsi="Arial"/>
                <w:sz w:val="17"/>
                <w:szCs w:val="17"/>
                <w:b w:val="1"/>
                <w:bCs w:val="1"/>
                <w:color w:val="auto"/>
              </w:rPr>
              <w:t>2022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740" w:type="dxa"/>
            <w:vAlign w:val="bottom"/>
            <w:gridSpan w:val="2"/>
            <w:vMerge w:val="restart"/>
          </w:tcPr>
          <w:p>
            <w:pPr>
              <w:ind w:left="20"/>
              <w:spacing w:after="0"/>
              <w:rPr>
                <w:sz w:val="20"/>
                <w:szCs w:val="20"/>
                <w:color w:val="auto"/>
              </w:rPr>
            </w:pPr>
            <w:r>
              <w:rPr>
                <w:rFonts w:ascii="Arial" w:cs="Arial" w:eastAsia="Arial" w:hAnsi="Arial"/>
                <w:sz w:val="17"/>
                <w:szCs w:val="17"/>
                <w:color w:val="auto"/>
              </w:rPr>
              <w:t>Equity Incentive Plan Options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40" w:type="dxa"/>
            <w:vAlign w:val="bottom"/>
            <w:gridSpan w:val="2"/>
            <w:vMerge w:val="continue"/>
          </w:tcPr>
          <w:p>
            <w:pPr>
              <w:spacing w:after="0"/>
              <w:rPr>
                <w:sz w:val="18"/>
                <w:szCs w:val="18"/>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1,777</w:t>
            </w:r>
          </w:p>
        </w:tc>
        <w:tc>
          <w:tcPr>
            <w:tcW w:w="100" w:type="dxa"/>
            <w:vAlign w:val="bottom"/>
          </w:tcPr>
          <w:p>
            <w:pPr>
              <w:spacing w:after="0"/>
              <w:rPr>
                <w:sz w:val="18"/>
                <w:szCs w:val="18"/>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1,050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ind w:left="56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ind w:right="17"/>
              <w:spacing w:after="0"/>
              <w:rPr>
                <w:sz w:val="20"/>
                <w:szCs w:val="20"/>
                <w:color w:val="auto"/>
              </w:rPr>
            </w:pPr>
            <w:r>
              <w:rPr>
                <w:rFonts w:ascii="Arial" w:cs="Arial" w:eastAsia="Arial" w:hAnsi="Arial"/>
                <w:sz w:val="17"/>
                <w:szCs w:val="17"/>
                <w:color w:val="auto"/>
              </w:rPr>
              <w:t>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Class A Restricted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8,542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12,784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9,592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2,680</w:t>
            </w:r>
          </w:p>
        </w:tc>
        <w:tc>
          <w:tcPr>
            <w:tcW w:w="10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gridSpan w:val="2"/>
          </w:tcPr>
          <w:p>
            <w:pPr>
              <w:ind w:left="56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gridSpan w:val="3"/>
          </w:tcPr>
          <w:p>
            <w:pPr>
              <w:jc w:val="right"/>
              <w:ind w:right="17"/>
              <w:spacing w:after="0"/>
              <w:rPr>
                <w:sz w:val="20"/>
                <w:szCs w:val="20"/>
                <w:color w:val="auto"/>
              </w:rPr>
            </w:pPr>
            <w:r>
              <w:rPr>
                <w:rFonts w:ascii="Arial" w:cs="Arial" w:eastAsia="Arial" w:hAnsi="Arial"/>
                <w:sz w:val="17"/>
                <w:szCs w:val="17"/>
                <w:color w:val="auto"/>
              </w:rPr>
              <w:t>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105" w:lineRule="exact"/>
        <w:rPr>
          <w:sz w:val="20"/>
          <w:szCs w:val="20"/>
          <w:color w:val="auto"/>
        </w:rPr>
      </w:pPr>
    </w:p>
    <w:p>
      <w:pPr>
        <w:jc w:val="both"/>
        <w:ind w:right="120" w:firstLine="375"/>
        <w:spacing w:after="0" w:line="334" w:lineRule="auto"/>
        <w:rPr>
          <w:sz w:val="20"/>
          <w:szCs w:val="20"/>
          <w:color w:val="auto"/>
        </w:rPr>
      </w:pPr>
      <w:r>
        <w:rPr>
          <w:rFonts w:ascii="Arial" w:cs="Arial" w:eastAsia="Arial" w:hAnsi="Arial"/>
          <w:sz w:val="15"/>
          <w:szCs w:val="15"/>
          <w:color w:val="auto"/>
        </w:rPr>
        <w:t>The EIP was created in connection with the Merger Agreement for employees and directors of Holding. The Company created a pool of options, or EIP Options, to draw upon for future grants that would be governed by the EIP. All options under the EIP are exercisable, upon vesting, for shares of Class A common stock of Holding.</w:t>
      </w:r>
    </w:p>
    <w:p>
      <w:pPr>
        <w:spacing w:after="0" w:line="21" w:lineRule="exact"/>
        <w:rPr>
          <w:sz w:val="20"/>
          <w:szCs w:val="20"/>
          <w:color w:val="auto"/>
        </w:rPr>
      </w:pPr>
    </w:p>
    <w:p>
      <w:pPr>
        <w:ind w:right="40" w:firstLine="375"/>
        <w:spacing w:after="0" w:line="256" w:lineRule="auto"/>
        <w:rPr>
          <w:sz w:val="20"/>
          <w:szCs w:val="20"/>
          <w:color w:val="auto"/>
        </w:rPr>
      </w:pPr>
      <w:r>
        <w:rPr>
          <w:rFonts w:ascii="Arial" w:cs="Arial" w:eastAsia="Arial" w:hAnsi="Arial"/>
          <w:sz w:val="17"/>
          <w:szCs w:val="17"/>
          <w:color w:val="auto"/>
        </w:rPr>
        <w:t>Stock options are granted at the discretion of the Board of Directors or its Compensation Committee and expire ten years from the grant date. Options generally vest over a five-year period based upon required service and performance conditions. Starting on February 1, 2012, the Board of Directors or its Compensation Committee updated vesting conditions for stock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00"/>
          </w:cols>
          <w:pgMar w:left="240" w:top="123" w:right="259" w:bottom="1440" w:gutter="0" w:footer="0" w:header="0"/>
        </w:sectPr>
      </w:pPr>
    </w:p>
    <w:bookmarkStart w:id="92" w:name="page93"/>
    <w:bookmarkEnd w:id="92"/>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options, whereby stock options only vest upon a required service condition. The Company calculates the pool of additional paid-in capital associated with excess tax benefits using the “simplified method.”</w:t>
      </w:r>
    </w:p>
    <w:p>
      <w:pPr>
        <w:spacing w:after="0" w:line="67" w:lineRule="exact"/>
        <w:rPr>
          <w:sz w:val="20"/>
          <w:szCs w:val="20"/>
          <w:color w:val="auto"/>
        </w:rPr>
      </w:pPr>
    </w:p>
    <w:p>
      <w:pPr>
        <w:ind w:right="220" w:firstLine="375"/>
        <w:spacing w:after="0" w:line="266" w:lineRule="auto"/>
        <w:rPr>
          <w:sz w:val="20"/>
          <w:szCs w:val="20"/>
          <w:color w:val="auto"/>
        </w:rPr>
      </w:pPr>
      <w:r>
        <w:rPr>
          <w:rFonts w:ascii="Arial" w:cs="Arial" w:eastAsia="Arial" w:hAnsi="Arial"/>
          <w:sz w:val="17"/>
          <w:szCs w:val="17"/>
          <w:color w:val="auto"/>
        </w:rPr>
        <w:t>On October 26, 2016, 43,086 options were granted under the EIP. The estimated fair value of the per-option grant was $6.96, resulting in a total fair value of $0.3 million.</w:t>
      </w:r>
    </w:p>
    <w:p>
      <w:pPr>
        <w:spacing w:after="0" w:line="67" w:lineRule="exact"/>
        <w:rPr>
          <w:sz w:val="20"/>
          <w:szCs w:val="20"/>
          <w:color w:val="auto"/>
        </w:rPr>
      </w:pPr>
    </w:p>
    <w:p>
      <w:pPr>
        <w:ind w:right="360" w:firstLine="375"/>
        <w:spacing w:after="0" w:line="266" w:lineRule="auto"/>
        <w:rPr>
          <w:sz w:val="20"/>
          <w:szCs w:val="20"/>
          <w:color w:val="auto"/>
        </w:rPr>
      </w:pPr>
      <w:r>
        <w:rPr>
          <w:rFonts w:ascii="Arial" w:cs="Arial" w:eastAsia="Arial" w:hAnsi="Arial"/>
          <w:sz w:val="17"/>
          <w:szCs w:val="17"/>
          <w:color w:val="auto"/>
        </w:rPr>
        <w:t>On January 25, 2017, 5,812 options were granted under the EIP. The estimated fair value of the per-option grant was $8.60, resulting in a total fair value of $0.1 million.</w:t>
      </w:r>
    </w:p>
    <w:p>
      <w:pPr>
        <w:spacing w:after="0" w:line="67" w:lineRule="exact"/>
        <w:rPr>
          <w:sz w:val="20"/>
          <w:szCs w:val="20"/>
          <w:color w:val="auto"/>
        </w:rPr>
      </w:pPr>
    </w:p>
    <w:p>
      <w:pPr>
        <w:ind w:right="180" w:firstLine="375"/>
        <w:spacing w:after="0" w:line="252" w:lineRule="auto"/>
        <w:rPr>
          <w:sz w:val="20"/>
          <w:szCs w:val="20"/>
          <w:color w:val="auto"/>
        </w:rPr>
      </w:pPr>
      <w:r>
        <w:rPr>
          <w:rFonts w:ascii="Arial" w:cs="Arial" w:eastAsia="Arial" w:hAnsi="Arial"/>
          <w:sz w:val="17"/>
          <w:szCs w:val="17"/>
          <w:color w:val="auto"/>
        </w:rPr>
        <w:t>The aggregate grant date fair value of the EIP Options issued during fiscal 2017 and 2016, was $0.4 million and $3.4 million respectively, and is being recorded as expense over the vesting period. The total fair value of EIP Options vested during fiscal 2017 and 2016 was $11.8 million and $14.9 million, respectively. The total intrinsic value of EIP options exercised during fiscal 2017 and 2016 was $49.0 million and $16.1 million, respectively. As of March 31, 2017 and 2016, there were 12,026,970 and 12,147,850 options, respectively, available for future grant under the EIP.</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addition to options, the Board of Directors also grants restricted stock awards to members of the Board as compensation for services rendered to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These awards generally vest over one year.</w:t>
      </w:r>
    </w:p>
    <w:p>
      <w:pPr>
        <w:spacing w:after="0" w:line="93" w:lineRule="exact"/>
        <w:rPr>
          <w:sz w:val="20"/>
          <w:szCs w:val="20"/>
          <w:color w:val="auto"/>
        </w:rPr>
      </w:pPr>
    </w:p>
    <w:p>
      <w:pPr>
        <w:ind w:right="180" w:firstLine="375"/>
        <w:spacing w:after="0" w:line="266" w:lineRule="auto"/>
        <w:rPr>
          <w:sz w:val="20"/>
          <w:szCs w:val="20"/>
          <w:color w:val="auto"/>
        </w:rPr>
      </w:pPr>
      <w:r>
        <w:rPr>
          <w:rFonts w:ascii="Arial" w:cs="Arial" w:eastAsia="Arial" w:hAnsi="Arial"/>
          <w:sz w:val="17"/>
          <w:szCs w:val="17"/>
          <w:color w:val="auto"/>
        </w:rPr>
        <w:t>During fiscal 2017, the Company also issued several equity awards in the form of restricted stock to certain newly hired and existing employees and officers of the Company. These awards will vest over a three year period subject to the employees' continued employment with the Company.</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Adoption of Annual Incentive Plan</w:t>
      </w:r>
    </w:p>
    <w:p>
      <w:pPr>
        <w:spacing w:after="0" w:line="105" w:lineRule="exact"/>
        <w:rPr>
          <w:sz w:val="20"/>
          <w:szCs w:val="20"/>
          <w:color w:val="auto"/>
        </w:rPr>
      </w:pPr>
    </w:p>
    <w:p>
      <w:pPr>
        <w:ind w:firstLine="375"/>
        <w:spacing w:after="0" w:line="267" w:lineRule="auto"/>
        <w:rPr>
          <w:sz w:val="20"/>
          <w:szCs w:val="20"/>
          <w:color w:val="auto"/>
        </w:rPr>
      </w:pPr>
      <w:r>
        <w:rPr>
          <w:rFonts w:ascii="Arial" w:cs="Arial" w:eastAsia="Arial" w:hAnsi="Arial"/>
          <w:sz w:val="16"/>
          <w:szCs w:val="16"/>
          <w:color w:val="auto"/>
        </w:rPr>
        <w:t>On October 1, 2010, the Board of Directors adopted a new compensation plan in connection with the initial public offering to more appropriately align the Company’s compensation programs with those of similarly situated companies. The amount of the annual incentive payment will be determined based on performance targets established by the Board of Directors and a portion of the bonus may be paid in the form of equity (including stock and other awards under the EIP). If the Board of Directors elects to make payments in equity, the value of the overall award will be increased by 20%, related to the portion paid in equity. Equity awards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The portion to be paid in cash is accrued ratably during the fiscal year in which the employees provide service and paid out during the first quarter of the subsequent fiscal year.</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Grants of Class A Restricted Common Stock and Restricted Stock Units</w:t>
      </w:r>
    </w:p>
    <w:p>
      <w:pPr>
        <w:spacing w:after="0" w:line="105" w:lineRule="exact"/>
        <w:rPr>
          <w:sz w:val="20"/>
          <w:szCs w:val="20"/>
          <w:color w:val="auto"/>
        </w:rPr>
      </w:pPr>
    </w:p>
    <w:p>
      <w:pPr>
        <w:ind w:right="20" w:firstLine="375"/>
        <w:spacing w:after="0" w:line="289" w:lineRule="auto"/>
        <w:rPr>
          <w:sz w:val="20"/>
          <w:szCs w:val="20"/>
          <w:color w:val="auto"/>
        </w:rPr>
      </w:pPr>
      <w:r>
        <w:rPr>
          <w:rFonts w:ascii="Arial" w:cs="Arial" w:eastAsia="Arial" w:hAnsi="Arial"/>
          <w:sz w:val="15"/>
          <w:szCs w:val="15"/>
          <w:color w:val="auto"/>
        </w:rPr>
        <w:t>During fiscal 2017, the Board of Directors granted an aggregate of 433,218 Class A Restricted Stock Units and 40,029 shares of Class A Restricted Common Stock to newly promoted and hired partners and vice presidents, existing employees, and members of the Board of Directors. The aggregate value of these awards approximated $14.1 million and were based on the grant date stock price, which ranged from $28.94 to $35.83. The majority of these awards were issued in conjunction with the Annual Incentive Plan, whereby the amount of the annual incentive payment is determined based on performance targets established by the Compensation Committee and a portion of the incentive payment is paid in the form of Restricted Stock Units. A Restricted Stock Unit represents a contingent right to receive one share of Class A Common Stock upon vesting. The Restricted Stock Units will vest over a period of three years, subject to the participant's continued employment with the Company.</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total fair value of restricted stock shares vested during fiscal 2017 and 2016 was $30.2 million and $26.5 million, respectively.</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Officers’ Rollover Stock Plan</w:t>
      </w:r>
    </w:p>
    <w:p>
      <w:pPr>
        <w:spacing w:after="0" w:line="105" w:lineRule="exact"/>
        <w:rPr>
          <w:sz w:val="20"/>
          <w:szCs w:val="20"/>
          <w:color w:val="auto"/>
        </w:rPr>
      </w:pPr>
    </w:p>
    <w:p>
      <w:pPr>
        <w:ind w:right="40" w:firstLine="400"/>
        <w:spacing w:after="0" w:line="273" w:lineRule="auto"/>
        <w:rPr>
          <w:sz w:val="20"/>
          <w:szCs w:val="20"/>
          <w:color w:val="auto"/>
        </w:rPr>
      </w:pPr>
      <w:r>
        <w:rPr>
          <w:rFonts w:ascii="Arial" w:cs="Arial" w:eastAsia="Arial" w:hAnsi="Arial"/>
          <w:sz w:val="16"/>
          <w:szCs w:val="16"/>
          <w:color w:val="auto"/>
        </w:rPr>
        <w:t>The Rollover Plan was adopted as a mechanism to enable Company officers to exchange a portion of their previous equity interests in the pre-acquisition Company for equity interests in the Company. Unvested stock rights that would have vested in 2008 were exchanged for 2,028,270 shares of new Class C Restricted Stock issued by the Company. For the fiscal years ended March 31, 2016 and March 31, 2017 all shares of Class C Restricted Stock were fully vested. At March 31, 2017 and 2016, 3,971,730 shares of Class C Restricted Stock were authorized but unissued under the Plan.</w:t>
      </w:r>
    </w:p>
    <w:p>
      <w:pPr>
        <w:spacing w:after="0" w:line="64" w:lineRule="exact"/>
        <w:rPr>
          <w:sz w:val="20"/>
          <w:szCs w:val="20"/>
          <w:color w:val="auto"/>
        </w:rPr>
      </w:pPr>
    </w:p>
    <w:p>
      <w:pPr>
        <w:ind w:right="20" w:firstLine="400"/>
        <w:spacing w:after="0" w:line="256" w:lineRule="auto"/>
        <w:rPr>
          <w:sz w:val="20"/>
          <w:szCs w:val="20"/>
          <w:color w:val="auto"/>
        </w:rPr>
      </w:pPr>
      <w:r>
        <w:rPr>
          <w:rFonts w:ascii="Arial" w:cs="Arial" w:eastAsia="Arial" w:hAnsi="Arial"/>
          <w:sz w:val="17"/>
          <w:szCs w:val="17"/>
          <w:color w:val="auto"/>
        </w:rPr>
        <w:t>As permitted under the terms of the EIP, the Compensation Committee, as Administrator of the Plan, authorized the withholding of taxes not to exceed the minimum statutory withholding amount, through the surrender of shares of Class A common stock issuable upon the vesting or accelerated vesting of Restricted Stock. For those holders who elected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123" w:right="239" w:bottom="1440" w:gutter="0" w:footer="0" w:header="0"/>
        </w:sectPr>
      </w:pPr>
    </w:p>
    <w:bookmarkStart w:id="93" w:name="page94"/>
    <w:bookmarkEnd w:id="93"/>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participate, the trade dates were as listed in the table below. As a result of these transactions, the Company repurchased a total of 308,793 shares and recorded them as treasury shares at a cost of $10.0 million, detailed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Total Shares Withheld to Cover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29210</wp:posOffset>
            </wp:positionV>
            <wp:extent cx="59372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37250" cy="8255"/>
                    </a:xfrm>
                    <a:prstGeom prst="rect">
                      <a:avLst/>
                    </a:prstGeom>
                    <a:noFill/>
                  </pic:spPr>
                </pic:pic>
              </a:graphicData>
            </a:graphic>
          </wp:anchor>
        </w:drawing>
      </w:r>
    </w:p>
    <w:p>
      <w:pPr>
        <w:spacing w:after="0" w:line="47" w:lineRule="exact"/>
        <w:rPr>
          <w:sz w:val="20"/>
          <w:szCs w:val="20"/>
          <w:color w:val="auto"/>
        </w:rPr>
      </w:pPr>
    </w:p>
    <w:tbl>
      <w:tblPr>
        <w:tblLayout w:type="fixed"/>
        <w:tblInd w:w="1040" w:type="dxa"/>
        <w:tblCellMar>
          <w:top w:w="0" w:type="dxa"/>
          <w:left w:w="0" w:type="dxa"/>
          <w:bottom w:w="0" w:type="dxa"/>
          <w:right w:w="0" w:type="dxa"/>
        </w:tblCellMar>
      </w:tblPr>
      <w:tr>
        <w:trPr>
          <w:trHeight w:val="217"/>
        </w:trPr>
        <w:tc>
          <w:tcPr>
            <w:tcW w:w="3460" w:type="dxa"/>
            <w:vAlign w:val="bottom"/>
          </w:tcPr>
          <w:p>
            <w:pPr>
              <w:jc w:val="center"/>
              <w:spacing w:after="0"/>
              <w:rPr>
                <w:sz w:val="20"/>
                <w:szCs w:val="20"/>
                <w:color w:val="auto"/>
              </w:rPr>
            </w:pPr>
            <w:r>
              <w:rPr>
                <w:rFonts w:ascii="Arial" w:cs="Arial" w:eastAsia="Arial" w:hAnsi="Arial"/>
                <w:sz w:val="17"/>
                <w:szCs w:val="17"/>
                <w:b w:val="1"/>
                <w:bCs w:val="1"/>
                <w:color w:val="auto"/>
                <w:w w:val="91"/>
              </w:rPr>
              <w:t>Trade Date</w:t>
            </w:r>
          </w:p>
        </w:tc>
        <w:tc>
          <w:tcPr>
            <w:tcW w:w="1980" w:type="dxa"/>
            <w:vAlign w:val="bottom"/>
          </w:tcPr>
          <w:p>
            <w:pPr>
              <w:ind w:left="740"/>
              <w:spacing w:after="0"/>
              <w:rPr>
                <w:sz w:val="20"/>
                <w:szCs w:val="20"/>
                <w:color w:val="auto"/>
              </w:rPr>
            </w:pPr>
            <w:r>
              <w:rPr>
                <w:rFonts w:ascii="Arial" w:cs="Arial" w:eastAsia="Arial" w:hAnsi="Arial"/>
                <w:sz w:val="17"/>
                <w:szCs w:val="17"/>
                <w:b w:val="1"/>
                <w:bCs w:val="1"/>
                <w:color w:val="auto"/>
              </w:rPr>
              <w:t>Shares</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84"/>
              </w:rPr>
              <w:t>Cost</w:t>
            </w:r>
          </w:p>
        </w:tc>
        <w:tc>
          <w:tcPr>
            <w:tcW w:w="460" w:type="dxa"/>
            <w:vAlign w:val="bottom"/>
          </w:tcPr>
          <w:p>
            <w:pPr>
              <w:spacing w:after="0"/>
              <w:rPr>
                <w:sz w:val="18"/>
                <w:szCs w:val="18"/>
                <w:color w:val="auto"/>
              </w:rPr>
            </w:pPr>
          </w:p>
        </w:tc>
        <w:tc>
          <w:tcPr>
            <w:tcW w:w="1500" w:type="dxa"/>
            <w:vAlign w:val="bottom"/>
          </w:tcPr>
          <w:p>
            <w:pPr>
              <w:jc w:val="right"/>
              <w:ind w:right="717"/>
              <w:spacing w:after="0"/>
              <w:rPr>
                <w:sz w:val="20"/>
                <w:szCs w:val="20"/>
                <w:color w:val="auto"/>
              </w:rPr>
            </w:pPr>
            <w:r>
              <w:rPr>
                <w:rFonts w:ascii="Arial" w:cs="Arial" w:eastAsia="Arial" w:hAnsi="Arial"/>
                <w:sz w:val="17"/>
                <w:szCs w:val="17"/>
                <w:b w:val="1"/>
                <w:bCs w:val="1"/>
                <w:color w:val="auto"/>
              </w:rPr>
              <w:t>Total</w:t>
            </w:r>
          </w:p>
        </w:tc>
      </w:tr>
      <w:tr>
        <w:trPr>
          <w:trHeight w:val="25"/>
        </w:trPr>
        <w:tc>
          <w:tcPr>
            <w:tcW w:w="3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3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94"/>
              </w:rPr>
              <w:t>April 1, 2016</w:t>
            </w:r>
          </w:p>
        </w:tc>
        <w:tc>
          <w:tcPr>
            <w:tcW w:w="19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94"/>
              </w:rPr>
              <w:t>19</w:t>
            </w:r>
          </w:p>
        </w:tc>
        <w:tc>
          <w:tcPr>
            <w:tcW w:w="19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88"/>
              </w:rPr>
              <w:t>$30.55</w:t>
            </w:r>
          </w:p>
        </w:tc>
        <w:tc>
          <w:tcPr>
            <w:tcW w:w="460" w:type="dxa"/>
            <w:vAlign w:val="bottom"/>
            <w:tcBorders>
              <w:bottom w:val="single" w:sz="8" w:color="BFE4FF"/>
            </w:tcBorders>
            <w:shd w:val="clear" w:color="auto" w:fill="BFE4FF"/>
          </w:tcPr>
          <w:p>
            <w:pPr>
              <w:jc w:val="right"/>
              <w:ind w:right="25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580</w:t>
            </w:r>
          </w:p>
        </w:tc>
      </w:tr>
      <w:tr>
        <w:trPr>
          <w:trHeight w:val="225"/>
        </w:trPr>
        <w:tc>
          <w:tcPr>
            <w:tcW w:w="3460" w:type="dxa"/>
            <w:vAlign w:val="bottom"/>
          </w:tcPr>
          <w:p>
            <w:pPr>
              <w:jc w:val="center"/>
              <w:spacing w:after="0"/>
              <w:rPr>
                <w:sz w:val="20"/>
                <w:szCs w:val="20"/>
                <w:color w:val="auto"/>
              </w:rPr>
            </w:pPr>
            <w:r>
              <w:rPr>
                <w:rFonts w:ascii="Arial" w:cs="Arial" w:eastAsia="Arial" w:hAnsi="Arial"/>
                <w:sz w:val="17"/>
                <w:szCs w:val="17"/>
                <w:color w:val="auto"/>
                <w:w w:val="93"/>
              </w:rPr>
              <w:t>April 11, 2016</w:t>
            </w:r>
          </w:p>
        </w:tc>
        <w:tc>
          <w:tcPr>
            <w:tcW w:w="1980" w:type="dxa"/>
            <w:vAlign w:val="bottom"/>
          </w:tcPr>
          <w:p>
            <w:pPr>
              <w:jc w:val="center"/>
              <w:spacing w:after="0"/>
              <w:rPr>
                <w:sz w:val="20"/>
                <w:szCs w:val="20"/>
                <w:color w:val="auto"/>
              </w:rPr>
            </w:pPr>
            <w:r>
              <w:rPr>
                <w:rFonts w:ascii="Arial" w:cs="Arial" w:eastAsia="Arial" w:hAnsi="Arial"/>
                <w:sz w:val="17"/>
                <w:szCs w:val="17"/>
                <w:color w:val="auto"/>
              </w:rPr>
              <w:t>9</w:t>
            </w:r>
          </w:p>
        </w:tc>
        <w:tc>
          <w:tcPr>
            <w:tcW w:w="1940" w:type="dxa"/>
            <w:vAlign w:val="bottom"/>
          </w:tcPr>
          <w:p>
            <w:pPr>
              <w:jc w:val="center"/>
              <w:spacing w:after="0"/>
              <w:rPr>
                <w:sz w:val="20"/>
                <w:szCs w:val="20"/>
                <w:color w:val="auto"/>
              </w:rPr>
            </w:pPr>
            <w:r>
              <w:rPr>
                <w:rFonts w:ascii="Arial" w:cs="Arial" w:eastAsia="Arial" w:hAnsi="Arial"/>
                <w:sz w:val="17"/>
                <w:szCs w:val="17"/>
                <w:color w:val="auto"/>
                <w:w w:val="88"/>
              </w:rPr>
              <w:t>$29.29</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264</w:t>
            </w:r>
          </w:p>
        </w:tc>
      </w:tr>
      <w:tr>
        <w:trPr>
          <w:trHeight w:val="25"/>
        </w:trPr>
        <w:tc>
          <w:tcPr>
            <w:tcW w:w="34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3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93"/>
              </w:rPr>
              <w:t>April 18, 2016</w:t>
            </w:r>
          </w:p>
        </w:tc>
        <w:tc>
          <w:tcPr>
            <w:tcW w:w="19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rPr>
              <w:t>1</w:t>
            </w:r>
          </w:p>
        </w:tc>
        <w:tc>
          <w:tcPr>
            <w:tcW w:w="19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88"/>
              </w:rPr>
              <w:t>$28.37</w:t>
            </w:r>
          </w:p>
        </w:tc>
        <w:tc>
          <w:tcPr>
            <w:tcW w:w="460" w:type="dxa"/>
            <w:vAlign w:val="bottom"/>
            <w:tcBorders>
              <w:bottom w:val="single" w:sz="8" w:color="BFE4FF"/>
            </w:tcBorders>
            <w:shd w:val="clear" w:color="auto" w:fill="BFE4FF"/>
          </w:tcPr>
          <w:p>
            <w:pPr>
              <w:spacing w:after="0"/>
              <w:rPr>
                <w:sz w:val="20"/>
                <w:szCs w:val="20"/>
                <w:color w:val="auto"/>
              </w:rPr>
            </w:pP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28</w:t>
            </w:r>
          </w:p>
        </w:tc>
      </w:tr>
      <w:tr>
        <w:trPr>
          <w:trHeight w:val="225"/>
        </w:trPr>
        <w:tc>
          <w:tcPr>
            <w:tcW w:w="3460" w:type="dxa"/>
            <w:vAlign w:val="bottom"/>
          </w:tcPr>
          <w:p>
            <w:pPr>
              <w:jc w:val="center"/>
              <w:spacing w:after="0"/>
              <w:rPr>
                <w:sz w:val="20"/>
                <w:szCs w:val="20"/>
                <w:color w:val="auto"/>
              </w:rPr>
            </w:pPr>
            <w:r>
              <w:rPr>
                <w:rFonts w:ascii="Arial" w:cs="Arial" w:eastAsia="Arial" w:hAnsi="Arial"/>
                <w:sz w:val="17"/>
                <w:szCs w:val="17"/>
                <w:color w:val="auto"/>
                <w:w w:val="87"/>
              </w:rPr>
              <w:t>June 30, 2016</w:t>
            </w:r>
          </w:p>
        </w:tc>
        <w:tc>
          <w:tcPr>
            <w:tcW w:w="1980" w:type="dxa"/>
            <w:vAlign w:val="bottom"/>
          </w:tcPr>
          <w:p>
            <w:pPr>
              <w:jc w:val="center"/>
              <w:spacing w:after="0"/>
              <w:rPr>
                <w:sz w:val="20"/>
                <w:szCs w:val="20"/>
                <w:color w:val="auto"/>
              </w:rPr>
            </w:pPr>
            <w:r>
              <w:rPr>
                <w:rFonts w:ascii="Arial" w:cs="Arial" w:eastAsia="Arial" w:hAnsi="Arial"/>
                <w:sz w:val="17"/>
                <w:szCs w:val="17"/>
                <w:color w:val="auto"/>
                <w:w w:val="87"/>
              </w:rPr>
              <w:t>154,012</w:t>
            </w:r>
          </w:p>
        </w:tc>
        <w:tc>
          <w:tcPr>
            <w:tcW w:w="1940" w:type="dxa"/>
            <w:vAlign w:val="bottom"/>
          </w:tcPr>
          <w:p>
            <w:pPr>
              <w:jc w:val="center"/>
              <w:spacing w:after="0"/>
              <w:rPr>
                <w:sz w:val="20"/>
                <w:szCs w:val="20"/>
                <w:color w:val="auto"/>
              </w:rPr>
            </w:pPr>
            <w:r>
              <w:rPr>
                <w:rFonts w:ascii="Arial" w:cs="Arial" w:eastAsia="Arial" w:hAnsi="Arial"/>
                <w:sz w:val="17"/>
                <w:szCs w:val="17"/>
                <w:color w:val="auto"/>
                <w:w w:val="88"/>
              </w:rPr>
              <w:t>$29.64</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4,564,916</w:t>
            </w:r>
          </w:p>
        </w:tc>
      </w:tr>
      <w:tr>
        <w:trPr>
          <w:trHeight w:val="25"/>
        </w:trPr>
        <w:tc>
          <w:tcPr>
            <w:tcW w:w="34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3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88"/>
              </w:rPr>
              <w:t>July 11, 2016</w:t>
            </w:r>
          </w:p>
        </w:tc>
        <w:tc>
          <w:tcPr>
            <w:tcW w:w="19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rPr>
              <w:t>6</w:t>
            </w:r>
          </w:p>
        </w:tc>
        <w:tc>
          <w:tcPr>
            <w:tcW w:w="19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88"/>
              </w:rPr>
              <w:t>$30.18</w:t>
            </w:r>
          </w:p>
        </w:tc>
        <w:tc>
          <w:tcPr>
            <w:tcW w:w="460" w:type="dxa"/>
            <w:vAlign w:val="bottom"/>
            <w:tcBorders>
              <w:bottom w:val="single" w:sz="8" w:color="BFE4FF"/>
            </w:tcBorders>
            <w:shd w:val="clear" w:color="auto" w:fill="BFE4FF"/>
          </w:tcPr>
          <w:p>
            <w:pPr>
              <w:spacing w:after="0"/>
              <w:rPr>
                <w:sz w:val="20"/>
                <w:szCs w:val="20"/>
                <w:color w:val="auto"/>
              </w:rPr>
            </w:pP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181</w:t>
            </w:r>
          </w:p>
        </w:tc>
      </w:tr>
      <w:tr>
        <w:trPr>
          <w:trHeight w:val="225"/>
        </w:trPr>
        <w:tc>
          <w:tcPr>
            <w:tcW w:w="3460" w:type="dxa"/>
            <w:vAlign w:val="bottom"/>
          </w:tcPr>
          <w:p>
            <w:pPr>
              <w:jc w:val="center"/>
              <w:spacing w:after="0"/>
              <w:rPr>
                <w:sz w:val="20"/>
                <w:szCs w:val="20"/>
                <w:color w:val="auto"/>
              </w:rPr>
            </w:pPr>
            <w:r>
              <w:rPr>
                <w:rFonts w:ascii="Arial" w:cs="Arial" w:eastAsia="Arial" w:hAnsi="Arial"/>
                <w:sz w:val="17"/>
                <w:szCs w:val="17"/>
                <w:color w:val="auto"/>
                <w:w w:val="87"/>
              </w:rPr>
              <w:t>December 6, 2016</w:t>
            </w:r>
          </w:p>
        </w:tc>
        <w:tc>
          <w:tcPr>
            <w:tcW w:w="198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1940" w:type="dxa"/>
            <w:vAlign w:val="bottom"/>
          </w:tcPr>
          <w:p>
            <w:pPr>
              <w:jc w:val="center"/>
              <w:spacing w:after="0"/>
              <w:rPr>
                <w:sz w:val="20"/>
                <w:szCs w:val="20"/>
                <w:color w:val="auto"/>
              </w:rPr>
            </w:pPr>
            <w:r>
              <w:rPr>
                <w:rFonts w:ascii="Arial" w:cs="Arial" w:eastAsia="Arial" w:hAnsi="Arial"/>
                <w:sz w:val="17"/>
                <w:szCs w:val="17"/>
                <w:color w:val="auto"/>
                <w:w w:val="88"/>
              </w:rPr>
              <w:t>$37.96</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380</w:t>
            </w:r>
          </w:p>
        </w:tc>
      </w:tr>
      <w:tr>
        <w:trPr>
          <w:trHeight w:val="25"/>
        </w:trPr>
        <w:tc>
          <w:tcPr>
            <w:tcW w:w="34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89"/>
              </w:rPr>
              <w:t>March 31, 2017</w:t>
            </w:r>
          </w:p>
        </w:tc>
        <w:tc>
          <w:tcPr>
            <w:tcW w:w="19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87"/>
              </w:rPr>
              <w:t>154,736</w:t>
            </w:r>
          </w:p>
        </w:tc>
        <w:tc>
          <w:tcPr>
            <w:tcW w:w="19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7"/>
                <w:szCs w:val="17"/>
                <w:color w:val="auto"/>
                <w:w w:val="88"/>
              </w:rPr>
              <w:t>$35.39</w:t>
            </w:r>
          </w:p>
        </w:tc>
        <w:tc>
          <w:tcPr>
            <w:tcW w:w="46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5,476,107</w:t>
            </w:r>
          </w:p>
        </w:tc>
      </w:tr>
      <w:tr>
        <w:trPr>
          <w:trHeight w:val="237"/>
        </w:trPr>
        <w:tc>
          <w:tcPr>
            <w:tcW w:w="3460" w:type="dxa"/>
            <w:vAlign w:val="bottom"/>
          </w:tcPr>
          <w:p>
            <w:pPr>
              <w:jc w:val="center"/>
              <w:spacing w:after="0"/>
              <w:rPr>
                <w:sz w:val="20"/>
                <w:szCs w:val="20"/>
                <w:color w:val="auto"/>
              </w:rPr>
            </w:pPr>
            <w:r>
              <w:rPr>
                <w:rFonts w:ascii="Arial" w:cs="Arial" w:eastAsia="Arial" w:hAnsi="Arial"/>
                <w:sz w:val="17"/>
                <w:szCs w:val="17"/>
                <w:color w:val="auto"/>
                <w:w w:val="89"/>
              </w:rPr>
              <w:t>Total</w:t>
            </w:r>
          </w:p>
        </w:tc>
        <w:tc>
          <w:tcPr>
            <w:tcW w:w="1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7"/>
              </w:rPr>
              <w:t>308,793</w:t>
            </w:r>
          </w:p>
        </w:tc>
        <w:tc>
          <w:tcPr>
            <w:tcW w:w="19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10,042,456</w:t>
            </w:r>
          </w:p>
        </w:tc>
      </w:tr>
      <w:tr>
        <w:trPr>
          <w:trHeight w:val="20"/>
        </w:trPr>
        <w:tc>
          <w:tcPr>
            <w:tcW w:w="34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Methodology</w:t>
      </w:r>
    </w:p>
    <w:p>
      <w:pPr>
        <w:spacing w:after="0" w:line="105" w:lineRule="exact"/>
        <w:rPr>
          <w:sz w:val="20"/>
          <w:szCs w:val="20"/>
          <w:color w:val="auto"/>
        </w:rPr>
      </w:pPr>
    </w:p>
    <w:p>
      <w:pPr>
        <w:ind w:right="140" w:firstLine="601"/>
        <w:spacing w:after="0" w:line="266" w:lineRule="auto"/>
        <w:rPr>
          <w:sz w:val="20"/>
          <w:szCs w:val="20"/>
          <w:color w:val="auto"/>
        </w:rPr>
      </w:pPr>
      <w:r>
        <w:rPr>
          <w:rFonts w:ascii="Arial" w:cs="Arial" w:eastAsia="Arial" w:hAnsi="Arial"/>
          <w:sz w:val="17"/>
          <w:szCs w:val="17"/>
          <w:color w:val="auto"/>
        </w:rPr>
        <w:t>The Company uses the Black-Scholes option-pricing model to determine the estimated fair value for stock-based awards. The fair value of the Company’s stock is based on the closing price on the New York Stock Exchange.</w:t>
      </w:r>
    </w:p>
    <w:p>
      <w:pPr>
        <w:spacing w:after="0" w:line="67" w:lineRule="exact"/>
        <w:rPr>
          <w:sz w:val="20"/>
          <w:szCs w:val="20"/>
          <w:color w:val="auto"/>
        </w:rPr>
      </w:pPr>
    </w:p>
    <w:p>
      <w:pPr>
        <w:ind w:right="60" w:firstLine="375"/>
        <w:spacing w:after="0" w:line="268" w:lineRule="auto"/>
        <w:rPr>
          <w:sz w:val="20"/>
          <w:szCs w:val="20"/>
          <w:color w:val="auto"/>
        </w:rPr>
      </w:pPr>
      <w:r>
        <w:rPr>
          <w:rFonts w:ascii="Arial" w:cs="Arial" w:eastAsia="Arial" w:hAnsi="Arial"/>
          <w:sz w:val="16"/>
          <w:szCs w:val="16"/>
          <w:color w:val="auto"/>
        </w:rPr>
        <w:t>During fiscal 2017, the Company’s Board of Directors authorized and declared three regular quarterly cash dividends of $0.15 per share and one quarterly cash dividend of $0.17 per share. Therefore, an annualized dividend yield between 1.90% and 1.94% was used in the Black-Scholes option-pricing model for all grants issued during the fiscal year. The Company plans to continue paying recurring dividends in the near term and assessing its excess cash resources to determine the best way to utilize its excess cash flow to meet its objectives. One way the Company may utilize excess cash includes the payment of special dividends. The Company does not anticipate or forecast the payment of special dividends and therefore does not include special dividends in the annual dividend yield that the company uses to calculate the fair value of stock options, as the Company does not pay these special dividends on a regular basis.</w:t>
      </w:r>
    </w:p>
    <w:p>
      <w:pPr>
        <w:spacing w:after="0" w:line="69" w:lineRule="exact"/>
        <w:rPr>
          <w:sz w:val="20"/>
          <w:szCs w:val="20"/>
          <w:color w:val="auto"/>
        </w:rPr>
      </w:pPr>
    </w:p>
    <w:p>
      <w:pPr>
        <w:ind w:right="120" w:firstLine="375"/>
        <w:spacing w:after="0" w:line="266" w:lineRule="auto"/>
        <w:rPr>
          <w:sz w:val="20"/>
          <w:szCs w:val="20"/>
          <w:color w:val="auto"/>
        </w:rPr>
      </w:pPr>
      <w:r>
        <w:rPr>
          <w:rFonts w:ascii="Arial" w:cs="Arial" w:eastAsia="Arial" w:hAnsi="Arial"/>
          <w:sz w:val="17"/>
          <w:szCs w:val="17"/>
          <w:color w:val="auto"/>
        </w:rPr>
        <w:t>Implied volatility is calculated as of each grant date based on our historical volatility. Other than the expected life of the option, volatility is the most sensitive input to our option grants.</w:t>
      </w:r>
    </w:p>
    <w:p>
      <w:pPr>
        <w:spacing w:after="0" w:line="67" w:lineRule="exact"/>
        <w:rPr>
          <w:sz w:val="20"/>
          <w:szCs w:val="20"/>
          <w:color w:val="auto"/>
        </w:rPr>
      </w:pPr>
    </w:p>
    <w:p>
      <w:pPr>
        <w:jc w:val="both"/>
        <w:ind w:right="60" w:firstLine="375"/>
        <w:spacing w:after="0" w:line="252" w:lineRule="auto"/>
        <w:rPr>
          <w:sz w:val="20"/>
          <w:szCs w:val="20"/>
          <w:color w:val="auto"/>
        </w:rPr>
      </w:pPr>
      <w:r>
        <w:rPr>
          <w:rFonts w:ascii="Arial" w:cs="Arial" w:eastAsia="Arial" w:hAnsi="Arial"/>
          <w:sz w:val="17"/>
          <w:szCs w:val="17"/>
          <w:color w:val="auto"/>
        </w:rPr>
        <w:t>The risk-free interest rate is determined by reference to the U.S. Treasury yield curve rates with the remaining term equal to the expected life assumed at the date of grant. The average expected life is calculated based on the Company's historical experience with respect to its stock plan activity in combination with an estimate of when vested and unexercised option shares will be exercised. Forfeitures were estimated based on the Company’s historical analysis of officer and vice-president attrition levels and actual forfeiture rates by grant date.</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weighted average assumptions used in the Black-Scholes option-pricing model for stock option awards were as follows: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7"/>
                <w:szCs w:val="17"/>
                <w:b w:val="1"/>
                <w:bCs w:val="1"/>
                <w:color w:val="auto"/>
                <w:w w:val="93"/>
              </w:rPr>
              <w:t>For The Fiscal Year Ended March 31,</w:t>
            </w:r>
          </w:p>
        </w:tc>
        <w:tc>
          <w:tcPr>
            <w:tcW w:w="1240" w:type="dxa"/>
            <w:vAlign w:val="bottom"/>
          </w:tcPr>
          <w:p>
            <w:pPr>
              <w:spacing w:after="0"/>
              <w:rPr>
                <w:sz w:val="18"/>
                <w:szCs w:val="18"/>
                <w:color w:val="auto"/>
              </w:rPr>
            </w:pPr>
          </w:p>
        </w:tc>
      </w:tr>
      <w:tr>
        <w:trPr>
          <w:trHeight w:val="25"/>
        </w:trPr>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80" w:type="dxa"/>
            <w:vAlign w:val="bottom"/>
          </w:tcPr>
          <w:p>
            <w:pPr>
              <w:spacing w:after="0"/>
              <w:rPr>
                <w:sz w:val="18"/>
                <w:szCs w:val="18"/>
                <w:color w:val="auto"/>
              </w:rPr>
            </w:pPr>
          </w:p>
        </w:tc>
        <w:tc>
          <w:tcPr>
            <w:tcW w:w="3180" w:type="dxa"/>
            <w:vAlign w:val="bottom"/>
            <w:gridSpan w:val="2"/>
          </w:tcPr>
          <w:p>
            <w:pPr>
              <w:jc w:val="center"/>
              <w:ind w:left="2397"/>
              <w:spacing w:after="0"/>
              <w:rPr>
                <w:sz w:val="20"/>
                <w:szCs w:val="20"/>
                <w:color w:val="auto"/>
              </w:rPr>
            </w:pPr>
            <w:r>
              <w:rPr>
                <w:rFonts w:ascii="Arial" w:cs="Arial" w:eastAsia="Arial" w:hAnsi="Arial"/>
                <w:sz w:val="17"/>
                <w:szCs w:val="17"/>
                <w:b w:val="1"/>
                <w:bCs w:val="1"/>
                <w:color w:val="auto"/>
                <w:w w:val="89"/>
              </w:rPr>
              <w:t>2017</w:t>
            </w:r>
          </w:p>
        </w:tc>
        <w:tc>
          <w:tcPr>
            <w:tcW w:w="2320" w:type="dxa"/>
            <w:vAlign w:val="bottom"/>
            <w:gridSpan w:val="3"/>
          </w:tcPr>
          <w:p>
            <w:pPr>
              <w:jc w:val="center"/>
              <w:ind w:left="537"/>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center"/>
              <w:ind w:right="377"/>
              <w:spacing w:after="0"/>
              <w:rPr>
                <w:sz w:val="20"/>
                <w:szCs w:val="20"/>
                <w:color w:val="auto"/>
              </w:rPr>
            </w:pPr>
            <w:r>
              <w:rPr>
                <w:rFonts w:ascii="Arial" w:cs="Arial" w:eastAsia="Arial" w:hAnsi="Arial"/>
                <w:sz w:val="17"/>
                <w:szCs w:val="17"/>
                <w:b w:val="1"/>
                <w:bCs w:val="1"/>
                <w:color w:val="auto"/>
                <w:w w:val="89"/>
              </w:rPr>
              <w:t>2015</w:t>
            </w:r>
          </w:p>
        </w:tc>
      </w:tr>
      <w:tr>
        <w:trPr>
          <w:trHeight w:val="25"/>
        </w:trPr>
        <w:tc>
          <w:tcPr>
            <w:tcW w:w="40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3180" w:type="dxa"/>
            <w:vAlign w:val="bottom"/>
            <w:tcBorders>
              <w:bottom w:val="single" w:sz="8" w:color="CCEEFF"/>
            </w:tcBorders>
            <w:gridSpan w:val="2"/>
            <w:shd w:val="clear" w:color="auto" w:fill="CCEEFF"/>
          </w:tcPr>
          <w:p>
            <w:pPr>
              <w:jc w:val="center"/>
              <w:ind w:left="2397"/>
              <w:spacing w:after="0"/>
              <w:rPr>
                <w:sz w:val="20"/>
                <w:szCs w:val="20"/>
                <w:color w:val="auto"/>
              </w:rPr>
            </w:pPr>
            <w:r>
              <w:rPr>
                <w:rFonts w:ascii="Arial" w:cs="Arial" w:eastAsia="Arial" w:hAnsi="Arial"/>
                <w:sz w:val="17"/>
                <w:szCs w:val="17"/>
                <w:color w:val="auto"/>
                <w:w w:val="87"/>
              </w:rPr>
              <w:t>1.94%</w:t>
            </w:r>
          </w:p>
        </w:tc>
        <w:tc>
          <w:tcPr>
            <w:tcW w:w="2320" w:type="dxa"/>
            <w:vAlign w:val="bottom"/>
            <w:tcBorders>
              <w:bottom w:val="single" w:sz="8" w:color="CCEEFF"/>
            </w:tcBorders>
            <w:gridSpan w:val="3"/>
            <w:shd w:val="clear" w:color="auto" w:fill="CCEEFF"/>
          </w:tcPr>
          <w:p>
            <w:pPr>
              <w:jc w:val="center"/>
              <w:ind w:left="537"/>
              <w:spacing w:after="0"/>
              <w:rPr>
                <w:sz w:val="20"/>
                <w:szCs w:val="20"/>
                <w:color w:val="auto"/>
              </w:rPr>
            </w:pPr>
            <w:r>
              <w:rPr>
                <w:rFonts w:ascii="Arial" w:cs="Arial" w:eastAsia="Arial" w:hAnsi="Arial"/>
                <w:sz w:val="17"/>
                <w:szCs w:val="17"/>
                <w:color w:val="auto"/>
                <w:w w:val="87"/>
              </w:rPr>
              <w:t>1.83%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ind w:right="397"/>
              <w:spacing w:after="0"/>
              <w:rPr>
                <w:sz w:val="20"/>
                <w:szCs w:val="20"/>
                <w:color w:val="auto"/>
              </w:rPr>
            </w:pPr>
            <w:r>
              <w:rPr>
                <w:rFonts w:ascii="Arial" w:cs="Arial" w:eastAsia="Arial" w:hAnsi="Arial"/>
                <w:sz w:val="17"/>
                <w:szCs w:val="17"/>
                <w:color w:val="auto"/>
                <w:w w:val="91"/>
              </w:rPr>
              <w:t>1.90%</w:t>
            </w:r>
          </w:p>
        </w:tc>
      </w:tr>
      <w:tr>
        <w:trPr>
          <w:trHeight w:val="225"/>
        </w:trPr>
        <w:tc>
          <w:tcPr>
            <w:tcW w:w="408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3180" w:type="dxa"/>
            <w:vAlign w:val="bottom"/>
            <w:gridSpan w:val="2"/>
          </w:tcPr>
          <w:p>
            <w:pPr>
              <w:jc w:val="center"/>
              <w:ind w:left="2397"/>
              <w:spacing w:after="0"/>
              <w:rPr>
                <w:sz w:val="20"/>
                <w:szCs w:val="20"/>
                <w:color w:val="auto"/>
              </w:rPr>
            </w:pPr>
            <w:r>
              <w:rPr>
                <w:rFonts w:ascii="Arial" w:cs="Arial" w:eastAsia="Arial" w:hAnsi="Arial"/>
                <w:sz w:val="17"/>
                <w:szCs w:val="17"/>
                <w:color w:val="auto"/>
                <w:w w:val="86"/>
              </w:rPr>
              <w:t>29.65%</w:t>
            </w:r>
          </w:p>
        </w:tc>
        <w:tc>
          <w:tcPr>
            <w:tcW w:w="2320" w:type="dxa"/>
            <w:vAlign w:val="bottom"/>
            <w:gridSpan w:val="3"/>
          </w:tcPr>
          <w:p>
            <w:pPr>
              <w:jc w:val="center"/>
              <w:ind w:left="537"/>
              <w:spacing w:after="0"/>
              <w:rPr>
                <w:sz w:val="20"/>
                <w:szCs w:val="20"/>
                <w:color w:val="auto"/>
              </w:rPr>
            </w:pPr>
            <w:r>
              <w:rPr>
                <w:rFonts w:ascii="Arial" w:cs="Arial" w:eastAsia="Arial" w:hAnsi="Arial"/>
                <w:sz w:val="17"/>
                <w:szCs w:val="17"/>
                <w:color w:val="auto"/>
                <w:w w:val="86"/>
              </w:rPr>
              <w:t>29.85%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center"/>
              <w:ind w:right="397"/>
              <w:spacing w:after="0"/>
              <w:rPr>
                <w:sz w:val="20"/>
                <w:szCs w:val="20"/>
                <w:color w:val="auto"/>
              </w:rPr>
            </w:pPr>
            <w:r>
              <w:rPr>
                <w:rFonts w:ascii="Arial" w:cs="Arial" w:eastAsia="Arial" w:hAnsi="Arial"/>
                <w:sz w:val="17"/>
                <w:szCs w:val="17"/>
                <w:color w:val="auto"/>
                <w:w w:val="90"/>
              </w:rPr>
              <w:t>30.42%</w:t>
            </w:r>
          </w:p>
        </w:tc>
      </w:tr>
      <w:tr>
        <w:trPr>
          <w:trHeight w:val="25"/>
        </w:trPr>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3180" w:type="dxa"/>
            <w:vAlign w:val="bottom"/>
            <w:tcBorders>
              <w:bottom w:val="single" w:sz="8" w:color="CCEEFF"/>
            </w:tcBorders>
            <w:gridSpan w:val="2"/>
            <w:shd w:val="clear" w:color="auto" w:fill="CCEEFF"/>
          </w:tcPr>
          <w:p>
            <w:pPr>
              <w:jc w:val="center"/>
              <w:ind w:left="2397"/>
              <w:spacing w:after="0"/>
              <w:rPr>
                <w:sz w:val="20"/>
                <w:szCs w:val="20"/>
                <w:color w:val="auto"/>
              </w:rPr>
            </w:pPr>
            <w:r>
              <w:rPr>
                <w:rFonts w:ascii="Arial" w:cs="Arial" w:eastAsia="Arial" w:hAnsi="Arial"/>
                <w:sz w:val="17"/>
                <w:szCs w:val="17"/>
                <w:color w:val="auto"/>
                <w:w w:val="87"/>
              </w:rPr>
              <w:t>1.38%</w:t>
            </w:r>
          </w:p>
        </w:tc>
        <w:tc>
          <w:tcPr>
            <w:tcW w:w="2320" w:type="dxa"/>
            <w:vAlign w:val="bottom"/>
            <w:tcBorders>
              <w:bottom w:val="single" w:sz="8" w:color="CCEEFF"/>
            </w:tcBorders>
            <w:gridSpan w:val="3"/>
            <w:shd w:val="clear" w:color="auto" w:fill="CCEEFF"/>
          </w:tcPr>
          <w:p>
            <w:pPr>
              <w:jc w:val="center"/>
              <w:ind w:left="537"/>
              <w:spacing w:after="0"/>
              <w:rPr>
                <w:sz w:val="20"/>
                <w:szCs w:val="20"/>
                <w:color w:val="auto"/>
              </w:rPr>
            </w:pPr>
            <w:r>
              <w:rPr>
                <w:rFonts w:ascii="Arial" w:cs="Arial" w:eastAsia="Arial" w:hAnsi="Arial"/>
                <w:sz w:val="17"/>
                <w:szCs w:val="17"/>
                <w:color w:val="auto"/>
                <w:w w:val="87"/>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ind w:right="397"/>
              <w:spacing w:after="0"/>
              <w:rPr>
                <w:sz w:val="20"/>
                <w:szCs w:val="20"/>
                <w:color w:val="auto"/>
              </w:rPr>
            </w:pPr>
            <w:r>
              <w:rPr>
                <w:rFonts w:ascii="Arial" w:cs="Arial" w:eastAsia="Arial" w:hAnsi="Arial"/>
                <w:sz w:val="17"/>
                <w:szCs w:val="17"/>
                <w:color w:val="auto"/>
                <w:w w:val="91"/>
              </w:rPr>
              <w:t>1.60%</w:t>
            </w:r>
          </w:p>
        </w:tc>
      </w:tr>
      <w:tr>
        <w:trPr>
          <w:trHeight w:val="225"/>
        </w:trPr>
        <w:tc>
          <w:tcPr>
            <w:tcW w:w="4080" w:type="dxa"/>
            <w:vAlign w:val="bottom"/>
          </w:tcPr>
          <w:p>
            <w:pPr>
              <w:ind w:left="20"/>
              <w:spacing w:after="0"/>
              <w:rPr>
                <w:sz w:val="20"/>
                <w:szCs w:val="20"/>
                <w:color w:val="auto"/>
              </w:rPr>
            </w:pPr>
            <w:r>
              <w:rPr>
                <w:rFonts w:ascii="Arial" w:cs="Arial" w:eastAsia="Arial" w:hAnsi="Arial"/>
                <w:sz w:val="17"/>
                <w:szCs w:val="17"/>
                <w:color w:val="auto"/>
              </w:rPr>
              <w:t>Expected life (in years)</w:t>
            </w:r>
          </w:p>
        </w:tc>
        <w:tc>
          <w:tcPr>
            <w:tcW w:w="3180" w:type="dxa"/>
            <w:vAlign w:val="bottom"/>
            <w:gridSpan w:val="2"/>
          </w:tcPr>
          <w:p>
            <w:pPr>
              <w:jc w:val="center"/>
              <w:ind w:left="2397"/>
              <w:spacing w:after="0"/>
              <w:rPr>
                <w:sz w:val="20"/>
                <w:szCs w:val="20"/>
                <w:color w:val="auto"/>
              </w:rPr>
            </w:pPr>
            <w:r>
              <w:rPr>
                <w:rFonts w:ascii="Arial" w:cs="Arial" w:eastAsia="Arial" w:hAnsi="Arial"/>
                <w:sz w:val="17"/>
                <w:szCs w:val="17"/>
                <w:color w:val="auto"/>
                <w:w w:val="90"/>
              </w:rPr>
              <w:t>5.00</w:t>
            </w:r>
          </w:p>
        </w:tc>
        <w:tc>
          <w:tcPr>
            <w:tcW w:w="2320" w:type="dxa"/>
            <w:vAlign w:val="bottom"/>
            <w:gridSpan w:val="3"/>
          </w:tcPr>
          <w:p>
            <w:pPr>
              <w:jc w:val="center"/>
              <w:ind w:left="537"/>
              <w:spacing w:after="0"/>
              <w:rPr>
                <w:sz w:val="20"/>
                <w:szCs w:val="20"/>
                <w:color w:val="auto"/>
              </w:rPr>
            </w:pPr>
            <w:r>
              <w:rPr>
                <w:rFonts w:ascii="Arial" w:cs="Arial" w:eastAsia="Arial" w:hAnsi="Arial"/>
                <w:sz w:val="17"/>
                <w:szCs w:val="17"/>
                <w:color w:val="auto"/>
                <w:w w:val="90"/>
              </w:rPr>
              <w:t>5.08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center"/>
              <w:ind w:right="377"/>
              <w:spacing w:after="0"/>
              <w:rPr>
                <w:sz w:val="20"/>
                <w:szCs w:val="20"/>
                <w:color w:val="auto"/>
              </w:rPr>
            </w:pPr>
            <w:r>
              <w:rPr>
                <w:rFonts w:ascii="Arial" w:cs="Arial" w:eastAsia="Arial" w:hAnsi="Arial"/>
                <w:sz w:val="17"/>
                <w:szCs w:val="17"/>
                <w:color w:val="auto"/>
                <w:w w:val="90"/>
              </w:rPr>
              <w:t>5.00</w:t>
            </w:r>
          </w:p>
        </w:tc>
      </w:tr>
      <w:tr>
        <w:trPr>
          <w:trHeight w:val="25"/>
        </w:trPr>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grant date fair value</w:t>
            </w:r>
          </w:p>
        </w:tc>
        <w:tc>
          <w:tcPr>
            <w:tcW w:w="3180" w:type="dxa"/>
            <w:vAlign w:val="bottom"/>
            <w:tcBorders>
              <w:bottom w:val="single" w:sz="8" w:color="CCEEFF"/>
            </w:tcBorders>
            <w:gridSpan w:val="2"/>
            <w:shd w:val="clear" w:color="auto" w:fill="CCEEFF"/>
          </w:tcPr>
          <w:p>
            <w:pPr>
              <w:jc w:val="center"/>
              <w:ind w:left="2397"/>
              <w:spacing w:after="0"/>
              <w:rPr>
                <w:sz w:val="20"/>
                <w:szCs w:val="20"/>
                <w:color w:val="auto"/>
              </w:rPr>
            </w:pPr>
            <w:r>
              <w:rPr>
                <w:rFonts w:ascii="Arial" w:cs="Arial" w:eastAsia="Arial" w:hAnsi="Arial"/>
                <w:sz w:val="17"/>
                <w:szCs w:val="17"/>
                <w:color w:val="auto"/>
                <w:w w:val="89"/>
              </w:rPr>
              <w:t>$7.16</w:t>
            </w:r>
          </w:p>
        </w:tc>
        <w:tc>
          <w:tcPr>
            <w:tcW w:w="2320" w:type="dxa"/>
            <w:vAlign w:val="bottom"/>
            <w:tcBorders>
              <w:bottom w:val="single" w:sz="8" w:color="CCEEFF"/>
            </w:tcBorders>
            <w:gridSpan w:val="3"/>
            <w:shd w:val="clear" w:color="auto" w:fill="CCEEFF"/>
          </w:tcPr>
          <w:p>
            <w:pPr>
              <w:jc w:val="center"/>
              <w:ind w:left="537"/>
              <w:spacing w:after="0"/>
              <w:rPr>
                <w:sz w:val="20"/>
                <w:szCs w:val="20"/>
                <w:color w:val="auto"/>
              </w:rPr>
            </w:pPr>
            <w:r>
              <w:rPr>
                <w:rFonts w:ascii="Arial" w:cs="Arial" w:eastAsia="Arial" w:hAnsi="Arial"/>
                <w:sz w:val="17"/>
                <w:szCs w:val="17"/>
                <w:color w:val="auto"/>
                <w:w w:val="89"/>
              </w:rPr>
              <w:t>$6.67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ind w:right="377"/>
              <w:spacing w:after="0"/>
              <w:rPr>
                <w:sz w:val="20"/>
                <w:szCs w:val="20"/>
                <w:color w:val="auto"/>
              </w:rPr>
            </w:pPr>
            <w:r>
              <w:rPr>
                <w:rFonts w:ascii="Arial" w:cs="Arial" w:eastAsia="Arial" w:hAnsi="Arial"/>
                <w:sz w:val="17"/>
                <w:szCs w:val="17"/>
                <w:color w:val="auto"/>
                <w:w w:val="89"/>
              </w:rPr>
              <w:t>$5.55</w:t>
            </w:r>
          </w:p>
        </w:tc>
      </w:tr>
      <w:tr>
        <w:trPr>
          <w:trHeight w:val="426"/>
        </w:trPr>
        <w:tc>
          <w:tcPr>
            <w:tcW w:w="4080" w:type="dxa"/>
            <w:vAlign w:val="bottom"/>
          </w:tcPr>
          <w:p>
            <w:pPr>
              <w:spacing w:after="0"/>
              <w:rPr>
                <w:sz w:val="24"/>
                <w:szCs w:val="24"/>
                <w:color w:val="auto"/>
              </w:rPr>
            </w:pPr>
          </w:p>
        </w:tc>
        <w:tc>
          <w:tcPr>
            <w:tcW w:w="3180" w:type="dxa"/>
            <w:vAlign w:val="bottom"/>
            <w:gridSpan w:val="2"/>
          </w:tcPr>
          <w:p>
            <w:pPr>
              <w:ind w:left="1460"/>
              <w:spacing w:after="0"/>
              <w:rPr>
                <w:sz w:val="20"/>
                <w:szCs w:val="20"/>
                <w:color w:val="auto"/>
              </w:rPr>
            </w:pPr>
            <w:r>
              <w:rPr>
                <w:rFonts w:ascii="Arial" w:cs="Arial" w:eastAsia="Arial" w:hAnsi="Arial"/>
                <w:sz w:val="17"/>
                <w:szCs w:val="17"/>
                <w:color w:val="auto"/>
              </w:rPr>
              <w:t>F-30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3" w:right="239" w:bottom="1440" w:gutter="0" w:footer="0" w:header="0"/>
        </w:sectPr>
      </w:pPr>
    </w:p>
    <w:bookmarkStart w:id="94" w:name="page95"/>
    <w:bookmarkEnd w:id="94"/>
    <w:p>
      <w:pPr>
        <w:jc w:val="center"/>
        <w:ind w:left="280" w:right="2400"/>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Special Dividends</w:t>
      </w:r>
    </w:p>
    <w:p>
      <w:pPr>
        <w:spacing w:after="0" w:line="105" w:lineRule="exact"/>
        <w:rPr>
          <w:sz w:val="20"/>
          <w:szCs w:val="20"/>
          <w:color w:val="auto"/>
        </w:rPr>
      </w:pPr>
    </w:p>
    <w:p>
      <w:pPr>
        <w:ind w:firstLine="375"/>
        <w:spacing w:after="0" w:line="270" w:lineRule="auto"/>
        <w:rPr>
          <w:sz w:val="20"/>
          <w:szCs w:val="20"/>
          <w:color w:val="auto"/>
        </w:rPr>
      </w:pPr>
      <w:r>
        <w:rPr>
          <w:rFonts w:ascii="Arial" w:cs="Arial" w:eastAsia="Arial" w:hAnsi="Arial"/>
          <w:sz w:val="16"/>
          <w:szCs w:val="16"/>
          <w:color w:val="auto"/>
        </w:rPr>
        <w:t>The Compensation Committee, acting as the Administrator of the EIP, has discretion in how to effect the required adjustment to keep option holders whole in the event of a distribution of dividends that trigger certain anti-dilution clauses within the respective plans. In the event the Compensation Committee elects to grant option holders a cash payment equal to the amount of the special dividend, the Company accrues a stock-based compensation liability as the EIP options are scheduled to be vested. The obligation will be settled on the later of the date the dividend is paid or the vesting date of the EIP options. The stock-based compensation liability includes all special dividends declared for which eligible EIP option holders have not yet received a distribution.</w:t>
      </w:r>
    </w:p>
    <w:p>
      <w:pPr>
        <w:spacing w:after="0" w:line="267" w:lineRule="exact"/>
        <w:rPr>
          <w:sz w:val="20"/>
          <w:szCs w:val="20"/>
          <w:color w:val="auto"/>
        </w:rPr>
      </w:pPr>
    </w:p>
    <w:p>
      <w:pPr>
        <w:ind w:right="40" w:firstLine="375"/>
        <w:spacing w:after="0" w:line="270" w:lineRule="auto"/>
        <w:rPr>
          <w:sz w:val="20"/>
          <w:szCs w:val="20"/>
          <w:color w:val="auto"/>
        </w:rPr>
      </w:pPr>
      <w:r>
        <w:rPr>
          <w:rFonts w:ascii="Arial" w:cs="Arial" w:eastAsia="Arial" w:hAnsi="Arial"/>
          <w:sz w:val="16"/>
          <w:szCs w:val="16"/>
          <w:color w:val="auto"/>
        </w:rPr>
        <w:t>On July 30, 2014, the Board of Directors authorized and declared a special cash dividend of $1.00 per share. The dividend was paid on August 29, 2014 to stockholders of record on August 11, 2014. For each special dividend declared, the Compensation Committee, acting as the Administrator of the Officers' Rollover Stock Plan and the EIP, made a determination to adjust outstanding Rollover and EIP options for the special dividend to prevent the dilution of the benefit or potential benefit of the options. The adjustment was in the form of a $1.00 dividend equivalent. Holders of EIP options will receive a cash payment equal to the amount of the special dividend payable on the date the dividend was paid or the vesting of the EIP option, whichever is later.</w:t>
      </w:r>
    </w:p>
    <w:p>
      <w:pPr>
        <w:spacing w:after="0" w:line="67" w:lineRule="exact"/>
        <w:rPr>
          <w:sz w:val="20"/>
          <w:szCs w:val="20"/>
          <w:color w:val="auto"/>
        </w:rPr>
      </w:pPr>
    </w:p>
    <w:p>
      <w:pPr>
        <w:ind w:right="140" w:firstLine="375"/>
        <w:spacing w:after="0" w:line="268" w:lineRule="auto"/>
        <w:rPr>
          <w:sz w:val="20"/>
          <w:szCs w:val="20"/>
          <w:color w:val="auto"/>
        </w:rPr>
      </w:pPr>
      <w:r>
        <w:rPr>
          <w:rFonts w:ascii="Arial" w:cs="Arial" w:eastAsia="Arial" w:hAnsi="Arial"/>
          <w:sz w:val="16"/>
          <w:szCs w:val="16"/>
          <w:color w:val="auto"/>
        </w:rPr>
        <w:t>On June 30, 2016, vested EIP option holders received a payment of $2.2 million related to the special dividends declared in fiscal years 2013, 2014, and 2015. On March 31, 2017, vested EIP option holders received a payment of $0.1 million related to the special dividends declared in fiscal years 2014 and 2015. Payment of the dividend equivalents were accounted for as modifications resulting in incremental benefit to the option holders resulting in additional compensation expense. Total compensation expense recorded in conjunction with the payment of all dividend equivalents to holders of unvested EIP options for the fiscal year ended March 31, 2017 was $0.2 million. Future compensation cost related to payment of the dividend equivalents to holders of EIP options not yet recognized in the statement of operations is $0.03 million and is expected to be recognized over 0.25 years.</w:t>
      </w:r>
    </w:p>
    <w:p>
      <w:pPr>
        <w:spacing w:after="0" w:line="69" w:lineRule="exact"/>
        <w:rPr>
          <w:sz w:val="20"/>
          <w:szCs w:val="20"/>
          <w:color w:val="auto"/>
        </w:rPr>
      </w:pPr>
    </w:p>
    <w:p>
      <w:pPr>
        <w:ind w:right="80" w:firstLine="375"/>
        <w:spacing w:after="0" w:line="256" w:lineRule="auto"/>
        <w:rPr>
          <w:sz w:val="20"/>
          <w:szCs w:val="20"/>
          <w:color w:val="auto"/>
        </w:rPr>
      </w:pPr>
      <w:r>
        <w:rPr>
          <w:rFonts w:ascii="Arial" w:cs="Arial" w:eastAsia="Arial" w:hAnsi="Arial"/>
          <w:sz w:val="17"/>
          <w:szCs w:val="17"/>
          <w:color w:val="auto"/>
        </w:rPr>
        <w:t>As of March 31, 2017 and 2016, the Company calculated a total recorded and unrecorded stock-based compensation liability of $1.3 million and $3.8 million, respectively, related to the special dividends paid in June 2012, November 2013, and February and August 2014, with $1.0 million and $2.3 million recorded as a current liability as of March 31, 2017 and 2016, respectively.</w:t>
      </w:r>
    </w:p>
    <w:p>
      <w:pPr>
        <w:spacing w:after="0" w:line="276"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As of March 31, 2017, $0.4 million related to EIP Options will be recorded as liabilities as the options vest over the next two years. As of March 31, 2016, there was an unrecorded liability of $1.5 million related to EIP options.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unvested restricted stock activity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w:t>
            </w:r>
          </w:p>
        </w:tc>
      </w:tr>
      <w:tr>
        <w:trPr>
          <w:trHeight w:val="200"/>
        </w:trPr>
        <w:tc>
          <w:tcPr>
            <w:tcW w:w="39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88"/>
              </w:rPr>
              <w:t>Average Grant</w:t>
            </w:r>
          </w:p>
        </w:tc>
      </w:tr>
      <w:tr>
        <w:trPr>
          <w:trHeight w:val="200"/>
        </w:trPr>
        <w:tc>
          <w:tcPr>
            <w:tcW w:w="39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297"/>
              <w:spacing w:after="0"/>
              <w:rPr>
                <w:sz w:val="20"/>
                <w:szCs w:val="20"/>
                <w:color w:val="auto"/>
              </w:rPr>
            </w:pPr>
            <w:r>
              <w:rPr>
                <w:rFonts w:ascii="Arial" w:cs="Arial" w:eastAsia="Arial" w:hAnsi="Arial"/>
                <w:sz w:val="17"/>
                <w:szCs w:val="17"/>
                <w:b w:val="1"/>
                <w:bCs w:val="1"/>
                <w:color w:val="auto"/>
              </w:rPr>
              <w:t>Number of</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86"/>
              </w:rPr>
              <w:t>Date</w:t>
            </w:r>
          </w:p>
        </w:tc>
      </w:tr>
      <w:tr>
        <w:trPr>
          <w:trHeight w:val="217"/>
        </w:trPr>
        <w:tc>
          <w:tcPr>
            <w:tcW w:w="39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457"/>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Fair Value</w:t>
            </w:r>
          </w:p>
        </w:tc>
      </w:tr>
      <w:tr>
        <w:trPr>
          <w:trHeight w:val="25"/>
        </w:trPr>
        <w:tc>
          <w:tcPr>
            <w:tcW w:w="39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3"/>
        </w:trPr>
        <w:tc>
          <w:tcPr>
            <w:tcW w:w="39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Unvested Restricted Stock Awards</w:t>
            </w:r>
          </w:p>
        </w:tc>
        <w:tc>
          <w:tcPr>
            <w:tcW w:w="4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5"/>
        </w:trPr>
        <w:tc>
          <w:tcPr>
            <w:tcW w:w="3960" w:type="dxa"/>
            <w:vAlign w:val="bottom"/>
          </w:tcPr>
          <w:p>
            <w:pPr>
              <w:ind w:left="20"/>
              <w:spacing w:after="0"/>
              <w:rPr>
                <w:sz w:val="20"/>
                <w:szCs w:val="20"/>
                <w:color w:val="auto"/>
              </w:rPr>
            </w:pPr>
            <w:r>
              <w:rPr>
                <w:rFonts w:ascii="Arial" w:cs="Arial" w:eastAsia="Arial" w:hAnsi="Arial"/>
                <w:sz w:val="17"/>
                <w:szCs w:val="17"/>
                <w:color w:val="auto"/>
              </w:rPr>
              <w:t>Unvested at March 31, 2016</w:t>
            </w:r>
          </w:p>
        </w:tc>
        <w:tc>
          <w:tcPr>
            <w:tcW w:w="5760" w:type="dxa"/>
            <w:vAlign w:val="bottom"/>
            <w:gridSpan w:val="3"/>
          </w:tcPr>
          <w:p>
            <w:pPr>
              <w:jc w:val="right"/>
              <w:ind w:right="17"/>
              <w:spacing w:after="0"/>
              <w:rPr>
                <w:sz w:val="20"/>
                <w:szCs w:val="20"/>
                <w:color w:val="auto"/>
              </w:rPr>
            </w:pPr>
            <w:r>
              <w:rPr>
                <w:rFonts w:ascii="Arial" w:cs="Arial" w:eastAsia="Arial" w:hAnsi="Arial"/>
                <w:sz w:val="17"/>
                <w:szCs w:val="17"/>
                <w:color w:val="auto"/>
              </w:rPr>
              <w:t>1,759,952</w:t>
            </w:r>
          </w:p>
        </w:tc>
        <w:tc>
          <w:tcPr>
            <w:tcW w:w="1320" w:type="dxa"/>
            <w:vAlign w:val="bottom"/>
            <w:gridSpan w:val="2"/>
          </w:tcPr>
          <w:p>
            <w:pPr>
              <w:jc w:val="right"/>
              <w:ind w:right="17"/>
              <w:spacing w:after="0"/>
              <w:rPr>
                <w:sz w:val="20"/>
                <w:szCs w:val="20"/>
                <w:color w:val="auto"/>
              </w:rPr>
            </w:pPr>
            <w:r>
              <w:rPr>
                <w:rFonts w:ascii="Arial" w:cs="Arial" w:eastAsia="Arial" w:hAnsi="Arial"/>
                <w:sz w:val="17"/>
                <w:szCs w:val="17"/>
                <w:color w:val="auto"/>
              </w:rPr>
              <w:t>23.00</w:t>
            </w:r>
          </w:p>
        </w:tc>
      </w:tr>
      <w:tr>
        <w:trPr>
          <w:trHeight w:val="25"/>
        </w:trPr>
        <w:tc>
          <w:tcPr>
            <w:tcW w:w="39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57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473,247</w:t>
            </w:r>
          </w:p>
        </w:tc>
        <w:tc>
          <w:tcPr>
            <w:tcW w:w="13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29.69</w:t>
            </w:r>
          </w:p>
        </w:tc>
      </w:tr>
      <w:tr>
        <w:trPr>
          <w:trHeight w:val="225"/>
        </w:trPr>
        <w:tc>
          <w:tcPr>
            <w:tcW w:w="3960" w:type="dxa"/>
            <w:vAlign w:val="bottom"/>
          </w:tcPr>
          <w:p>
            <w:pPr>
              <w:ind w:left="20"/>
              <w:spacing w:after="0"/>
              <w:rPr>
                <w:sz w:val="20"/>
                <w:szCs w:val="20"/>
                <w:color w:val="auto"/>
              </w:rPr>
            </w:pPr>
            <w:r>
              <w:rPr>
                <w:rFonts w:ascii="Arial" w:cs="Arial" w:eastAsia="Arial" w:hAnsi="Arial"/>
                <w:sz w:val="17"/>
                <w:szCs w:val="17"/>
                <w:color w:val="auto"/>
              </w:rPr>
              <w:t>Vested</w:t>
            </w:r>
          </w:p>
        </w:tc>
        <w:tc>
          <w:tcPr>
            <w:tcW w:w="5760" w:type="dxa"/>
            <w:vAlign w:val="bottom"/>
            <w:gridSpan w:val="3"/>
          </w:tcPr>
          <w:p>
            <w:pPr>
              <w:jc w:val="right"/>
              <w:ind w:right="17"/>
              <w:spacing w:after="0"/>
              <w:rPr>
                <w:sz w:val="20"/>
                <w:szCs w:val="20"/>
                <w:color w:val="auto"/>
              </w:rPr>
            </w:pPr>
            <w:r>
              <w:rPr>
                <w:rFonts w:ascii="Arial" w:cs="Arial" w:eastAsia="Arial" w:hAnsi="Arial"/>
                <w:sz w:val="17"/>
                <w:szCs w:val="17"/>
                <w:color w:val="auto"/>
              </w:rPr>
              <w:t>946,393</w:t>
            </w:r>
          </w:p>
        </w:tc>
        <w:tc>
          <w:tcPr>
            <w:tcW w:w="1320" w:type="dxa"/>
            <w:vAlign w:val="bottom"/>
            <w:gridSpan w:val="2"/>
          </w:tcPr>
          <w:p>
            <w:pPr>
              <w:jc w:val="right"/>
              <w:ind w:right="17"/>
              <w:spacing w:after="0"/>
              <w:rPr>
                <w:sz w:val="20"/>
                <w:szCs w:val="20"/>
                <w:color w:val="auto"/>
              </w:rPr>
            </w:pPr>
            <w:r>
              <w:rPr>
                <w:rFonts w:ascii="Arial" w:cs="Arial" w:eastAsia="Arial" w:hAnsi="Arial"/>
                <w:sz w:val="17"/>
                <w:szCs w:val="17"/>
                <w:color w:val="auto"/>
              </w:rPr>
              <w:t>22.63</w:t>
            </w:r>
          </w:p>
        </w:tc>
      </w:tr>
      <w:tr>
        <w:trPr>
          <w:trHeight w:val="25"/>
        </w:trPr>
        <w:tc>
          <w:tcPr>
            <w:tcW w:w="39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4220" w:type="dxa"/>
            <w:vAlign w:val="bottom"/>
            <w:tcBorders>
              <w:bottom w:val="single" w:sz="8" w:color="CCEEFF"/>
            </w:tcBorders>
            <w:gridSpan w:val="2"/>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9,298</w:t>
            </w:r>
          </w:p>
        </w:tc>
        <w:tc>
          <w:tcPr>
            <w:tcW w:w="13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28.98</w:t>
            </w:r>
          </w:p>
        </w:tc>
      </w:tr>
      <w:tr>
        <w:trPr>
          <w:trHeight w:val="237"/>
        </w:trPr>
        <w:tc>
          <w:tcPr>
            <w:tcW w:w="3960" w:type="dxa"/>
            <w:vAlign w:val="bottom"/>
          </w:tcPr>
          <w:p>
            <w:pPr>
              <w:ind w:left="20"/>
              <w:spacing w:after="0"/>
              <w:rPr>
                <w:sz w:val="20"/>
                <w:szCs w:val="20"/>
                <w:color w:val="auto"/>
              </w:rPr>
            </w:pPr>
            <w:r>
              <w:rPr>
                <w:rFonts w:ascii="Arial" w:cs="Arial" w:eastAsia="Arial" w:hAnsi="Arial"/>
                <w:sz w:val="17"/>
                <w:szCs w:val="17"/>
                <w:color w:val="auto"/>
              </w:rPr>
              <w:t>Unvested at March 31, 2017</w:t>
            </w:r>
          </w:p>
        </w:tc>
        <w:tc>
          <w:tcPr>
            <w:tcW w:w="4220" w:type="dxa"/>
            <w:vAlign w:val="bottom"/>
            <w:gridSpan w:val="2"/>
          </w:tcPr>
          <w:p>
            <w:pPr>
              <w:spacing w:after="0"/>
              <w:rPr>
                <w:sz w:val="20"/>
                <w:szCs w:val="20"/>
                <w:color w:val="auto"/>
              </w:rPr>
            </w:pPr>
          </w:p>
        </w:tc>
        <w:tc>
          <w:tcPr>
            <w:tcW w:w="15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1,277,508</w:t>
            </w:r>
          </w:p>
        </w:tc>
        <w:tc>
          <w:tcPr>
            <w:tcW w:w="1320" w:type="dxa"/>
            <w:vAlign w:val="bottom"/>
            <w:gridSpan w:val="2"/>
          </w:tcPr>
          <w:p>
            <w:pPr>
              <w:jc w:val="right"/>
              <w:ind w:right="17"/>
              <w:spacing w:after="0"/>
              <w:rPr>
                <w:sz w:val="20"/>
                <w:szCs w:val="20"/>
                <w:color w:val="auto"/>
              </w:rPr>
            </w:pPr>
            <w:r>
              <w:rPr>
                <w:rFonts w:ascii="Arial" w:cs="Arial" w:eastAsia="Arial" w:hAnsi="Arial"/>
                <w:sz w:val="17"/>
                <w:szCs w:val="17"/>
                <w:color w:val="auto"/>
              </w:rPr>
              <w:t>25.71</w:t>
            </w:r>
          </w:p>
        </w:tc>
      </w:tr>
      <w:tr>
        <w:trPr>
          <w:trHeight w:val="20"/>
        </w:trPr>
        <w:tc>
          <w:tcPr>
            <w:tcW w:w="39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09"/>
        </w:trPr>
        <w:tc>
          <w:tcPr>
            <w:tcW w:w="3960" w:type="dxa"/>
            <w:vAlign w:val="bottom"/>
          </w:tcPr>
          <w:p>
            <w:pPr>
              <w:spacing w:after="0"/>
              <w:rPr>
                <w:sz w:val="24"/>
                <w:szCs w:val="24"/>
                <w:color w:val="auto"/>
              </w:rPr>
            </w:pPr>
          </w:p>
        </w:tc>
        <w:tc>
          <w:tcPr>
            <w:tcW w:w="5760" w:type="dxa"/>
            <w:vAlign w:val="bottom"/>
            <w:gridSpan w:val="3"/>
          </w:tcPr>
          <w:p>
            <w:pPr>
              <w:jc w:val="right"/>
              <w:ind w:right="3757"/>
              <w:spacing w:after="0"/>
              <w:rPr>
                <w:sz w:val="20"/>
                <w:szCs w:val="20"/>
                <w:color w:val="auto"/>
              </w:rPr>
            </w:pPr>
            <w:r>
              <w:rPr>
                <w:rFonts w:ascii="Arial" w:cs="Arial" w:eastAsia="Arial" w:hAnsi="Arial"/>
                <w:sz w:val="17"/>
                <w:szCs w:val="17"/>
                <w:color w:val="auto"/>
              </w:rPr>
              <w:t>F-31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80"/>
          </w:cols>
          <w:pgMar w:left="240" w:top="123" w:right="279" w:bottom="1440" w:gutter="0" w:footer="0" w:header="0"/>
        </w:sectPr>
      </w:pPr>
    </w:p>
    <w:bookmarkStart w:id="95" w:name="page96"/>
    <w:bookmarkEnd w:id="95"/>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ind w:left="380"/>
              <w:spacing w:after="0"/>
              <w:rPr>
                <w:sz w:val="20"/>
                <w:szCs w:val="20"/>
                <w:color w:val="auto"/>
              </w:rPr>
            </w:pPr>
            <w:r>
              <w:rPr>
                <w:rFonts w:ascii="Arial" w:cs="Arial" w:eastAsia="Arial" w:hAnsi="Arial"/>
                <w:sz w:val="17"/>
                <w:szCs w:val="17"/>
                <w:color w:val="auto"/>
              </w:rPr>
              <w:t>The following table summarizes stock option activity for the periods presented: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4"/>
        </w:trPr>
        <w:tc>
          <w:tcPr>
            <w:tcW w:w="7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77"/>
              <w:spacing w:after="0"/>
              <w:rPr>
                <w:sz w:val="20"/>
                <w:szCs w:val="20"/>
                <w:color w:val="auto"/>
              </w:rPr>
            </w:pPr>
            <w:r>
              <w:rPr>
                <w:rFonts w:ascii="Arial" w:cs="Arial" w:eastAsia="Arial" w:hAnsi="Arial"/>
                <w:sz w:val="17"/>
                <w:szCs w:val="17"/>
                <w:b w:val="1"/>
                <w:bCs w:val="1"/>
                <w:color w:val="auto"/>
                <w:w w:val="88"/>
              </w:rPr>
              <w:t>Weighted</w:t>
            </w:r>
          </w:p>
        </w:tc>
        <w:tc>
          <w:tcPr>
            <w:tcW w:w="560" w:type="dxa"/>
            <w:vAlign w:val="bottom"/>
          </w:tcPr>
          <w:p>
            <w:pPr>
              <w:spacing w:after="0"/>
              <w:rPr>
                <w:sz w:val="24"/>
                <w:szCs w:val="24"/>
                <w:color w:val="auto"/>
              </w:rPr>
            </w:pPr>
          </w:p>
        </w:tc>
      </w:tr>
      <w:tr>
        <w:trPr>
          <w:trHeight w:val="200"/>
        </w:trPr>
        <w:tc>
          <w:tcPr>
            <w:tcW w:w="7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7"/>
              <w:spacing w:after="0"/>
              <w:rPr>
                <w:sz w:val="20"/>
                <w:szCs w:val="20"/>
                <w:color w:val="auto"/>
              </w:rPr>
            </w:pPr>
            <w:r>
              <w:rPr>
                <w:rFonts w:ascii="Arial" w:cs="Arial" w:eastAsia="Arial" w:hAnsi="Arial"/>
                <w:sz w:val="17"/>
                <w:szCs w:val="17"/>
                <w:b w:val="1"/>
                <w:bCs w:val="1"/>
                <w:color w:val="auto"/>
                <w:w w:val="86"/>
              </w:rPr>
              <w:t>Average</w:t>
            </w:r>
          </w:p>
        </w:tc>
        <w:tc>
          <w:tcPr>
            <w:tcW w:w="560" w:type="dxa"/>
            <w:vAlign w:val="bottom"/>
          </w:tcPr>
          <w:p>
            <w:pPr>
              <w:spacing w:after="0"/>
              <w:rPr>
                <w:sz w:val="17"/>
                <w:szCs w:val="17"/>
                <w:color w:val="auto"/>
              </w:rPr>
            </w:pPr>
          </w:p>
        </w:tc>
      </w:tr>
      <w:tr>
        <w:trPr>
          <w:trHeight w:val="200"/>
        </w:trPr>
        <w:tc>
          <w:tcPr>
            <w:tcW w:w="7940" w:type="dxa"/>
            <w:vAlign w:val="bottom"/>
          </w:tcPr>
          <w:p>
            <w:pPr>
              <w:spacing w:after="0"/>
              <w:rPr>
                <w:sz w:val="17"/>
                <w:szCs w:val="17"/>
                <w:color w:val="auto"/>
              </w:rPr>
            </w:pPr>
          </w:p>
        </w:tc>
        <w:tc>
          <w:tcPr>
            <w:tcW w:w="1580" w:type="dxa"/>
            <w:vAlign w:val="bottom"/>
          </w:tcPr>
          <w:p>
            <w:pPr>
              <w:jc w:val="right"/>
              <w:ind w:right="317"/>
              <w:spacing w:after="0"/>
              <w:rPr>
                <w:sz w:val="20"/>
                <w:szCs w:val="20"/>
                <w:color w:val="auto"/>
              </w:rPr>
            </w:pPr>
            <w:r>
              <w:rPr>
                <w:rFonts w:ascii="Arial" w:cs="Arial" w:eastAsia="Arial" w:hAnsi="Arial"/>
                <w:sz w:val="17"/>
                <w:szCs w:val="17"/>
                <w:b w:val="1"/>
                <w:bCs w:val="1"/>
                <w:color w:val="auto"/>
              </w:rPr>
              <w:t>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7"/>
              <w:spacing w:after="0"/>
              <w:rPr>
                <w:sz w:val="20"/>
                <w:szCs w:val="20"/>
                <w:color w:val="auto"/>
              </w:rPr>
            </w:pPr>
            <w:r>
              <w:rPr>
                <w:rFonts w:ascii="Arial" w:cs="Arial" w:eastAsia="Arial" w:hAnsi="Arial"/>
                <w:sz w:val="17"/>
                <w:szCs w:val="17"/>
                <w:b w:val="1"/>
                <w:bCs w:val="1"/>
                <w:color w:val="auto"/>
                <w:w w:val="85"/>
              </w:rPr>
              <w:t>Exercise</w:t>
            </w:r>
          </w:p>
        </w:tc>
        <w:tc>
          <w:tcPr>
            <w:tcW w:w="560" w:type="dxa"/>
            <w:vAlign w:val="bottom"/>
          </w:tcPr>
          <w:p>
            <w:pPr>
              <w:spacing w:after="0"/>
              <w:rPr>
                <w:sz w:val="17"/>
                <w:szCs w:val="17"/>
                <w:color w:val="auto"/>
              </w:rPr>
            </w:pPr>
          </w:p>
        </w:tc>
      </w:tr>
      <w:tr>
        <w:trPr>
          <w:trHeight w:val="217"/>
        </w:trPr>
        <w:tc>
          <w:tcPr>
            <w:tcW w:w="7940" w:type="dxa"/>
            <w:vAlign w:val="bottom"/>
          </w:tcPr>
          <w:p>
            <w:pPr>
              <w:spacing w:after="0"/>
              <w:rPr>
                <w:sz w:val="18"/>
                <w:szCs w:val="18"/>
                <w:color w:val="auto"/>
              </w:rPr>
            </w:pPr>
          </w:p>
        </w:tc>
        <w:tc>
          <w:tcPr>
            <w:tcW w:w="1580" w:type="dxa"/>
            <w:vAlign w:val="bottom"/>
          </w:tcPr>
          <w:p>
            <w:pPr>
              <w:jc w:val="right"/>
              <w:ind w:right="417"/>
              <w:spacing w:after="0"/>
              <w:rPr>
                <w:sz w:val="20"/>
                <w:szCs w:val="20"/>
                <w:color w:val="auto"/>
              </w:rPr>
            </w:pPr>
            <w:r>
              <w:rPr>
                <w:rFonts w:ascii="Arial" w:cs="Arial" w:eastAsia="Arial" w:hAnsi="Arial"/>
                <w:sz w:val="17"/>
                <w:szCs w:val="17"/>
                <w:b w:val="1"/>
                <w:bCs w:val="1"/>
                <w:color w:val="auto"/>
              </w:rPr>
              <w:t>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Arial" w:cs="Arial" w:eastAsia="Arial" w:hAnsi="Arial"/>
                <w:sz w:val="17"/>
                <w:szCs w:val="17"/>
                <w:b w:val="1"/>
                <w:bCs w:val="1"/>
                <w:color w:val="auto"/>
                <w:w w:val="86"/>
              </w:rPr>
              <w:t>Price</w:t>
            </w:r>
          </w:p>
        </w:tc>
        <w:tc>
          <w:tcPr>
            <w:tcW w:w="560" w:type="dxa"/>
            <w:vAlign w:val="bottom"/>
          </w:tcPr>
          <w:p>
            <w:pPr>
              <w:spacing w:after="0"/>
              <w:rPr>
                <w:sz w:val="18"/>
                <w:szCs w:val="18"/>
                <w:color w:val="auto"/>
              </w:rPr>
            </w:pPr>
          </w:p>
        </w:tc>
      </w:tr>
      <w:tr>
        <w:trPr>
          <w:trHeight w:val="25"/>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Equity Incentive Plan Options</w:t>
            </w: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Options outstanding at March 31, 2016</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5,793,008</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11.82</w:t>
            </w:r>
          </w:p>
        </w:tc>
        <w:tc>
          <w:tcPr>
            <w:tcW w:w="560" w:type="dxa"/>
            <w:vAlign w:val="bottom"/>
          </w:tcPr>
          <w:p>
            <w:pPr>
              <w:jc w:val="right"/>
              <w:ind w:right="257"/>
              <w:spacing w:after="0"/>
              <w:rPr>
                <w:sz w:val="20"/>
                <w:szCs w:val="20"/>
                <w:color w:val="auto"/>
              </w:rPr>
            </w:pPr>
            <w:r>
              <w:rPr>
                <w:rFonts w:ascii="Arial" w:cs="Arial" w:eastAsia="Arial" w:hAnsi="Arial"/>
                <w:sz w:val="17"/>
                <w:szCs w:val="17"/>
                <w:color w:val="auto"/>
              </w:rPr>
              <w:t>*</w:t>
            </w:r>
          </w:p>
        </w:tc>
      </w:tr>
      <w:tr>
        <w:trPr>
          <w:trHeight w:val="25"/>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48,898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31.57</w:t>
            </w:r>
          </w:p>
        </w:tc>
        <w:tc>
          <w:tcPr>
            <w:tcW w:w="560" w:type="dxa"/>
            <w:vAlign w:val="bottom"/>
            <w:tcBorders>
              <w:bottom w:val="single" w:sz="8" w:color="CCEEFF"/>
            </w:tcBorders>
            <w:shd w:val="clear" w:color="auto" w:fill="CCEEFF"/>
          </w:tcPr>
          <w:p>
            <w:pPr>
              <w:spacing w:after="0"/>
              <w:rPr>
                <w:sz w:val="20"/>
                <w:szCs w:val="20"/>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82,422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20.85</w:t>
            </w:r>
          </w:p>
        </w:tc>
        <w:tc>
          <w:tcPr>
            <w:tcW w:w="560" w:type="dxa"/>
            <w:vAlign w:val="bottom"/>
          </w:tcPr>
          <w:p>
            <w:pPr>
              <w:spacing w:after="0"/>
              <w:rPr>
                <w:sz w:val="19"/>
                <w:szCs w:val="19"/>
                <w:color w:val="auto"/>
              </w:rPr>
            </w:pPr>
          </w:p>
        </w:tc>
      </w:tr>
      <w:tr>
        <w:trPr>
          <w:trHeight w:val="25"/>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27.16</w:t>
            </w:r>
          </w:p>
        </w:tc>
        <w:tc>
          <w:tcPr>
            <w:tcW w:w="560" w:type="dxa"/>
            <w:vAlign w:val="bottom"/>
            <w:tcBorders>
              <w:bottom w:val="single" w:sz="8" w:color="CCEEFF"/>
            </w:tcBorders>
            <w:shd w:val="clear" w:color="auto" w:fill="CCEEFF"/>
          </w:tcPr>
          <w:p>
            <w:pPr>
              <w:spacing w:after="0"/>
              <w:rPr>
                <w:sz w:val="20"/>
                <w:szCs w:val="20"/>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1,931,495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7.60</w:t>
            </w:r>
          </w:p>
        </w:tc>
        <w:tc>
          <w:tcPr>
            <w:tcW w:w="560" w:type="dxa"/>
            <w:vAlign w:val="bottom"/>
          </w:tcPr>
          <w:p>
            <w:pPr>
              <w:spacing w:after="0"/>
              <w:rPr>
                <w:sz w:val="19"/>
                <w:szCs w:val="19"/>
                <w:color w:val="auto"/>
              </w:rPr>
            </w:pPr>
          </w:p>
        </w:tc>
      </w:tr>
      <w:tr>
        <w:trPr>
          <w:trHeight w:val="25"/>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outstanding at March 31, 2017</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3,824,237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13.99</w:t>
            </w:r>
          </w:p>
        </w:tc>
        <w:tc>
          <w:tcPr>
            <w:tcW w:w="5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r>
      <w:tr>
        <w:trPr>
          <w:trHeight w:val="20"/>
        </w:trPr>
        <w:tc>
          <w:tcPr>
            <w:tcW w:w="7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88" w:lineRule="exact"/>
        <w:rPr>
          <w:sz w:val="20"/>
          <w:szCs w:val="20"/>
          <w:color w:val="auto"/>
        </w:rPr>
      </w:pPr>
    </w:p>
    <w:p>
      <w:pPr>
        <w:ind w:left="380" w:right="4160" w:hanging="380"/>
        <w:spacing w:after="0" w:line="429" w:lineRule="auto"/>
        <w:tabs>
          <w:tab w:leader="none" w:pos="13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Reflects exercise price adjustment of $6.36 per grant for the $6.50 dividend per share issued July 30, 2012. The following table summarizes unvested stock options for the periods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7"/>
              <w:spacing w:after="0"/>
              <w:rPr>
                <w:sz w:val="20"/>
                <w:szCs w:val="20"/>
                <w:color w:val="auto"/>
              </w:rPr>
            </w:pPr>
            <w:r>
              <w:rPr>
                <w:rFonts w:ascii="Arial" w:cs="Arial" w:eastAsia="Arial" w:hAnsi="Arial"/>
                <w:sz w:val="17"/>
                <w:szCs w:val="17"/>
                <w:b w:val="1"/>
                <w:bCs w:val="1"/>
                <w:color w:val="auto"/>
                <w:w w:val="86"/>
              </w:rPr>
              <w:t>Weighted</w:t>
            </w:r>
          </w:p>
        </w:tc>
      </w:tr>
      <w:tr>
        <w:trPr>
          <w:trHeight w:val="200"/>
        </w:trPr>
        <w:tc>
          <w:tcPr>
            <w:tcW w:w="8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7"/>
              <w:spacing w:after="0"/>
              <w:rPr>
                <w:sz w:val="20"/>
                <w:szCs w:val="20"/>
                <w:color w:val="auto"/>
              </w:rPr>
            </w:pPr>
            <w:r>
              <w:rPr>
                <w:rFonts w:ascii="Arial" w:cs="Arial" w:eastAsia="Arial" w:hAnsi="Arial"/>
                <w:sz w:val="17"/>
                <w:szCs w:val="17"/>
                <w:b w:val="1"/>
                <w:bCs w:val="1"/>
                <w:color w:val="auto"/>
                <w:w w:val="90"/>
              </w:rPr>
              <w:t>Average Grant</w:t>
            </w:r>
          </w:p>
        </w:tc>
      </w:tr>
      <w:tr>
        <w:trPr>
          <w:trHeight w:val="200"/>
        </w:trPr>
        <w:tc>
          <w:tcPr>
            <w:tcW w:w="8060" w:type="dxa"/>
            <w:vAlign w:val="bottom"/>
          </w:tcPr>
          <w:p>
            <w:pPr>
              <w:spacing w:after="0"/>
              <w:rPr>
                <w:sz w:val="17"/>
                <w:szCs w:val="17"/>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7"/>
              <w:spacing w:after="0"/>
              <w:rPr>
                <w:sz w:val="20"/>
                <w:szCs w:val="20"/>
                <w:color w:val="auto"/>
              </w:rPr>
            </w:pPr>
            <w:r>
              <w:rPr>
                <w:rFonts w:ascii="Arial" w:cs="Arial" w:eastAsia="Arial" w:hAnsi="Arial"/>
                <w:sz w:val="17"/>
                <w:szCs w:val="17"/>
                <w:b w:val="1"/>
                <w:bCs w:val="1"/>
                <w:color w:val="auto"/>
                <w:w w:val="92"/>
              </w:rPr>
              <w:t>Date</w:t>
            </w:r>
          </w:p>
        </w:tc>
      </w:tr>
      <w:tr>
        <w:trPr>
          <w:trHeight w:val="217"/>
        </w:trPr>
        <w:tc>
          <w:tcPr>
            <w:tcW w:w="8060" w:type="dxa"/>
            <w:vAlign w:val="bottom"/>
          </w:tcPr>
          <w:p>
            <w:pPr>
              <w:spacing w:after="0"/>
              <w:rPr>
                <w:sz w:val="18"/>
                <w:szCs w:val="18"/>
                <w:color w:val="auto"/>
              </w:rPr>
            </w:pPr>
          </w:p>
        </w:tc>
        <w:tc>
          <w:tcPr>
            <w:tcW w:w="1300" w:type="dxa"/>
            <w:vAlign w:val="bottom"/>
          </w:tcPr>
          <w:p>
            <w:pPr>
              <w:jc w:val="right"/>
              <w:ind w:right="297"/>
              <w:spacing w:after="0"/>
              <w:rPr>
                <w:sz w:val="20"/>
                <w:szCs w:val="20"/>
                <w:color w:val="auto"/>
              </w:rPr>
            </w:pPr>
            <w:r>
              <w:rPr>
                <w:rFonts w:ascii="Arial" w:cs="Arial" w:eastAsia="Arial" w:hAnsi="Arial"/>
                <w:sz w:val="17"/>
                <w:szCs w:val="17"/>
                <w:b w:val="1"/>
                <w:bCs w:val="1"/>
                <w:color w:val="auto"/>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7"/>
              <w:spacing w:after="0"/>
              <w:rPr>
                <w:sz w:val="20"/>
                <w:szCs w:val="20"/>
                <w:color w:val="auto"/>
              </w:rPr>
            </w:pPr>
            <w:r>
              <w:rPr>
                <w:rFonts w:ascii="Arial" w:cs="Arial" w:eastAsia="Arial" w:hAnsi="Arial"/>
                <w:sz w:val="17"/>
                <w:szCs w:val="17"/>
                <w:b w:val="1"/>
                <w:bCs w:val="1"/>
                <w:color w:val="auto"/>
                <w:w w:val="91"/>
              </w:rPr>
              <w:t>Fair Value</w:t>
            </w:r>
          </w:p>
        </w:tc>
      </w:tr>
      <w:tr>
        <w:trPr>
          <w:trHeight w:val="25"/>
        </w:trPr>
        <w:tc>
          <w:tcPr>
            <w:tcW w:w="80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Equity Incentive Plan Options</w:t>
            </w: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7"/>
                <w:szCs w:val="17"/>
                <w:color w:val="auto"/>
              </w:rPr>
              <w:t>Unvested at March 31, 2016</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1,565,841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5.73</w:t>
            </w:r>
          </w:p>
        </w:tc>
      </w:tr>
      <w:tr>
        <w:trPr>
          <w:trHeight w:val="25"/>
        </w:trPr>
        <w:tc>
          <w:tcPr>
            <w:tcW w:w="8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48,898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7.16</w:t>
            </w:r>
          </w:p>
        </w:tc>
      </w:tr>
      <w:tr>
        <w:trPr>
          <w:trHeight w:val="225"/>
        </w:trPr>
        <w:tc>
          <w:tcPr>
            <w:tcW w:w="8060" w:type="dxa"/>
            <w:vAlign w:val="bottom"/>
          </w:tcPr>
          <w:p>
            <w:pPr>
              <w:ind w:left="20"/>
              <w:spacing w:after="0"/>
              <w:rPr>
                <w:sz w:val="20"/>
                <w:szCs w:val="20"/>
                <w:color w:val="auto"/>
              </w:rPr>
            </w:pPr>
            <w:r>
              <w:rPr>
                <w:rFonts w:ascii="Arial" w:cs="Arial" w:eastAsia="Arial" w:hAnsi="Arial"/>
                <w:sz w:val="17"/>
                <w:szCs w:val="17"/>
                <w:color w:val="auto"/>
              </w:rPr>
              <w:t>Vested</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719,756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6.02</w:t>
            </w:r>
          </w:p>
        </w:tc>
      </w:tr>
      <w:tr>
        <w:trPr>
          <w:trHeight w:val="25"/>
        </w:trPr>
        <w:tc>
          <w:tcPr>
            <w:tcW w:w="8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82,422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5.33</w:t>
            </w:r>
          </w:p>
        </w:tc>
      </w:tr>
      <w:tr>
        <w:trPr>
          <w:trHeight w:val="237"/>
        </w:trPr>
        <w:tc>
          <w:tcPr>
            <w:tcW w:w="8060" w:type="dxa"/>
            <w:vAlign w:val="bottom"/>
          </w:tcPr>
          <w:p>
            <w:pPr>
              <w:ind w:left="20"/>
              <w:spacing w:after="0"/>
              <w:rPr>
                <w:sz w:val="20"/>
                <w:szCs w:val="20"/>
                <w:color w:val="auto"/>
              </w:rPr>
            </w:pPr>
            <w:r>
              <w:rPr>
                <w:rFonts w:ascii="Arial" w:cs="Arial" w:eastAsia="Arial" w:hAnsi="Arial"/>
                <w:sz w:val="17"/>
                <w:szCs w:val="17"/>
                <w:color w:val="auto"/>
              </w:rPr>
              <w:t>Unvested at March 31, 2017</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812,561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7"/>
              <w:spacing w:after="0"/>
              <w:rPr>
                <w:sz w:val="20"/>
                <w:szCs w:val="20"/>
                <w:color w:val="auto"/>
              </w:rPr>
            </w:pPr>
            <w:r>
              <w:rPr>
                <w:rFonts w:ascii="Arial" w:cs="Arial" w:eastAsia="Arial" w:hAnsi="Arial"/>
                <w:sz w:val="17"/>
                <w:szCs w:val="17"/>
                <w:color w:val="auto"/>
              </w:rPr>
              <w:t>5.61</w:t>
            </w:r>
          </w:p>
        </w:tc>
      </w:tr>
      <w:tr>
        <w:trPr>
          <w:trHeight w:val="20"/>
        </w:trPr>
        <w:tc>
          <w:tcPr>
            <w:tcW w:w="8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8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stock options outstanding at March 31, 2017: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Stock</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46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Weighted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Stock</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2"/>
              </w:rPr>
              <w:t>Weighted</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9"/>
              </w:rPr>
              <w:t>Average</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Average</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28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Options</w:t>
            </w: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Average</w:t>
            </w:r>
          </w:p>
        </w:tc>
        <w:tc>
          <w:tcPr>
            <w:tcW w:w="460" w:type="dxa"/>
            <w:vAlign w:val="bottom"/>
          </w:tcPr>
          <w:p>
            <w:pPr>
              <w:spacing w:after="0"/>
              <w:rPr>
                <w:sz w:val="11"/>
                <w:szCs w:val="11"/>
                <w:color w:val="auto"/>
              </w:rPr>
            </w:pPr>
          </w:p>
        </w:tc>
        <w:tc>
          <w:tcPr>
            <w:tcW w:w="11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Remaining</w:t>
            </w:r>
          </w:p>
        </w:tc>
        <w:tc>
          <w:tcPr>
            <w:tcW w:w="1140" w:type="dxa"/>
            <w:vAlign w:val="bottom"/>
            <w:gridSpan w:val="2"/>
            <w:vMerge w:val="restart"/>
          </w:tcPr>
          <w:p>
            <w:pPr>
              <w:jc w:val="right"/>
              <w:ind w:right="137"/>
              <w:spacing w:after="0"/>
              <w:rPr>
                <w:sz w:val="20"/>
                <w:szCs w:val="20"/>
                <w:color w:val="auto"/>
              </w:rPr>
            </w:pPr>
            <w:r>
              <w:rPr>
                <w:rFonts w:ascii="Arial" w:cs="Arial" w:eastAsia="Arial" w:hAnsi="Arial"/>
                <w:sz w:val="13"/>
                <w:szCs w:val="13"/>
                <w:b w:val="1"/>
                <w:bCs w:val="1"/>
                <w:color w:val="auto"/>
              </w:rPr>
              <w:t>Intrinsic Value</w:t>
            </w:r>
          </w:p>
        </w:tc>
        <w:tc>
          <w:tcPr>
            <w:tcW w:w="12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Options</w:t>
            </w:r>
          </w:p>
        </w:tc>
        <w:tc>
          <w:tcPr>
            <w:tcW w:w="10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9"/>
              </w:rPr>
              <w:t>Average</w:t>
            </w:r>
          </w:p>
        </w:tc>
        <w:tc>
          <w:tcPr>
            <w:tcW w:w="10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Remaining</w:t>
            </w: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Intrinsic Value</w:t>
            </w:r>
          </w:p>
        </w:tc>
        <w:tc>
          <w:tcPr>
            <w:tcW w:w="0" w:type="dxa"/>
            <w:vAlign w:val="bottom"/>
          </w:tcPr>
          <w:p>
            <w:pPr>
              <w:spacing w:after="0"/>
              <w:rPr>
                <w:sz w:val="1"/>
                <w:szCs w:val="1"/>
                <w:color w:val="auto"/>
              </w:rPr>
            </w:pPr>
          </w:p>
        </w:tc>
      </w:tr>
      <w:tr>
        <w:trPr>
          <w:trHeight w:val="178"/>
        </w:trPr>
        <w:tc>
          <w:tcPr>
            <w:tcW w:w="208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Outstanding</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Exercise Price</w:t>
            </w:r>
          </w:p>
        </w:tc>
        <w:tc>
          <w:tcPr>
            <w:tcW w:w="4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Exercise Price</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Contractual Life</w:t>
            </w: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 years)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(In years)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Equity Incentive Plan</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80" w:type="dxa"/>
            <w:vAlign w:val="bottom"/>
          </w:tcPr>
          <w:p>
            <w:pPr>
              <w:jc w:val="right"/>
              <w:ind w:right="382"/>
              <w:spacing w:after="0"/>
              <w:rPr>
                <w:sz w:val="20"/>
                <w:szCs w:val="20"/>
                <w:color w:val="auto"/>
              </w:rPr>
            </w:pPr>
            <w:r>
              <w:rPr>
                <w:rFonts w:ascii="Arial" w:cs="Arial" w:eastAsia="Arial" w:hAnsi="Arial"/>
                <w:sz w:val="17"/>
                <w:szCs w:val="17"/>
                <w:color w:val="auto"/>
              </w:rPr>
              <w:t>$4.28 - $35.83</w:t>
            </w:r>
          </w:p>
        </w:tc>
        <w:tc>
          <w:tcPr>
            <w:tcW w:w="1140" w:type="dxa"/>
            <w:vAlign w:val="bottom"/>
          </w:tcPr>
          <w:p>
            <w:pPr>
              <w:jc w:val="center"/>
              <w:spacing w:after="0"/>
              <w:rPr>
                <w:sz w:val="20"/>
                <w:szCs w:val="20"/>
                <w:color w:val="auto"/>
              </w:rPr>
            </w:pPr>
            <w:r>
              <w:rPr>
                <w:rFonts w:ascii="Arial" w:cs="Arial" w:eastAsia="Arial" w:hAnsi="Arial"/>
                <w:sz w:val="17"/>
                <w:szCs w:val="17"/>
                <w:color w:val="auto"/>
                <w:w w:val="87"/>
              </w:rPr>
              <w:t>3,824,237</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$13.99</w:t>
            </w:r>
          </w:p>
        </w:tc>
        <w:tc>
          <w:tcPr>
            <w:tcW w:w="460" w:type="dxa"/>
            <w:vAlign w:val="bottom"/>
          </w:tcPr>
          <w:p>
            <w:pPr>
              <w:jc w:val="right"/>
              <w:ind w:right="122"/>
              <w:spacing w:after="0"/>
              <w:rPr>
                <w:sz w:val="20"/>
                <w:szCs w:val="20"/>
                <w:color w:val="auto"/>
              </w:rPr>
            </w:pPr>
            <w:r>
              <w:rPr>
                <w:rFonts w:ascii="Arial" w:cs="Arial" w:eastAsia="Arial" w:hAnsi="Arial"/>
                <w:sz w:val="12"/>
                <w:szCs w:val="12"/>
                <w:color w:val="auto"/>
              </w:rPr>
              <w:t>(1)</w:t>
            </w: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4.78</w:t>
            </w:r>
          </w:p>
        </w:tc>
        <w:tc>
          <w:tcPr>
            <w:tcW w:w="120" w:type="dxa"/>
            <w:vAlign w:val="bottom"/>
          </w:tcPr>
          <w:p>
            <w:pPr>
              <w:spacing w:after="0"/>
              <w:rPr>
                <w:sz w:val="20"/>
                <w:szCs w:val="20"/>
                <w:color w:val="auto"/>
              </w:rPr>
            </w:pPr>
          </w:p>
        </w:tc>
        <w:tc>
          <w:tcPr>
            <w:tcW w:w="280" w:type="dxa"/>
            <w:vAlign w:val="bottom"/>
          </w:tcPr>
          <w:p>
            <w:pPr>
              <w:jc w:val="right"/>
              <w:ind w:right="10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57"/>
              <w:spacing w:after="0"/>
              <w:rPr>
                <w:sz w:val="20"/>
                <w:szCs w:val="20"/>
                <w:color w:val="auto"/>
              </w:rPr>
            </w:pPr>
            <w:r>
              <w:rPr>
                <w:rFonts w:ascii="Arial" w:cs="Arial" w:eastAsia="Arial" w:hAnsi="Arial"/>
                <w:sz w:val="17"/>
                <w:szCs w:val="17"/>
                <w:color w:val="auto"/>
              </w:rPr>
              <w:t>81,817</w:t>
            </w:r>
          </w:p>
        </w:tc>
        <w:tc>
          <w:tcPr>
            <w:tcW w:w="1120" w:type="dxa"/>
            <w:vAlign w:val="bottom"/>
          </w:tcPr>
          <w:p>
            <w:pPr>
              <w:jc w:val="center"/>
              <w:spacing w:after="0"/>
              <w:rPr>
                <w:sz w:val="20"/>
                <w:szCs w:val="20"/>
                <w:color w:val="auto"/>
              </w:rPr>
            </w:pPr>
            <w:r>
              <w:rPr>
                <w:rFonts w:ascii="Arial" w:cs="Arial" w:eastAsia="Arial" w:hAnsi="Arial"/>
                <w:sz w:val="17"/>
                <w:szCs w:val="17"/>
                <w:color w:val="auto"/>
                <w:w w:val="87"/>
              </w:rPr>
              <w:t>3,011,676</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8"/>
              </w:rPr>
              <w:t>$11.79</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4.18</w:t>
            </w:r>
          </w:p>
        </w:tc>
        <w:tc>
          <w:tcPr>
            <w:tcW w:w="1080" w:type="dxa"/>
            <w:vAlign w:val="bottom"/>
          </w:tcPr>
          <w:p>
            <w:pPr>
              <w:jc w:val="right"/>
              <w:ind w:right="225"/>
              <w:spacing w:after="0"/>
              <w:rPr>
                <w:sz w:val="20"/>
                <w:szCs w:val="20"/>
                <w:color w:val="auto"/>
              </w:rPr>
            </w:pPr>
            <w:r>
              <w:rPr>
                <w:rFonts w:ascii="Arial" w:cs="Arial" w:eastAsia="Arial" w:hAnsi="Arial"/>
                <w:sz w:val="17"/>
                <w:szCs w:val="17"/>
                <w:color w:val="auto"/>
              </w:rPr>
              <w:t>$71,073</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(1) Reflects exercise price adjustment of $6.36 per grant for the $6.50 dividend per share issued July 30, 2012.</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 VALUE MEASUREMENTS</w:t>
      </w:r>
    </w:p>
    <w:p>
      <w:pPr>
        <w:spacing w:after="0" w:line="109" w:lineRule="exact"/>
        <w:rPr>
          <w:sz w:val="20"/>
          <w:szCs w:val="20"/>
          <w:color w:val="auto"/>
        </w:rPr>
      </w:pPr>
    </w:p>
    <w:p>
      <w:pPr>
        <w:ind w:firstLine="375"/>
        <w:spacing w:after="0" w:line="279" w:lineRule="auto"/>
        <w:rPr>
          <w:sz w:val="20"/>
          <w:szCs w:val="20"/>
          <w:color w:val="auto"/>
        </w:rPr>
      </w:pPr>
      <w:r>
        <w:rPr>
          <w:rFonts w:ascii="Arial" w:cs="Arial" w:eastAsia="Arial" w:hAnsi="Arial"/>
          <w:sz w:val="16"/>
          <w:szCs w:val="16"/>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20"/>
          </w:cols>
          <w:pgMar w:left="240" w:top="123" w:right="239" w:bottom="1440" w:gutter="0" w:footer="0" w:header="0"/>
        </w:sectPr>
      </w:pPr>
    </w:p>
    <w:bookmarkStart w:id="96" w:name="page97"/>
    <w:bookmarkEnd w:id="96"/>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400" w:firstLine="375"/>
        <w:spacing w:after="0" w:line="266"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60" w:type="dxa"/>
            <w:vAlign w:val="bottom"/>
            <w:gridSpan w:val="8"/>
          </w:tcPr>
          <w:p>
            <w:pPr>
              <w:jc w:val="center"/>
              <w:spacing w:after="0"/>
              <w:rPr>
                <w:sz w:val="20"/>
                <w:szCs w:val="20"/>
                <w:color w:val="auto"/>
              </w:rPr>
            </w:pPr>
            <w:r>
              <w:rPr>
                <w:rFonts w:ascii="Arial" w:cs="Arial" w:eastAsia="Arial" w:hAnsi="Arial"/>
                <w:sz w:val="17"/>
                <w:szCs w:val="17"/>
                <w:b w:val="1"/>
                <w:bCs w:val="1"/>
                <w:color w:val="auto"/>
                <w:w w:val="89"/>
              </w:rPr>
              <w:t>Recurring Fair Value Measurements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7"/>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89"/>
              </w:rPr>
              <w:t>as of March 31, 2017</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Level 1</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Level 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b w:val="1"/>
                <w:bCs w:val="1"/>
                <w:color w:val="auto"/>
              </w:rPr>
              <w:t>Total</w:t>
            </w:r>
          </w:p>
        </w:tc>
      </w:tr>
      <w:tr>
        <w:trPr>
          <w:trHeight w:val="218"/>
        </w:trPr>
        <w:tc>
          <w:tcPr>
            <w:tcW w:w="65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5"/>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59,825</w:t>
            </w:r>
          </w:p>
        </w:tc>
        <w:tc>
          <w:tcPr>
            <w:tcW w:w="40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59,825</w:t>
            </w:r>
          </w:p>
        </w:tc>
      </w:tr>
      <w:tr>
        <w:trPr>
          <w:trHeight w:val="225"/>
        </w:trPr>
        <w:tc>
          <w:tcPr>
            <w:tcW w:w="6500" w:type="dxa"/>
            <w:vAlign w:val="bottom"/>
          </w:tcPr>
          <w:p>
            <w:pPr>
              <w:ind w:left="140"/>
              <w:spacing w:after="0"/>
              <w:rPr>
                <w:sz w:val="20"/>
                <w:szCs w:val="20"/>
                <w:color w:val="auto"/>
              </w:rPr>
            </w:pPr>
            <w:r>
              <w:rPr>
                <w:rFonts w:ascii="Arial" w:cs="Arial" w:eastAsia="Arial" w:hAnsi="Arial"/>
                <w:sz w:val="17"/>
                <w:szCs w:val="17"/>
                <w:color w:val="auto"/>
              </w:rPr>
              <w:t>Money market funds (1)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157,592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157,592</w:t>
            </w:r>
          </w:p>
        </w:tc>
      </w:tr>
      <w:tr>
        <w:trPr>
          <w:trHeight w:val="25"/>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59,825</w:t>
            </w:r>
          </w:p>
        </w:tc>
        <w:tc>
          <w:tcPr>
            <w:tcW w:w="40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157,592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217,417</w:t>
            </w:r>
          </w:p>
        </w:tc>
      </w:tr>
      <w:tr>
        <w:trPr>
          <w:trHeight w:val="218"/>
        </w:trPr>
        <w:tc>
          <w:tcPr>
            <w:tcW w:w="650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5"/>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Contingent consideration liability (2)</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3,576</w:t>
            </w:r>
          </w:p>
        </w:tc>
      </w:tr>
      <w:tr>
        <w:trPr>
          <w:trHeight w:val="218"/>
        </w:trPr>
        <w:tc>
          <w:tcPr>
            <w:tcW w:w="650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3,576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3,576</w:t>
            </w:r>
          </w:p>
        </w:tc>
      </w:tr>
    </w:tbl>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60" w:type="dxa"/>
            <w:vAlign w:val="bottom"/>
            <w:gridSpan w:val="8"/>
          </w:tcPr>
          <w:p>
            <w:pPr>
              <w:jc w:val="center"/>
              <w:spacing w:after="0"/>
              <w:rPr>
                <w:sz w:val="20"/>
                <w:szCs w:val="20"/>
                <w:color w:val="auto"/>
              </w:rPr>
            </w:pPr>
            <w:r>
              <w:rPr>
                <w:rFonts w:ascii="Arial" w:cs="Arial" w:eastAsia="Arial" w:hAnsi="Arial"/>
                <w:sz w:val="17"/>
                <w:szCs w:val="17"/>
                <w:b w:val="1"/>
                <w:bCs w:val="1"/>
                <w:color w:val="auto"/>
                <w:w w:val="89"/>
              </w:rPr>
              <w:t>Recurring Fair Value Measurements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7"/>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89"/>
              </w:rPr>
              <w:t>as of March 31, 2016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Level 1</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Level 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b w:val="1"/>
                <w:bCs w:val="1"/>
                <w:color w:val="auto"/>
              </w:rPr>
              <w:t>Total</w:t>
            </w:r>
          </w:p>
        </w:tc>
      </w:tr>
      <w:tr>
        <w:trPr>
          <w:trHeight w:val="218"/>
        </w:trPr>
        <w:tc>
          <w:tcPr>
            <w:tcW w:w="65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5"/>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42,102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42,102</w:t>
            </w:r>
          </w:p>
        </w:tc>
      </w:tr>
      <w:tr>
        <w:trPr>
          <w:trHeight w:val="225"/>
        </w:trPr>
        <w:tc>
          <w:tcPr>
            <w:tcW w:w="6500" w:type="dxa"/>
            <w:vAlign w:val="bottom"/>
          </w:tcPr>
          <w:p>
            <w:pPr>
              <w:ind w:left="140"/>
              <w:spacing w:after="0"/>
              <w:rPr>
                <w:sz w:val="20"/>
                <w:szCs w:val="20"/>
                <w:color w:val="auto"/>
              </w:rPr>
            </w:pPr>
            <w:r>
              <w:rPr>
                <w:rFonts w:ascii="Arial" w:cs="Arial" w:eastAsia="Arial" w:hAnsi="Arial"/>
                <w:sz w:val="17"/>
                <w:szCs w:val="17"/>
                <w:color w:val="auto"/>
              </w:rPr>
              <w:t>Money market funds (1)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145,427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145,427</w:t>
            </w:r>
          </w:p>
        </w:tc>
      </w:tr>
      <w:tr>
        <w:trPr>
          <w:trHeight w:val="25"/>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42,102</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145,427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187,529</w:t>
            </w:r>
          </w:p>
        </w:tc>
      </w:tr>
      <w:tr>
        <w:trPr>
          <w:trHeight w:val="25"/>
        </w:trPr>
        <w:tc>
          <w:tcPr>
            <w:tcW w:w="6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ind w:left="280" w:hanging="280"/>
        <w:spacing w:after="0"/>
        <w:tabs>
          <w:tab w:leader="none" w:pos="280" w:val="left"/>
        </w:tabs>
        <w:numPr>
          <w:ilvl w:val="0"/>
          <w:numId w:val="74"/>
        </w:numPr>
        <w:rPr>
          <w:rFonts w:ascii="Arial" w:cs="Arial" w:eastAsia="Arial" w:hAnsi="Arial"/>
          <w:sz w:val="16"/>
          <w:szCs w:val="16"/>
          <w:color w:val="auto"/>
        </w:rPr>
      </w:pPr>
      <w:r>
        <w:rPr>
          <w:rFonts w:ascii="Arial" w:cs="Arial" w:eastAsia="Arial" w:hAnsi="Arial"/>
          <w:sz w:val="15"/>
          <w:szCs w:val="15"/>
          <w:color w:val="auto"/>
        </w:rPr>
        <w:t>Level 2 cash and cash equivalents are invested in money market funds that are intended to maintain a stable net asset value of $1.00 per share by investing in liquid,</w:t>
      </w:r>
    </w:p>
    <w:p>
      <w:pPr>
        <w:spacing w:after="0" w:line="53" w:lineRule="exact"/>
        <w:rPr>
          <w:rFonts w:ascii="Arial" w:cs="Arial" w:eastAsia="Arial" w:hAnsi="Arial"/>
          <w:sz w:val="16"/>
          <w:szCs w:val="16"/>
          <w:color w:val="auto"/>
        </w:rPr>
      </w:pPr>
    </w:p>
    <w:p>
      <w:pPr>
        <w:ind w:right="120"/>
        <w:spacing w:after="0" w:line="282" w:lineRule="auto"/>
        <w:rPr>
          <w:rFonts w:ascii="Arial" w:cs="Arial" w:eastAsia="Arial" w:hAnsi="Arial"/>
          <w:sz w:val="16"/>
          <w:szCs w:val="16"/>
          <w:color w:val="auto"/>
        </w:rPr>
      </w:pPr>
      <w:r>
        <w:rPr>
          <w:rFonts w:ascii="Arial" w:cs="Arial" w:eastAsia="Arial" w:hAnsi="Arial"/>
          <w:sz w:val="17"/>
          <w:szCs w:val="17"/>
          <w:color w:val="auto"/>
        </w:rPr>
        <w:t>high quality U.S. dollar-denominated money market instruments. Therefore, the fair value approximates the carrying value. Depending on our short-term liquidity needs, we make regular transfers between money market funds and other cash equivalents.</w:t>
      </w:r>
    </w:p>
    <w:p>
      <w:pPr>
        <w:spacing w:after="0" w:line="153" w:lineRule="exact"/>
        <w:rPr>
          <w:rFonts w:ascii="Arial" w:cs="Arial" w:eastAsia="Arial" w:hAnsi="Arial"/>
          <w:sz w:val="16"/>
          <w:szCs w:val="16"/>
          <w:color w:val="auto"/>
        </w:rPr>
      </w:pPr>
    </w:p>
    <w:p>
      <w:pPr>
        <w:ind w:right="100"/>
        <w:spacing w:after="0" w:line="256" w:lineRule="auto"/>
        <w:tabs>
          <w:tab w:leader="none" w:pos="236"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discussed in Note 4, the Company recognized a contingent consideration liability in connection with the acquisition of Aquilent. As of March 31, 2017, the estimated fair value of the contingent consideration liability was $3.6 million and was valued using probability-weighted cash flows, which is based on the use of Level 3 fair value measurement inputs. The liability is recorded in other long-term liabilities in the consolidated balance sheet.</w:t>
      </w:r>
    </w:p>
    <w:p>
      <w:pPr>
        <w:spacing w:after="0" w:line="75" w:lineRule="exact"/>
        <w:rPr>
          <w:sz w:val="20"/>
          <w:szCs w:val="20"/>
          <w:color w:val="auto"/>
        </w:rPr>
      </w:pPr>
    </w:p>
    <w:p>
      <w:pPr>
        <w:ind w:right="60" w:firstLine="375"/>
        <w:spacing w:after="0" w:line="252" w:lineRule="auto"/>
        <w:rPr>
          <w:sz w:val="20"/>
          <w:szCs w:val="20"/>
          <w:color w:val="auto"/>
        </w:rPr>
      </w:pPr>
      <w:r>
        <w:rPr>
          <w:rFonts w:ascii="Arial" w:cs="Arial" w:eastAsia="Arial" w:hAnsi="Arial"/>
          <w:sz w:val="17"/>
          <w:szCs w:val="17"/>
          <w:color w:val="auto"/>
        </w:rPr>
        <w:t>The fair value of the Company's debt instruments approximated its carrying value at March 31, 2017 and March 31, 2016.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RELATED-PARTY TRANSACTIONS</w:t>
      </w:r>
    </w:p>
    <w:p>
      <w:pPr>
        <w:spacing w:after="0" w:line="109" w:lineRule="exact"/>
        <w:rPr>
          <w:sz w:val="20"/>
          <w:szCs w:val="20"/>
          <w:color w:val="auto"/>
        </w:rPr>
      </w:pPr>
    </w:p>
    <w:p>
      <w:pPr>
        <w:ind w:right="60" w:firstLine="375"/>
        <w:spacing w:after="0" w:line="292" w:lineRule="auto"/>
        <w:rPr>
          <w:sz w:val="20"/>
          <w:szCs w:val="20"/>
          <w:color w:val="auto"/>
        </w:rPr>
      </w:pPr>
      <w:r>
        <w:rPr>
          <w:rFonts w:ascii="Arial" w:cs="Arial" w:eastAsia="Arial" w:hAnsi="Arial"/>
          <w:sz w:val="15"/>
          <w:szCs w:val="15"/>
          <w:color w:val="auto"/>
        </w:rPr>
        <w:t>In March 2017, the Company supported the formation of the Booz Allen Foundation, a nonprofit corporation organized and operated exclusively for charitable, scientific and educational purposes within the meaning of Section 501(c)(3) of the Internal Revenue Code of 1986, as amended. The Company is the sole member of the foundation, which gives it the authority to appoint two out of five of the Booz Allen Foundation’s directors and consent rights regarding certain extraordinary corporate actions approved by the board of directors. The Company has made a binding and irrevocable pledge of $5.0 million to the Booz Allen Foundation. The pledge expense is presented in other income (expenses), net and the pledge obligation is presented in other current liabilities on the consolidated balance sheet of the Company.</w:t>
      </w:r>
    </w:p>
    <w:p>
      <w:pPr>
        <w:spacing w:after="0" w:line="52" w:lineRule="exact"/>
        <w:rPr>
          <w:sz w:val="20"/>
          <w:szCs w:val="20"/>
          <w:color w:val="auto"/>
        </w:rPr>
      </w:pPr>
    </w:p>
    <w:p>
      <w:pPr>
        <w:ind w:right="520" w:firstLine="375"/>
        <w:spacing w:after="0" w:line="266" w:lineRule="auto"/>
        <w:rPr>
          <w:sz w:val="20"/>
          <w:szCs w:val="20"/>
          <w:color w:val="auto"/>
        </w:rPr>
      </w:pPr>
      <w:r>
        <w:rPr>
          <w:rFonts w:ascii="Arial" w:cs="Arial" w:eastAsia="Arial" w:hAnsi="Arial"/>
          <w:sz w:val="17"/>
          <w:szCs w:val="17"/>
          <w:color w:val="auto"/>
        </w:rPr>
        <w:t>During the third quarter of fiscal 2017, The Carlyle Group, or Carlyle, sold its remaining shares of Class A common stock of the Company in an underwritten transaction. As of March 31, 2017, Carlyle does not beneficially own any shares of Class 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20"/>
          </w:cols>
          <w:pgMar w:left="240" w:top="123" w:right="239" w:bottom="1440" w:gutter="0" w:footer="0" w:header="0"/>
        </w:sectPr>
      </w:pPr>
    </w:p>
    <w:bookmarkStart w:id="97" w:name="page98"/>
    <w:bookmarkEnd w:id="97"/>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 the Company. Prior to this transaction, Carlyle was the largest shareholder of the Company. From time to time, and in the ordinary course of business:</w:t>
      </w:r>
    </w:p>
    <w:p>
      <w:pPr>
        <w:spacing w:after="0" w:line="40" w:lineRule="exact"/>
        <w:rPr>
          <w:sz w:val="20"/>
          <w:szCs w:val="20"/>
          <w:color w:val="auto"/>
        </w:rPr>
      </w:pPr>
    </w:p>
    <w:p>
      <w:pPr>
        <w:ind w:right="380"/>
        <w:spacing w:after="0" w:line="317" w:lineRule="auto"/>
        <w:tabs>
          <w:tab w:leader="none" w:pos="236" w:val="left"/>
        </w:tabs>
        <w:numPr>
          <w:ilvl w:val="0"/>
          <w:numId w:val="75"/>
        </w:numPr>
        <w:rPr>
          <w:rFonts w:ascii="Arial" w:cs="Arial" w:eastAsia="Arial" w:hAnsi="Arial"/>
          <w:sz w:val="15"/>
          <w:szCs w:val="15"/>
          <w:color w:val="auto"/>
        </w:rPr>
      </w:pPr>
      <w:r>
        <w:rPr>
          <w:rFonts w:ascii="Arial" w:cs="Arial" w:eastAsia="Arial" w:hAnsi="Arial"/>
          <w:sz w:val="15"/>
          <w:szCs w:val="15"/>
          <w:color w:val="auto"/>
        </w:rPr>
        <w:t>other Carlyle portfolio companies engage the Company as a subcontractor or service provider, and (2) the Company engages other Carlyle portfolio companies as subcontractors or service providers. Revenue and cost associated with these related parties for fiscal 2017, 2016, and 2015 were not material.</w:t>
      </w:r>
    </w:p>
    <w:p>
      <w:pPr>
        <w:spacing w:after="0" w:line="133" w:lineRule="exact"/>
        <w:rPr>
          <w:sz w:val="20"/>
          <w:szCs w:val="20"/>
          <w:color w:val="auto"/>
        </w:rPr>
      </w:pPr>
    </w:p>
    <w:p>
      <w:pPr>
        <w:ind w:right="120" w:firstLine="375"/>
        <w:spacing w:after="0" w:line="289" w:lineRule="auto"/>
        <w:rPr>
          <w:sz w:val="20"/>
          <w:szCs w:val="20"/>
          <w:color w:val="auto"/>
        </w:rPr>
      </w:pPr>
      <w:r>
        <w:rPr>
          <w:rFonts w:ascii="Arial" w:cs="Arial" w:eastAsia="Arial" w:hAnsi="Arial"/>
          <w:sz w:val="15"/>
          <w:szCs w:val="15"/>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provided the Company with advisory, consulting and other services and the Company paid Carlyle Investment Management an aggregate annual fee of $1.0 million, plus expenses. For fiscal 2017, 2016, and 2015, the Company incurred $0.8 million, $1.0 million and $1.0 million per year in advisory fees, respectively. The Management Agreement terminated on December 6, 2016, upon the closing of the sale by Carlyle of their remaining shares of Class A common stock of the Company.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COMMITMENTS AND CONTINGENCIES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Leases</w:t>
      </w:r>
    </w:p>
    <w:p>
      <w:pPr>
        <w:spacing w:after="0" w:line="105" w:lineRule="exact"/>
        <w:rPr>
          <w:sz w:val="20"/>
          <w:szCs w:val="20"/>
          <w:color w:val="auto"/>
        </w:rPr>
      </w:pPr>
    </w:p>
    <w:p>
      <w:pPr>
        <w:ind w:right="20" w:firstLine="375"/>
        <w:spacing w:after="0" w:line="289" w:lineRule="auto"/>
        <w:rPr>
          <w:sz w:val="20"/>
          <w:szCs w:val="20"/>
          <w:color w:val="auto"/>
        </w:rPr>
      </w:pPr>
      <w:r>
        <w:rPr>
          <w:rFonts w:ascii="Arial" w:cs="Arial" w:eastAsia="Arial" w:hAnsi="Arial"/>
          <w:sz w:val="15"/>
          <w:szCs w:val="15"/>
          <w:color w:val="auto"/>
        </w:rPr>
        <w:t>The Company leases office space under noncancelable operating leases that expire at various dates through 2028. The terms for the facility leases generally provide for rental payments on a graduated scale, which are recognized on a straight-line basis over the terms of the leases, including reasonably assured renewal periods, from the time the Company controls the leased property. Sometimes lease payments include payments for insurance, maintenance, and property taxes. There are no purchase options on operating leases at terms favorable to market rents. Lease incentives are recorded as a deferred credit and recognized as a reduction to rent expense on a straight-line basis over the lease term. Rent expense was approximately $81.6 million, net of $0.5 million of sublease income, $88.5 million, net of $0.5 million of sublease income, and $92.9 million, net of $0.7 million of sublease income, for fiscal 2017, 2016, and 2015, respectively.</w:t>
      </w:r>
    </w:p>
    <w:p>
      <w:pPr>
        <w:spacing w:after="0" w:line="56" w:lineRule="exact"/>
        <w:rPr>
          <w:sz w:val="20"/>
          <w:szCs w:val="20"/>
          <w:color w:val="auto"/>
        </w:rPr>
      </w:pPr>
    </w:p>
    <w:p>
      <w:pPr>
        <w:ind w:right="300" w:firstLine="375"/>
        <w:spacing w:after="0" w:line="266" w:lineRule="auto"/>
        <w:rPr>
          <w:sz w:val="20"/>
          <w:szCs w:val="20"/>
          <w:color w:val="auto"/>
        </w:rPr>
      </w:pPr>
      <w:r>
        <w:rPr>
          <w:rFonts w:ascii="Arial" w:cs="Arial" w:eastAsia="Arial" w:hAnsi="Arial"/>
          <w:sz w:val="17"/>
          <w:szCs w:val="17"/>
          <w:color w:val="auto"/>
        </w:rPr>
        <w:t>Future minimum operating lease payments for noncancelable operating leases and future minimum income for noncancelable sublease rentals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Operating</w:t>
            </w:r>
          </w:p>
        </w:tc>
        <w:tc>
          <w:tcPr>
            <w:tcW w:w="260" w:type="dxa"/>
            <w:vAlign w:val="bottom"/>
          </w:tcPr>
          <w:p>
            <w:pPr>
              <w:spacing w:after="0"/>
              <w:rPr>
                <w:sz w:val="13"/>
                <w:szCs w:val="13"/>
                <w:color w:val="auto"/>
              </w:rPr>
            </w:pPr>
          </w:p>
        </w:tc>
        <w:tc>
          <w:tcPr>
            <w:tcW w:w="1200" w:type="dxa"/>
            <w:vAlign w:val="bottom"/>
          </w:tcPr>
          <w:p>
            <w:pPr>
              <w:jc w:val="center"/>
              <w:ind w:right="182"/>
              <w:spacing w:after="0"/>
              <w:rPr>
                <w:sz w:val="20"/>
                <w:szCs w:val="20"/>
                <w:color w:val="auto"/>
              </w:rPr>
            </w:pPr>
            <w:r>
              <w:rPr>
                <w:rFonts w:ascii="Arial" w:cs="Arial" w:eastAsia="Arial" w:hAnsi="Arial"/>
                <w:sz w:val="13"/>
                <w:szCs w:val="13"/>
                <w:b w:val="1"/>
                <w:bCs w:val="1"/>
                <w:color w:val="auto"/>
                <w:w w:val="94"/>
              </w:rPr>
              <w:t>Operating</w:t>
            </w:r>
          </w:p>
        </w:tc>
        <w:tc>
          <w:tcPr>
            <w:tcW w:w="0" w:type="dxa"/>
            <w:vAlign w:val="bottom"/>
          </w:tcPr>
          <w:p>
            <w:pPr>
              <w:spacing w:after="0"/>
              <w:rPr>
                <w:sz w:val="1"/>
                <w:szCs w:val="1"/>
                <w:color w:val="auto"/>
              </w:rPr>
            </w:pPr>
          </w:p>
        </w:tc>
      </w:tr>
      <w:tr>
        <w:trPr>
          <w:trHeight w:val="138"/>
        </w:trPr>
        <w:tc>
          <w:tcPr>
            <w:tcW w:w="8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For the Fiscal Year Ending March 31,</w:t>
            </w:r>
          </w:p>
        </w:tc>
        <w:tc>
          <w:tcPr>
            <w:tcW w:w="280" w:type="dxa"/>
            <w:vAlign w:val="bottom"/>
          </w:tcPr>
          <w:p>
            <w:pPr>
              <w:spacing w:after="0"/>
              <w:rPr>
                <w:sz w:val="11"/>
                <w:szCs w:val="11"/>
                <w:color w:val="auto"/>
              </w:rPr>
            </w:pPr>
          </w:p>
        </w:tc>
        <w:tc>
          <w:tcPr>
            <w:tcW w:w="132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w w:val="86"/>
              </w:rPr>
              <w:t>Lease</w:t>
            </w:r>
          </w:p>
        </w:tc>
        <w:tc>
          <w:tcPr>
            <w:tcW w:w="260" w:type="dxa"/>
            <w:vAlign w:val="bottom"/>
          </w:tcPr>
          <w:p>
            <w:pPr>
              <w:spacing w:after="0"/>
              <w:rPr>
                <w:sz w:val="11"/>
                <w:szCs w:val="11"/>
                <w:color w:val="auto"/>
              </w:rPr>
            </w:pPr>
          </w:p>
        </w:tc>
        <w:tc>
          <w:tcPr>
            <w:tcW w:w="1200" w:type="dxa"/>
            <w:vAlign w:val="bottom"/>
          </w:tcPr>
          <w:p>
            <w:pPr>
              <w:jc w:val="center"/>
              <w:ind w:right="182"/>
              <w:spacing w:after="0" w:line="138" w:lineRule="exact"/>
              <w:rPr>
                <w:sz w:val="20"/>
                <w:szCs w:val="20"/>
                <w:color w:val="auto"/>
              </w:rPr>
            </w:pPr>
            <w:r>
              <w:rPr>
                <w:rFonts w:ascii="Arial" w:cs="Arial" w:eastAsia="Arial" w:hAnsi="Arial"/>
                <w:sz w:val="13"/>
                <w:szCs w:val="13"/>
                <w:b w:val="1"/>
                <w:bCs w:val="1"/>
                <w:color w:val="auto"/>
                <w:w w:val="87"/>
              </w:rPr>
              <w:t>Sublease</w:t>
            </w:r>
          </w:p>
        </w:tc>
        <w:tc>
          <w:tcPr>
            <w:tcW w:w="0" w:type="dxa"/>
            <w:vAlign w:val="bottom"/>
          </w:tcPr>
          <w:p>
            <w:pPr>
              <w:spacing w:after="0"/>
              <w:rPr>
                <w:sz w:val="1"/>
                <w:szCs w:val="1"/>
                <w:color w:val="auto"/>
              </w:rPr>
            </w:pPr>
          </w:p>
        </w:tc>
      </w:tr>
      <w:tr>
        <w:trPr>
          <w:trHeight w:val="178"/>
        </w:trPr>
        <w:tc>
          <w:tcPr>
            <w:tcW w:w="8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Payments</w:t>
            </w:r>
          </w:p>
        </w:tc>
        <w:tc>
          <w:tcPr>
            <w:tcW w:w="260" w:type="dxa"/>
            <w:vAlign w:val="bottom"/>
          </w:tcPr>
          <w:p>
            <w:pPr>
              <w:spacing w:after="0"/>
              <w:rPr>
                <w:sz w:val="15"/>
                <w:szCs w:val="15"/>
                <w:color w:val="auto"/>
              </w:rPr>
            </w:pPr>
          </w:p>
        </w:tc>
        <w:tc>
          <w:tcPr>
            <w:tcW w:w="1200" w:type="dxa"/>
            <w:vAlign w:val="bottom"/>
          </w:tcPr>
          <w:p>
            <w:pPr>
              <w:jc w:val="center"/>
              <w:ind w:right="182"/>
              <w:spacing w:after="0"/>
              <w:rPr>
                <w:sz w:val="20"/>
                <w:szCs w:val="20"/>
                <w:color w:val="auto"/>
              </w:rPr>
            </w:pPr>
            <w:r>
              <w:rPr>
                <w:rFonts w:ascii="Arial" w:cs="Arial" w:eastAsia="Arial" w:hAnsi="Arial"/>
                <w:sz w:val="13"/>
                <w:szCs w:val="13"/>
                <w:b w:val="1"/>
                <w:bCs w:val="1"/>
                <w:color w:val="auto"/>
                <w:w w:val="92"/>
              </w:rPr>
              <w:t>Income</w:t>
            </w:r>
          </w:p>
        </w:tc>
        <w:tc>
          <w:tcPr>
            <w:tcW w:w="0" w:type="dxa"/>
            <w:vAlign w:val="bottom"/>
          </w:tcPr>
          <w:p>
            <w:pPr>
              <w:spacing w:after="0"/>
              <w:rPr>
                <w:sz w:val="1"/>
                <w:szCs w:val="1"/>
                <w:color w:val="auto"/>
              </w:rPr>
            </w:pPr>
          </w:p>
        </w:tc>
      </w:tr>
      <w:tr>
        <w:trPr>
          <w:trHeight w:val="228"/>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70,119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2019</w:t>
            </w: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63,198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54,846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2021</w:t>
            </w: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50,033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38,183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107,562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383,941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right="480" w:firstLine="375"/>
        <w:spacing w:after="0" w:line="298" w:lineRule="auto"/>
        <w:rPr>
          <w:sz w:val="20"/>
          <w:szCs w:val="20"/>
          <w:color w:val="auto"/>
        </w:rPr>
      </w:pPr>
      <w:r>
        <w:rPr>
          <w:rFonts w:ascii="Arial" w:cs="Arial" w:eastAsia="Arial" w:hAnsi="Arial"/>
          <w:sz w:val="16"/>
          <w:szCs w:val="16"/>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Letters of Credit and Third-Party Guarantees</w:t>
      </w:r>
    </w:p>
    <w:p>
      <w:pPr>
        <w:spacing w:after="0" w:line="105" w:lineRule="exact"/>
        <w:rPr>
          <w:sz w:val="20"/>
          <w:szCs w:val="20"/>
          <w:color w:val="auto"/>
        </w:rPr>
      </w:pPr>
    </w:p>
    <w:p>
      <w:pPr>
        <w:ind w:right="80" w:firstLine="375"/>
        <w:spacing w:after="0" w:line="251" w:lineRule="auto"/>
        <w:rPr>
          <w:sz w:val="20"/>
          <w:szCs w:val="20"/>
          <w:color w:val="auto"/>
        </w:rPr>
      </w:pPr>
      <w:r>
        <w:rPr>
          <w:rFonts w:ascii="Arial" w:cs="Arial" w:eastAsia="Arial" w:hAnsi="Arial"/>
          <w:sz w:val="17"/>
          <w:szCs w:val="17"/>
          <w:color w:val="auto"/>
        </w:rPr>
        <w:t>As of March 31, 2017 and 2016, the Company was contingently liable under open standby letters of credit and bank guarantees issued by our banks in favor of third parties that totaled $8.6 million and $6.6 million, respectively. These letters of credit and bank guarantees primarily support insurance and bid and performance obligations. At March 31, 2017 and 2016, approximately $1.7 million and $1.8 million, respectively, of these instruments reduce the available borrowings under the Revolving Credit Facility. The remainder is guaranteed under a separate $10.0 million facility established in fiscal 2015 of which $3.1 million and $5.2 million, respectively, was available to the Company at March 31, 2017 and 2016.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20"/>
          </w:cols>
          <w:pgMar w:left="240" w:top="123" w:right="239" w:bottom="1440" w:gutter="0" w:footer="0" w:header="0"/>
        </w:sectPr>
      </w:pPr>
    </w:p>
    <w:bookmarkStart w:id="98" w:name="page99"/>
    <w:bookmarkEnd w:id="98"/>
    <w:p>
      <w:pPr>
        <w:jc w:val="center"/>
        <w:ind w:left="300" w:right="2380"/>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Government Contracting Matters</w:t>
      </w:r>
    </w:p>
    <w:p>
      <w:pPr>
        <w:spacing w:after="0" w:line="105" w:lineRule="exact"/>
        <w:rPr>
          <w:sz w:val="20"/>
          <w:szCs w:val="20"/>
          <w:color w:val="auto"/>
        </w:rPr>
      </w:pPr>
    </w:p>
    <w:p>
      <w:pPr>
        <w:ind w:firstLine="375"/>
        <w:spacing w:after="0" w:line="281" w:lineRule="auto"/>
        <w:rPr>
          <w:sz w:val="20"/>
          <w:szCs w:val="20"/>
          <w:color w:val="auto"/>
        </w:rPr>
      </w:pPr>
      <w:r>
        <w:rPr>
          <w:rFonts w:ascii="Arial" w:cs="Arial" w:eastAsia="Arial" w:hAnsi="Arial"/>
          <w:sz w:val="15"/>
          <w:szCs w:val="15"/>
          <w:color w:val="auto"/>
        </w:rPr>
        <w:t>For fiscal 2017, 2016, and 2015, approximately 97%, 97%, and 98%, respectively, of the Company’s revenue was generated from contracts where the end client was an agency or department of the U.S. government, including contracts where the Company performed in either a prime or subcontract position, and regardless of the geographic location in which the work was performed. Contracts with the U.S. government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U.S. government audits, inquiries, or investigations of the Company, whether related to the Company’s U.S. government 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During fiscal 2017, the Defense Contract Management Agency Administrative Contracting Officer negotiated annual final indirect cost rates for fiscal years 2010 and 2011. As a result, the Company reduced a portion of its provision for the recovery of allowable expenses based on the outcome of these negotiations and the settlement of the final indirect costs for fiscal years 2010 and 2011. The Company also revised its provision based on the outcome of the negotiations and related and new emerging exposures that may result in future cost disallowance, including cost reductions and/or penalties. Management believes it has recorded the appropriate provision for the estimated losses that may be experienced from any such reductions and/or penalties. As of March 31, 2017 and 2016, the Company has recorded a liability of approximately $175.7 million and $189.9 million, respectively, 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Litigation</w:t>
      </w:r>
    </w:p>
    <w:p>
      <w:pPr>
        <w:spacing w:after="0" w:line="105" w:lineRule="exact"/>
        <w:rPr>
          <w:sz w:val="20"/>
          <w:szCs w:val="20"/>
          <w:color w:val="auto"/>
        </w:rPr>
      </w:pPr>
    </w:p>
    <w:p>
      <w:pPr>
        <w:ind w:right="120" w:firstLine="601"/>
        <w:spacing w:after="0" w:line="268"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March 31, 2017 and 2016, there were no material amounts accrued in the consolidated financial statements related to these proceedings.</w:t>
      </w:r>
    </w:p>
    <w:p>
      <w:pPr>
        <w:spacing w:after="0" w:line="69" w:lineRule="exact"/>
        <w:rPr>
          <w:sz w:val="20"/>
          <w:szCs w:val="20"/>
          <w:color w:val="auto"/>
        </w:rPr>
      </w:pPr>
    </w:p>
    <w:p>
      <w:pPr>
        <w:ind w:firstLine="601"/>
        <w:spacing w:after="0" w:line="282" w:lineRule="auto"/>
        <w:rPr>
          <w:sz w:val="20"/>
          <w:szCs w:val="20"/>
          <w:color w:val="auto"/>
        </w:rPr>
      </w:pPr>
      <w:r>
        <w:rPr>
          <w:rFonts w:ascii="Arial" w:cs="Arial" w:eastAsia="Arial" w:hAnsi="Arial"/>
          <w:sz w:val="15"/>
          <w:szCs w:val="15"/>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are on appeal before the United States Court of Appeals for the Second Circuit. On December 15, 2016, hearings relating to the appeal were held before the United States Court of Appeals for the Second Circuit. As of March 31, 2017, the United States Court of Appeals for the Second Circuit has not ruled on this appeal. As of March 31, 2017, the aggregate alleged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360"/>
          </w:cols>
          <w:pgMar w:left="240" w:top="123" w:right="299" w:bottom="1440" w:gutter="0" w:footer="0" w:header="0"/>
        </w:sectPr>
      </w:pPr>
    </w:p>
    <w:bookmarkStart w:id="99" w:name="page100"/>
    <w:bookmarkEnd w:id="99"/>
    <w:p>
      <w:pPr>
        <w:jc w:val="center"/>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300"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damages sought in these three remaining suits was approximately $241.7 million (substantially all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BUSINESS SEGMENT INFORMATION</w:t>
      </w:r>
    </w:p>
    <w:p>
      <w:pPr>
        <w:spacing w:after="0" w:line="84" w:lineRule="exact"/>
        <w:rPr>
          <w:sz w:val="20"/>
          <w:szCs w:val="20"/>
          <w:color w:val="auto"/>
        </w:rPr>
      </w:pPr>
    </w:p>
    <w:p>
      <w:pPr>
        <w:ind w:right="40" w:firstLine="400"/>
        <w:spacing w:after="0" w:line="297" w:lineRule="auto"/>
        <w:rPr>
          <w:sz w:val="20"/>
          <w:szCs w:val="20"/>
          <w:color w:val="auto"/>
        </w:rPr>
      </w:pPr>
      <w:r>
        <w:rPr>
          <w:rFonts w:ascii="Arial" w:cs="Arial" w:eastAsia="Arial" w:hAnsi="Arial"/>
          <w:sz w:val="15"/>
          <w:szCs w:val="15"/>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UNAUDITED QUARTERLY FINANCIAL DATA</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2017 Quarters</w:t>
            </w: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3"/>
          </w:tcPr>
          <w:p>
            <w:pPr>
              <w:ind w:left="300"/>
              <w:spacing w:after="0"/>
              <w:rPr>
                <w:sz w:val="20"/>
                <w:szCs w:val="20"/>
                <w:color w:val="auto"/>
              </w:rPr>
            </w:pPr>
            <w:r>
              <w:rPr>
                <w:rFonts w:ascii="Arial" w:cs="Arial" w:eastAsia="Arial" w:hAnsi="Arial"/>
                <w:sz w:val="13"/>
                <w:szCs w:val="13"/>
                <w:b w:val="1"/>
                <w:bCs w:val="1"/>
                <w:color w:val="auto"/>
              </w:rPr>
              <w:t>First</w:t>
            </w:r>
          </w:p>
        </w:tc>
        <w:tc>
          <w:tcPr>
            <w:tcW w:w="38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13"/>
                <w:szCs w:val="13"/>
                <w:b w:val="1"/>
                <w:bCs w:val="1"/>
                <w:color w:val="auto"/>
              </w:rPr>
              <w:t>Second</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3"/>
          </w:tcPr>
          <w:p>
            <w:pPr>
              <w:ind w:left="160"/>
              <w:spacing w:after="0"/>
              <w:rPr>
                <w:sz w:val="20"/>
                <w:szCs w:val="20"/>
                <w:color w:val="auto"/>
              </w:rPr>
            </w:pPr>
            <w:r>
              <w:rPr>
                <w:rFonts w:ascii="Arial" w:cs="Arial" w:eastAsia="Arial" w:hAnsi="Arial"/>
                <w:sz w:val="13"/>
                <w:szCs w:val="13"/>
                <w:b w:val="1"/>
                <w:bCs w:val="1"/>
                <w:color w:val="auto"/>
              </w:rPr>
              <w:t>Third</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559"/>
              <w:spacing w:after="0"/>
              <w:rPr>
                <w:sz w:val="20"/>
                <w:szCs w:val="20"/>
                <w:color w:val="auto"/>
              </w:rPr>
            </w:pPr>
            <w:r>
              <w:rPr>
                <w:rFonts w:ascii="Arial" w:cs="Arial" w:eastAsia="Arial" w:hAnsi="Arial"/>
                <w:sz w:val="13"/>
                <w:szCs w:val="13"/>
                <w:b w:val="1"/>
                <w:bCs w:val="1"/>
                <w:color w:val="auto"/>
              </w:rPr>
              <w:t>Fourth</w:t>
            </w:r>
          </w:p>
        </w:tc>
        <w:tc>
          <w:tcPr>
            <w:tcW w:w="20" w:type="dxa"/>
            <w:vAlign w:val="bottom"/>
          </w:tcPr>
          <w:p>
            <w:pPr>
              <w:spacing w:after="0"/>
              <w:rPr>
                <w:sz w:val="21"/>
                <w:szCs w:val="2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20" w:type="dxa"/>
            <w:vAlign w:val="bottom"/>
            <w:tcBorders>
              <w:top w:val="single" w:sz="8" w:color="auto"/>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1,422,722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1,394,853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1,404,638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1,582,071</w:t>
            </w: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Operating income</w:t>
            </w:r>
          </w:p>
        </w:tc>
        <w:tc>
          <w:tcPr>
            <w:tcW w:w="4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129,301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7"/>
                <w:szCs w:val="17"/>
                <w:color w:val="auto"/>
              </w:rPr>
              <w:t>117,661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108,124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129,161</w:t>
            </w:r>
          </w:p>
        </w:tc>
        <w:tc>
          <w:tcPr>
            <w:tcW w:w="2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113,364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97,747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92,615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108,174</w:t>
            </w:r>
          </w:p>
        </w:tc>
        <w:tc>
          <w:tcPr>
            <w:tcW w:w="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Net income</w:t>
            </w:r>
          </w:p>
        </w:tc>
        <w:tc>
          <w:tcPr>
            <w:tcW w:w="4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67,817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7"/>
                <w:szCs w:val="17"/>
                <w:color w:val="auto"/>
              </w:rPr>
              <w:t>62,830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55,590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66,253</w:t>
            </w:r>
          </w:p>
        </w:tc>
        <w:tc>
          <w:tcPr>
            <w:tcW w:w="2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7"/>
                <w:szCs w:val="17"/>
                <w:color w:val="auto"/>
              </w:rPr>
              <w:t>Basic (1)</w:t>
            </w: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0.46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41"/>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19"/>
                <w:szCs w:val="19"/>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0.37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0.44</w:t>
            </w:r>
          </w:p>
        </w:tc>
        <w:tc>
          <w:tcPr>
            <w:tcW w:w="2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(1)</w:t>
            </w: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0.45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0.37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0.44</w:t>
            </w:r>
          </w:p>
        </w:tc>
        <w:tc>
          <w:tcPr>
            <w:tcW w:w="20" w:type="dxa"/>
            <w:vAlign w:val="bottom"/>
          </w:tcPr>
          <w:p>
            <w:pPr>
              <w:spacing w:after="0"/>
              <w:rPr>
                <w:sz w:val="20"/>
                <w:szCs w:val="20"/>
                <w:color w:val="auto"/>
              </w:rPr>
            </w:pPr>
          </w:p>
        </w:tc>
      </w:tr>
      <w:tr>
        <w:trPr>
          <w:trHeight w:val="52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2016 Quarters</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First</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Second</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Third</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Fourth</w:t>
            </w:r>
          </w:p>
        </w:tc>
        <w:tc>
          <w:tcPr>
            <w:tcW w:w="20" w:type="dxa"/>
            <w:vAlign w:val="bottom"/>
            <w:tcBorders>
              <w:bottom w:val="single" w:sz="8" w:color="auto"/>
            </w:tcBorders>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1,351,604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1,322,154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1,307,663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1,424,317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4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126,144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108,816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105,116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104,508</w:t>
            </w:r>
          </w:p>
        </w:tc>
        <w:tc>
          <w:tcPr>
            <w:tcW w:w="2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108,586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90,953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87,909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92,014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2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64,306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56,216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108,055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65,517</w:t>
            </w:r>
          </w:p>
        </w:tc>
        <w:tc>
          <w:tcPr>
            <w:tcW w:w="2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common share:</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7"/>
                <w:szCs w:val="17"/>
                <w:color w:val="auto"/>
              </w:rPr>
              <w:t>Basic (1)</w:t>
            </w:r>
          </w:p>
        </w:tc>
        <w:tc>
          <w:tcPr>
            <w:tcW w:w="4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0.44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0.38</w:t>
            </w:r>
          </w:p>
        </w:tc>
        <w:tc>
          <w:tcPr>
            <w:tcW w:w="100" w:type="dxa"/>
            <w:vAlign w:val="bottom"/>
          </w:tcPr>
          <w:p>
            <w:pPr>
              <w:spacing w:after="0"/>
              <w:rPr>
                <w:sz w:val="19"/>
                <w:szCs w:val="19"/>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0.72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0.44</w:t>
            </w:r>
          </w:p>
        </w:tc>
        <w:tc>
          <w:tcPr>
            <w:tcW w:w="20" w:type="dxa"/>
            <w:vAlign w:val="bottom"/>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2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 (1)</w:t>
            </w: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0.37</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0.43</w:t>
            </w:r>
          </w:p>
        </w:tc>
        <w:tc>
          <w:tcPr>
            <w:tcW w:w="20" w:type="dxa"/>
            <w:vAlign w:val="bottom"/>
            <w:shd w:val="clear" w:color="auto" w:fill="CCEEFF"/>
          </w:tcPr>
          <w:p>
            <w:pPr>
              <w:spacing w:after="0"/>
              <w:rPr>
                <w:sz w:val="19"/>
                <w:szCs w:val="19"/>
                <w:color w:val="auto"/>
              </w:rPr>
            </w:pPr>
          </w:p>
        </w:tc>
      </w:tr>
      <w:tr>
        <w:trPr>
          <w:trHeight w:val="25"/>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ind w:left="280" w:hanging="230"/>
        <w:spacing w:after="0"/>
        <w:tabs>
          <w:tab w:leader="none" w:pos="2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Earnings per share are computed independently for each of the quarters presented and therefore may not sum to the total for the fiscal year.</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260" w:hanging="260"/>
        <w:spacing w:after="0"/>
        <w:tabs>
          <w:tab w:leader="none" w:pos="26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SUPPLEMENTAL FINANCIAL INFORMATION</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schedule summarizes valuation and qualifying accounts for the periods presented: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6"/>
              </w:rPr>
              <w:t>Fiscal Year Ended March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43"/>
        </w:trPr>
        <w:tc>
          <w:tcPr>
            <w:tcW w:w="4000" w:type="dxa"/>
            <w:vAlign w:val="bottom"/>
          </w:tcPr>
          <w:p>
            <w:pPr>
              <w:spacing w:after="0"/>
              <w:rPr>
                <w:sz w:val="21"/>
                <w:szCs w:val="21"/>
                <w:color w:val="auto"/>
              </w:rPr>
            </w:pPr>
          </w:p>
        </w:tc>
        <w:tc>
          <w:tcPr>
            <w:tcW w:w="3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2017</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80"/>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80"/>
              <w:spacing w:after="0"/>
              <w:rPr>
                <w:sz w:val="20"/>
                <w:szCs w:val="20"/>
                <w:color w:val="auto"/>
              </w:rPr>
            </w:pPr>
            <w:r>
              <w:rPr>
                <w:rFonts w:ascii="Arial" w:cs="Arial" w:eastAsia="Arial" w:hAnsi="Arial"/>
                <w:sz w:val="13"/>
                <w:szCs w:val="13"/>
                <w:b w:val="1"/>
                <w:bCs w:val="1"/>
                <w:color w:val="auto"/>
              </w:rPr>
              <w:t>2015</w:t>
            </w:r>
          </w:p>
        </w:tc>
      </w:tr>
      <w:tr>
        <w:trPr>
          <w:trHeight w:val="22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5"/>
        </w:trPr>
        <w:tc>
          <w:tcPr>
            <w:tcW w:w="400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3460" w:type="dxa"/>
            <w:vAlign w:val="bottom"/>
            <w:gridSpan w:val="2"/>
          </w:tcPr>
          <w:p>
            <w:pPr>
              <w:jc w:val="right"/>
              <w:ind w:right="94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656</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40"/>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1,457</w:t>
            </w:r>
          </w:p>
        </w:tc>
      </w:tr>
      <w:tr>
        <w:trPr>
          <w:trHeight w:val="25"/>
        </w:trPr>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Provision for doubtful accounts</w:t>
            </w:r>
          </w:p>
        </w:tc>
        <w:tc>
          <w:tcPr>
            <w:tcW w:w="2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352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r>
      <w:tr>
        <w:trPr>
          <w:trHeight w:val="225"/>
        </w:trPr>
        <w:tc>
          <w:tcPr>
            <w:tcW w:w="4000" w:type="dxa"/>
            <w:vAlign w:val="bottom"/>
          </w:tcPr>
          <w:p>
            <w:pPr>
              <w:ind w:left="360"/>
              <w:spacing w:after="0"/>
              <w:rPr>
                <w:sz w:val="20"/>
                <w:szCs w:val="20"/>
                <w:color w:val="auto"/>
              </w:rPr>
            </w:pPr>
            <w:r>
              <w:rPr>
                <w:rFonts w:ascii="Arial" w:cs="Arial" w:eastAsia="Arial" w:hAnsi="Arial"/>
                <w:sz w:val="17"/>
                <w:szCs w:val="17"/>
                <w:color w:val="auto"/>
              </w:rPr>
              <w:t>Charges against allowance</w:t>
            </w:r>
          </w:p>
        </w:tc>
        <w:tc>
          <w:tcPr>
            <w:tcW w:w="2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5"/>
        </w:trPr>
        <w:tc>
          <w:tcPr>
            <w:tcW w:w="40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8"/>
        </w:trPr>
        <w:tc>
          <w:tcPr>
            <w:tcW w:w="4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Ending balance</w:t>
            </w:r>
          </w:p>
        </w:tc>
        <w:tc>
          <w:tcPr>
            <w:tcW w:w="34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357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03"/>
        </w:trPr>
        <w:tc>
          <w:tcPr>
            <w:tcW w:w="4000" w:type="dxa"/>
            <w:vAlign w:val="bottom"/>
          </w:tcPr>
          <w:p>
            <w:pPr>
              <w:spacing w:after="0"/>
              <w:rPr>
                <w:sz w:val="24"/>
                <w:szCs w:val="24"/>
                <w:color w:val="auto"/>
              </w:rPr>
            </w:pPr>
          </w:p>
        </w:tc>
        <w:tc>
          <w:tcPr>
            <w:tcW w:w="3460" w:type="dxa"/>
            <w:vAlign w:val="bottom"/>
            <w:gridSpan w:val="2"/>
          </w:tcPr>
          <w:p>
            <w:pPr>
              <w:jc w:val="right"/>
              <w:ind w:right="1580"/>
              <w:spacing w:after="0"/>
              <w:rPr>
                <w:sz w:val="20"/>
                <w:szCs w:val="20"/>
                <w:color w:val="auto"/>
              </w:rPr>
            </w:pPr>
            <w:r>
              <w:rPr>
                <w:rFonts w:ascii="Arial" w:cs="Arial" w:eastAsia="Arial" w:hAnsi="Arial"/>
                <w:sz w:val="17"/>
                <w:szCs w:val="17"/>
                <w:color w:val="auto"/>
              </w:rPr>
              <w:t>F-36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3" w:right="239" w:bottom="1440" w:gutter="0" w:footer="0" w:header="0"/>
        </w:sectPr>
      </w:pPr>
    </w:p>
    <w:bookmarkStart w:id="100" w:name="page101"/>
    <w:bookmarkEnd w:id="100"/>
    <w:p>
      <w:pPr>
        <w:jc w:val="center"/>
        <w:ind w:left="1240" w:right="1239"/>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9019"/>
          </w:cols>
          <w:pgMar w:left="1440" w:top="123" w:right="1440" w:bottom="1440" w:gutter="0" w:footer="0" w:header="0"/>
        </w:sectPr>
      </w:pPr>
    </w:p>
    <w:bookmarkStart w:id="101" w:name="page102"/>
    <w:bookmarkEnd w:id="101"/>
    <w:p>
      <w:pPr>
        <w:jc w:val="center"/>
        <w:ind w:left="280" w:right="2400"/>
        <w:spacing w:after="0" w:line="258" w:lineRule="auto"/>
        <w:rPr>
          <w:sz w:val="20"/>
          <w:szCs w:val="20"/>
          <w:color w:val="auto"/>
        </w:rPr>
      </w:pPr>
      <w:r>
        <w:rPr>
          <w:rFonts w:ascii="Arial" w:cs="Arial" w:eastAsia="Arial" w:hAnsi="Arial"/>
          <w:sz w:val="17"/>
          <w:szCs w:val="17"/>
          <w:b w:val="1"/>
          <w:bCs w:val="1"/>
          <w:color w:val="auto"/>
        </w:rPr>
        <w:t>BOOZ ALLEN HAMILTON HOLDING CORPORATION NOTES TO CONSOLIDATED FINANCIAL STATEMENTS (Amounts in tables in thousands, except share and per share data or unless otherwise noted)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SUBSEQUENT EVENTS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Swaps</w:t>
      </w:r>
    </w:p>
    <w:p>
      <w:pPr>
        <w:spacing w:after="0" w:line="180" w:lineRule="exact"/>
        <w:rPr>
          <w:sz w:val="20"/>
          <w:szCs w:val="20"/>
          <w:color w:val="auto"/>
        </w:rPr>
      </w:pPr>
    </w:p>
    <w:p>
      <w:pPr>
        <w:ind w:firstLine="375"/>
        <w:spacing w:after="0" w:line="256" w:lineRule="auto"/>
        <w:rPr>
          <w:sz w:val="20"/>
          <w:szCs w:val="20"/>
          <w:color w:val="auto"/>
        </w:rPr>
      </w:pPr>
      <w:r>
        <w:rPr>
          <w:rFonts w:ascii="Arial" w:cs="Arial" w:eastAsia="Arial" w:hAnsi="Arial"/>
          <w:sz w:val="17"/>
          <w:szCs w:val="17"/>
          <w:color w:val="auto"/>
        </w:rPr>
        <w:t>On April 6, 2017, Booz Allen Hamilton entered into three interest rate swap agreements with three different financial institutions to fix the LIBOR portion of the interest rate on outstanding debt under the Credit Agreement, as amended. Each swap has a notional amount of $100 million and fixes LIBOR at 1.998% with an effective date of April 30, 2018 and a maturity date of June 30, 2021.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Notes Offering</w:t>
      </w:r>
    </w:p>
    <w:p>
      <w:pPr>
        <w:spacing w:after="0" w:line="180" w:lineRule="exact"/>
        <w:rPr>
          <w:sz w:val="20"/>
          <w:szCs w:val="20"/>
          <w:color w:val="auto"/>
        </w:rPr>
      </w:pPr>
    </w:p>
    <w:p>
      <w:pPr>
        <w:ind w:right="40" w:firstLine="375"/>
        <w:spacing w:after="0" w:line="273" w:lineRule="auto"/>
        <w:rPr>
          <w:sz w:val="20"/>
          <w:szCs w:val="20"/>
          <w:color w:val="auto"/>
        </w:rPr>
      </w:pPr>
      <w:r>
        <w:rPr>
          <w:rFonts w:ascii="Arial" w:cs="Arial" w:eastAsia="Arial" w:hAnsi="Arial"/>
          <w:sz w:val="16"/>
          <w:szCs w:val="16"/>
          <w:color w:val="auto"/>
        </w:rPr>
        <w:t>On April 25, 2017, Booz Allen Hamilton issued $350 million aggregate principal amount of its 5.125% Senior Notes due 2025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The proceeds from the sale have been used to repay all outstanding loans under the Revolving Credit Facility.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Re-purchase Program</w:t>
      </w:r>
    </w:p>
    <w:p>
      <w:pPr>
        <w:spacing w:after="0" w:line="80" w:lineRule="exact"/>
        <w:rPr>
          <w:sz w:val="20"/>
          <w:szCs w:val="20"/>
          <w:color w:val="auto"/>
        </w:rPr>
      </w:pPr>
    </w:p>
    <w:p>
      <w:pPr>
        <w:ind w:right="120" w:firstLine="375"/>
        <w:spacing w:after="0" w:line="266" w:lineRule="auto"/>
        <w:rPr>
          <w:sz w:val="20"/>
          <w:szCs w:val="20"/>
          <w:color w:val="auto"/>
        </w:rPr>
      </w:pPr>
      <w:r>
        <w:rPr>
          <w:rFonts w:ascii="Arial" w:cs="Arial" w:eastAsia="Arial" w:hAnsi="Arial"/>
          <w:sz w:val="17"/>
          <w:szCs w:val="17"/>
          <w:color w:val="auto"/>
        </w:rPr>
        <w:t>The Company paid $9.9 million during the first quarter of fiscal 2018 for 279,600 shares repurchased during the fourth quarter of fiscal 2017 that had not settled in cash by March 31, 2017.</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Declared</w:t>
      </w:r>
    </w:p>
    <w:p>
      <w:pPr>
        <w:spacing w:after="0" w:line="80" w:lineRule="exact"/>
        <w:rPr>
          <w:sz w:val="20"/>
          <w:szCs w:val="20"/>
          <w:color w:val="auto"/>
        </w:rPr>
      </w:pPr>
    </w:p>
    <w:p>
      <w:pPr>
        <w:ind w:right="220" w:firstLine="375"/>
        <w:spacing w:after="0" w:line="266" w:lineRule="auto"/>
        <w:rPr>
          <w:sz w:val="20"/>
          <w:szCs w:val="20"/>
          <w:color w:val="auto"/>
        </w:rPr>
      </w:pPr>
      <w:r>
        <w:rPr>
          <w:rFonts w:ascii="Arial" w:cs="Arial" w:eastAsia="Arial" w:hAnsi="Arial"/>
          <w:sz w:val="17"/>
          <w:szCs w:val="17"/>
          <w:color w:val="auto"/>
        </w:rPr>
        <w:t>On May 22, 2017, the Company announced that its Board of Directors had declared a quarterly cash dividend of $0.17 per share. Payment of the dividend will be made on June 30, 2017 to stockholders of record at the close of business on June 10, 2017.</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380"/>
          </w:cols>
          <w:pgMar w:left="240" w:top="123" w:right="279" w:bottom="1440" w:gutter="0" w:footer="0" w:header="0"/>
        </w:sectPr>
      </w:pPr>
    </w:p>
    <w:bookmarkStart w:id="102" w:name="page103"/>
    <w:bookmarkEnd w:id="102"/>
    <w:p>
      <w:pPr>
        <w:spacing w:after="0"/>
        <w:tabs>
          <w:tab w:leader="none" w:pos="880" w:val="left"/>
        </w:tabs>
        <w:rPr>
          <w:sz w:val="20"/>
          <w:szCs w:val="20"/>
          <w:color w:val="auto"/>
        </w:rPr>
      </w:pPr>
      <w:r>
        <w:rPr>
          <w:rFonts w:ascii="Arial" w:cs="Arial" w:eastAsia="Arial" w:hAnsi="Arial"/>
          <w:sz w:val="17"/>
          <w:szCs w:val="17"/>
          <w:b w:val="1"/>
          <w:bCs w:val="1"/>
          <w:color w:val="auto"/>
        </w:rPr>
        <w:t>Item 9</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84" w:lineRule="exact"/>
        <w:rPr>
          <w:sz w:val="20"/>
          <w:szCs w:val="20"/>
          <w:color w:val="auto"/>
        </w:rPr>
      </w:pPr>
    </w:p>
    <w:p>
      <w:pPr>
        <w:ind w:firstLine="400"/>
        <w:spacing w:after="0" w:line="252"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2017.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84" w:lineRule="exact"/>
        <w:rPr>
          <w:sz w:val="20"/>
          <w:szCs w:val="20"/>
          <w:color w:val="auto"/>
        </w:rPr>
      </w:pPr>
    </w:p>
    <w:p>
      <w:pPr>
        <w:ind w:right="380" w:firstLine="400"/>
        <w:spacing w:after="0" w:line="25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system was designed to provide reasonable assurance to our management and board of directors regarding the reliability of financial reporting and the preparation of consolidated financial statements for external purposes.</w:t>
      </w:r>
    </w:p>
    <w:p>
      <w:pPr>
        <w:spacing w:after="0" w:line="125" w:lineRule="exact"/>
        <w:rPr>
          <w:sz w:val="20"/>
          <w:szCs w:val="20"/>
          <w:color w:val="auto"/>
        </w:rPr>
      </w:pPr>
    </w:p>
    <w:p>
      <w:pPr>
        <w:jc w:val="both"/>
        <w:ind w:right="100" w:firstLine="400"/>
        <w:spacing w:after="0" w:line="279" w:lineRule="auto"/>
        <w:rPr>
          <w:sz w:val="20"/>
          <w:szCs w:val="20"/>
          <w:color w:val="auto"/>
        </w:rPr>
      </w:pPr>
      <w:r>
        <w:rPr>
          <w:rFonts w:ascii="Arial" w:cs="Arial" w:eastAsia="Arial" w:hAnsi="Arial"/>
          <w:sz w:val="16"/>
          <w:szCs w:val="16"/>
          <w:color w:val="auto"/>
        </w:rPr>
        <w:t xml:space="preserve">Our management conducted an assessment of the effectiveness of our internal control over financial reporting as of March 31, 2017. This assessment was based on the criteria set forth by the Committee of Sponsoring Organizations of the Treadway Commission in </w:t>
      </w:r>
      <w:r>
        <w:rPr>
          <w:rFonts w:ascii="Arial" w:cs="Arial" w:eastAsia="Arial" w:hAnsi="Arial"/>
          <w:sz w:val="16"/>
          <w:szCs w:val="16"/>
          <w:i w:val="1"/>
          <w:iCs w:val="1"/>
          <w:color w:val="auto"/>
        </w:rPr>
        <w:t>Internal Control — Integrated Framework (2013 framework)</w:t>
      </w:r>
      <w:r>
        <w:rPr>
          <w:rFonts w:ascii="Arial" w:cs="Arial" w:eastAsia="Arial" w:hAnsi="Arial"/>
          <w:sz w:val="16"/>
          <w:szCs w:val="16"/>
          <w:color w:val="auto"/>
        </w:rPr>
        <w:t>. Based on this assessment, management has concluded that, as of March 31, 2017, our internal control over financial reporting was effective.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independent registered public accounting firm has issued a report on the effectiveness of our internal control over financial reporting, which is below.</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84" w:lineRule="exact"/>
        <w:rPr>
          <w:sz w:val="20"/>
          <w:szCs w:val="20"/>
          <w:color w:val="auto"/>
        </w:rPr>
      </w:pPr>
    </w:p>
    <w:p>
      <w:pPr>
        <w:ind w:right="20" w:firstLine="400"/>
        <w:spacing w:after="0" w:line="256"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649"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Report of Ernst &amp; Young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Regarding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Booz Allen Hamilton Holding Corporation</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have audited Booz Allen Hamilton Holding Corporation’s internal control over financial reporting as of March 31, 2017, based on criteria established in Internal Control - Integrated Framework issued by the Committee of Sponsoring Organizations of the Treadway Commission (2013 framework) (the COSO criteria). Booz Allen Hamilton Holding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In our opinion, Booz Allen Hamilton Holding Corporation maintained, in all material respects, effective internal control over financial reporting as of March 31, 2017 based on the COSO criteria.</w:t>
      </w:r>
    </w:p>
    <w:p>
      <w:pPr>
        <w:spacing w:after="0" w:line="168"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Booz Allen Hamilton Holding Corporation as of March 31, 2017 and March 31, 2016 and the related consolidated statements of operations, comprehensive income, stockholders’ equity, and cash flows for each of the three years in the period ended March 31, 2017 of Booz Allen Hamilton Holding Corporation and our report dated May 22,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May 22, 2017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849" w:right="239" w:bottom="1440" w:gutter="0" w:footer="0" w:header="0"/>
        </w:sectPr>
      </w:pPr>
    </w:p>
    <w:bookmarkStart w:id="104" w:name="page105"/>
    <w:bookmarkEnd w:id="104"/>
    <w:p>
      <w:pPr>
        <w:spacing w:after="0"/>
        <w:tabs>
          <w:tab w:leader="none" w:pos="880" w:val="left"/>
        </w:tabs>
        <w:rPr>
          <w:sz w:val="20"/>
          <w:szCs w:val="20"/>
          <w:color w:val="auto"/>
        </w:rPr>
      </w:pPr>
      <w:r>
        <w:rPr>
          <w:rFonts w:ascii="Arial" w:cs="Arial" w:eastAsia="Arial" w:hAnsi="Arial"/>
          <w:sz w:val="17"/>
          <w:szCs w:val="17"/>
          <w:b w:val="1"/>
          <w:bCs w:val="1"/>
          <w:color w:val="auto"/>
        </w:rPr>
        <w:t>Item 9B</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Other Information.</w:t>
      </w:r>
    </w:p>
    <w:p>
      <w:pPr>
        <w:spacing w:after="0" w:line="84" w:lineRule="exact"/>
        <w:rPr>
          <w:sz w:val="20"/>
          <w:szCs w:val="20"/>
          <w:color w:val="auto"/>
        </w:rPr>
      </w:pPr>
    </w:p>
    <w:p>
      <w:pPr>
        <w:ind w:right="140" w:firstLine="400"/>
        <w:spacing w:after="0" w:line="256" w:lineRule="auto"/>
        <w:rPr>
          <w:sz w:val="20"/>
          <w:szCs w:val="20"/>
          <w:color w:val="auto"/>
        </w:rPr>
      </w:pPr>
      <w:r>
        <w:rPr>
          <w:rFonts w:ascii="Arial" w:cs="Arial" w:eastAsia="Arial" w:hAnsi="Arial"/>
          <w:sz w:val="17"/>
          <w:szCs w:val="17"/>
          <w:color w:val="auto"/>
        </w:rPr>
        <w:t>On May 19, 2017, the Company’s compensation committee approved for the 2018 fiscal year increases in (and changes in the composition of) the compensation of Horacio D. Rozanski, the Company’s President and Chief Executive Officer, Karen M. Dahut, Executive Vice President, and Lloyd W. Howell, Jr., Executive Vice President, Chief Financial Officer and Treasurer.</w:t>
      </w:r>
    </w:p>
    <w:p>
      <w:pPr>
        <w:spacing w:after="0" w:line="50" w:lineRule="exact"/>
        <w:rPr>
          <w:sz w:val="20"/>
          <w:szCs w:val="20"/>
          <w:color w:val="auto"/>
        </w:rPr>
      </w:pPr>
    </w:p>
    <w:p>
      <w:pPr>
        <w:ind w:right="60" w:firstLine="400"/>
        <w:spacing w:after="0" w:line="292" w:lineRule="auto"/>
        <w:rPr>
          <w:sz w:val="20"/>
          <w:szCs w:val="20"/>
          <w:color w:val="auto"/>
        </w:rPr>
      </w:pPr>
      <w:r>
        <w:rPr>
          <w:rFonts w:ascii="Arial" w:cs="Arial" w:eastAsia="Arial" w:hAnsi="Arial"/>
          <w:sz w:val="15"/>
          <w:szCs w:val="15"/>
          <w:color w:val="auto"/>
        </w:rPr>
        <w:t>The compensation committee approved an increase in Mr. Rozanski’s total target direct compensation for fiscal year 2018 to $4.0 million. The compensation committee also approved a change in Mr. Rozanski’s pay mix for fiscal year 2018 to increase the portion of his total target compensation provided in the form of equity to 58%, taking into consideration the annual value of $1.5 million in respect of a previously granted special equity award. In addition, 65% of the fiscal 2018 equity granted to Mr. Rozanski was in the form of long-term performance equity awards. As a result of these changes, effective for fiscal year 2018, Mr. Rozanski’s base salary, target annual cash bonus and target annual equity grant value will equal $1.5 million, $0.8 million and $1.7 million, respectively.</w:t>
      </w:r>
    </w:p>
    <w:p>
      <w:pPr>
        <w:spacing w:after="0" w:line="27" w:lineRule="exact"/>
        <w:rPr>
          <w:sz w:val="20"/>
          <w:szCs w:val="20"/>
          <w:color w:val="auto"/>
        </w:rPr>
      </w:pPr>
    </w:p>
    <w:p>
      <w:pPr>
        <w:ind w:firstLine="400"/>
        <w:spacing w:after="0" w:line="289" w:lineRule="auto"/>
        <w:rPr>
          <w:sz w:val="20"/>
          <w:szCs w:val="20"/>
          <w:color w:val="auto"/>
        </w:rPr>
      </w:pPr>
      <w:r>
        <w:rPr>
          <w:rFonts w:ascii="Arial" w:cs="Arial" w:eastAsia="Arial" w:hAnsi="Arial"/>
          <w:sz w:val="15"/>
          <w:szCs w:val="15"/>
          <w:color w:val="auto"/>
        </w:rPr>
        <w:t>The compensation committee approved an increase in each of Ms. Dahut’s and Mr. Howell’s total target direct compensation for fiscal year 2018 to $2.4 million. The compensation committee also approved a change in pay mix for fiscal year 2018 to increase the portion of target compensation provided in the form of equity to 55%, taking into consideration the annual value of the $1.0 million in respect of a previously granted special award. In addition, 60% of the fiscal 2018 equity granted was in the form of long-term performance equity awards. As a result of these changes, effective for fiscal 2018, each of Ms. Dahut’s and Mr. Howell’s base salary, target annual cash bonus and target annual equity grant value will equal $1.025 million, $0.5 million, and $0.875 million, respectively. In addition, Ms. Dahut and Mr. Howell will each be eligible for a one-time advancement equity stock option grant with a value of $0.5 million, to be granted in fiscal year 2018.</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Directors, Executive Officers and Corporate Governance.</w:t>
      </w:r>
    </w:p>
    <w:p>
      <w:pPr>
        <w:spacing w:after="0" w:line="84" w:lineRule="exact"/>
        <w:rPr>
          <w:sz w:val="20"/>
          <w:szCs w:val="20"/>
          <w:color w:val="auto"/>
        </w:rPr>
      </w:pPr>
    </w:p>
    <w:p>
      <w:pPr>
        <w:ind w:right="100" w:firstLine="400"/>
        <w:spacing w:after="0" w:line="266" w:lineRule="auto"/>
        <w:rPr>
          <w:sz w:val="20"/>
          <w:szCs w:val="20"/>
          <w:color w:val="auto"/>
        </w:rPr>
      </w:pPr>
      <w:r>
        <w:rPr>
          <w:rFonts w:ascii="Arial" w:cs="Arial" w:eastAsia="Arial" w:hAnsi="Arial"/>
          <w:sz w:val="17"/>
          <w:szCs w:val="17"/>
          <w:color w:val="auto"/>
        </w:rPr>
        <w:t>Information related to our directors is set forth under the caption “Election of Directors” of our Proxy Statement for our Annual Meeting of Stockholders scheduled for August 3, 2017. Such information is incorporated herein by reference.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Information relating to our Executive Officers is included in Part I of this Annual Report under the caption “Executive Officers of the Registrant.”</w:t>
      </w:r>
    </w:p>
    <w:p>
      <w:pPr>
        <w:spacing w:after="0" w:line="155" w:lineRule="exact"/>
        <w:rPr>
          <w:sz w:val="20"/>
          <w:szCs w:val="20"/>
          <w:color w:val="auto"/>
        </w:rPr>
      </w:pPr>
    </w:p>
    <w:p>
      <w:pPr>
        <w:ind w:right="840" w:firstLine="400"/>
        <w:spacing w:after="0" w:line="266" w:lineRule="auto"/>
        <w:rPr>
          <w:sz w:val="20"/>
          <w:szCs w:val="20"/>
          <w:color w:val="auto"/>
        </w:rPr>
      </w:pPr>
      <w:r>
        <w:rPr>
          <w:rFonts w:ascii="Arial" w:cs="Arial" w:eastAsia="Arial" w:hAnsi="Arial"/>
          <w:sz w:val="17"/>
          <w:szCs w:val="17"/>
          <w:color w:val="auto"/>
        </w:rPr>
        <w:t>Information relating to compliance with Section 16(a) of the Exchange Act is set forth under the caption “Section 16(a) Beneficial Ownership Reporting Compliance” of our 2017 Proxy Statement. Such information is incorporated herein by reference.</w:t>
      </w:r>
    </w:p>
    <w:p>
      <w:pPr>
        <w:spacing w:after="0" w:line="117" w:lineRule="exact"/>
        <w:rPr>
          <w:sz w:val="20"/>
          <w:szCs w:val="20"/>
          <w:color w:val="auto"/>
        </w:rPr>
      </w:pPr>
    </w:p>
    <w:p>
      <w:pPr>
        <w:ind w:right="220" w:firstLine="400"/>
        <w:spacing w:after="0" w:line="266" w:lineRule="auto"/>
        <w:rPr>
          <w:sz w:val="20"/>
          <w:szCs w:val="20"/>
          <w:color w:val="auto"/>
        </w:rPr>
      </w:pPr>
      <w:r>
        <w:rPr>
          <w:rFonts w:ascii="Arial" w:cs="Arial" w:eastAsia="Arial" w:hAnsi="Arial"/>
          <w:sz w:val="17"/>
          <w:szCs w:val="17"/>
          <w:color w:val="auto"/>
        </w:rPr>
        <w:t>Information related to our code of ethics is set forth under the caption “Corporate Governance and General Information Concerning the Board of Directors and its Committees” of our 2017 Proxy Statement. Such information is incorporated herein by reference.</w:t>
      </w:r>
    </w:p>
    <w:p>
      <w:pPr>
        <w:spacing w:after="0" w:line="117" w:lineRule="exact"/>
        <w:rPr>
          <w:sz w:val="20"/>
          <w:szCs w:val="20"/>
          <w:color w:val="auto"/>
        </w:rPr>
      </w:pPr>
    </w:p>
    <w:p>
      <w:pPr>
        <w:ind w:right="60" w:firstLine="400"/>
        <w:spacing w:after="0" w:line="256" w:lineRule="auto"/>
        <w:rPr>
          <w:sz w:val="20"/>
          <w:szCs w:val="20"/>
          <w:color w:val="auto"/>
        </w:rPr>
      </w:pPr>
      <w:r>
        <w:rPr>
          <w:rFonts w:ascii="Arial" w:cs="Arial" w:eastAsia="Arial" w:hAnsi="Arial"/>
          <w:sz w:val="17"/>
          <w:szCs w:val="17"/>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2017 Proxy Statement. Such information is incorporated herein by reference.</w:t>
      </w:r>
    </w:p>
    <w:p>
      <w:pPr>
        <w:spacing w:after="0" w:line="37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11</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Executive Compensation.</w:t>
      </w:r>
    </w:p>
    <w:p>
      <w:pPr>
        <w:spacing w:after="0" w:line="84" w:lineRule="exact"/>
        <w:rPr>
          <w:sz w:val="20"/>
          <w:szCs w:val="20"/>
          <w:color w:val="auto"/>
        </w:rPr>
      </w:pPr>
    </w:p>
    <w:p>
      <w:pPr>
        <w:ind w:right="100" w:firstLine="400"/>
        <w:spacing w:after="0" w:line="256" w:lineRule="auto"/>
        <w:rPr>
          <w:sz w:val="20"/>
          <w:szCs w:val="20"/>
          <w:color w:val="auto"/>
        </w:rPr>
      </w:pPr>
      <w:r>
        <w:rPr>
          <w:rFonts w:ascii="Arial" w:cs="Arial" w:eastAsia="Arial" w:hAnsi="Arial"/>
          <w:sz w:val="17"/>
          <w:szCs w:val="17"/>
          <w:color w:val="auto"/>
        </w:rPr>
        <w:t>Information relating to this item is set forth under the captions “Compensation Discussion and Analysis,” “Director Compensation,” “Compensation Committee Interlocks and Insider Participation” and “Compensation Committee Report on Executive Compensation” of our 2017 Proxy Statement. Such information is incorporated herein by reference.</w:t>
      </w:r>
    </w:p>
    <w:p>
      <w:pPr>
        <w:spacing w:after="0" w:line="17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Security Ownership of Certain Beneficial Owners and Management and Related Stockholder Matters.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649" w:right="2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Equity Compensation Plans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information concerning the securities authorized for issuance pursuant to our equity compensation plans as of March 31, 2017:</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6"/>
              </w:rPr>
              <w:t>Securities</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5"/>
              </w:rPr>
              <w:t>Weighted</w:t>
            </w: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Available for</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Securities to Be</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3"/>
              </w:rPr>
              <w:t>Average</w:t>
            </w: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Future Issuance</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Issued Upon</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89"/>
              </w:rPr>
              <w:t>Exercise</w:t>
            </w: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Under Equity</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Exercise of</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2"/>
              </w:rPr>
              <w:t>Price of</w:t>
            </w: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Outstanding</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3"/>
              </w:rPr>
              <w:t>Outstanding</w:t>
            </w: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Plans (Excluding</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Options,</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0"/>
              </w:rPr>
              <w:t>Options,</w:t>
            </w: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6"/>
              </w:rPr>
              <w:t>Securities</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1"/>
                <w:szCs w:val="11"/>
                <w:color w:val="auto"/>
              </w:rPr>
            </w:pPr>
          </w:p>
        </w:tc>
        <w:tc>
          <w:tcPr>
            <w:tcW w:w="15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Warrants and</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6"/>
              </w:rPr>
              <w:t>Warrants and</w:t>
            </w: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Reflected in</w:t>
            </w:r>
          </w:p>
        </w:tc>
        <w:tc>
          <w:tcPr>
            <w:tcW w:w="0" w:type="dxa"/>
            <w:vAlign w:val="bottom"/>
          </w:tcPr>
          <w:p>
            <w:pPr>
              <w:spacing w:after="0"/>
              <w:rPr>
                <w:sz w:val="1"/>
                <w:szCs w:val="1"/>
                <w:color w:val="auto"/>
              </w:rPr>
            </w:pPr>
          </w:p>
        </w:tc>
      </w:tr>
      <w:tr>
        <w:trPr>
          <w:trHeight w:val="138"/>
        </w:trPr>
        <w:tc>
          <w:tcPr>
            <w:tcW w:w="5140" w:type="dxa"/>
            <w:vAlign w:val="bottom"/>
            <w:vMerge w:val="restart"/>
          </w:tcPr>
          <w:p>
            <w:pPr>
              <w:spacing w:after="0"/>
              <w:rPr>
                <w:sz w:val="20"/>
                <w:szCs w:val="20"/>
                <w:color w:val="auto"/>
              </w:rPr>
            </w:pPr>
            <w:r>
              <w:rPr>
                <w:rFonts w:ascii="Arial" w:cs="Arial" w:eastAsia="Arial" w:hAnsi="Arial"/>
                <w:sz w:val="13"/>
                <w:szCs w:val="13"/>
                <w:b w:val="1"/>
                <w:bCs w:val="1"/>
                <w:color w:val="auto"/>
              </w:rPr>
              <w:t>Plan Category</w:t>
            </w:r>
          </w:p>
        </w:tc>
        <w:tc>
          <w:tcPr>
            <w:tcW w:w="15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Rights</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88"/>
              </w:rPr>
              <w:t>Rights</w:t>
            </w: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Column (a))</w:t>
            </w:r>
          </w:p>
        </w:tc>
        <w:tc>
          <w:tcPr>
            <w:tcW w:w="0" w:type="dxa"/>
            <w:vAlign w:val="bottom"/>
          </w:tcPr>
          <w:p>
            <w:pPr>
              <w:spacing w:after="0"/>
              <w:rPr>
                <w:sz w:val="1"/>
                <w:szCs w:val="1"/>
                <w:color w:val="auto"/>
              </w:rPr>
            </w:pPr>
          </w:p>
        </w:tc>
      </w:tr>
      <w:tr>
        <w:trPr>
          <w:trHeight w:val="175"/>
        </w:trPr>
        <w:tc>
          <w:tcPr>
            <w:tcW w:w="514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87"/>
              </w:rPr>
              <w:t>(a)</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(b)</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7"/>
                <w:szCs w:val="17"/>
                <w:color w:val="auto"/>
              </w:rPr>
              <w:t>Equity compensation plans approved by securityholders</w:t>
            </w:r>
          </w:p>
        </w:tc>
        <w:tc>
          <w:tcPr>
            <w:tcW w:w="1500" w:type="dxa"/>
            <w:vAlign w:val="bottom"/>
            <w:tcBorders>
              <w:top w:val="single" w:sz="8" w:color="auto"/>
            </w:tcBorders>
          </w:tcPr>
          <w:p>
            <w:pPr>
              <w:jc w:val="right"/>
              <w:ind w:right="49"/>
              <w:spacing w:after="0"/>
              <w:rPr>
                <w:sz w:val="20"/>
                <w:szCs w:val="20"/>
                <w:color w:val="auto"/>
              </w:rPr>
            </w:pPr>
            <w:r>
              <w:rPr>
                <w:rFonts w:ascii="Arial" w:cs="Arial" w:eastAsia="Arial" w:hAnsi="Arial"/>
                <w:sz w:val="17"/>
                <w:szCs w:val="17"/>
                <w:color w:val="auto"/>
              </w:rPr>
              <w:t>4,680,212</w:t>
            </w:r>
          </w:p>
        </w:tc>
        <w:tc>
          <w:tcPr>
            <w:tcW w:w="1700" w:type="dxa"/>
            <w:vAlign w:val="bottom"/>
          </w:tcPr>
          <w:p>
            <w:pPr>
              <w:jc w:val="right"/>
              <w:ind w:right="1097"/>
              <w:spacing w:after="0"/>
              <w:rPr>
                <w:sz w:val="20"/>
                <w:szCs w:val="20"/>
                <w:color w:val="auto"/>
              </w:rPr>
            </w:pPr>
            <w:r>
              <w:rPr>
                <w:rFonts w:ascii="Arial" w:cs="Arial" w:eastAsia="Arial" w:hAnsi="Arial"/>
                <w:sz w:val="17"/>
                <w:szCs w:val="17"/>
                <w:color w:val="auto"/>
              </w:rPr>
              <w:t>(1)(2)</w:t>
            </w: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tcPr>
          <w:p>
            <w:pPr>
              <w:jc w:val="right"/>
              <w:ind w:right="49"/>
              <w:spacing w:after="0"/>
              <w:rPr>
                <w:sz w:val="20"/>
                <w:szCs w:val="20"/>
                <w:color w:val="auto"/>
              </w:rPr>
            </w:pPr>
            <w:r>
              <w:rPr>
                <w:rFonts w:ascii="Arial" w:cs="Arial" w:eastAsia="Arial" w:hAnsi="Arial"/>
                <w:sz w:val="17"/>
                <w:szCs w:val="17"/>
                <w:color w:val="auto"/>
              </w:rPr>
              <w:t>13.99</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7"/>
                <w:szCs w:val="17"/>
                <w:color w:val="auto"/>
              </w:rPr>
              <w:t>12,026,970</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17"/>
                <w:szCs w:val="17"/>
                <w:color w:val="auto"/>
              </w:rPr>
              <w:t>Equity compensation plans not approved by securityholders</w:t>
            </w:r>
          </w:p>
        </w:tc>
        <w:tc>
          <w:tcPr>
            <w:tcW w:w="1500" w:type="dxa"/>
            <w:vAlign w:val="bottom"/>
          </w:tcPr>
          <w:p>
            <w:pPr>
              <w:jc w:val="right"/>
              <w:ind w:right="49"/>
              <w:spacing w:after="0"/>
              <w:rPr>
                <w:sz w:val="20"/>
                <w:szCs w:val="20"/>
                <w:color w:val="auto"/>
              </w:rPr>
            </w:pPr>
            <w:r>
              <w:rPr>
                <w:rFonts w:ascii="Arial" w:cs="Arial" w:eastAsia="Arial" w:hAnsi="Arial"/>
                <w:sz w:val="17"/>
                <w:szCs w:val="17"/>
                <w:color w:val="auto"/>
              </w:rPr>
              <w:t>—</w:t>
            </w: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c>
          <w:tcPr>
            <w:tcW w:w="1460" w:type="dxa"/>
            <w:vAlign w:val="bottom"/>
          </w:tcPr>
          <w:p>
            <w:pPr>
              <w:jc w:val="right"/>
              <w:ind w:right="3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1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500" w:type="dxa"/>
            <w:vAlign w:val="bottom"/>
            <w:tcBorders>
              <w:bottom w:val="single" w:sz="8" w:color="auto"/>
            </w:tcBorders>
          </w:tcPr>
          <w:p>
            <w:pPr>
              <w:spacing w:after="0"/>
              <w:rPr>
                <w:sz w:val="2"/>
                <w:szCs w:val="2"/>
                <w:color w:val="auto"/>
              </w:rPr>
            </w:pPr>
          </w:p>
        </w:tc>
        <w:tc>
          <w:tcPr>
            <w:tcW w:w="1700" w:type="dxa"/>
            <w:vAlign w:val="bottom"/>
            <w:vMerge w:val="restart"/>
          </w:tcPr>
          <w:p>
            <w:pPr>
              <w:jc w:val="right"/>
              <w:ind w:right="1097"/>
              <w:spacing w:after="0"/>
              <w:rPr>
                <w:sz w:val="20"/>
                <w:szCs w:val="20"/>
                <w:color w:val="auto"/>
              </w:rPr>
            </w:pPr>
            <w:r>
              <w:rPr>
                <w:rFonts w:ascii="Arial" w:cs="Arial" w:eastAsia="Arial" w:hAnsi="Arial"/>
                <w:sz w:val="17"/>
                <w:szCs w:val="17"/>
                <w:color w:val="auto"/>
              </w:rPr>
              <w:t>(1)(2)</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vMerge w:val="continue"/>
          </w:tcPr>
          <w:p>
            <w:pPr>
              <w:spacing w:after="0"/>
              <w:rPr>
                <w:sz w:val="18"/>
                <w:szCs w:val="18"/>
                <w:color w:val="auto"/>
              </w:rPr>
            </w:pPr>
          </w:p>
        </w:tc>
        <w:tc>
          <w:tcPr>
            <w:tcW w:w="1500" w:type="dxa"/>
            <w:vAlign w:val="bottom"/>
          </w:tcPr>
          <w:p>
            <w:pPr>
              <w:jc w:val="right"/>
              <w:ind w:right="49"/>
              <w:spacing w:after="0"/>
              <w:rPr>
                <w:sz w:val="20"/>
                <w:szCs w:val="20"/>
                <w:color w:val="auto"/>
              </w:rPr>
            </w:pPr>
            <w:r>
              <w:rPr>
                <w:rFonts w:ascii="Arial" w:cs="Arial" w:eastAsia="Arial" w:hAnsi="Arial"/>
                <w:sz w:val="17"/>
                <w:szCs w:val="17"/>
                <w:color w:val="auto"/>
              </w:rPr>
              <w:t>4,680,212</w:t>
            </w:r>
          </w:p>
        </w:tc>
        <w:tc>
          <w:tcPr>
            <w:tcW w:w="1700" w:type="dxa"/>
            <w:vAlign w:val="bottom"/>
            <w:vMerge w:val="continue"/>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49"/>
              <w:spacing w:after="0"/>
              <w:rPr>
                <w:sz w:val="20"/>
                <w:szCs w:val="20"/>
                <w:color w:val="auto"/>
              </w:rPr>
            </w:pPr>
            <w:r>
              <w:rPr>
                <w:rFonts w:ascii="Arial" w:cs="Arial" w:eastAsia="Arial" w:hAnsi="Arial"/>
                <w:sz w:val="17"/>
                <w:szCs w:val="17"/>
                <w:color w:val="auto"/>
              </w:rPr>
              <w:t>13.99</w:t>
            </w: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7"/>
                <w:szCs w:val="17"/>
                <w:color w:val="auto"/>
              </w:rPr>
              <w:t>12,026,970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15875</wp:posOffset>
            </wp:positionV>
            <wp:extent cx="194754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7545" cy="2413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15875</wp:posOffset>
            </wp:positionV>
            <wp:extent cx="9537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3770" cy="8255"/>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31750</wp:posOffset>
            </wp:positionV>
            <wp:extent cx="9537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30" w:lineRule="exact"/>
        <w:rPr>
          <w:sz w:val="20"/>
          <w:szCs w:val="20"/>
          <w:color w:val="auto"/>
        </w:rPr>
      </w:pPr>
    </w:p>
    <w:p>
      <w:pPr>
        <w:ind w:left="500" w:right="920" w:hanging="300"/>
        <w:spacing w:after="0" w:line="298" w:lineRule="auto"/>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Column (a) includes: 855,975 shares that have been granted as restricted stock units (RSUs) and 3,824,237 shares granted as options under our equity compensation plans. The weighted average price in column (b) does not take into account shares issued pursuant to RSUs.</w:t>
      </w:r>
    </w:p>
    <w:p>
      <w:pPr>
        <w:spacing w:after="0" w:line="219" w:lineRule="exact"/>
        <w:rPr>
          <w:sz w:val="20"/>
          <w:szCs w:val="20"/>
          <w:color w:val="auto"/>
        </w:rPr>
      </w:pPr>
    </w:p>
    <w:p>
      <w:pPr>
        <w:ind w:right="280" w:firstLine="400"/>
        <w:spacing w:after="0" w:line="266" w:lineRule="auto"/>
        <w:rPr>
          <w:sz w:val="20"/>
          <w:szCs w:val="20"/>
          <w:color w:val="auto"/>
        </w:rPr>
      </w:pPr>
      <w:r>
        <w:rPr>
          <w:rFonts w:ascii="Arial" w:cs="Arial" w:eastAsia="Arial" w:hAnsi="Arial"/>
          <w:sz w:val="17"/>
          <w:szCs w:val="17"/>
          <w:color w:val="auto"/>
        </w:rPr>
        <w:t>Information relating to the security ownership of certain beneficial owners and management is included in our 2017 Proxy Statement under the caption “Security Ownership of Certain Beneficial Owners and Management” and is incorporated herein by reference.</w:t>
      </w:r>
    </w:p>
    <w:p>
      <w:pPr>
        <w:spacing w:after="0" w:line="36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Certain Relationships and Related Transactions, and Director Independence.</w:t>
      </w:r>
    </w:p>
    <w:p>
      <w:pPr>
        <w:spacing w:after="0" w:line="84" w:lineRule="exact"/>
        <w:rPr>
          <w:sz w:val="20"/>
          <w:szCs w:val="20"/>
          <w:color w:val="auto"/>
        </w:rPr>
      </w:pPr>
    </w:p>
    <w:p>
      <w:pPr>
        <w:ind w:right="360" w:firstLine="400"/>
        <w:spacing w:after="0" w:line="334" w:lineRule="auto"/>
        <w:rPr>
          <w:sz w:val="20"/>
          <w:szCs w:val="20"/>
          <w:color w:val="auto"/>
        </w:rPr>
      </w:pPr>
      <w:r>
        <w:rPr>
          <w:rFonts w:ascii="Arial" w:cs="Arial" w:eastAsia="Arial" w:hAnsi="Arial"/>
          <w:sz w:val="15"/>
          <w:szCs w:val="15"/>
          <w:color w:val="auto"/>
        </w:rPr>
        <w:t>Information relating to this item is set forth under the captions “Certain Relationships and Related Party Transactions” and “Corporate Governance and General Information Concerning the Board of Directors and its Committees” of our 2017 Proxy Statement. Such information is incorporated herein by reference.</w:t>
      </w:r>
    </w:p>
    <w:p>
      <w:pPr>
        <w:spacing w:after="0" w:line="19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Principal Accounting Fees and Services</w:t>
      </w:r>
    </w:p>
    <w:p>
      <w:pPr>
        <w:spacing w:after="0" w:line="84" w:lineRule="exact"/>
        <w:rPr>
          <w:sz w:val="20"/>
          <w:szCs w:val="20"/>
          <w:color w:val="auto"/>
        </w:rPr>
      </w:pPr>
    </w:p>
    <w:p>
      <w:pPr>
        <w:ind w:right="780" w:firstLine="400"/>
        <w:spacing w:after="0" w:line="266" w:lineRule="auto"/>
        <w:rPr>
          <w:sz w:val="20"/>
          <w:szCs w:val="20"/>
          <w:color w:val="auto"/>
        </w:rPr>
      </w:pPr>
      <w:r>
        <w:rPr>
          <w:rFonts w:ascii="Arial" w:cs="Arial" w:eastAsia="Arial" w:hAnsi="Arial"/>
          <w:sz w:val="17"/>
          <w:szCs w:val="17"/>
          <w:color w:val="auto"/>
        </w:rPr>
        <w:t>Information relating to this item is set forth under the caption “Independent Registered Public Accounting Firm Fees” of our 2017 Proxy Statement. Such information is incorporated herein by reference.</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Exhibits, Financial Statement Schedules.</w:t>
      </w:r>
    </w:p>
    <w:p>
      <w:pPr>
        <w:spacing w:after="0" w:line="84" w:lineRule="exact"/>
        <w:rPr>
          <w:sz w:val="20"/>
          <w:szCs w:val="20"/>
          <w:color w:val="auto"/>
        </w:rPr>
      </w:pPr>
    </w:p>
    <w:p>
      <w:pPr>
        <w:ind w:left="820" w:hanging="219"/>
        <w:spacing w:after="0"/>
        <w:tabs>
          <w:tab w:leader="none" w:pos="8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w:t>
      </w:r>
    </w:p>
    <w:p>
      <w:pPr>
        <w:spacing w:after="0" w:line="104" w:lineRule="exact"/>
        <w:rPr>
          <w:rFonts w:ascii="Arial" w:cs="Arial" w:eastAsia="Arial" w:hAnsi="Arial"/>
          <w:sz w:val="17"/>
          <w:szCs w:val="17"/>
          <w:color w:val="auto"/>
        </w:rPr>
      </w:pPr>
    </w:p>
    <w:p>
      <w:pPr>
        <w:ind w:left="1360" w:hanging="459"/>
        <w:spacing w:after="0"/>
        <w:tabs>
          <w:tab w:leader="none" w:pos="13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Our consolidated financial statements filed herewith are set forth in Item 8 of this Annual Report.</w:t>
      </w:r>
    </w:p>
    <w:p>
      <w:pPr>
        <w:spacing w:after="0" w:line="104" w:lineRule="exact"/>
        <w:rPr>
          <w:rFonts w:ascii="Arial" w:cs="Arial" w:eastAsia="Arial" w:hAnsi="Arial"/>
          <w:sz w:val="17"/>
          <w:szCs w:val="17"/>
          <w:color w:val="auto"/>
        </w:rPr>
      </w:pPr>
    </w:p>
    <w:p>
      <w:pPr>
        <w:ind w:left="1360" w:right="340" w:hanging="459"/>
        <w:spacing w:after="0" w:line="266" w:lineRule="auto"/>
        <w:tabs>
          <w:tab w:leader="none" w:pos="13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Consolidated financial statement schedules have been omitted because either they are not applicable or the required information is included in the consolidated financial statements or the notes thereto.</w:t>
      </w:r>
    </w:p>
    <w:p>
      <w:pPr>
        <w:spacing w:after="0" w:line="67" w:lineRule="exact"/>
        <w:rPr>
          <w:rFonts w:ascii="Arial" w:cs="Arial" w:eastAsia="Arial" w:hAnsi="Arial"/>
          <w:sz w:val="17"/>
          <w:szCs w:val="17"/>
          <w:color w:val="auto"/>
        </w:rPr>
      </w:pPr>
    </w:p>
    <w:p>
      <w:pPr>
        <w:ind w:left="1360" w:right="340" w:hanging="459"/>
        <w:spacing w:after="0" w:line="266" w:lineRule="auto"/>
        <w:tabs>
          <w:tab w:leader="none" w:pos="13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attached list of exhibits in the “Exhibit Index” immediately following the signature pages to this Annual Report is filed as part of this Annual Report and is incorporated herein by reference.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874" w:right="239" w:bottom="1440" w:gutter="0" w:footer="0" w:header="0"/>
        </w:sectPr>
      </w:pPr>
    </w:p>
    <w:bookmarkStart w:id="106" w:name="page107"/>
    <w:bookmarkEnd w:id="106"/>
    <w:p>
      <w:pPr>
        <w:jc w:val="center"/>
        <w:ind w:right="-379"/>
        <w:spacing w:after="0"/>
        <w:rPr>
          <w:sz w:val="20"/>
          <w:szCs w:val="20"/>
          <w:color w:val="auto"/>
        </w:rPr>
      </w:pPr>
      <w:r>
        <w:rPr>
          <w:rFonts w:ascii="Arial" w:cs="Arial" w:eastAsia="Arial" w:hAnsi="Arial"/>
          <w:sz w:val="17"/>
          <w:szCs w:val="17"/>
          <w:b w:val="1"/>
          <w:bCs w:val="1"/>
          <w:color w:val="auto"/>
        </w:rPr>
        <w:t>SIGNATURES</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this 22nd day of May, 2017.</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BOOZ ALLEN HAMILTON HOLDING CORPORATION</w:t>
      </w:r>
    </w:p>
    <w:p>
      <w:pPr>
        <w:spacing w:after="0" w:line="17" w:lineRule="exact"/>
        <w:rPr>
          <w:sz w:val="20"/>
          <w:szCs w:val="20"/>
          <w:color w:val="auto"/>
        </w:rPr>
      </w:pPr>
    </w:p>
    <w:p>
      <w:pPr>
        <w:jc w:val="center"/>
        <w:ind w:left="1000"/>
        <w:spacing w:after="0"/>
        <w:rPr>
          <w:sz w:val="20"/>
          <w:szCs w:val="20"/>
          <w:color w:val="auto"/>
        </w:rPr>
      </w:pPr>
      <w:r>
        <w:rPr>
          <w:rFonts w:ascii="Arial" w:cs="Arial" w:eastAsia="Arial" w:hAnsi="Arial"/>
          <w:sz w:val="17"/>
          <w:szCs w:val="17"/>
          <w:color w:val="auto"/>
        </w:rPr>
        <w:t>(Registrant)</w:t>
      </w:r>
    </w:p>
    <w:p>
      <w:pPr>
        <w:spacing w:after="0" w:line="343" w:lineRule="exact"/>
        <w:rPr>
          <w:sz w:val="20"/>
          <w:szCs w:val="20"/>
          <w:color w:val="auto"/>
        </w:rPr>
      </w:pPr>
    </w:p>
    <w:p>
      <w:pPr>
        <w:ind w:left="424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26670</wp:posOffset>
            </wp:positionV>
            <wp:extent cx="20110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4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Name: Horacio D. Rozanski</w:t>
      </w:r>
    </w:p>
    <w:p>
      <w:pPr>
        <w:spacing w:after="0" w:line="5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Title: President and Chief Executive Officer</w:t>
      </w:r>
    </w:p>
    <w:p>
      <w:pPr>
        <w:spacing w:after="0" w:line="326"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SIGNATURES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requirements of the Securities Act of 1934, this report has been signed by the following persons in the capacities and on the dates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ind w:left="1840"/>
              <w:spacing w:after="0"/>
              <w:rPr>
                <w:sz w:val="20"/>
                <w:szCs w:val="20"/>
                <w:color w:val="auto"/>
              </w:rPr>
            </w:pPr>
            <w:r>
              <w:rPr>
                <w:rFonts w:ascii="Arial" w:cs="Arial" w:eastAsia="Arial" w:hAnsi="Arial"/>
                <w:sz w:val="13"/>
                <w:szCs w:val="13"/>
                <w:b w:val="1"/>
                <w:bCs w:val="1"/>
                <w:color w:val="auto"/>
              </w:rPr>
              <w:t>Signature</w:t>
            </w:r>
          </w:p>
        </w:tc>
        <w:tc>
          <w:tcPr>
            <w:tcW w:w="5120" w:type="dxa"/>
            <w:vAlign w:val="bottom"/>
          </w:tcPr>
          <w:p>
            <w:pPr>
              <w:jc w:val="center"/>
              <w:spacing w:after="0"/>
              <w:rPr>
                <w:sz w:val="20"/>
                <w:szCs w:val="20"/>
                <w:color w:val="auto"/>
              </w:rPr>
            </w:pPr>
            <w:r>
              <w:rPr>
                <w:rFonts w:ascii="Arial" w:cs="Arial" w:eastAsia="Arial" w:hAnsi="Arial"/>
                <w:sz w:val="13"/>
                <w:szCs w:val="13"/>
                <w:b w:val="1"/>
                <w:bCs w:val="1"/>
                <w:color w:val="auto"/>
                <w:w w:val="97"/>
              </w:rPr>
              <w:t>Title</w:t>
            </w:r>
          </w:p>
        </w:tc>
        <w:tc>
          <w:tcPr>
            <w:tcW w:w="1500" w:type="dxa"/>
            <w:vAlign w:val="bottom"/>
          </w:tcPr>
          <w:p>
            <w:pPr>
              <w:jc w:val="center"/>
              <w:ind w:left="498"/>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523"/>
        </w:trPr>
        <w:tc>
          <w:tcPr>
            <w:tcW w:w="4240" w:type="dxa"/>
            <w:vAlign w:val="bottom"/>
          </w:tcPr>
          <w:p>
            <w:pPr>
              <w:ind w:left="20"/>
              <w:spacing w:after="0"/>
              <w:rPr>
                <w:sz w:val="20"/>
                <w:szCs w:val="20"/>
                <w:color w:val="auto"/>
              </w:rPr>
            </w:pPr>
            <w:r>
              <w:rPr>
                <w:rFonts w:ascii="Arial" w:cs="Arial" w:eastAsia="Arial" w:hAnsi="Arial"/>
                <w:sz w:val="17"/>
                <w:szCs w:val="17"/>
                <w:color w:val="auto"/>
              </w:rPr>
              <w:t>/s/ Horacio D. Rozanski</w:t>
            </w:r>
          </w:p>
        </w:tc>
        <w:tc>
          <w:tcPr>
            <w:tcW w:w="5120" w:type="dxa"/>
            <w:vAlign w:val="bottom"/>
          </w:tcPr>
          <w:p>
            <w:pPr>
              <w:jc w:val="center"/>
              <w:spacing w:after="0"/>
              <w:rPr>
                <w:sz w:val="20"/>
                <w:szCs w:val="20"/>
                <w:color w:val="auto"/>
              </w:rPr>
            </w:pPr>
            <w:r>
              <w:rPr>
                <w:rFonts w:ascii="Arial" w:cs="Arial" w:eastAsia="Arial" w:hAnsi="Arial"/>
                <w:sz w:val="17"/>
                <w:szCs w:val="17"/>
                <w:color w:val="auto"/>
                <w:w w:val="91"/>
              </w:rPr>
              <w:t>President, Chief Executive Officer and Director (Principal</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37"/>
        </w:trPr>
        <w:tc>
          <w:tcPr>
            <w:tcW w:w="4240" w:type="dxa"/>
            <w:vAlign w:val="bottom"/>
            <w:tcBorders>
              <w:bottom w:val="single" w:sz="8" w:color="auto"/>
            </w:tcBorders>
          </w:tcPr>
          <w:p>
            <w:pPr>
              <w:spacing w:after="0"/>
              <w:rPr>
                <w:sz w:val="3"/>
                <w:szCs w:val="3"/>
                <w:color w:val="auto"/>
              </w:rPr>
            </w:pPr>
          </w:p>
        </w:tc>
        <w:tc>
          <w:tcPr>
            <w:tcW w:w="5120" w:type="dxa"/>
            <w:vAlign w:val="bottom"/>
            <w:vMerge w:val="restart"/>
          </w:tcPr>
          <w:p>
            <w:pPr>
              <w:jc w:val="center"/>
              <w:spacing w:after="0"/>
              <w:rPr>
                <w:sz w:val="20"/>
                <w:szCs w:val="20"/>
                <w:color w:val="auto"/>
              </w:rPr>
            </w:pPr>
            <w:r>
              <w:rPr>
                <w:rFonts w:ascii="Arial" w:cs="Arial" w:eastAsia="Arial" w:hAnsi="Arial"/>
                <w:sz w:val="17"/>
                <w:szCs w:val="17"/>
                <w:color w:val="auto"/>
                <w:w w:val="93"/>
              </w:rPr>
              <w:t>Executive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240" w:type="dxa"/>
            <w:vAlign w:val="bottom"/>
            <w:vMerge w:val="restart"/>
          </w:tcPr>
          <w:p>
            <w:pPr>
              <w:ind w:left="20"/>
              <w:spacing w:after="0"/>
              <w:rPr>
                <w:sz w:val="20"/>
                <w:szCs w:val="20"/>
                <w:color w:val="auto"/>
              </w:rPr>
            </w:pPr>
            <w:r>
              <w:rPr>
                <w:rFonts w:ascii="Arial" w:cs="Arial" w:eastAsia="Arial" w:hAnsi="Arial"/>
                <w:sz w:val="17"/>
                <w:szCs w:val="17"/>
                <w:color w:val="auto"/>
              </w:rPr>
              <w:t>Horacio D. Rozanski</w:t>
            </w:r>
          </w:p>
        </w:tc>
        <w:tc>
          <w:tcPr>
            <w:tcW w:w="512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24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1"/>
        </w:trPr>
        <w:tc>
          <w:tcPr>
            <w:tcW w:w="4240" w:type="dxa"/>
            <w:vAlign w:val="bottom"/>
          </w:tcPr>
          <w:p>
            <w:pPr>
              <w:ind w:left="20"/>
              <w:spacing w:after="0"/>
              <w:rPr>
                <w:sz w:val="20"/>
                <w:szCs w:val="20"/>
                <w:color w:val="auto"/>
              </w:rPr>
            </w:pPr>
            <w:r>
              <w:rPr>
                <w:rFonts w:ascii="Arial" w:cs="Arial" w:eastAsia="Arial" w:hAnsi="Arial"/>
                <w:sz w:val="17"/>
                <w:szCs w:val="17"/>
                <w:color w:val="auto"/>
              </w:rPr>
              <w:t>/s/ Lloyd W. Howell, Jr.</w:t>
            </w:r>
          </w:p>
        </w:tc>
        <w:tc>
          <w:tcPr>
            <w:tcW w:w="5120" w:type="dxa"/>
            <w:vAlign w:val="bottom"/>
          </w:tcPr>
          <w:p>
            <w:pPr>
              <w:jc w:val="center"/>
              <w:spacing w:after="0"/>
              <w:rPr>
                <w:sz w:val="20"/>
                <w:szCs w:val="20"/>
                <w:color w:val="auto"/>
              </w:rPr>
            </w:pPr>
            <w:r>
              <w:rPr>
                <w:rFonts w:ascii="Arial" w:cs="Arial" w:eastAsia="Arial" w:hAnsi="Arial"/>
                <w:sz w:val="17"/>
                <w:szCs w:val="17"/>
                <w:color w:val="auto"/>
                <w:w w:val="89"/>
              </w:rPr>
              <w:t>Executive Vice President, Chief Financial Officer and</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37"/>
        </w:trPr>
        <w:tc>
          <w:tcPr>
            <w:tcW w:w="4240" w:type="dxa"/>
            <w:vAlign w:val="bottom"/>
            <w:tcBorders>
              <w:bottom w:val="single" w:sz="8" w:color="auto"/>
            </w:tcBorders>
          </w:tcPr>
          <w:p>
            <w:pPr>
              <w:spacing w:after="0"/>
              <w:rPr>
                <w:sz w:val="3"/>
                <w:szCs w:val="3"/>
                <w:color w:val="auto"/>
              </w:rPr>
            </w:pPr>
          </w:p>
        </w:tc>
        <w:tc>
          <w:tcPr>
            <w:tcW w:w="5120" w:type="dxa"/>
            <w:vAlign w:val="bottom"/>
            <w:vMerge w:val="restart"/>
          </w:tcPr>
          <w:p>
            <w:pPr>
              <w:jc w:val="center"/>
              <w:spacing w:after="0"/>
              <w:rPr>
                <w:sz w:val="20"/>
                <w:szCs w:val="20"/>
                <w:color w:val="auto"/>
              </w:rPr>
            </w:pPr>
            <w:r>
              <w:rPr>
                <w:rFonts w:ascii="Arial" w:cs="Arial" w:eastAsia="Arial" w:hAnsi="Arial"/>
                <w:sz w:val="17"/>
                <w:szCs w:val="17"/>
                <w:color w:val="auto"/>
                <w:w w:val="91"/>
              </w:rPr>
              <w:t>Treasurer (Principal Financial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240" w:type="dxa"/>
            <w:vAlign w:val="bottom"/>
            <w:vMerge w:val="restart"/>
          </w:tcPr>
          <w:p>
            <w:pPr>
              <w:ind w:left="20"/>
              <w:spacing w:after="0"/>
              <w:rPr>
                <w:sz w:val="20"/>
                <w:szCs w:val="20"/>
                <w:color w:val="auto"/>
              </w:rPr>
            </w:pPr>
            <w:r>
              <w:rPr>
                <w:rFonts w:ascii="Arial" w:cs="Arial" w:eastAsia="Arial" w:hAnsi="Arial"/>
                <w:sz w:val="17"/>
                <w:szCs w:val="17"/>
                <w:color w:val="auto"/>
              </w:rPr>
              <w:t>Lloyd W. Howell, Jr.</w:t>
            </w:r>
          </w:p>
        </w:tc>
        <w:tc>
          <w:tcPr>
            <w:tcW w:w="512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24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1"/>
        </w:trPr>
        <w:tc>
          <w:tcPr>
            <w:tcW w:w="4240" w:type="dxa"/>
            <w:vAlign w:val="bottom"/>
          </w:tcPr>
          <w:p>
            <w:pPr>
              <w:ind w:left="20"/>
              <w:spacing w:after="0"/>
              <w:rPr>
                <w:sz w:val="20"/>
                <w:szCs w:val="20"/>
                <w:color w:val="auto"/>
              </w:rPr>
            </w:pPr>
            <w:r>
              <w:rPr>
                <w:rFonts w:ascii="Arial" w:cs="Arial" w:eastAsia="Arial" w:hAnsi="Arial"/>
                <w:sz w:val="17"/>
                <w:szCs w:val="17"/>
                <w:color w:val="auto"/>
              </w:rPr>
              <w:t>/s/ Laura S. Adams</w:t>
            </w:r>
          </w:p>
        </w:tc>
        <w:tc>
          <w:tcPr>
            <w:tcW w:w="5120" w:type="dxa"/>
            <w:vAlign w:val="bottom"/>
          </w:tcPr>
          <w:p>
            <w:pPr>
              <w:jc w:val="center"/>
              <w:spacing w:after="0"/>
              <w:rPr>
                <w:sz w:val="20"/>
                <w:szCs w:val="20"/>
                <w:color w:val="auto"/>
              </w:rPr>
            </w:pPr>
            <w:r>
              <w:rPr>
                <w:rFonts w:ascii="Arial" w:cs="Arial" w:eastAsia="Arial" w:hAnsi="Arial"/>
                <w:sz w:val="17"/>
                <w:szCs w:val="17"/>
                <w:color w:val="auto"/>
                <w:w w:val="90"/>
              </w:rPr>
              <w:t>Vice President, Corporate Controller and Chief Accounting</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37"/>
        </w:trPr>
        <w:tc>
          <w:tcPr>
            <w:tcW w:w="4240" w:type="dxa"/>
            <w:vAlign w:val="bottom"/>
            <w:tcBorders>
              <w:bottom w:val="single" w:sz="8" w:color="auto"/>
            </w:tcBorders>
          </w:tcPr>
          <w:p>
            <w:pPr>
              <w:spacing w:after="0"/>
              <w:rPr>
                <w:sz w:val="3"/>
                <w:szCs w:val="3"/>
                <w:color w:val="auto"/>
              </w:rPr>
            </w:pPr>
          </w:p>
        </w:tc>
        <w:tc>
          <w:tcPr>
            <w:tcW w:w="5120" w:type="dxa"/>
            <w:vAlign w:val="bottom"/>
            <w:vMerge w:val="restart"/>
          </w:tcPr>
          <w:p>
            <w:pPr>
              <w:jc w:val="center"/>
              <w:spacing w:after="0"/>
              <w:rPr>
                <w:sz w:val="20"/>
                <w:szCs w:val="20"/>
                <w:color w:val="auto"/>
              </w:rPr>
            </w:pPr>
            <w:r>
              <w:rPr>
                <w:rFonts w:ascii="Arial" w:cs="Arial" w:eastAsia="Arial" w:hAnsi="Arial"/>
                <w:sz w:val="17"/>
                <w:szCs w:val="17"/>
                <w:color w:val="auto"/>
                <w:w w:val="93"/>
              </w:rPr>
              <w:t>Officer (Principal Accounting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240" w:type="dxa"/>
            <w:vAlign w:val="bottom"/>
            <w:vMerge w:val="restart"/>
          </w:tcPr>
          <w:p>
            <w:pPr>
              <w:ind w:left="20"/>
              <w:spacing w:after="0"/>
              <w:rPr>
                <w:sz w:val="20"/>
                <w:szCs w:val="20"/>
                <w:color w:val="auto"/>
              </w:rPr>
            </w:pPr>
            <w:r>
              <w:rPr>
                <w:rFonts w:ascii="Arial" w:cs="Arial" w:eastAsia="Arial" w:hAnsi="Arial"/>
                <w:sz w:val="17"/>
                <w:szCs w:val="17"/>
                <w:color w:val="auto"/>
              </w:rPr>
              <w:t>Laura S. Adams</w:t>
            </w:r>
          </w:p>
        </w:tc>
        <w:tc>
          <w:tcPr>
            <w:tcW w:w="512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24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Ralph W. Shrader</w:t>
            </w:r>
          </w:p>
        </w:tc>
        <w:tc>
          <w:tcPr>
            <w:tcW w:w="5120" w:type="dxa"/>
            <w:vAlign w:val="bottom"/>
          </w:tcPr>
          <w:p>
            <w:pPr>
              <w:jc w:val="center"/>
              <w:spacing w:after="0"/>
              <w:rPr>
                <w:sz w:val="20"/>
                <w:szCs w:val="20"/>
                <w:color w:val="auto"/>
              </w:rPr>
            </w:pPr>
            <w:r>
              <w:rPr>
                <w:rFonts w:ascii="Arial" w:cs="Arial" w:eastAsia="Arial" w:hAnsi="Arial"/>
                <w:sz w:val="17"/>
                <w:szCs w:val="17"/>
                <w:color w:val="auto"/>
                <w:w w:val="90"/>
              </w:rPr>
              <w:t>Chairman of the Board</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Ralph W. Shrader</w:t>
            </w:r>
          </w:p>
        </w:tc>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Joan Lordi C. Amble</w:t>
            </w:r>
          </w:p>
        </w:tc>
        <w:tc>
          <w:tcPr>
            <w:tcW w:w="512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Joan Lordi C. Amble</w:t>
            </w:r>
          </w:p>
        </w:tc>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Melody C. Barnes</w:t>
            </w:r>
          </w:p>
        </w:tc>
        <w:tc>
          <w:tcPr>
            <w:tcW w:w="512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Melody C. Barnes</w:t>
            </w:r>
          </w:p>
        </w:tc>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Peter Clare</w:t>
            </w:r>
          </w:p>
        </w:tc>
        <w:tc>
          <w:tcPr>
            <w:tcW w:w="512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Peter Clare</w:t>
            </w:r>
          </w:p>
        </w:tc>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Ian Fujiyama</w:t>
            </w:r>
          </w:p>
        </w:tc>
        <w:tc>
          <w:tcPr>
            <w:tcW w:w="512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Ian Fujiyama</w:t>
            </w:r>
          </w:p>
        </w:tc>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Mark Gaumond</w:t>
            </w:r>
          </w:p>
        </w:tc>
        <w:tc>
          <w:tcPr>
            <w:tcW w:w="512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Mark Gaumond</w:t>
            </w:r>
          </w:p>
        </w:tc>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Arthur E. Johnson</w:t>
            </w:r>
          </w:p>
        </w:tc>
        <w:tc>
          <w:tcPr>
            <w:tcW w:w="5120" w:type="dxa"/>
            <w:vAlign w:val="bottom"/>
          </w:tcPr>
          <w:p>
            <w:pPr>
              <w:jc w:val="center"/>
              <w:spacing w:after="0"/>
              <w:rPr>
                <w:sz w:val="20"/>
                <w:szCs w:val="20"/>
                <w:color w:val="auto"/>
              </w:rPr>
            </w:pPr>
            <w:r>
              <w:rPr>
                <w:rFonts w:ascii="Arial" w:cs="Arial" w:eastAsia="Arial" w:hAnsi="Arial"/>
                <w:sz w:val="17"/>
                <w:szCs w:val="17"/>
                <w:color w:val="auto"/>
                <w:w w:val="90"/>
              </w:rPr>
              <w:t>Director</w:t>
            </w:r>
          </w:p>
        </w:tc>
        <w:tc>
          <w:tcPr>
            <w:tcW w:w="1500" w:type="dxa"/>
            <w:vAlign w:val="bottom"/>
          </w:tcPr>
          <w:p>
            <w:pPr>
              <w:jc w:val="center"/>
              <w:ind w:left="498"/>
              <w:spacing w:after="0"/>
              <w:rPr>
                <w:sz w:val="20"/>
                <w:szCs w:val="20"/>
                <w:color w:val="auto"/>
              </w:rPr>
            </w:pPr>
            <w:r>
              <w:rPr>
                <w:rFonts w:ascii="Arial" w:cs="Arial" w:eastAsia="Arial" w:hAnsi="Arial"/>
                <w:sz w:val="17"/>
                <w:szCs w:val="17"/>
                <w:color w:val="auto"/>
                <w:w w:val="89"/>
              </w:rPr>
              <w:t>May 22, 2017</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Arthur E. Johnson</w:t>
            </w:r>
          </w:p>
        </w:tc>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3"/>
        </w:trPr>
        <w:tc>
          <w:tcPr>
            <w:tcW w:w="4240" w:type="dxa"/>
            <w:vAlign w:val="bottom"/>
          </w:tcPr>
          <w:p>
            <w:pPr>
              <w:spacing w:after="0"/>
              <w:rPr>
                <w:sz w:val="24"/>
                <w:szCs w:val="24"/>
                <w:color w:val="auto"/>
              </w:rPr>
            </w:pPr>
          </w:p>
        </w:tc>
        <w:tc>
          <w:tcPr>
            <w:tcW w:w="5120" w:type="dxa"/>
            <w:vAlign w:val="bottom"/>
          </w:tcPr>
          <w:p>
            <w:pPr>
              <w:jc w:val="right"/>
              <w:ind w:right="3478"/>
              <w:spacing w:after="0"/>
              <w:rPr>
                <w:sz w:val="20"/>
                <w:szCs w:val="20"/>
                <w:color w:val="auto"/>
              </w:rPr>
            </w:pPr>
            <w:r>
              <w:rPr>
                <w:rFonts w:ascii="Arial" w:cs="Arial" w:eastAsia="Arial" w:hAnsi="Arial"/>
                <w:sz w:val="17"/>
                <w:szCs w:val="17"/>
                <w:color w:val="auto"/>
              </w:rPr>
              <w:t>66</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649" w:right="61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ind w:left="20"/>
              <w:spacing w:after="0"/>
              <w:rPr>
                <w:sz w:val="20"/>
                <w:szCs w:val="20"/>
                <w:color w:val="auto"/>
              </w:rPr>
            </w:pPr>
            <w:r>
              <w:rPr>
                <w:rFonts w:ascii="Arial" w:cs="Arial" w:eastAsia="Arial" w:hAnsi="Arial"/>
                <w:sz w:val="17"/>
                <w:szCs w:val="17"/>
                <w:color w:val="auto"/>
              </w:rPr>
              <w:t>/s/ Gretchen W. McClain</w:t>
            </w:r>
          </w:p>
        </w:tc>
        <w:tc>
          <w:tcPr>
            <w:tcW w:w="4280" w:type="dxa"/>
            <w:vAlign w:val="bottom"/>
          </w:tcPr>
          <w:p>
            <w:pPr>
              <w:ind w:left="2300"/>
              <w:spacing w:after="0"/>
              <w:rPr>
                <w:sz w:val="20"/>
                <w:szCs w:val="20"/>
                <w:color w:val="auto"/>
              </w:rPr>
            </w:pPr>
            <w:r>
              <w:rPr>
                <w:rFonts w:ascii="Arial" w:cs="Arial" w:eastAsia="Arial" w:hAnsi="Arial"/>
                <w:sz w:val="17"/>
                <w:szCs w:val="17"/>
                <w:color w:val="auto"/>
              </w:rPr>
              <w:t>Director</w:t>
            </w:r>
          </w:p>
        </w:tc>
        <w:tc>
          <w:tcPr>
            <w:tcW w:w="2340" w:type="dxa"/>
            <w:vAlign w:val="bottom"/>
          </w:tcPr>
          <w:p>
            <w:pPr>
              <w:ind w:left="1420"/>
              <w:spacing w:after="0"/>
              <w:rPr>
                <w:sz w:val="20"/>
                <w:szCs w:val="20"/>
                <w:color w:val="auto"/>
              </w:rPr>
            </w:pPr>
            <w:r>
              <w:rPr>
                <w:rFonts w:ascii="Arial" w:cs="Arial" w:eastAsia="Arial" w:hAnsi="Arial"/>
                <w:sz w:val="17"/>
                <w:szCs w:val="17"/>
                <w:color w:val="auto"/>
                <w:w w:val="87"/>
              </w:rPr>
              <w:t>May 22, 2017</w:t>
            </w:r>
          </w:p>
        </w:tc>
      </w:tr>
      <w:tr>
        <w:trPr>
          <w:trHeight w:val="25"/>
        </w:trPr>
        <w:tc>
          <w:tcPr>
            <w:tcW w:w="424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Gretchen W. McClain</w:t>
            </w:r>
          </w:p>
        </w:tc>
        <w:tc>
          <w:tcPr>
            <w:tcW w:w="42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Philip A. Odeen</w:t>
            </w:r>
          </w:p>
        </w:tc>
        <w:tc>
          <w:tcPr>
            <w:tcW w:w="4280" w:type="dxa"/>
            <w:vAlign w:val="bottom"/>
          </w:tcPr>
          <w:p>
            <w:pPr>
              <w:ind w:left="2300"/>
              <w:spacing w:after="0"/>
              <w:rPr>
                <w:sz w:val="20"/>
                <w:szCs w:val="20"/>
                <w:color w:val="auto"/>
              </w:rPr>
            </w:pPr>
            <w:r>
              <w:rPr>
                <w:rFonts w:ascii="Arial" w:cs="Arial" w:eastAsia="Arial" w:hAnsi="Arial"/>
                <w:sz w:val="17"/>
                <w:szCs w:val="17"/>
                <w:color w:val="auto"/>
              </w:rPr>
              <w:t>Director</w:t>
            </w:r>
          </w:p>
        </w:tc>
        <w:tc>
          <w:tcPr>
            <w:tcW w:w="2340" w:type="dxa"/>
            <w:vAlign w:val="bottom"/>
          </w:tcPr>
          <w:p>
            <w:pPr>
              <w:ind w:left="1420"/>
              <w:spacing w:after="0"/>
              <w:rPr>
                <w:sz w:val="20"/>
                <w:szCs w:val="20"/>
                <w:color w:val="auto"/>
              </w:rPr>
            </w:pPr>
            <w:r>
              <w:rPr>
                <w:rFonts w:ascii="Arial" w:cs="Arial" w:eastAsia="Arial" w:hAnsi="Arial"/>
                <w:sz w:val="17"/>
                <w:szCs w:val="17"/>
                <w:color w:val="auto"/>
                <w:w w:val="87"/>
              </w:rPr>
              <w:t>May 22, 2017</w:t>
            </w:r>
          </w:p>
        </w:tc>
      </w:tr>
      <w:tr>
        <w:trPr>
          <w:trHeight w:val="25"/>
        </w:trPr>
        <w:tc>
          <w:tcPr>
            <w:tcW w:w="424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Philip A. Odeen</w:t>
            </w:r>
          </w:p>
        </w:tc>
        <w:tc>
          <w:tcPr>
            <w:tcW w:w="42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63"/>
        </w:trPr>
        <w:tc>
          <w:tcPr>
            <w:tcW w:w="4240" w:type="dxa"/>
            <w:vAlign w:val="bottom"/>
          </w:tcPr>
          <w:p>
            <w:pPr>
              <w:ind w:left="20"/>
              <w:spacing w:after="0"/>
              <w:rPr>
                <w:sz w:val="20"/>
                <w:szCs w:val="20"/>
                <w:color w:val="auto"/>
              </w:rPr>
            </w:pPr>
            <w:r>
              <w:rPr>
                <w:rFonts w:ascii="Arial" w:cs="Arial" w:eastAsia="Arial" w:hAnsi="Arial"/>
                <w:sz w:val="17"/>
                <w:szCs w:val="17"/>
                <w:color w:val="auto"/>
              </w:rPr>
              <w:t>/s/ Charles O. Rossotti</w:t>
            </w:r>
          </w:p>
        </w:tc>
        <w:tc>
          <w:tcPr>
            <w:tcW w:w="4280" w:type="dxa"/>
            <w:vAlign w:val="bottom"/>
          </w:tcPr>
          <w:p>
            <w:pPr>
              <w:ind w:left="2300"/>
              <w:spacing w:after="0"/>
              <w:rPr>
                <w:sz w:val="20"/>
                <w:szCs w:val="20"/>
                <w:color w:val="auto"/>
              </w:rPr>
            </w:pPr>
            <w:r>
              <w:rPr>
                <w:rFonts w:ascii="Arial" w:cs="Arial" w:eastAsia="Arial" w:hAnsi="Arial"/>
                <w:sz w:val="17"/>
                <w:szCs w:val="17"/>
                <w:color w:val="auto"/>
              </w:rPr>
              <w:t>Director</w:t>
            </w:r>
          </w:p>
        </w:tc>
        <w:tc>
          <w:tcPr>
            <w:tcW w:w="2340" w:type="dxa"/>
            <w:vAlign w:val="bottom"/>
          </w:tcPr>
          <w:p>
            <w:pPr>
              <w:ind w:left="1420"/>
              <w:spacing w:after="0"/>
              <w:rPr>
                <w:sz w:val="20"/>
                <w:szCs w:val="20"/>
                <w:color w:val="auto"/>
              </w:rPr>
            </w:pPr>
            <w:r>
              <w:rPr>
                <w:rFonts w:ascii="Arial" w:cs="Arial" w:eastAsia="Arial" w:hAnsi="Arial"/>
                <w:sz w:val="17"/>
                <w:szCs w:val="17"/>
                <w:color w:val="auto"/>
                <w:w w:val="87"/>
              </w:rPr>
              <w:t>May 22, 2017</w:t>
            </w:r>
          </w:p>
        </w:tc>
      </w:tr>
      <w:tr>
        <w:trPr>
          <w:trHeight w:val="25"/>
        </w:trPr>
        <w:tc>
          <w:tcPr>
            <w:tcW w:w="424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Charles O. Rossotti</w:t>
            </w:r>
          </w:p>
        </w:tc>
        <w:tc>
          <w:tcPr>
            <w:tcW w:w="42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651"/>
        </w:trPr>
        <w:tc>
          <w:tcPr>
            <w:tcW w:w="4240" w:type="dxa"/>
            <w:vAlign w:val="bottom"/>
          </w:tcPr>
          <w:p>
            <w:pPr>
              <w:spacing w:after="0"/>
              <w:rPr>
                <w:sz w:val="24"/>
                <w:szCs w:val="24"/>
                <w:color w:val="auto"/>
              </w:rPr>
            </w:pPr>
          </w:p>
        </w:tc>
        <w:tc>
          <w:tcPr>
            <w:tcW w:w="4280" w:type="dxa"/>
            <w:vAlign w:val="bottom"/>
          </w:tcPr>
          <w:p>
            <w:pPr>
              <w:jc w:val="right"/>
              <w:ind w:right="2637"/>
              <w:spacing w:after="0"/>
              <w:rPr>
                <w:sz w:val="20"/>
                <w:szCs w:val="20"/>
                <w:color w:val="auto"/>
              </w:rPr>
            </w:pPr>
            <w:r>
              <w:rPr>
                <w:rFonts w:ascii="Arial" w:cs="Arial" w:eastAsia="Arial" w:hAnsi="Arial"/>
                <w:sz w:val="17"/>
                <w:szCs w:val="17"/>
                <w:color w:val="auto"/>
              </w:rPr>
              <w:t>67</w:t>
            </w:r>
          </w:p>
        </w:tc>
        <w:tc>
          <w:tcPr>
            <w:tcW w:w="2340" w:type="dxa"/>
            <w:vAlign w:val="bottom"/>
          </w:tcPr>
          <w:p>
            <w:pPr>
              <w:spacing w:after="0"/>
              <w:rPr>
                <w:sz w:val="24"/>
                <w:szCs w:val="24"/>
                <w:color w:val="auto"/>
              </w:rPr>
            </w:pPr>
          </w:p>
        </w:tc>
      </w:tr>
    </w:tbl>
    <w:p>
      <w:pPr>
        <w:sectPr>
          <w:pgSz w:w="11900" w:h="16838" w:orient="portrait"/>
          <w:cols w:equalWidth="0" w:num="1">
            <w:col w:w="10860"/>
          </w:cols>
          <w:pgMar w:left="240" w:top="953" w:right="79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20" w:type="dxa"/>
            <w:vAlign w:val="bottom"/>
          </w:tcPr>
          <w:p>
            <w:pPr>
              <w:ind w:left="36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Exhibit</w:t>
            </w:r>
          </w:p>
        </w:tc>
        <w:tc>
          <w:tcPr>
            <w:tcW w:w="10620" w:type="dxa"/>
            <w:vAlign w:val="bottom"/>
            <w:gridSpan w:val="3"/>
            <w:vMerge w:val="restart"/>
          </w:tcPr>
          <w:p>
            <w:pPr>
              <w:ind w:left="180"/>
              <w:spacing w:after="0"/>
              <w:rPr>
                <w:sz w:val="20"/>
                <w:szCs w:val="20"/>
                <w:color w:val="auto"/>
              </w:rPr>
            </w:pPr>
            <w:r>
              <w:rPr>
                <w:rFonts w:ascii="Arial" w:cs="Arial" w:eastAsia="Arial" w:hAnsi="Arial"/>
                <w:sz w:val="13"/>
                <w:szCs w:val="13"/>
                <w:color w:val="auto"/>
              </w:rPr>
              <w:t>Description</w:t>
            </w: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auto"/>
            </w:tcBorders>
          </w:tcPr>
          <w:p>
            <w:pPr>
              <w:spacing w:after="0" w:line="118" w:lineRule="exact"/>
              <w:rPr>
                <w:sz w:val="20"/>
                <w:szCs w:val="20"/>
                <w:color w:val="auto"/>
              </w:rPr>
            </w:pPr>
            <w:r>
              <w:rPr>
                <w:rFonts w:ascii="Arial" w:cs="Arial" w:eastAsia="Arial" w:hAnsi="Arial"/>
                <w:sz w:val="13"/>
                <w:szCs w:val="13"/>
                <w:color w:val="auto"/>
                <w:w w:val="82"/>
              </w:rPr>
              <w:t>Number</w:t>
            </w:r>
          </w:p>
        </w:tc>
        <w:tc>
          <w:tcPr>
            <w:tcW w:w="160" w:type="dxa"/>
            <w:vAlign w:val="bottom"/>
          </w:tcPr>
          <w:p>
            <w:pPr>
              <w:spacing w:after="0"/>
              <w:rPr>
                <w:sz w:val="10"/>
                <w:szCs w:val="10"/>
                <w:color w:val="auto"/>
              </w:rPr>
            </w:pPr>
          </w:p>
        </w:tc>
        <w:tc>
          <w:tcPr>
            <w:tcW w:w="10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00" w:type="dxa"/>
            <w:vAlign w:val="bottom"/>
            <w:gridSpan w:val="3"/>
          </w:tcPr>
          <w:p>
            <w:pPr>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2"/>
              </w:rPr>
              <w:t>Agreement and Plan of Merger, dated as of May 15, 2008, by and among Booz Allen Hamilton Inc., Booz Allen Hamilton Holding Corporation (formerly</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1"/>
              </w:rPr>
              <w:t>known as Explorer Holding Corporation), Booz Allen Hamilton Investor Corporation (formerly known as Explorer Investor Corporation), Explorer Merger</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0"/>
              </w:rPr>
              <w:t>Sub Corporation and Booz &amp; Company Inc. (Incorporated by reference to Exhibit 2.1 to the Company’s Registration Statement on Form S-1 (File No. 333-</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7"/>
                <w:szCs w:val="17"/>
                <w:color w:val="auto"/>
                <w:w w:val="88"/>
              </w:rPr>
              <w:t>167645))</w:t>
            </w: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600" w:type="dxa"/>
            <w:vAlign w:val="bottom"/>
            <w:gridSpan w:val="3"/>
          </w:tcPr>
          <w:p>
            <w:pPr>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1"/>
              </w:rPr>
              <w:t>Spin Off Agreement, dated as of May 15, 2008, by and among Booz Allen Hamilton Inc., Booz &amp; Company Holdings, LLC, Booz &amp; Company Inc., Booz</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5"/>
              </w:rPr>
              <w:t>&amp; Company Intermediate I Inc. and Booz &amp; Company Intermediate II Inc. (Incorporated by reference to Exhibit 2.2 to the Company’s Registration</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Statement on Form S-1 (File No. 333-167645))</w:t>
            </w:r>
          </w:p>
        </w:tc>
        <w:tc>
          <w:tcPr>
            <w:tcW w:w="0" w:type="dxa"/>
            <w:vAlign w:val="bottom"/>
          </w:tcPr>
          <w:p>
            <w:pPr>
              <w:spacing w:after="0"/>
              <w:rPr>
                <w:sz w:val="1"/>
                <w:szCs w:val="1"/>
                <w:color w:val="auto"/>
              </w:rPr>
            </w:pPr>
          </w:p>
        </w:tc>
      </w:tr>
      <w:tr>
        <w:trPr>
          <w:trHeight w:val="351"/>
        </w:trPr>
        <w:tc>
          <w:tcPr>
            <w:tcW w:w="600" w:type="dxa"/>
            <w:vAlign w:val="bottom"/>
            <w:gridSpan w:val="3"/>
          </w:tcPr>
          <w:p>
            <w:pPr>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0"/>
              </w:rPr>
              <w:t>Amendment to the Agreement and Plan of Merger and the Spin Off Agreement, dated as of July 30, 2008, by and among Booz Allen Hamilton Inc., Booz</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3"/>
              </w:rPr>
              <w:t>Allen Hamilton Holding Corporation (formerly known as Explorer Holding Corporation), Booz Allen Hamilton Investor Corporation (formerly known as</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8"/>
              </w:rPr>
              <w:t>Explorer Investor Corporation), Explorer Merger Sub Corporation, Booz &amp; Company Holdings, LLC, Booz &amp; Company Inc., Booz &amp; Company</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1"/>
              </w:rPr>
              <w:t>Intermediate I Inc. and Booz &amp; Company Intermediate II Inc. (Incorporated by reference to Exhibit 2.3 to the Company’s Registration Statement on Form</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S-1 (File No. 333-167645))</w:t>
            </w:r>
          </w:p>
        </w:tc>
        <w:tc>
          <w:tcPr>
            <w:tcW w:w="0" w:type="dxa"/>
            <w:vAlign w:val="bottom"/>
          </w:tcPr>
          <w:p>
            <w:pPr>
              <w:spacing w:after="0"/>
              <w:rPr>
                <w:sz w:val="1"/>
                <w:szCs w:val="1"/>
                <w:color w:val="auto"/>
              </w:rPr>
            </w:pPr>
          </w:p>
        </w:tc>
      </w:tr>
      <w:tr>
        <w:trPr>
          <w:trHeight w:val="351"/>
        </w:trPr>
        <w:tc>
          <w:tcPr>
            <w:tcW w:w="600" w:type="dxa"/>
            <w:vAlign w:val="bottom"/>
            <w:gridSpan w:val="3"/>
          </w:tcPr>
          <w:p>
            <w:pPr>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3"/>
              </w:rPr>
              <w:t>Third Amended and Restated Certificate of Incorporation of Booz Allen Hamilton Holding Corporation (Incorporated by reference to Exhibit 3.1 to the</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51"/>
        </w:trPr>
        <w:tc>
          <w:tcPr>
            <w:tcW w:w="600" w:type="dxa"/>
            <w:vAlign w:val="bottom"/>
            <w:gridSpan w:val="3"/>
          </w:tcPr>
          <w:p>
            <w:pPr>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0"/>
              </w:rPr>
              <w:t>Second Amended and Restated Bylaws of Booz Allen Hamilton Holding Corporation (Incorporated by reference to Exhibit 3.2 to the Company’s Quarterly</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Report for the period ended December 31, 2010 on Form 10-Q (File No. 001-34972))</w:t>
            </w:r>
          </w:p>
        </w:tc>
        <w:tc>
          <w:tcPr>
            <w:tcW w:w="0" w:type="dxa"/>
            <w:vAlign w:val="bottom"/>
          </w:tcPr>
          <w:p>
            <w:pPr>
              <w:spacing w:after="0"/>
              <w:rPr>
                <w:sz w:val="1"/>
                <w:szCs w:val="1"/>
                <w:color w:val="auto"/>
              </w:rPr>
            </w:pPr>
          </w:p>
        </w:tc>
      </w:tr>
      <w:tr>
        <w:trPr>
          <w:trHeight w:val="363"/>
        </w:trPr>
        <w:tc>
          <w:tcPr>
            <w:tcW w:w="600" w:type="dxa"/>
            <w:vAlign w:val="bottom"/>
            <w:gridSpan w:val="3"/>
          </w:tcPr>
          <w:p>
            <w:pPr>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6"/>
              </w:rPr>
              <w:t>Form of Stock Certificate (Incorporated by reference to Exhibit 4.5 to the Company’s Registration Statement on Form S-1 (File No. 333-167645))</w:t>
            </w:r>
          </w:p>
        </w:tc>
        <w:tc>
          <w:tcPr>
            <w:tcW w:w="0" w:type="dxa"/>
            <w:vAlign w:val="bottom"/>
          </w:tcPr>
          <w:p>
            <w:pPr>
              <w:spacing w:after="0"/>
              <w:rPr>
                <w:sz w:val="1"/>
                <w:szCs w:val="1"/>
                <w:color w:val="auto"/>
              </w:rPr>
            </w:pPr>
          </w:p>
        </w:tc>
      </w:tr>
      <w:tr>
        <w:trPr>
          <w:trHeight w:val="351"/>
        </w:trPr>
        <w:tc>
          <w:tcPr>
            <w:tcW w:w="600" w:type="dxa"/>
            <w:vAlign w:val="bottom"/>
            <w:gridSpan w:val="3"/>
          </w:tcPr>
          <w:p>
            <w:pPr>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2"/>
              </w:rPr>
              <w:t>Indenture, dated April 25, 2017, among Booz Allen Hamilton Inc., the Subsidiary Guarantors party thereto and Wilmington Trust, National Association</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(Incorporated by reference to Exhibit 4.1 to the Company’s Periodic Report on Form 8-K filed on April 25, 2017 (File No. 001-34972))</w:t>
            </w:r>
          </w:p>
        </w:tc>
        <w:tc>
          <w:tcPr>
            <w:tcW w:w="0" w:type="dxa"/>
            <w:vAlign w:val="bottom"/>
          </w:tcPr>
          <w:p>
            <w:pPr>
              <w:spacing w:after="0"/>
              <w:rPr>
                <w:sz w:val="1"/>
                <w:szCs w:val="1"/>
                <w:color w:val="auto"/>
              </w:rPr>
            </w:pPr>
          </w:p>
        </w:tc>
      </w:tr>
      <w:tr>
        <w:trPr>
          <w:trHeight w:val="351"/>
        </w:trPr>
        <w:tc>
          <w:tcPr>
            <w:tcW w:w="600" w:type="dxa"/>
            <w:vAlign w:val="bottom"/>
            <w:gridSpan w:val="3"/>
          </w:tcPr>
          <w:p>
            <w:pPr>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4"/>
              </w:rPr>
              <w:t>First Supplemental Indenture, dated April 25, 2017, among Booz Allen Hamilton Inc., the Subsidiary Guarantors party thereto and Wilmington Trust,</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4"/>
              </w:rPr>
              <w:t>National Association (Incorporated by reference to Exhibit 4.2 to the Company’s Periodic Report on Form 8-K filed on April 25, 2017 (File No. 001-</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7"/>
                <w:szCs w:val="17"/>
                <w:color w:val="auto"/>
              </w:rPr>
              <w:t>34972))</w:t>
            </w: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600" w:type="dxa"/>
            <w:vAlign w:val="bottom"/>
            <w:gridSpan w:val="3"/>
          </w:tcPr>
          <w:p>
            <w:pPr>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2"/>
              </w:rPr>
              <w:t>Form of 5.125% Senior Note due 2025 (Incorporated by reference to Exhibit 4.3 to the Company’s Periodic Report on Form 8-K filed on April 25, 2017</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(File No. 001-34972) (included in Exhibit 4.1 thereto))</w:t>
            </w:r>
          </w:p>
        </w:tc>
        <w:tc>
          <w:tcPr>
            <w:tcW w:w="0" w:type="dxa"/>
            <w:vAlign w:val="bottom"/>
          </w:tcPr>
          <w:p>
            <w:pPr>
              <w:spacing w:after="0"/>
              <w:rPr>
                <w:sz w:val="1"/>
                <w:szCs w:val="1"/>
                <w:color w:val="auto"/>
              </w:rPr>
            </w:pPr>
          </w:p>
        </w:tc>
      </w:tr>
      <w:tr>
        <w:trPr>
          <w:trHeight w:val="351"/>
        </w:trPr>
        <w:tc>
          <w:tcPr>
            <w:tcW w:w="760" w:type="dxa"/>
            <w:vAlign w:val="bottom"/>
            <w:gridSpan w:val="4"/>
          </w:tcPr>
          <w:p>
            <w:pPr>
              <w:spacing w:after="0"/>
              <w:rPr>
                <w:sz w:val="20"/>
                <w:szCs w:val="20"/>
                <w:color w:val="auto"/>
              </w:rPr>
            </w:pPr>
            <w:r>
              <w:rPr>
                <w:rFonts w:ascii="Arial" w:cs="Arial" w:eastAsia="Arial" w:hAnsi="Arial"/>
                <w:sz w:val="17"/>
                <w:szCs w:val="17"/>
                <w:color w:val="auto"/>
              </w:rPr>
              <w:t>10.1†</w:t>
            </w: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4"/>
              </w:rPr>
              <w:t>Second Amended and Restated Equity Incentive Plan of Booz Allen Hamilton Holding Corporation (Incorporated by reference to Exhibit 10.2 to the</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51"/>
        </w:trPr>
        <w:tc>
          <w:tcPr>
            <w:tcW w:w="760" w:type="dxa"/>
            <w:vAlign w:val="bottom"/>
            <w:gridSpan w:val="4"/>
          </w:tcPr>
          <w:p>
            <w:pPr>
              <w:spacing w:after="0"/>
              <w:rPr>
                <w:sz w:val="20"/>
                <w:szCs w:val="20"/>
                <w:color w:val="auto"/>
              </w:rPr>
            </w:pPr>
            <w:r>
              <w:rPr>
                <w:rFonts w:ascii="Arial" w:cs="Arial" w:eastAsia="Arial" w:hAnsi="Arial"/>
                <w:sz w:val="17"/>
                <w:szCs w:val="17"/>
                <w:color w:val="auto"/>
              </w:rPr>
              <w:t>10.2†</w:t>
            </w: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6"/>
              </w:rPr>
              <w:t>Booz Allen Hamilton Holding Corporation Officers’ Rollover Stock Plan (Incorporated by reference to Exhibit 10.8 to the Company’s Registration</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Statement on Form S-1 (File No. 333-167645))</w:t>
            </w:r>
          </w:p>
        </w:tc>
        <w:tc>
          <w:tcPr>
            <w:tcW w:w="0" w:type="dxa"/>
            <w:vAlign w:val="bottom"/>
          </w:tcPr>
          <w:p>
            <w:pPr>
              <w:spacing w:after="0"/>
              <w:rPr>
                <w:sz w:val="1"/>
                <w:szCs w:val="1"/>
                <w:color w:val="auto"/>
              </w:rPr>
            </w:pPr>
          </w:p>
        </w:tc>
      </w:tr>
      <w:tr>
        <w:trPr>
          <w:trHeight w:val="351"/>
        </w:trPr>
        <w:tc>
          <w:tcPr>
            <w:tcW w:w="760" w:type="dxa"/>
            <w:vAlign w:val="bottom"/>
            <w:gridSpan w:val="4"/>
          </w:tcPr>
          <w:p>
            <w:pPr>
              <w:spacing w:after="0"/>
              <w:rPr>
                <w:sz w:val="20"/>
                <w:szCs w:val="20"/>
                <w:color w:val="auto"/>
              </w:rPr>
            </w:pPr>
            <w:r>
              <w:rPr>
                <w:rFonts w:ascii="Arial" w:cs="Arial" w:eastAsia="Arial" w:hAnsi="Arial"/>
                <w:sz w:val="17"/>
                <w:szCs w:val="17"/>
                <w:color w:val="auto"/>
              </w:rPr>
              <w:t>10.3†</w:t>
            </w: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6"/>
              </w:rPr>
              <w:t>Form of Booz Allen Hamilton Holding Corporation Rollover Stock Option Agreement (Incorporated by reference to Exhibit 10.9 to the Company’s</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Registration Statement on Form S-1 (File No. 333-167645))</w:t>
            </w:r>
          </w:p>
        </w:tc>
        <w:tc>
          <w:tcPr>
            <w:tcW w:w="0" w:type="dxa"/>
            <w:vAlign w:val="bottom"/>
          </w:tcPr>
          <w:p>
            <w:pPr>
              <w:spacing w:after="0"/>
              <w:rPr>
                <w:sz w:val="1"/>
                <w:szCs w:val="1"/>
                <w:color w:val="auto"/>
              </w:rPr>
            </w:pPr>
          </w:p>
        </w:tc>
      </w:tr>
      <w:tr>
        <w:trPr>
          <w:trHeight w:val="351"/>
        </w:trPr>
        <w:tc>
          <w:tcPr>
            <w:tcW w:w="760" w:type="dxa"/>
            <w:vAlign w:val="bottom"/>
            <w:gridSpan w:val="4"/>
          </w:tcPr>
          <w:p>
            <w:pPr>
              <w:spacing w:after="0"/>
              <w:rPr>
                <w:sz w:val="20"/>
                <w:szCs w:val="20"/>
                <w:color w:val="auto"/>
              </w:rPr>
            </w:pPr>
            <w:r>
              <w:rPr>
                <w:rFonts w:ascii="Arial" w:cs="Arial" w:eastAsia="Arial" w:hAnsi="Arial"/>
                <w:sz w:val="17"/>
                <w:szCs w:val="17"/>
                <w:color w:val="auto"/>
              </w:rPr>
              <w:t>10.4†</w:t>
            </w: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0"/>
              </w:rPr>
              <w:t>Form of Stock Option Agreement under the Equity Incentive Plan of Booz Allen Hamilton Holding Corporation (Incorporated by reference to Exhibit 10.10</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to the Company’s Registration Statement on Form S-1 (File No. 333-167645))</w:t>
            </w:r>
          </w:p>
        </w:tc>
        <w:tc>
          <w:tcPr>
            <w:tcW w:w="0" w:type="dxa"/>
            <w:vAlign w:val="bottom"/>
          </w:tcPr>
          <w:p>
            <w:pPr>
              <w:spacing w:after="0"/>
              <w:rPr>
                <w:sz w:val="1"/>
                <w:szCs w:val="1"/>
                <w:color w:val="auto"/>
              </w:rPr>
            </w:pPr>
          </w:p>
        </w:tc>
      </w:tr>
      <w:tr>
        <w:trPr>
          <w:trHeight w:val="351"/>
        </w:trPr>
        <w:tc>
          <w:tcPr>
            <w:tcW w:w="760" w:type="dxa"/>
            <w:vAlign w:val="bottom"/>
            <w:gridSpan w:val="4"/>
          </w:tcPr>
          <w:p>
            <w:pPr>
              <w:spacing w:after="0"/>
              <w:rPr>
                <w:sz w:val="20"/>
                <w:szCs w:val="20"/>
                <w:color w:val="auto"/>
              </w:rPr>
            </w:pPr>
            <w:r>
              <w:rPr>
                <w:rFonts w:ascii="Arial" w:cs="Arial" w:eastAsia="Arial" w:hAnsi="Arial"/>
                <w:sz w:val="17"/>
                <w:szCs w:val="17"/>
                <w:color w:val="auto"/>
              </w:rPr>
              <w:t>10.5†</w:t>
            </w: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90"/>
              </w:rPr>
              <w:t>Form of Stock Option Agreement under the Equity Incentive Plan of Booz Allen Hamilton Holding Corporation (Incorporated by reference to Exhibit 10.11</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rPr>
              <w:t>to the Company’s Registration Statement on Form S-1 (File No. 333-167645))</w:t>
            </w:r>
          </w:p>
        </w:tc>
        <w:tc>
          <w:tcPr>
            <w:tcW w:w="0" w:type="dxa"/>
            <w:vAlign w:val="bottom"/>
          </w:tcPr>
          <w:p>
            <w:pPr>
              <w:spacing w:after="0"/>
              <w:rPr>
                <w:sz w:val="1"/>
                <w:szCs w:val="1"/>
                <w:color w:val="auto"/>
              </w:rPr>
            </w:pPr>
          </w:p>
        </w:tc>
      </w:tr>
      <w:tr>
        <w:trPr>
          <w:trHeight w:val="363"/>
        </w:trPr>
        <w:tc>
          <w:tcPr>
            <w:tcW w:w="760" w:type="dxa"/>
            <w:vAlign w:val="bottom"/>
            <w:gridSpan w:val="4"/>
          </w:tcPr>
          <w:p>
            <w:pPr>
              <w:spacing w:after="0"/>
              <w:rPr>
                <w:sz w:val="20"/>
                <w:szCs w:val="20"/>
                <w:color w:val="auto"/>
              </w:rPr>
            </w:pPr>
            <w:r>
              <w:rPr>
                <w:rFonts w:ascii="Arial" w:cs="Arial" w:eastAsia="Arial" w:hAnsi="Arial"/>
                <w:sz w:val="17"/>
                <w:szCs w:val="17"/>
                <w:color w:val="auto"/>
              </w:rPr>
              <w:t>10.6†</w:t>
            </w:r>
          </w:p>
        </w:tc>
        <w:tc>
          <w:tcPr>
            <w:tcW w:w="10620" w:type="dxa"/>
            <w:vAlign w:val="bottom"/>
            <w:gridSpan w:val="3"/>
          </w:tcPr>
          <w:p>
            <w:pPr>
              <w:ind w:left="180"/>
              <w:spacing w:after="0"/>
              <w:rPr>
                <w:sz w:val="20"/>
                <w:szCs w:val="20"/>
                <w:color w:val="auto"/>
              </w:rPr>
            </w:pPr>
            <w:r>
              <w:rPr>
                <w:rFonts w:ascii="Arial" w:cs="Arial" w:eastAsia="Arial" w:hAnsi="Arial"/>
                <w:sz w:val="17"/>
                <w:szCs w:val="17"/>
                <w:color w:val="auto"/>
                <w:w w:val="89"/>
              </w:rPr>
              <w:t>Form of Subscription Agreement (Incorporated by reference to Exhibit 10.12 to the Company’s Registration Statement on Form S-1 (File No. 333-167645))</w:t>
            </w:r>
          </w:p>
        </w:tc>
        <w:tc>
          <w:tcPr>
            <w:tcW w:w="0" w:type="dxa"/>
            <w:vAlign w:val="bottom"/>
          </w:tcPr>
          <w:p>
            <w:pPr>
              <w:spacing w:after="0"/>
              <w:rPr>
                <w:sz w:val="1"/>
                <w:szCs w:val="1"/>
                <w:color w:val="auto"/>
              </w:rPr>
            </w:pPr>
          </w:p>
        </w:tc>
      </w:tr>
      <w:tr>
        <w:trPr>
          <w:trHeight w:val="563"/>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3"/>
          </w:tcPr>
          <w:p>
            <w:pPr>
              <w:ind w:left="48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bl>
    <w:p>
      <w:pPr>
        <w:sectPr>
          <w:pgSz w:w="11900" w:h="16838" w:orient="portrait"/>
          <w:cols w:equalWidth="0" w:num="1">
            <w:col w:w="11380"/>
          </w:cols>
          <w:pgMar w:left="260" w:top="1250" w:right="25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 w:type="dxa"/>
            <w:vAlign w:val="bottom"/>
          </w:tcPr>
          <w:p>
            <w:pPr>
              <w:spacing w:after="0"/>
              <w:rPr>
                <w:sz w:val="20"/>
                <w:szCs w:val="20"/>
                <w:color w:val="auto"/>
              </w:rPr>
            </w:pPr>
            <w:r>
              <w:rPr>
                <w:rFonts w:ascii="Arial" w:cs="Arial" w:eastAsia="Arial" w:hAnsi="Arial"/>
                <w:sz w:val="17"/>
                <w:szCs w:val="17"/>
                <w:color w:val="auto"/>
              </w:rPr>
              <w:t>10.7†</w:t>
            </w:r>
          </w:p>
        </w:tc>
        <w:tc>
          <w:tcPr>
            <w:tcW w:w="10660" w:type="dxa"/>
            <w:vAlign w:val="bottom"/>
          </w:tcPr>
          <w:p>
            <w:pPr>
              <w:ind w:left="240"/>
              <w:spacing w:after="0"/>
              <w:rPr>
                <w:sz w:val="20"/>
                <w:szCs w:val="20"/>
                <w:color w:val="auto"/>
              </w:rPr>
            </w:pPr>
            <w:r>
              <w:rPr>
                <w:rFonts w:ascii="Arial" w:cs="Arial" w:eastAsia="Arial" w:hAnsi="Arial"/>
                <w:sz w:val="17"/>
                <w:szCs w:val="17"/>
                <w:color w:val="auto"/>
                <w:w w:val="90"/>
              </w:rPr>
              <w:t>Form of Restricted Stock Agreement for Directors under the Equity Incentive Plan of Booz Allen Hamilton Holding Corporation (Incorporated by reference</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to Exhibit 10.13 to the Company’s Registration Statement on Form S-1 (File No. 333-167645))</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10.8†</w:t>
            </w:r>
          </w:p>
        </w:tc>
        <w:tc>
          <w:tcPr>
            <w:tcW w:w="10660" w:type="dxa"/>
            <w:vAlign w:val="bottom"/>
          </w:tcPr>
          <w:p>
            <w:pPr>
              <w:ind w:left="240"/>
              <w:spacing w:after="0"/>
              <w:rPr>
                <w:sz w:val="20"/>
                <w:szCs w:val="20"/>
                <w:color w:val="auto"/>
              </w:rPr>
            </w:pPr>
            <w:r>
              <w:rPr>
                <w:rFonts w:ascii="Arial" w:cs="Arial" w:eastAsia="Arial" w:hAnsi="Arial"/>
                <w:sz w:val="17"/>
                <w:szCs w:val="17"/>
                <w:color w:val="auto"/>
                <w:w w:val="95"/>
              </w:rPr>
              <w:t>Form of Restricted Stock Agreement for Employees under the Equity Incentive Plan of Booz Allen Hamilton Holding Corporation (Incorporated by</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reference to Exhibit 10.14 to the Company’s Registration Statement on Form S-1 (File No. 333-167645))</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10.9†</w:t>
            </w: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Amended and Restated Booz Allen Hamilton Holding Corporation Annual Incentive Plan (Incorporated by reference to Exhibit 10.10 to the Company’s</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Quarterly Report for the period ended September 30, 2014 on Form 10-Q (File No. 001-34972))</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10.10†</w:t>
            </w:r>
          </w:p>
        </w:tc>
        <w:tc>
          <w:tcPr>
            <w:tcW w:w="10660" w:type="dxa"/>
            <w:vAlign w:val="bottom"/>
          </w:tcPr>
          <w:p>
            <w:pPr>
              <w:ind w:left="240"/>
              <w:spacing w:after="0"/>
              <w:rPr>
                <w:sz w:val="20"/>
                <w:szCs w:val="20"/>
                <w:color w:val="auto"/>
              </w:rPr>
            </w:pPr>
            <w:r>
              <w:rPr>
                <w:rFonts w:ascii="Arial" w:cs="Arial" w:eastAsia="Arial" w:hAnsi="Arial"/>
                <w:sz w:val="17"/>
                <w:szCs w:val="17"/>
                <w:color w:val="auto"/>
                <w:w w:val="90"/>
              </w:rPr>
              <w:t>Booz Allen Hamilton Holding Corporation Officers’ Retirement Plan (Incorporated by reference to Exhibit 10.16 to the Company’s Registration Statement</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on Form S-1 (File No. 333-167645))</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10.11†</w:t>
            </w:r>
          </w:p>
        </w:tc>
        <w:tc>
          <w:tcPr>
            <w:tcW w:w="10660" w:type="dxa"/>
            <w:vAlign w:val="bottom"/>
          </w:tcPr>
          <w:p>
            <w:pPr>
              <w:ind w:left="240"/>
              <w:spacing w:after="0"/>
              <w:rPr>
                <w:sz w:val="20"/>
                <w:szCs w:val="20"/>
                <w:color w:val="auto"/>
              </w:rPr>
            </w:pPr>
            <w:r>
              <w:rPr>
                <w:rFonts w:ascii="Arial" w:cs="Arial" w:eastAsia="Arial" w:hAnsi="Arial"/>
                <w:sz w:val="17"/>
                <w:szCs w:val="17"/>
                <w:color w:val="auto"/>
                <w:w w:val="90"/>
              </w:rPr>
              <w:t>Officer’s Comprehensive Medical and Dental Choice Plans (Incorporated by reference to Exhibit 10.17 to the Company’s Registration Statement on Form</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S-1 (File No. 333-167645))</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10.12†</w:t>
            </w:r>
          </w:p>
        </w:tc>
        <w:tc>
          <w:tcPr>
            <w:tcW w:w="10660" w:type="dxa"/>
            <w:vAlign w:val="bottom"/>
          </w:tcPr>
          <w:p>
            <w:pPr>
              <w:ind w:left="240"/>
              <w:spacing w:after="0"/>
              <w:rPr>
                <w:sz w:val="20"/>
                <w:szCs w:val="20"/>
                <w:color w:val="auto"/>
              </w:rPr>
            </w:pPr>
            <w:r>
              <w:rPr>
                <w:rFonts w:ascii="Arial" w:cs="Arial" w:eastAsia="Arial" w:hAnsi="Arial"/>
                <w:sz w:val="17"/>
                <w:szCs w:val="17"/>
                <w:color w:val="auto"/>
                <w:w w:val="89"/>
              </w:rPr>
              <w:t>Retired Officer’s Comprehensive Medical and Dental Choice Plans (Incorporated by reference to Exhibit 10.18 to the Company’s Registration Statement on</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Form S-1 (File No. 333-167645))</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10.13†</w:t>
            </w:r>
          </w:p>
        </w:tc>
        <w:tc>
          <w:tcPr>
            <w:tcW w:w="10660" w:type="dxa"/>
            <w:vAlign w:val="bottom"/>
          </w:tcPr>
          <w:p>
            <w:pPr>
              <w:ind w:left="240"/>
              <w:spacing w:after="0"/>
              <w:rPr>
                <w:sz w:val="20"/>
                <w:szCs w:val="20"/>
                <w:color w:val="auto"/>
              </w:rPr>
            </w:pPr>
            <w:r>
              <w:rPr>
                <w:rFonts w:ascii="Arial" w:cs="Arial" w:eastAsia="Arial" w:hAnsi="Arial"/>
                <w:sz w:val="17"/>
                <w:szCs w:val="17"/>
                <w:color w:val="auto"/>
                <w:w w:val="90"/>
              </w:rPr>
              <w:t>Group Variable Universal Life Insurance (Incorporated by reference to Exhibit 10.14 to the Company’s Annual Report for the year ended March 31, 2015</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on Form 10-K (File No. 001-34972))</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10.14†</w:t>
            </w: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Group Personal Excess Liability Insurance (Incorporated by reference to Exhibit 10.21 to the Company’s Registration Statement on Form S-1 (File No.</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333-167645))</w:t>
            </w:r>
          </w:p>
        </w:tc>
        <w:tc>
          <w:tcPr>
            <w:tcW w:w="0" w:type="dxa"/>
            <w:vAlign w:val="bottom"/>
          </w:tcPr>
          <w:p>
            <w:pPr>
              <w:spacing w:after="0"/>
              <w:rPr>
                <w:sz w:val="1"/>
                <w:szCs w:val="1"/>
                <w:color w:val="auto"/>
              </w:rPr>
            </w:pPr>
          </w:p>
        </w:tc>
      </w:tr>
      <w:tr>
        <w:trPr>
          <w:trHeight w:val="363"/>
        </w:trPr>
        <w:tc>
          <w:tcPr>
            <w:tcW w:w="700" w:type="dxa"/>
            <w:vAlign w:val="bottom"/>
          </w:tcPr>
          <w:p>
            <w:pPr>
              <w:spacing w:after="0"/>
              <w:rPr>
                <w:sz w:val="20"/>
                <w:szCs w:val="20"/>
                <w:color w:val="auto"/>
              </w:rPr>
            </w:pPr>
            <w:r>
              <w:rPr>
                <w:rFonts w:ascii="Arial" w:cs="Arial" w:eastAsia="Arial" w:hAnsi="Arial"/>
                <w:sz w:val="17"/>
                <w:szCs w:val="17"/>
                <w:color w:val="auto"/>
              </w:rPr>
              <w:t>10.15†</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Annual Performance Program (Incorporated by reference to Exhibit 10.22 to the Company’s Registration Statement on Form S-1 (File No. 333-167645))</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10.16†</w:t>
            </w:r>
          </w:p>
        </w:tc>
        <w:tc>
          <w:tcPr>
            <w:tcW w:w="10660" w:type="dxa"/>
            <w:vAlign w:val="bottom"/>
          </w:tcPr>
          <w:p>
            <w:pPr>
              <w:ind w:left="240"/>
              <w:spacing w:after="0"/>
              <w:rPr>
                <w:sz w:val="20"/>
                <w:szCs w:val="20"/>
                <w:color w:val="auto"/>
              </w:rPr>
            </w:pPr>
            <w:r>
              <w:rPr>
                <w:rFonts w:ascii="Arial" w:cs="Arial" w:eastAsia="Arial" w:hAnsi="Arial"/>
                <w:sz w:val="17"/>
                <w:szCs w:val="17"/>
                <w:color w:val="auto"/>
                <w:w w:val="94"/>
              </w:rPr>
              <w:t>Form of Booz Allen Hamilton Holding Corporation Director and Officer Indemnification Agreement (Incorporated by reference to Exhibit 10.23 to the</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Company’s Registration Statement on Form S-1 (File No. 333-167645))</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10.17†</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Form of Stock Option Agreement under the Amended and Restated Equity Incentive Plan of Booz Allen Hamilton Holding Corporation (Incorporated by</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reference to 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10.18†</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Officer Transition Policy (Incorporated by reference to Exhibit 10.24 to the Company’s Annual Report for the year ended March 31, 2011 on Form 10-K</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(File No. 001-34972))</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10.19†</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Form of Stock Option Agreement under the Amended and Restated Equity Incentive Plan of Booz Allen Hamilton Holding Corporation (Incorporated by</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9"/>
              </w:rPr>
              <w:t>reference to 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10.20</w:t>
            </w:r>
          </w:p>
        </w:tc>
        <w:tc>
          <w:tcPr>
            <w:tcW w:w="10660" w:type="dxa"/>
            <w:vAlign w:val="bottom"/>
          </w:tcPr>
          <w:p>
            <w:pPr>
              <w:ind w:left="240"/>
              <w:spacing w:after="0"/>
              <w:rPr>
                <w:sz w:val="20"/>
                <w:szCs w:val="20"/>
                <w:color w:val="auto"/>
              </w:rPr>
            </w:pPr>
            <w:r>
              <w:rPr>
                <w:rFonts w:ascii="Arial" w:cs="Arial" w:eastAsia="Arial" w:hAnsi="Arial"/>
                <w:sz w:val="17"/>
                <w:szCs w:val="17"/>
                <w:color w:val="auto"/>
                <w:w w:val="93"/>
              </w:rPr>
              <w:t>Credit Agreement among Booz Allen Hamilton Inc., as the Borrower, the several lenders from time to time parties thereto, Bank of America, N.A., as</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Administrative Agent, Collateral Agent and Issuing Lender, Merrill Lynch, Pierce, Fenner &amp; Smith Incorporated and Credit Suisse Securities (USA) LLC,</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as Joint Lead Arrangers, Merrill Lynch, Pierce, Fenner &amp; Smith Incorporated, Credit Suisse Securities (USA) LLC, Barclays Bank PLC, Citigroup Global</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Markets Inc., HSBC Securities (USA) Inc., J.P. Morgan Securities LLC, Morgan Stanley Senior Funding, Inc. and Sumimoto Mitsui Banking Corporation,</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as Joint Bookrunners, Credit Suisse Securities (USA) LLC, as Syndication Agent, Barclays Bank PLC, Citigroup Global Markets Inc., HSBC Securities</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(USA) Inc., J.P. Morgan Securities LLC, Morgan Stanley Senior Funding, Inc., Sumimoto Mitsui Banking Corporation and The Bank of Tokyo-Mitsubishi</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89"/>
              </w:rPr>
              <w:t>UFJ, Ltd., as Co-Documentation Agents, dated as of July 31, 2012 (Incorporated by reference to Exhibit 10.1 to the Company’s Periodic Report on Form 8-</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K filed on August 1, 2012 (File No. 001-34972))</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10.21</w:t>
            </w: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Guarantee and Collateral Agreement, among Booz Allen Hamilton Investor Corporation, Booz Allen Hamilton Inc., ASE, Inc. and Booz Allen Hamilton</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4"/>
              </w:rPr>
              <w:t>International, Inc., in favor of Bank of America, N.A., as Collateral Agent, dated as of July 31, 2012 (Incorporated by reference to Exhibit 10.2 to the</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Company’s Periodic Report on Form 8-K filed on August 1, 2012 (File No. 001-34972))</w:t>
            </w:r>
          </w:p>
        </w:tc>
        <w:tc>
          <w:tcPr>
            <w:tcW w:w="0" w:type="dxa"/>
            <w:vAlign w:val="bottom"/>
          </w:tcPr>
          <w:p>
            <w:pPr>
              <w:spacing w:after="0"/>
              <w:rPr>
                <w:sz w:val="1"/>
                <w:szCs w:val="1"/>
                <w:color w:val="auto"/>
              </w:rPr>
            </w:pPr>
          </w:p>
        </w:tc>
      </w:tr>
      <w:tr>
        <w:trPr>
          <w:trHeight w:val="363"/>
        </w:trPr>
        <w:tc>
          <w:tcPr>
            <w:tcW w:w="700" w:type="dxa"/>
            <w:vAlign w:val="bottom"/>
          </w:tcPr>
          <w:p>
            <w:pPr>
              <w:spacing w:after="0"/>
              <w:rPr>
                <w:sz w:val="20"/>
                <w:szCs w:val="20"/>
                <w:color w:val="auto"/>
              </w:rPr>
            </w:pPr>
            <w:r>
              <w:rPr>
                <w:rFonts w:ascii="Arial" w:cs="Arial" w:eastAsia="Arial" w:hAnsi="Arial"/>
                <w:sz w:val="17"/>
                <w:szCs w:val="17"/>
                <w:color w:val="auto"/>
              </w:rPr>
              <w:t>10.22</w:t>
            </w:r>
          </w:p>
        </w:tc>
        <w:tc>
          <w:tcPr>
            <w:tcW w:w="10660" w:type="dxa"/>
            <w:vAlign w:val="bottom"/>
            <w:vMerge w:val="restart"/>
          </w:tcPr>
          <w:p>
            <w:pPr>
              <w:ind w:left="240"/>
              <w:spacing w:after="0"/>
              <w:rPr>
                <w:sz w:val="20"/>
                <w:szCs w:val="20"/>
                <w:color w:val="auto"/>
              </w:rPr>
            </w:pPr>
            <w:r>
              <w:rPr>
                <w:rFonts w:ascii="Arial" w:cs="Arial" w:eastAsia="Arial" w:hAnsi="Arial"/>
                <w:sz w:val="17"/>
                <w:szCs w:val="17"/>
                <w:color w:val="auto"/>
                <w:w w:val="95"/>
              </w:rPr>
              <w:t>First Amendment to Credit Agreement, dated as of August 16, 2013, among Booz Allen Hamilton Inc., as Borrower, Booz Allen Hamilton Investor</w:t>
            </w:r>
          </w:p>
        </w:tc>
        <w:tc>
          <w:tcPr>
            <w:tcW w:w="0" w:type="dxa"/>
            <w:vAlign w:val="bottom"/>
          </w:tcPr>
          <w:p>
            <w:pPr>
              <w:spacing w:after="0"/>
              <w:rPr>
                <w:sz w:val="1"/>
                <w:szCs w:val="1"/>
                <w:color w:val="auto"/>
              </w:rPr>
            </w:pPr>
          </w:p>
        </w:tc>
      </w:tr>
      <w:tr>
        <w:trPr>
          <w:trHeight w:val="63"/>
        </w:trPr>
        <w:tc>
          <w:tcPr>
            <w:tcW w:w="700" w:type="dxa"/>
            <w:vAlign w:val="bottom"/>
          </w:tcPr>
          <w:p>
            <w:pPr>
              <w:spacing w:after="0"/>
              <w:rPr>
                <w:sz w:val="5"/>
                <w:szCs w:val="5"/>
                <w:color w:val="auto"/>
              </w:rPr>
            </w:pPr>
          </w:p>
        </w:tc>
        <w:tc>
          <w:tcPr>
            <w:tcW w:w="10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3"/>
              </w:rPr>
              <w:t>Corporation, Booz Allen Hamilton Engineering Holding Co., LLC, Booz Allen Hamilton Engineering Services, LLC, SDI Technology Corporation, and</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Booz Allen Hamilton International, Inc., as Guarantors,, Bank of America, N.A., as Administrative Agent, Collateral Agent and New Refinancing Tranche</w:t>
            </w: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6"/>
              </w:rPr>
              <w:t>B Term Lender, and the other Lenders and financial institutions from time to time party thereto. (Incorporated by reference to Exhibit 10.1 to the</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Company’s Periodic Report on Form 8-K filed on August 20, 2013 (File No. 001-34972))</w:t>
            </w:r>
          </w:p>
        </w:tc>
        <w:tc>
          <w:tcPr>
            <w:tcW w:w="0" w:type="dxa"/>
            <w:vAlign w:val="bottom"/>
          </w:tcPr>
          <w:p>
            <w:pPr>
              <w:spacing w:after="0"/>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7"/>
                <w:szCs w:val="17"/>
                <w:color w:val="auto"/>
              </w:rPr>
              <w:t>10.23†</w:t>
            </w:r>
          </w:p>
        </w:tc>
        <w:tc>
          <w:tcPr>
            <w:tcW w:w="10660" w:type="dxa"/>
            <w:vAlign w:val="bottom"/>
          </w:tcPr>
          <w:p>
            <w:pPr>
              <w:ind w:left="240"/>
              <w:spacing w:after="0"/>
              <w:rPr>
                <w:sz w:val="20"/>
                <w:szCs w:val="20"/>
                <w:color w:val="auto"/>
              </w:rPr>
            </w:pPr>
            <w:r>
              <w:rPr>
                <w:rFonts w:ascii="Arial" w:cs="Arial" w:eastAsia="Arial" w:hAnsi="Arial"/>
                <w:sz w:val="17"/>
                <w:szCs w:val="17"/>
                <w:color w:val="auto"/>
                <w:w w:val="89"/>
              </w:rPr>
              <w:t>Form of Employment Agreement (Incorporated by reference to Exhibit 10.27 to the Company’s Annual Report for the year ended March 31, 2014 on Form</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10-K (File No. 001-34972))</w:t>
            </w:r>
          </w:p>
        </w:tc>
        <w:tc>
          <w:tcPr>
            <w:tcW w:w="0" w:type="dxa"/>
            <w:vAlign w:val="bottom"/>
          </w:tcPr>
          <w:p>
            <w:pPr>
              <w:spacing w:after="0"/>
              <w:rPr>
                <w:sz w:val="1"/>
                <w:szCs w:val="1"/>
                <w:color w:val="auto"/>
              </w:rPr>
            </w:pPr>
          </w:p>
        </w:tc>
      </w:tr>
      <w:tr>
        <w:trPr>
          <w:trHeight w:val="563"/>
        </w:trPr>
        <w:tc>
          <w:tcPr>
            <w:tcW w:w="700" w:type="dxa"/>
            <w:vAlign w:val="bottom"/>
          </w:tcPr>
          <w:p>
            <w:pPr>
              <w:spacing w:after="0"/>
              <w:rPr>
                <w:sz w:val="24"/>
                <w:szCs w:val="24"/>
                <w:color w:val="auto"/>
              </w:rPr>
            </w:pPr>
          </w:p>
        </w:tc>
        <w:tc>
          <w:tcPr>
            <w:tcW w:w="10660" w:type="dxa"/>
            <w:vAlign w:val="bottom"/>
          </w:tcPr>
          <w:p>
            <w:pPr>
              <w:ind w:left="49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bl>
    <w:p>
      <w:pPr>
        <w:sectPr>
          <w:pgSz w:w="11900" w:h="16838" w:orient="portrait"/>
          <w:cols w:equalWidth="0" w:num="1">
            <w:col w:w="11360"/>
          </w:cols>
          <w:pgMar w:left="260" w:top="803" w:right="27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 w:type="dxa"/>
            <w:vAlign w:val="bottom"/>
          </w:tcPr>
          <w:p>
            <w:pPr>
              <w:spacing w:after="0"/>
              <w:rPr>
                <w:sz w:val="20"/>
                <w:szCs w:val="20"/>
                <w:color w:val="auto"/>
              </w:rPr>
            </w:pPr>
            <w:r>
              <w:rPr>
                <w:rFonts w:ascii="Arial" w:cs="Arial" w:eastAsia="Arial" w:hAnsi="Arial"/>
                <w:sz w:val="17"/>
                <w:szCs w:val="17"/>
                <w:color w:val="auto"/>
              </w:rPr>
              <w:t>10.24†</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Form of Restricted Stock Agreement under the Amended and Restated Equity Incentive Plan of Booz Allen Hamilton Holding Corporation (Incorporated</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by reference to Exhibit 10.28 to the Company’s Annual Report for the year ended March 31, 2014 on Form 10-K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10.25†</w:t>
            </w:r>
          </w:p>
        </w:tc>
        <w:tc>
          <w:tcPr>
            <w:tcW w:w="10660" w:type="dxa"/>
            <w:vAlign w:val="bottom"/>
          </w:tcPr>
          <w:p>
            <w:pPr>
              <w:ind w:left="240"/>
              <w:spacing w:after="0"/>
              <w:rPr>
                <w:sz w:val="20"/>
                <w:szCs w:val="20"/>
                <w:color w:val="auto"/>
              </w:rPr>
            </w:pPr>
            <w:r>
              <w:rPr>
                <w:rFonts w:ascii="Arial" w:cs="Arial" w:eastAsia="Arial" w:hAnsi="Arial"/>
                <w:sz w:val="17"/>
                <w:szCs w:val="17"/>
                <w:color w:val="auto"/>
                <w:w w:val="97"/>
              </w:rPr>
              <w:t>Form of Restricted Stock Unit Agreement under the Amended and Restated Equity Incentive Plan of Booz Allen Hamilton Holding Corporation</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3"/>
              </w:rPr>
              <w:t>(Incorporated by reference to Exhibit 10.29 to the Company’s Annual Report for the year ended March 31, 2014 on Form 10-K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10.26</w:t>
            </w:r>
          </w:p>
        </w:tc>
        <w:tc>
          <w:tcPr>
            <w:tcW w:w="10660" w:type="dxa"/>
            <w:vAlign w:val="bottom"/>
          </w:tcPr>
          <w:p>
            <w:pPr>
              <w:ind w:left="240"/>
              <w:spacing w:after="0"/>
              <w:rPr>
                <w:sz w:val="20"/>
                <w:szCs w:val="20"/>
                <w:color w:val="auto"/>
              </w:rPr>
            </w:pPr>
            <w:r>
              <w:rPr>
                <w:rFonts w:ascii="Arial" w:cs="Arial" w:eastAsia="Arial" w:hAnsi="Arial"/>
                <w:sz w:val="17"/>
                <w:szCs w:val="17"/>
                <w:color w:val="auto"/>
                <w:w w:val="96"/>
              </w:rPr>
              <w:t>Second Amendment to Credit Agreement, dated as of May 7, 2014, among Booz Allen Hamilton Inc., as Borrower, Booz Allen Hamilton Investor</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Corporation, Booz Allen Hamilton Engineering Holding Co., LLC, Booz Allen Hamilton Engineering Services, LLC, SDI Technology Corporation, ASE,</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0"/>
              </w:rPr>
              <w:t>Inc. and Booz Allen Hamilton International, Inc., as Guarantors, Bank of America, N.A., as Administrative Agent, Collateral Agent and Issuing Lender, and</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0"/>
              </w:rPr>
              <w:t>the other Lenders and financial institutions from time to time party thereto (Incorporated by reference to Exhibit 10.1 to the Company’s Periodic Report on</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Form 8-K filed on May 13, 2014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10.27</w:t>
            </w:r>
          </w:p>
        </w:tc>
        <w:tc>
          <w:tcPr>
            <w:tcW w:w="10660" w:type="dxa"/>
            <w:vAlign w:val="bottom"/>
          </w:tcPr>
          <w:p>
            <w:pPr>
              <w:ind w:left="240"/>
              <w:spacing w:after="0"/>
              <w:rPr>
                <w:sz w:val="20"/>
                <w:szCs w:val="20"/>
                <w:color w:val="auto"/>
              </w:rPr>
            </w:pPr>
            <w:r>
              <w:rPr>
                <w:rFonts w:ascii="Arial" w:cs="Arial" w:eastAsia="Arial" w:hAnsi="Arial"/>
                <w:sz w:val="17"/>
                <w:szCs w:val="17"/>
                <w:color w:val="auto"/>
                <w:w w:val="97"/>
              </w:rPr>
              <w:t>Third Amendment to Credit Agreement, dated as of July 13, 2016, among Booz Allen Hamilton Inc., as Borrower, Booz Allen Hamilton Investor</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Corporation, Booz Allen Hamilton Engineering Holding Co., LLC, Booz Allen Hamilton Engineering Services, LLC, SDI Technology Corporation, ASE,</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Inc. and Booz Allen Hamilton International, Inc., as Guarantors, Bank of America, N.A., as Administrative Agent, Collateral Agent and New Refinancing</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Tranche B Term Lender, and the other Lenders and financial institutions from time to time party thereto (Incorporated by reference to Exhibit 10.1 to the</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Company’s Periodic Report on Form 8-K filed on July 18, 2016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10.28</w:t>
            </w:r>
          </w:p>
        </w:tc>
        <w:tc>
          <w:tcPr>
            <w:tcW w:w="10660" w:type="dxa"/>
            <w:vAlign w:val="bottom"/>
          </w:tcPr>
          <w:p>
            <w:pPr>
              <w:ind w:left="240"/>
              <w:spacing w:after="0"/>
              <w:rPr>
                <w:sz w:val="20"/>
                <w:szCs w:val="20"/>
                <w:color w:val="auto"/>
              </w:rPr>
            </w:pPr>
            <w:r>
              <w:rPr>
                <w:rFonts w:ascii="Arial" w:cs="Arial" w:eastAsia="Arial" w:hAnsi="Arial"/>
                <w:sz w:val="17"/>
                <w:szCs w:val="17"/>
                <w:color w:val="auto"/>
                <w:w w:val="93"/>
              </w:rPr>
              <w:t>Fourth Amendment to Credit Agreement, dated as of February 6, 2017, among Booz Allen Hamilton Inc., as Borrower, Booz Allen Hamilton Investor</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Corporation, Booz Allen Hamilton Engineering Holding Co., LLC, Booz Allen Hamilton Engineering Services, LLC and SDI Technology Corporation, as</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Guarantors, Bank of America, N.A., as Administrative Agent, Collateral Agent and New Refinancing Tranche B Term Lender, and the other Lenders and</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3"/>
              </w:rPr>
              <w:t>financial institutions from time to time party thereto (Incorporated by reference to Exhibit 10.1 to the Company’s Periodic Report on Form 8-K filed on</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February 7, 2017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10.29</w:t>
            </w:r>
          </w:p>
        </w:tc>
        <w:tc>
          <w:tcPr>
            <w:tcW w:w="10660" w:type="dxa"/>
            <w:vAlign w:val="bottom"/>
          </w:tcPr>
          <w:p>
            <w:pPr>
              <w:ind w:left="240"/>
              <w:spacing w:after="0"/>
              <w:rPr>
                <w:sz w:val="20"/>
                <w:szCs w:val="20"/>
                <w:color w:val="auto"/>
              </w:rPr>
            </w:pPr>
            <w:r>
              <w:rPr>
                <w:rFonts w:ascii="Arial" w:cs="Arial" w:eastAsia="Arial" w:hAnsi="Arial"/>
                <w:sz w:val="17"/>
                <w:szCs w:val="17"/>
                <w:color w:val="auto"/>
                <w:w w:val="94"/>
              </w:rPr>
              <w:t>ISDA 2002 Master Agreement, by and between Booz Allen Hamilton Inc. and Bank of America, N.A., dated as of December 17, 2014 (the “Bank of</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5"/>
              </w:rPr>
              <w:t>America Master Agreement”), and the Amended and Restated Schedule to the Bank of America Master Agreement, dated as of February 6, 2017</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(Incorporated by reference to Exhibit 10.1 to the Company’s Periodic Report on Form 8-K filed on April 11, 2017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10.30</w:t>
            </w: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ISDA 2002 Master Agreement, by and between Booz Allen Hamilton Inc. and JPMorgan Chase Bank, N.A., dated as of December 17, 2014 (the “JPM</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89"/>
              </w:rPr>
              <w:t>Master Agreement”), and the Amended and Restated Schedule to the JPM Master Agreement, dated as of February 8, 2017 (Incorporated by reference to</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Exhibit 10.2 to the Company’s Periodic Report on Form 8-K filed on April 11, 2017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10.31</w:t>
            </w:r>
          </w:p>
        </w:tc>
        <w:tc>
          <w:tcPr>
            <w:tcW w:w="10660" w:type="dxa"/>
            <w:vAlign w:val="bottom"/>
          </w:tcPr>
          <w:p>
            <w:pPr>
              <w:ind w:left="240"/>
              <w:spacing w:after="0"/>
              <w:rPr>
                <w:sz w:val="20"/>
                <w:szCs w:val="20"/>
                <w:color w:val="auto"/>
              </w:rPr>
            </w:pPr>
            <w:r>
              <w:rPr>
                <w:rFonts w:ascii="Arial" w:cs="Arial" w:eastAsia="Arial" w:hAnsi="Arial"/>
                <w:sz w:val="17"/>
                <w:szCs w:val="17"/>
                <w:color w:val="auto"/>
                <w:w w:val="92"/>
              </w:rPr>
              <w:t>ISDA 2002 Master Agreement, by and between Booz Allen Hamilton Inc. and Fifth Third Bank, dated as of December 16, 2014 (the “Fifth Third Master</w:t>
            </w:r>
          </w:p>
        </w:tc>
      </w:tr>
      <w:tr>
        <w:trPr>
          <w:trHeight w:val="200"/>
        </w:trPr>
        <w:tc>
          <w:tcPr>
            <w:tcW w:w="700" w:type="dxa"/>
            <w:vAlign w:val="bottom"/>
          </w:tcPr>
          <w:p>
            <w:pPr>
              <w:spacing w:after="0"/>
              <w:rPr>
                <w:sz w:val="17"/>
                <w:szCs w:val="17"/>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w w:val="90"/>
              </w:rPr>
              <w:t>Agreement”), and the Amended and Restated Schedule to the Fifth Third Master Agreement, dated as of February 7, 2017 (Incorporated by reference to</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Exhibit 10.3 to the Company’s Periodic Report on Form 8-K filed on April 11, 2017 (File No. 001-34972))</w:t>
            </w:r>
          </w:p>
        </w:tc>
      </w:tr>
      <w:tr>
        <w:trPr>
          <w:trHeight w:val="238"/>
        </w:trPr>
        <w:tc>
          <w:tcPr>
            <w:tcW w:w="700" w:type="dxa"/>
            <w:vAlign w:val="bottom"/>
          </w:tcPr>
          <w:p>
            <w:pPr>
              <w:spacing w:after="0"/>
              <w:rPr>
                <w:sz w:val="20"/>
                <w:szCs w:val="20"/>
                <w:color w:val="auto"/>
              </w:rPr>
            </w:pPr>
            <w:r>
              <w:rPr>
                <w:rFonts w:ascii="Arial" w:cs="Arial" w:eastAsia="Arial" w:hAnsi="Arial"/>
                <w:sz w:val="17"/>
                <w:szCs w:val="17"/>
                <w:color w:val="auto"/>
              </w:rPr>
              <w:t>10.32</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Confirmation of transaction, by and between Booz Allen Hamilton Inc. and Bank of America, N.A., dated as of April 10, 2017 (Incorporated by reference</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to Exhibit 10.4 to the Company’s Periodic Report on Form 8-K filed on April 11, 2017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10.33</w:t>
            </w:r>
          </w:p>
        </w:tc>
        <w:tc>
          <w:tcPr>
            <w:tcW w:w="10660" w:type="dxa"/>
            <w:vAlign w:val="bottom"/>
          </w:tcPr>
          <w:p>
            <w:pPr>
              <w:ind w:left="240"/>
              <w:spacing w:after="0"/>
              <w:rPr>
                <w:sz w:val="20"/>
                <w:szCs w:val="20"/>
                <w:color w:val="auto"/>
              </w:rPr>
            </w:pPr>
            <w:r>
              <w:rPr>
                <w:rFonts w:ascii="Arial" w:cs="Arial" w:eastAsia="Arial" w:hAnsi="Arial"/>
                <w:sz w:val="17"/>
                <w:szCs w:val="17"/>
                <w:color w:val="auto"/>
                <w:w w:val="93"/>
              </w:rPr>
              <w:t>Confirmation of transaction, by and between Booz Allen Hamilton Inc. and JPMorgan Chase Bank, N.A., dated as of April 11, 2017 (Incorporated by</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reference to Exhibit 10.5 to the Company’s Periodic Report on Form 8-K filed on April 11, 2017 (File No. 001-34972))</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10.34</w:t>
            </w:r>
          </w:p>
        </w:tc>
        <w:tc>
          <w:tcPr>
            <w:tcW w:w="10660" w:type="dxa"/>
            <w:vAlign w:val="bottom"/>
          </w:tcPr>
          <w:p>
            <w:pPr>
              <w:ind w:left="240"/>
              <w:spacing w:after="0"/>
              <w:rPr>
                <w:sz w:val="20"/>
                <w:szCs w:val="20"/>
                <w:color w:val="auto"/>
              </w:rPr>
            </w:pPr>
            <w:r>
              <w:rPr>
                <w:rFonts w:ascii="Arial" w:cs="Arial" w:eastAsia="Arial" w:hAnsi="Arial"/>
                <w:sz w:val="17"/>
                <w:szCs w:val="17"/>
                <w:color w:val="auto"/>
                <w:w w:val="94"/>
              </w:rPr>
              <w:t>Confirmation of transaction, by and between Booz Allen Hamilton Inc. and Fifth Third Bank, dated as of April 6, 2017 (Incorporated by reference to</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Exhibit 10.6 to the Company’s Periodic Report on Form 8-K filed on April 11, 2017 (File No. 001-34972))</w:t>
            </w:r>
          </w:p>
        </w:tc>
      </w:tr>
      <w:tr>
        <w:trPr>
          <w:trHeight w:val="363"/>
        </w:trPr>
        <w:tc>
          <w:tcPr>
            <w:tcW w:w="700" w:type="dxa"/>
            <w:vAlign w:val="bottom"/>
          </w:tcPr>
          <w:p>
            <w:pPr>
              <w:spacing w:after="0"/>
              <w:rPr>
                <w:sz w:val="20"/>
                <w:szCs w:val="20"/>
                <w:color w:val="auto"/>
              </w:rPr>
            </w:pPr>
            <w:r>
              <w:rPr>
                <w:rFonts w:ascii="Arial" w:cs="Arial" w:eastAsia="Arial" w:hAnsi="Arial"/>
                <w:sz w:val="17"/>
                <w:szCs w:val="17"/>
                <w:color w:val="auto"/>
              </w:rPr>
              <w:t>10.35†</w:t>
            </w:r>
          </w:p>
        </w:tc>
        <w:tc>
          <w:tcPr>
            <w:tcW w:w="10660" w:type="dxa"/>
            <w:vAlign w:val="bottom"/>
          </w:tcPr>
          <w:p>
            <w:pPr>
              <w:ind w:left="240"/>
              <w:spacing w:after="0"/>
              <w:rPr>
                <w:sz w:val="20"/>
                <w:szCs w:val="20"/>
                <w:color w:val="auto"/>
              </w:rPr>
            </w:pPr>
            <w:r>
              <w:rPr>
                <w:rFonts w:ascii="Arial" w:cs="Arial" w:eastAsia="Arial" w:hAnsi="Arial"/>
                <w:sz w:val="17"/>
                <w:szCs w:val="17"/>
                <w:color w:val="auto"/>
              </w:rPr>
              <w:t>Booz Allen Hamilton Inc. Nonqualified Deferred Compensation Plan*</w:t>
            </w:r>
          </w:p>
        </w:tc>
      </w:tr>
      <w:tr>
        <w:trPr>
          <w:trHeight w:val="363"/>
        </w:trPr>
        <w:tc>
          <w:tcPr>
            <w:tcW w:w="700" w:type="dxa"/>
            <w:vAlign w:val="bottom"/>
          </w:tcPr>
          <w:p>
            <w:pPr>
              <w:spacing w:after="0"/>
              <w:rPr>
                <w:sz w:val="20"/>
                <w:szCs w:val="20"/>
                <w:color w:val="auto"/>
              </w:rPr>
            </w:pPr>
            <w:r>
              <w:rPr>
                <w:rFonts w:ascii="Arial" w:cs="Arial" w:eastAsia="Arial" w:hAnsi="Arial"/>
                <w:sz w:val="17"/>
                <w:szCs w:val="17"/>
                <w:color w:val="auto"/>
              </w:rPr>
              <w:t>10.36†</w:t>
            </w:r>
          </w:p>
        </w:tc>
        <w:tc>
          <w:tcPr>
            <w:tcW w:w="10660" w:type="dxa"/>
            <w:vAlign w:val="bottom"/>
          </w:tcPr>
          <w:p>
            <w:pPr>
              <w:ind w:left="240"/>
              <w:spacing w:after="0"/>
              <w:rPr>
                <w:sz w:val="20"/>
                <w:szCs w:val="20"/>
                <w:color w:val="auto"/>
              </w:rPr>
            </w:pPr>
            <w:r>
              <w:rPr>
                <w:rFonts w:ascii="Arial" w:cs="Arial" w:eastAsia="Arial" w:hAnsi="Arial"/>
                <w:sz w:val="17"/>
                <w:szCs w:val="17"/>
                <w:color w:val="auto"/>
                <w:w w:val="96"/>
              </w:rPr>
              <w:t>Form of Stock Option Agreement under the Second Amended and Restated Equity Incentive Plan of Booz Allen Hamilton Holding Corporation*</w:t>
            </w:r>
          </w:p>
        </w:tc>
      </w:tr>
      <w:tr>
        <w:trPr>
          <w:trHeight w:val="351"/>
        </w:trPr>
        <w:tc>
          <w:tcPr>
            <w:tcW w:w="700" w:type="dxa"/>
            <w:vAlign w:val="bottom"/>
          </w:tcPr>
          <w:p>
            <w:pPr>
              <w:spacing w:after="0"/>
              <w:rPr>
                <w:sz w:val="20"/>
                <w:szCs w:val="20"/>
                <w:color w:val="auto"/>
              </w:rPr>
            </w:pPr>
            <w:r>
              <w:rPr>
                <w:rFonts w:ascii="Arial" w:cs="Arial" w:eastAsia="Arial" w:hAnsi="Arial"/>
                <w:sz w:val="17"/>
                <w:szCs w:val="17"/>
                <w:color w:val="auto"/>
              </w:rPr>
              <w:t>10.37†</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Form of Performance Restricted Stock Unit Agreement under the Second Amended and Restated Equity Incentive Plan of Booz Allen Hamilton Holding</w:t>
            </w:r>
          </w:p>
        </w:tc>
      </w:tr>
      <w:tr>
        <w:trPr>
          <w:trHeight w:val="213"/>
        </w:trPr>
        <w:tc>
          <w:tcPr>
            <w:tcW w:w="70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7"/>
                <w:szCs w:val="17"/>
                <w:color w:val="auto"/>
              </w:rPr>
              <w:t>Corporation*</w:t>
            </w:r>
          </w:p>
        </w:tc>
      </w:tr>
      <w:tr>
        <w:trPr>
          <w:trHeight w:val="363"/>
        </w:trPr>
        <w:tc>
          <w:tcPr>
            <w:tcW w:w="700" w:type="dxa"/>
            <w:vAlign w:val="bottom"/>
          </w:tcPr>
          <w:p>
            <w:pPr>
              <w:spacing w:after="0"/>
              <w:rPr>
                <w:sz w:val="20"/>
                <w:szCs w:val="20"/>
                <w:color w:val="auto"/>
              </w:rPr>
            </w:pPr>
            <w:r>
              <w:rPr>
                <w:rFonts w:ascii="Arial" w:cs="Arial" w:eastAsia="Arial" w:hAnsi="Arial"/>
                <w:sz w:val="17"/>
                <w:szCs w:val="17"/>
                <w:color w:val="auto"/>
              </w:rPr>
              <w:t>10.38†</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Form of Restricted Stock Unit Agreement under the Second Amended and Restated Equity Incentive Plan of Booz Allen Hamilton Holding Corporation*</w:t>
            </w:r>
          </w:p>
        </w:tc>
      </w:tr>
      <w:tr>
        <w:trPr>
          <w:trHeight w:val="363"/>
        </w:trPr>
        <w:tc>
          <w:tcPr>
            <w:tcW w:w="700" w:type="dxa"/>
            <w:vAlign w:val="bottom"/>
          </w:tcPr>
          <w:p>
            <w:pPr>
              <w:spacing w:after="0"/>
              <w:rPr>
                <w:sz w:val="20"/>
                <w:szCs w:val="20"/>
                <w:color w:val="auto"/>
              </w:rPr>
            </w:pPr>
            <w:r>
              <w:rPr>
                <w:rFonts w:ascii="Arial" w:cs="Arial" w:eastAsia="Arial" w:hAnsi="Arial"/>
                <w:sz w:val="17"/>
                <w:szCs w:val="17"/>
                <w:color w:val="auto"/>
              </w:rPr>
              <w:t>10.39†</w:t>
            </w:r>
          </w:p>
        </w:tc>
        <w:tc>
          <w:tcPr>
            <w:tcW w:w="10660" w:type="dxa"/>
            <w:vAlign w:val="bottom"/>
          </w:tcPr>
          <w:p>
            <w:pPr>
              <w:ind w:left="240"/>
              <w:spacing w:after="0"/>
              <w:rPr>
                <w:sz w:val="20"/>
                <w:szCs w:val="20"/>
                <w:color w:val="auto"/>
              </w:rPr>
            </w:pPr>
            <w:r>
              <w:rPr>
                <w:rFonts w:ascii="Arial" w:cs="Arial" w:eastAsia="Arial" w:hAnsi="Arial"/>
                <w:sz w:val="17"/>
                <w:szCs w:val="17"/>
                <w:color w:val="auto"/>
                <w:w w:val="91"/>
              </w:rPr>
              <w:t>Form of Restricted Stock Unit Agreement under the Second Amended and Restated Equity Incentive Plan of Booz Allen Hamilton Holding Corporation*</w:t>
            </w:r>
          </w:p>
        </w:tc>
      </w:tr>
      <w:tr>
        <w:trPr>
          <w:trHeight w:val="563"/>
        </w:trPr>
        <w:tc>
          <w:tcPr>
            <w:tcW w:w="700" w:type="dxa"/>
            <w:vAlign w:val="bottom"/>
          </w:tcPr>
          <w:p>
            <w:pPr>
              <w:spacing w:after="0"/>
              <w:rPr>
                <w:sz w:val="24"/>
                <w:szCs w:val="24"/>
                <w:color w:val="auto"/>
              </w:rPr>
            </w:pPr>
          </w:p>
        </w:tc>
        <w:tc>
          <w:tcPr>
            <w:tcW w:w="10660" w:type="dxa"/>
            <w:vAlign w:val="bottom"/>
          </w:tcPr>
          <w:p>
            <w:pPr>
              <w:ind w:left="4920"/>
              <w:spacing w:after="0"/>
              <w:rPr>
                <w:sz w:val="20"/>
                <w:szCs w:val="20"/>
                <w:color w:val="auto"/>
              </w:rPr>
            </w:pPr>
            <w:r>
              <w:rPr>
                <w:rFonts w:ascii="Arial" w:cs="Arial" w:eastAsia="Arial" w:hAnsi="Arial"/>
                <w:sz w:val="17"/>
                <w:szCs w:val="17"/>
                <w:color w:val="auto"/>
              </w:rPr>
              <w:t>70</w:t>
            </w:r>
          </w:p>
        </w:tc>
      </w:tr>
    </w:tbl>
    <w:p>
      <w:pPr>
        <w:sectPr>
          <w:pgSz w:w="11900" w:h="16838" w:orient="portrait"/>
          <w:cols w:equalWidth="0" w:num="1">
            <w:col w:w="11360"/>
          </w:cols>
          <w:pgMar w:left="260" w:top="803" w:right="279" w:bottom="1440" w:gutter="0" w:footer="0" w:header="0"/>
        </w:sectPr>
      </w:pPr>
    </w:p>
    <w:bookmarkStart w:id="111" w:name="page112"/>
    <w:bookmarkEnd w:id="11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20" w:type="dxa"/>
            <w:vAlign w:val="bottom"/>
          </w:tcPr>
          <w:p>
            <w:pPr>
              <w:spacing w:after="0"/>
              <w:rPr>
                <w:sz w:val="20"/>
                <w:szCs w:val="20"/>
                <w:color w:val="auto"/>
              </w:rPr>
            </w:pPr>
            <w:r>
              <w:rPr>
                <w:rFonts w:ascii="Arial" w:cs="Arial" w:eastAsia="Arial" w:hAnsi="Arial"/>
                <w:sz w:val="17"/>
                <w:szCs w:val="17"/>
                <w:color w:val="auto"/>
              </w:rPr>
              <w:t>21</w:t>
            </w:r>
          </w:p>
        </w:tc>
        <w:tc>
          <w:tcPr>
            <w:tcW w:w="10600" w:type="dxa"/>
            <w:vAlign w:val="bottom"/>
          </w:tcPr>
          <w:p>
            <w:pPr>
              <w:ind w:left="320"/>
              <w:spacing w:after="0"/>
              <w:rPr>
                <w:sz w:val="20"/>
                <w:szCs w:val="20"/>
                <w:color w:val="auto"/>
              </w:rPr>
            </w:pPr>
            <w:r>
              <w:rPr>
                <w:rFonts w:ascii="Arial" w:cs="Arial" w:eastAsia="Arial" w:hAnsi="Arial"/>
                <w:sz w:val="17"/>
                <w:szCs w:val="17"/>
                <w:color w:val="auto"/>
              </w:rPr>
              <w:t>Subsidiaries of the registrant*</w:t>
            </w:r>
          </w:p>
        </w:tc>
      </w:tr>
      <w:tr>
        <w:trPr>
          <w:trHeight w:val="363"/>
        </w:trPr>
        <w:tc>
          <w:tcPr>
            <w:tcW w:w="620" w:type="dxa"/>
            <w:vAlign w:val="bottom"/>
          </w:tcPr>
          <w:p>
            <w:pPr>
              <w:spacing w:after="0"/>
              <w:rPr>
                <w:sz w:val="20"/>
                <w:szCs w:val="20"/>
                <w:color w:val="auto"/>
              </w:rPr>
            </w:pPr>
            <w:r>
              <w:rPr>
                <w:rFonts w:ascii="Arial" w:cs="Arial" w:eastAsia="Arial" w:hAnsi="Arial"/>
                <w:sz w:val="17"/>
                <w:szCs w:val="17"/>
                <w:color w:val="auto"/>
              </w:rPr>
              <w:t>23</w:t>
            </w:r>
          </w:p>
        </w:tc>
        <w:tc>
          <w:tcPr>
            <w:tcW w:w="10600" w:type="dxa"/>
            <w:vAlign w:val="bottom"/>
          </w:tcPr>
          <w:p>
            <w:pPr>
              <w:ind w:left="320"/>
              <w:spacing w:after="0"/>
              <w:rPr>
                <w:sz w:val="20"/>
                <w:szCs w:val="20"/>
                <w:color w:val="auto"/>
              </w:rPr>
            </w:pPr>
            <w:r>
              <w:rPr>
                <w:rFonts w:ascii="Arial" w:cs="Arial" w:eastAsia="Arial" w:hAnsi="Arial"/>
                <w:sz w:val="17"/>
                <w:szCs w:val="17"/>
                <w:color w:val="auto"/>
              </w:rPr>
              <w:t>Consent of Ernst &amp; Young LLP, Independent Registered Public Accounting Firm*</w:t>
            </w:r>
          </w:p>
        </w:tc>
      </w:tr>
      <w:tr>
        <w:trPr>
          <w:trHeight w:val="363"/>
        </w:trPr>
        <w:tc>
          <w:tcPr>
            <w:tcW w:w="620" w:type="dxa"/>
            <w:vAlign w:val="bottom"/>
          </w:tcPr>
          <w:p>
            <w:pPr>
              <w:spacing w:after="0"/>
              <w:rPr>
                <w:sz w:val="20"/>
                <w:szCs w:val="20"/>
                <w:color w:val="auto"/>
              </w:rPr>
            </w:pPr>
            <w:r>
              <w:rPr>
                <w:rFonts w:ascii="Arial" w:cs="Arial" w:eastAsia="Arial" w:hAnsi="Arial"/>
                <w:sz w:val="17"/>
                <w:szCs w:val="17"/>
                <w:color w:val="auto"/>
              </w:rPr>
              <w:t>31.1</w:t>
            </w:r>
          </w:p>
        </w:tc>
        <w:tc>
          <w:tcPr>
            <w:tcW w:w="10600" w:type="dxa"/>
            <w:vAlign w:val="bottom"/>
          </w:tcPr>
          <w:p>
            <w:pPr>
              <w:ind w:left="320"/>
              <w:spacing w:after="0"/>
              <w:rPr>
                <w:sz w:val="20"/>
                <w:szCs w:val="20"/>
                <w:color w:val="auto"/>
              </w:rPr>
            </w:pPr>
            <w:r>
              <w:rPr>
                <w:rFonts w:ascii="Arial" w:cs="Arial" w:eastAsia="Arial" w:hAnsi="Arial"/>
                <w:sz w:val="17"/>
                <w:szCs w:val="17"/>
                <w:color w:val="auto"/>
              </w:rPr>
              <w:t>Rule 13a-14(a)/15d-14(a) Certification of the Chief Executive Officer*</w:t>
            </w:r>
          </w:p>
        </w:tc>
      </w:tr>
      <w:tr>
        <w:trPr>
          <w:trHeight w:val="363"/>
        </w:trPr>
        <w:tc>
          <w:tcPr>
            <w:tcW w:w="620" w:type="dxa"/>
            <w:vAlign w:val="bottom"/>
          </w:tcPr>
          <w:p>
            <w:pPr>
              <w:spacing w:after="0"/>
              <w:rPr>
                <w:sz w:val="20"/>
                <w:szCs w:val="20"/>
                <w:color w:val="auto"/>
              </w:rPr>
            </w:pPr>
            <w:r>
              <w:rPr>
                <w:rFonts w:ascii="Arial" w:cs="Arial" w:eastAsia="Arial" w:hAnsi="Arial"/>
                <w:sz w:val="17"/>
                <w:szCs w:val="17"/>
                <w:color w:val="auto"/>
              </w:rPr>
              <w:t>31.2</w:t>
            </w:r>
          </w:p>
        </w:tc>
        <w:tc>
          <w:tcPr>
            <w:tcW w:w="10600" w:type="dxa"/>
            <w:vAlign w:val="bottom"/>
          </w:tcPr>
          <w:p>
            <w:pPr>
              <w:ind w:left="320"/>
              <w:spacing w:after="0"/>
              <w:rPr>
                <w:sz w:val="20"/>
                <w:szCs w:val="20"/>
                <w:color w:val="auto"/>
              </w:rPr>
            </w:pPr>
            <w:r>
              <w:rPr>
                <w:rFonts w:ascii="Arial" w:cs="Arial" w:eastAsia="Arial" w:hAnsi="Arial"/>
                <w:sz w:val="17"/>
                <w:szCs w:val="17"/>
                <w:color w:val="auto"/>
              </w:rPr>
              <w:t>Rule 13a-14(a)/15d-14(a) Certification of the Chief Financial Officer*</w:t>
            </w:r>
          </w:p>
        </w:tc>
      </w:tr>
      <w:tr>
        <w:trPr>
          <w:trHeight w:val="351"/>
        </w:trPr>
        <w:tc>
          <w:tcPr>
            <w:tcW w:w="620" w:type="dxa"/>
            <w:vAlign w:val="bottom"/>
          </w:tcPr>
          <w:p>
            <w:pPr>
              <w:spacing w:after="0"/>
              <w:rPr>
                <w:sz w:val="20"/>
                <w:szCs w:val="20"/>
                <w:color w:val="auto"/>
              </w:rPr>
            </w:pPr>
            <w:r>
              <w:rPr>
                <w:rFonts w:ascii="Arial" w:cs="Arial" w:eastAsia="Arial" w:hAnsi="Arial"/>
                <w:sz w:val="17"/>
                <w:szCs w:val="17"/>
                <w:color w:val="auto"/>
              </w:rPr>
              <w:t>32.1</w:t>
            </w:r>
          </w:p>
        </w:tc>
        <w:tc>
          <w:tcPr>
            <w:tcW w:w="10600" w:type="dxa"/>
            <w:vAlign w:val="bottom"/>
          </w:tcPr>
          <w:p>
            <w:pPr>
              <w:ind w:left="320"/>
              <w:spacing w:after="0"/>
              <w:rPr>
                <w:sz w:val="20"/>
                <w:szCs w:val="20"/>
                <w:color w:val="auto"/>
              </w:rPr>
            </w:pPr>
            <w:r>
              <w:rPr>
                <w:rFonts w:ascii="Arial" w:cs="Arial" w:eastAsia="Arial" w:hAnsi="Arial"/>
                <w:sz w:val="17"/>
                <w:szCs w:val="17"/>
                <w:color w:val="auto"/>
                <w:w w:val="90"/>
              </w:rPr>
              <w:t>Certification of the Chief Executive Officer required by Rule 13a-14(b) or Rule 15d-14(b) and Section 1350 of Chapter 63 of Title 18 of the United States</w:t>
            </w:r>
          </w:p>
        </w:tc>
      </w:tr>
      <w:tr>
        <w:trPr>
          <w:trHeight w:val="213"/>
        </w:trPr>
        <w:tc>
          <w:tcPr>
            <w:tcW w:w="620" w:type="dxa"/>
            <w:vAlign w:val="bottom"/>
          </w:tcPr>
          <w:p>
            <w:pPr>
              <w:spacing w:after="0"/>
              <w:rPr>
                <w:sz w:val="18"/>
                <w:szCs w:val="18"/>
                <w:color w:val="auto"/>
              </w:rPr>
            </w:pPr>
          </w:p>
        </w:tc>
        <w:tc>
          <w:tcPr>
            <w:tcW w:w="10600" w:type="dxa"/>
            <w:vAlign w:val="bottom"/>
          </w:tcPr>
          <w:p>
            <w:pPr>
              <w:ind w:left="320"/>
              <w:spacing w:after="0"/>
              <w:rPr>
                <w:sz w:val="20"/>
                <w:szCs w:val="20"/>
                <w:color w:val="auto"/>
              </w:rPr>
            </w:pPr>
            <w:r>
              <w:rPr>
                <w:rFonts w:ascii="Arial" w:cs="Arial" w:eastAsia="Arial" w:hAnsi="Arial"/>
                <w:sz w:val="17"/>
                <w:szCs w:val="17"/>
                <w:color w:val="auto"/>
              </w:rPr>
              <w:t>Code (18 U.S.C. 1350)*</w:t>
            </w:r>
          </w:p>
        </w:tc>
      </w:tr>
      <w:tr>
        <w:trPr>
          <w:trHeight w:val="351"/>
        </w:trPr>
        <w:tc>
          <w:tcPr>
            <w:tcW w:w="620" w:type="dxa"/>
            <w:vAlign w:val="bottom"/>
          </w:tcPr>
          <w:p>
            <w:pPr>
              <w:spacing w:after="0"/>
              <w:rPr>
                <w:sz w:val="20"/>
                <w:szCs w:val="20"/>
                <w:color w:val="auto"/>
              </w:rPr>
            </w:pPr>
            <w:r>
              <w:rPr>
                <w:rFonts w:ascii="Arial" w:cs="Arial" w:eastAsia="Arial" w:hAnsi="Arial"/>
                <w:sz w:val="17"/>
                <w:szCs w:val="17"/>
                <w:color w:val="auto"/>
              </w:rPr>
              <w:t>32.2</w:t>
            </w:r>
          </w:p>
        </w:tc>
        <w:tc>
          <w:tcPr>
            <w:tcW w:w="10600" w:type="dxa"/>
            <w:vAlign w:val="bottom"/>
          </w:tcPr>
          <w:p>
            <w:pPr>
              <w:ind w:left="320"/>
              <w:spacing w:after="0"/>
              <w:rPr>
                <w:sz w:val="20"/>
                <w:szCs w:val="20"/>
                <w:color w:val="auto"/>
              </w:rPr>
            </w:pPr>
            <w:r>
              <w:rPr>
                <w:rFonts w:ascii="Arial" w:cs="Arial" w:eastAsia="Arial" w:hAnsi="Arial"/>
                <w:sz w:val="17"/>
                <w:szCs w:val="17"/>
                <w:color w:val="auto"/>
                <w:w w:val="90"/>
              </w:rPr>
              <w:t>Certification of the Chief Financial Officer required by Rule 13a-14(b) or Rule 15d-14(b) and Section 1350 of Chapter 63 of Title 18 of the United States</w:t>
            </w:r>
          </w:p>
        </w:tc>
      </w:tr>
      <w:tr>
        <w:trPr>
          <w:trHeight w:val="213"/>
        </w:trPr>
        <w:tc>
          <w:tcPr>
            <w:tcW w:w="620" w:type="dxa"/>
            <w:vAlign w:val="bottom"/>
          </w:tcPr>
          <w:p>
            <w:pPr>
              <w:spacing w:after="0"/>
              <w:rPr>
                <w:sz w:val="18"/>
                <w:szCs w:val="18"/>
                <w:color w:val="auto"/>
              </w:rPr>
            </w:pPr>
          </w:p>
        </w:tc>
        <w:tc>
          <w:tcPr>
            <w:tcW w:w="10600" w:type="dxa"/>
            <w:vAlign w:val="bottom"/>
          </w:tcPr>
          <w:p>
            <w:pPr>
              <w:ind w:left="320"/>
              <w:spacing w:after="0"/>
              <w:rPr>
                <w:sz w:val="20"/>
                <w:szCs w:val="20"/>
                <w:color w:val="auto"/>
              </w:rPr>
            </w:pPr>
            <w:r>
              <w:rPr>
                <w:rFonts w:ascii="Arial" w:cs="Arial" w:eastAsia="Arial" w:hAnsi="Arial"/>
                <w:sz w:val="17"/>
                <w:szCs w:val="17"/>
                <w:color w:val="auto"/>
              </w:rPr>
              <w:t>Code (18 U.S.C. 1350)*</w:t>
            </w:r>
          </w:p>
        </w:tc>
      </w:tr>
    </w:tbl>
    <w:p>
      <w:pPr>
        <w:spacing w:after="0" w:line="150" w:lineRule="exact"/>
        <w:rPr>
          <w:sz w:val="20"/>
          <w:szCs w:val="20"/>
          <w:color w:val="auto"/>
        </w:rPr>
      </w:pPr>
    </w:p>
    <w:p>
      <w:pPr>
        <w:ind w:left="960" w:hanging="935"/>
        <w:spacing w:after="0" w:line="250" w:lineRule="auto"/>
        <w:tabs>
          <w:tab w:leader="none" w:pos="9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Annual Report on Form 10-K for the fiscal year ended March 31, 2017, formatted in XBRL (eXtensible Business Reporting Language): (i) Consolidated Balance Sheets as of March 31, 2017 and 2016; (ii) Consolidated Statements of Operations for the fiscal years ended March 31, 2017, 2016 and 2015; (iii) Consolidated Statements of Comprehensive Income for the fiscal years ended March 31, 2017, 2016 and 2015; (iv) Consolidated Statements of Cash Flows for the fiscal years ended March 31, 2017, 2016 and 2015; (v) Consolidated Statements of Stockholders' Equity for the fiscal years ended March 31, 2017, 2016 and 2015; and (vi) Notes to Consolidated Financial Statements.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w:t>
      </w:r>
    </w:p>
    <w:p>
      <w:pPr>
        <w:spacing w:after="0" w:line="55" w:lineRule="exact"/>
        <w:rPr>
          <w:sz w:val="20"/>
          <w:szCs w:val="20"/>
          <w:color w:val="auto"/>
        </w:rPr>
      </w:pPr>
    </w:p>
    <w:p>
      <w:pPr>
        <w:ind w:left="600" w:hanging="600"/>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Filed electronically herewith.</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arrangement.</w:t>
      </w: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60"/>
          </w:cols>
          <w:pgMar w:left="240" w:top="803" w:right="3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81" w:lineRule="exact"/>
        <w:rPr>
          <w:sz w:val="20"/>
          <w:szCs w:val="20"/>
          <w:color w:val="auto"/>
        </w:rPr>
      </w:pPr>
    </w:p>
    <w:p>
      <w:pPr>
        <w:ind w:left="4300"/>
        <w:spacing w:after="0"/>
        <w:rPr>
          <w:sz w:val="20"/>
          <w:szCs w:val="20"/>
          <w:color w:val="auto"/>
        </w:rPr>
      </w:pPr>
      <w:r>
        <w:rPr>
          <w:rFonts w:ascii="Arial" w:cs="Arial" w:eastAsia="Arial" w:hAnsi="Arial"/>
          <w:sz w:val="23"/>
          <w:szCs w:val="23"/>
          <w:b w:val="1"/>
          <w:bCs w:val="1"/>
          <w:color w:val="auto"/>
        </w:rPr>
        <w:t>BOOZ ALLEN HAMILTON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DEFERRED COMPENSATION PLAN</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202" w:lineRule="exact"/>
        <w:rPr>
          <w:sz w:val="20"/>
          <w:szCs w:val="20"/>
          <w:color w:val="auto"/>
        </w:rPr>
      </w:pPr>
    </w:p>
    <w:p>
      <w:pPr>
        <w:ind w:right="320" w:firstLine="601"/>
        <w:spacing w:after="0" w:line="261" w:lineRule="auto"/>
        <w:rPr>
          <w:sz w:val="20"/>
          <w:szCs w:val="20"/>
          <w:color w:val="auto"/>
        </w:rPr>
      </w:pPr>
      <w:r>
        <w:rPr>
          <w:rFonts w:ascii="Arial" w:cs="Arial" w:eastAsia="Arial" w:hAnsi="Arial"/>
          <w:sz w:val="20"/>
          <w:szCs w:val="20"/>
          <w:color w:val="auto"/>
        </w:rPr>
        <w:t>The purpose of the Booz Allen Hamilton Inc. Nonqualified Deferred Compensation Plan is to enhance the ability of Booz Allen Hamilton Inc. to attract and retain employees by providing a select group of senior management and highly compensated employees of the Company and its Affiliates with an opportunity to defer receipt of certain compensation.</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98" w:lineRule="exact"/>
        <w:rPr>
          <w:sz w:val="20"/>
          <w:szCs w:val="20"/>
          <w:color w:val="auto"/>
        </w:rPr>
      </w:pPr>
    </w:p>
    <w:p>
      <w:pPr>
        <w:ind w:right="60" w:firstLine="601"/>
        <w:spacing w:after="0" w:line="258" w:lineRule="auto"/>
        <w:rPr>
          <w:sz w:val="20"/>
          <w:szCs w:val="20"/>
          <w:color w:val="auto"/>
        </w:rPr>
      </w:pPr>
      <w:r>
        <w:rPr>
          <w:rFonts w:ascii="Arial" w:cs="Arial" w:eastAsia="Arial" w:hAnsi="Arial"/>
          <w:sz w:val="20"/>
          <w:szCs w:val="20"/>
          <w:color w:val="010000"/>
        </w:rPr>
        <w:t xml:space="preserve">2.1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Account</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the bookkeeping account established by the Company for each Participant who elects to defer Eligible</w:t>
      </w:r>
      <w:r>
        <w:rPr>
          <w:rFonts w:ascii="Arial" w:cs="Arial" w:eastAsia="Arial" w:hAnsi="Arial"/>
          <w:sz w:val="20"/>
          <w:szCs w:val="20"/>
          <w:color w:val="010000"/>
        </w:rPr>
        <w:t xml:space="preserve"> </w:t>
      </w:r>
      <w:r>
        <w:rPr>
          <w:rFonts w:ascii="Arial" w:cs="Arial" w:eastAsia="Arial" w:hAnsi="Arial"/>
          <w:sz w:val="20"/>
          <w:szCs w:val="20"/>
          <w:color w:val="000000"/>
        </w:rPr>
        <w:t>Compensation under Section 5.1 (or is credited with a Discretionary Contribution under Section 5.2 and 5.3), which may include subaccounts for different types of Eligible Compensation deferred and/or Discretionary Contributions, for amounts attributable to different Plan Years and/or for amounts payable at different times or in different forms.</w:t>
      </w:r>
    </w:p>
    <w:p>
      <w:pPr>
        <w:spacing w:after="0" w:line="163" w:lineRule="exact"/>
        <w:rPr>
          <w:sz w:val="20"/>
          <w:szCs w:val="20"/>
          <w:color w:val="auto"/>
        </w:rPr>
      </w:pPr>
    </w:p>
    <w:p>
      <w:pPr>
        <w:ind w:right="20" w:firstLine="601"/>
        <w:spacing w:after="0" w:line="272" w:lineRule="auto"/>
        <w:rPr>
          <w:sz w:val="20"/>
          <w:szCs w:val="20"/>
          <w:color w:val="auto"/>
        </w:rPr>
      </w:pPr>
      <w:r>
        <w:rPr>
          <w:rFonts w:ascii="Arial" w:cs="Arial" w:eastAsia="Arial" w:hAnsi="Arial"/>
          <w:sz w:val="19"/>
          <w:szCs w:val="19"/>
          <w:color w:val="010000"/>
        </w:rPr>
        <w:t xml:space="preserve">2.2 </w:t>
      </w:r>
      <w:r>
        <w:rPr>
          <w:rFonts w:ascii="Arial" w:cs="Arial" w:eastAsia="Arial" w:hAnsi="Arial"/>
          <w:sz w:val="19"/>
          <w:szCs w:val="19"/>
          <w:b w:val="1"/>
          <w:bCs w:val="1"/>
          <w:color w:val="000000"/>
        </w:rPr>
        <w:t>“</w:t>
      </w:r>
      <w:r>
        <w:rPr>
          <w:rFonts w:ascii="Arial" w:cs="Arial" w:eastAsia="Arial" w:hAnsi="Arial"/>
          <w:sz w:val="19"/>
          <w:szCs w:val="19"/>
          <w:b w:val="1"/>
          <w:bCs w:val="1"/>
          <w:i w:val="1"/>
          <w:iCs w:val="1"/>
          <w:color w:val="000000"/>
        </w:rPr>
        <w:t>Affiliate</w:t>
      </w:r>
      <w:r>
        <w:rPr>
          <w:rFonts w:ascii="Arial" w:cs="Arial" w:eastAsia="Arial" w:hAnsi="Arial"/>
          <w:sz w:val="19"/>
          <w:szCs w:val="19"/>
          <w:b w:val="1"/>
          <w:bCs w:val="1"/>
          <w:color w:val="000000"/>
        </w:rPr>
        <w:t>”</w:t>
      </w:r>
      <w:r>
        <w:rPr>
          <w:rFonts w:ascii="Arial" w:cs="Arial" w:eastAsia="Arial" w:hAnsi="Arial"/>
          <w:sz w:val="19"/>
          <w:szCs w:val="19"/>
          <w:color w:val="010000"/>
        </w:rPr>
        <w:t xml:space="preserve"> </w:t>
      </w:r>
      <w:r>
        <w:rPr>
          <w:rFonts w:ascii="Arial" w:cs="Arial" w:eastAsia="Arial" w:hAnsi="Arial"/>
          <w:sz w:val="19"/>
          <w:szCs w:val="19"/>
          <w:color w:val="000000"/>
        </w:rPr>
        <w:t>means (i) any person or entity that directly or indirectly controls, is controlled by or is under common control with</w:t>
      </w:r>
      <w:r>
        <w:rPr>
          <w:rFonts w:ascii="Arial" w:cs="Arial" w:eastAsia="Arial" w:hAnsi="Arial"/>
          <w:sz w:val="19"/>
          <w:szCs w:val="19"/>
          <w:color w:val="010000"/>
        </w:rPr>
        <w:t xml:space="preserve"> </w:t>
      </w:r>
      <w:r>
        <w:rPr>
          <w:rFonts w:ascii="Arial" w:cs="Arial" w:eastAsia="Arial" w:hAnsi="Arial"/>
          <w:sz w:val="19"/>
          <w:szCs w:val="19"/>
          <w:color w:val="000000"/>
        </w:rPr>
        <w:t>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51"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20"/>
          <w:szCs w:val="20"/>
          <w:color w:val="010000"/>
        </w:rPr>
        <w:t>2.3</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regular annual base salary paid to a Participant for services to the Company or an Affiliate.</w:t>
      </w:r>
    </w:p>
    <w:p>
      <w:pPr>
        <w:spacing w:after="0" w:line="208"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20"/>
          <w:szCs w:val="20"/>
          <w:color w:val="010000"/>
        </w:rPr>
        <w:t>2.4</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Beneficiary</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person or persons designated in writing by a Participant pursuant to Section 8.3(c).</w:t>
      </w:r>
    </w:p>
    <w:p>
      <w:pPr>
        <w:spacing w:after="0" w:line="208"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20"/>
          <w:szCs w:val="20"/>
          <w:color w:val="010000"/>
        </w:rPr>
        <w:t>2.5</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208" w:lineRule="exact"/>
        <w:rPr>
          <w:sz w:val="20"/>
          <w:szCs w:val="20"/>
          <w:color w:val="auto"/>
        </w:rPr>
      </w:pPr>
    </w:p>
    <w:p>
      <w:pPr>
        <w:ind w:right="180" w:firstLine="601"/>
        <w:spacing w:after="0" w:line="279" w:lineRule="auto"/>
        <w:rPr>
          <w:sz w:val="20"/>
          <w:szCs w:val="20"/>
          <w:color w:val="auto"/>
        </w:rPr>
      </w:pPr>
      <w:r>
        <w:rPr>
          <w:rFonts w:ascii="Arial" w:cs="Arial" w:eastAsia="Arial" w:hAnsi="Arial"/>
          <w:sz w:val="20"/>
          <w:szCs w:val="20"/>
          <w:color w:val="010000"/>
        </w:rPr>
        <w:t xml:space="preserve">2.6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Bonus</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the cash bonus payable to a Participant under the Company’s annual incentive compensation plan in which the</w:t>
      </w:r>
      <w:r>
        <w:rPr>
          <w:rFonts w:ascii="Arial" w:cs="Arial" w:eastAsia="Arial" w:hAnsi="Arial"/>
          <w:sz w:val="20"/>
          <w:szCs w:val="20"/>
          <w:color w:val="010000"/>
        </w:rPr>
        <w:t xml:space="preserve"> </w:t>
      </w:r>
      <w:r>
        <w:rPr>
          <w:rFonts w:ascii="Arial" w:cs="Arial" w:eastAsia="Arial" w:hAnsi="Arial"/>
          <w:sz w:val="20"/>
          <w:szCs w:val="20"/>
          <w:color w:val="000000"/>
        </w:rPr>
        <w:t>Participant is eligible to participate.</w:t>
      </w:r>
    </w:p>
    <w:p>
      <w:pPr>
        <w:spacing w:after="0" w:line="145"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20"/>
          <w:szCs w:val="20"/>
          <w:color w:val="010000"/>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the Participant’s violation of any applicable Company policies or code of ethics.</w:t>
      </w:r>
    </w:p>
    <w:p>
      <w:pPr>
        <w:spacing w:after="0" w:line="208"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20"/>
          <w:szCs w:val="20"/>
          <w:color w:val="010000"/>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“change in control event” within the meaning Treas. Reg §1.409A-3(i)(5) or any successor thereto.</w:t>
      </w:r>
    </w:p>
    <w:p>
      <w:pPr>
        <w:sectPr>
          <w:pgSz w:w="11900" w:h="16838" w:orient="portrait"/>
          <w:cols w:equalWidth="0" w:num="1">
            <w:col w:w="11420"/>
          </w:cols>
          <w:pgMar w:left="240" w:top="1145" w:right="239" w:bottom="1440" w:gutter="0" w:footer="0" w:header="0"/>
        </w:sectPr>
      </w:pPr>
    </w:p>
    <w:bookmarkStart w:id="113" w:name="page114"/>
    <w:bookmarkEnd w:id="113"/>
    <w:p>
      <w:pPr>
        <w:ind w:left="600"/>
        <w:spacing w:after="0"/>
        <w:tabs>
          <w:tab w:leader="none" w:pos="1040" w:val="left"/>
        </w:tabs>
        <w:rPr>
          <w:sz w:val="20"/>
          <w:szCs w:val="20"/>
          <w:color w:val="auto"/>
        </w:rPr>
      </w:pPr>
      <w:r>
        <w:rPr>
          <w:rFonts w:ascii="Arial" w:cs="Arial" w:eastAsia="Arial" w:hAnsi="Arial"/>
          <w:sz w:val="20"/>
          <w:szCs w:val="20"/>
          <w:color w:val="010000"/>
        </w:rPr>
        <w:t>2.9</w:t>
      </w:r>
      <w:r>
        <w:rPr>
          <w:sz w:val="20"/>
          <w:szCs w:val="20"/>
          <w:color w:val="auto"/>
        </w:rPr>
        <w:tab/>
      </w:r>
      <w:r>
        <w:rPr>
          <w:rFonts w:ascii="Arial" w:cs="Arial" w:eastAsia="Arial" w:hAnsi="Arial"/>
          <w:sz w:val="18"/>
          <w:szCs w:val="18"/>
          <w:b w:val="1"/>
          <w:bCs w:val="1"/>
          <w:i w:val="1"/>
          <w:iCs w:val="1"/>
          <w:color w:val="auto"/>
        </w:rPr>
        <w:t xml:space="preserve">“Claimant” </w:t>
      </w:r>
      <w:r>
        <w:rPr>
          <w:rFonts w:ascii="Arial" w:cs="Arial" w:eastAsia="Arial" w:hAnsi="Arial"/>
          <w:sz w:val="18"/>
          <w:szCs w:val="18"/>
          <w:color w:val="auto"/>
        </w:rPr>
        <w:t>means a Participant or Beneficiary who files a claim pursuant to Article XI.</w:t>
      </w:r>
    </w:p>
    <w:p>
      <w:pPr>
        <w:spacing w:after="0" w:line="204"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20"/>
          <w:szCs w:val="20"/>
          <w:color w:val="010000"/>
        </w:rPr>
        <w:t>2.10</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Internal Revenue Code of 1986, as amended.</w:t>
      </w:r>
    </w:p>
    <w:p>
      <w:pPr>
        <w:spacing w:after="0" w:line="208" w:lineRule="exact"/>
        <w:rPr>
          <w:sz w:val="20"/>
          <w:szCs w:val="20"/>
          <w:color w:val="auto"/>
        </w:rPr>
      </w:pPr>
    </w:p>
    <w:p>
      <w:pPr>
        <w:ind w:firstLine="601"/>
        <w:spacing w:after="0" w:line="254" w:lineRule="auto"/>
        <w:rPr>
          <w:sz w:val="20"/>
          <w:szCs w:val="20"/>
          <w:color w:val="auto"/>
        </w:rPr>
      </w:pPr>
      <w:r>
        <w:rPr>
          <w:rFonts w:ascii="Arial" w:cs="Arial" w:eastAsia="Arial" w:hAnsi="Arial"/>
          <w:sz w:val="20"/>
          <w:szCs w:val="20"/>
          <w:color w:val="010000"/>
        </w:rPr>
        <w:t xml:space="preserve">2.11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Committee</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the persons or committee appointed by the Compensation Committee to administer the Plan as provided in</w:t>
      </w:r>
      <w:r>
        <w:rPr>
          <w:rFonts w:ascii="Arial" w:cs="Arial" w:eastAsia="Arial" w:hAnsi="Arial"/>
          <w:sz w:val="20"/>
          <w:szCs w:val="20"/>
          <w:color w:val="010000"/>
        </w:rPr>
        <w:t xml:space="preserve"> </w:t>
      </w:r>
      <w:r>
        <w:rPr>
          <w:rFonts w:ascii="Arial" w:cs="Arial" w:eastAsia="Arial" w:hAnsi="Arial"/>
          <w:sz w:val="20"/>
          <w:szCs w:val="20"/>
          <w:color w:val="000000"/>
        </w:rPr>
        <w:t>Article III. The Committee shall have only those powers as are delegated to the Committee by the Board and/or Compensation Committee and all references to the Committee shall include the Board and/or the Compensation Committee to the extent the Board and/or Compensation have retained any authority or responsibility with respect to the administration of the Plan. All references to the Committee shall also include any other person or committee that the Committee has designated to carry out any of its responsibilities with respect to administration of the Plan as provided in Article III.</w:t>
      </w:r>
    </w:p>
    <w:p>
      <w:pPr>
        <w:spacing w:after="0" w:line="167"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20"/>
          <w:szCs w:val="20"/>
          <w:color w:val="010000"/>
        </w:rPr>
        <w:t>2.12</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Booz Allen Hamilton Inc., a Delaware corporation.</w:t>
      </w:r>
    </w:p>
    <w:p>
      <w:pPr>
        <w:spacing w:after="0" w:line="212"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20"/>
          <w:szCs w:val="20"/>
          <w:color w:val="010000"/>
        </w:rPr>
        <w:t>2.13</w:t>
      </w:r>
      <w:r>
        <w:rPr>
          <w:sz w:val="20"/>
          <w:szCs w:val="20"/>
          <w:color w:val="auto"/>
        </w:rPr>
        <w:tab/>
      </w: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means the Compensation Committee of the Board.</w:t>
      </w:r>
    </w:p>
    <w:p>
      <w:pPr>
        <w:spacing w:after="0" w:line="208" w:lineRule="exact"/>
        <w:rPr>
          <w:sz w:val="20"/>
          <w:szCs w:val="20"/>
          <w:color w:val="auto"/>
        </w:rPr>
      </w:pPr>
    </w:p>
    <w:p>
      <w:pPr>
        <w:ind w:right="20" w:firstLine="601"/>
        <w:spacing w:after="0" w:line="255" w:lineRule="auto"/>
        <w:rPr>
          <w:sz w:val="20"/>
          <w:szCs w:val="20"/>
          <w:color w:val="auto"/>
        </w:rPr>
      </w:pPr>
      <w:r>
        <w:rPr>
          <w:rFonts w:ascii="Arial" w:cs="Arial" w:eastAsia="Arial" w:hAnsi="Arial"/>
          <w:sz w:val="20"/>
          <w:szCs w:val="20"/>
          <w:color w:val="010000"/>
        </w:rPr>
        <w:t xml:space="preserve">2.14 </w:t>
      </w:r>
      <w:r>
        <w:rPr>
          <w:rFonts w:ascii="Arial" w:cs="Arial" w:eastAsia="Arial" w:hAnsi="Arial"/>
          <w:sz w:val="20"/>
          <w:szCs w:val="20"/>
          <w:b w:val="1"/>
          <w:bCs w:val="1"/>
          <w:i w:val="1"/>
          <w:iCs w:val="1"/>
          <w:color w:val="000000"/>
        </w:rPr>
        <w:t>“Disability” or “Disabled”</w:t>
      </w:r>
      <w:r>
        <w:rPr>
          <w:rFonts w:ascii="Arial" w:cs="Arial" w:eastAsia="Arial" w:hAnsi="Arial"/>
          <w:sz w:val="20"/>
          <w:szCs w:val="20"/>
          <w:color w:val="010000"/>
        </w:rPr>
        <w:t xml:space="preserve"> </w:t>
      </w:r>
      <w:r>
        <w:rPr>
          <w:rFonts w:ascii="Arial" w:cs="Arial" w:eastAsia="Arial" w:hAnsi="Arial"/>
          <w:sz w:val="20"/>
          <w:szCs w:val="20"/>
          <w:color w:val="000000"/>
        </w:rPr>
        <w:t>means that, as determined by the Committee in its sole discretion, the Participant (a) is unable to</w:t>
      </w:r>
      <w:r>
        <w:rPr>
          <w:rFonts w:ascii="Arial" w:cs="Arial" w:eastAsia="Arial" w:hAnsi="Arial"/>
          <w:sz w:val="20"/>
          <w:szCs w:val="20"/>
          <w:color w:val="010000"/>
        </w:rPr>
        <w:t xml:space="preserve"> </w:t>
      </w:r>
      <w:r>
        <w:rPr>
          <w:rFonts w:ascii="Arial" w:cs="Arial" w:eastAsia="Arial" w:hAnsi="Arial"/>
          <w:sz w:val="20"/>
          <w:szCs w:val="20"/>
          <w:color w:val="000000"/>
        </w:rPr>
        <w:t>engage in any substantially gainful activity or (b) receiving income replacement benefits for a period of not less than 3 months under any disability or accident or health plan covering employees of the Company and Affiliates, in each case, by reason of any medically determinable physical or mental impairment which can be expected to result in death or can be expected to last for a continuous period of not less than 12 months.</w:t>
      </w:r>
    </w:p>
    <w:p>
      <w:pPr>
        <w:spacing w:after="0" w:line="168" w:lineRule="exact"/>
        <w:rPr>
          <w:sz w:val="20"/>
          <w:szCs w:val="20"/>
          <w:color w:val="auto"/>
        </w:rPr>
      </w:pPr>
    </w:p>
    <w:p>
      <w:pPr>
        <w:ind w:right="60" w:firstLine="601"/>
        <w:spacing w:after="0" w:line="275" w:lineRule="auto"/>
        <w:rPr>
          <w:sz w:val="20"/>
          <w:szCs w:val="20"/>
          <w:color w:val="auto"/>
        </w:rPr>
      </w:pPr>
      <w:r>
        <w:rPr>
          <w:rFonts w:ascii="Arial" w:cs="Arial" w:eastAsia="Arial" w:hAnsi="Arial"/>
          <w:sz w:val="20"/>
          <w:szCs w:val="20"/>
          <w:color w:val="010000"/>
        </w:rPr>
        <w:t xml:space="preserve">2.15 </w:t>
      </w:r>
      <w:r>
        <w:rPr>
          <w:rFonts w:ascii="Arial" w:cs="Arial" w:eastAsia="Arial" w:hAnsi="Arial"/>
          <w:sz w:val="20"/>
          <w:szCs w:val="20"/>
          <w:color w:val="000000"/>
        </w:rPr>
        <w:t>“</w:t>
      </w:r>
      <w:r>
        <w:rPr>
          <w:rFonts w:ascii="Arial" w:cs="Arial" w:eastAsia="Arial" w:hAnsi="Arial"/>
          <w:sz w:val="20"/>
          <w:szCs w:val="20"/>
          <w:b w:val="1"/>
          <w:bCs w:val="1"/>
          <w:i w:val="1"/>
          <w:iCs w:val="1"/>
          <w:color w:val="000000"/>
        </w:rPr>
        <w:t>Discretionary Contribution</w:t>
      </w:r>
      <w:r>
        <w:rPr>
          <w:rFonts w:ascii="Arial" w:cs="Arial" w:eastAsia="Arial" w:hAnsi="Arial"/>
          <w:sz w:val="20"/>
          <w:szCs w:val="20"/>
          <w:color w:val="000000"/>
        </w:rPr>
        <w:t>” means the discretionary employer contributions, if any, credited to a Participant’s Account in the</w:t>
      </w:r>
      <w:r>
        <w:rPr>
          <w:rFonts w:ascii="Arial" w:cs="Arial" w:eastAsia="Arial" w:hAnsi="Arial"/>
          <w:sz w:val="20"/>
          <w:szCs w:val="20"/>
          <w:color w:val="010000"/>
        </w:rPr>
        <w:t xml:space="preserve"> </w:t>
      </w:r>
      <w:r>
        <w:rPr>
          <w:rFonts w:ascii="Arial" w:cs="Arial" w:eastAsia="Arial" w:hAnsi="Arial"/>
          <w:sz w:val="20"/>
          <w:szCs w:val="20"/>
          <w:color w:val="000000"/>
        </w:rPr>
        <w:t>sole discretion of the Committee pursuant to Section 5.2.</w:t>
      </w:r>
    </w:p>
    <w:p>
      <w:pPr>
        <w:spacing w:after="0" w:line="145" w:lineRule="exact"/>
        <w:rPr>
          <w:sz w:val="20"/>
          <w:szCs w:val="20"/>
          <w:color w:val="auto"/>
        </w:rPr>
      </w:pPr>
    </w:p>
    <w:p>
      <w:pPr>
        <w:ind w:right="180" w:firstLine="601"/>
        <w:spacing w:after="0" w:line="337" w:lineRule="auto"/>
        <w:rPr>
          <w:sz w:val="20"/>
          <w:szCs w:val="20"/>
          <w:color w:val="auto"/>
        </w:rPr>
      </w:pPr>
      <w:r>
        <w:rPr>
          <w:rFonts w:ascii="Arial" w:cs="Arial" w:eastAsia="Arial" w:hAnsi="Arial"/>
          <w:sz w:val="18"/>
          <w:szCs w:val="18"/>
          <w:color w:val="010000"/>
        </w:rPr>
        <w:t xml:space="preserve">2.16 </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0000"/>
        </w:rPr>
        <w:t>Eligible Compensation</w:t>
      </w:r>
      <w:r>
        <w:rPr>
          <w:rFonts w:ascii="Arial" w:cs="Arial" w:eastAsia="Arial" w:hAnsi="Arial"/>
          <w:sz w:val="18"/>
          <w:szCs w:val="18"/>
          <w:b w:val="1"/>
          <w:bCs w:val="1"/>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means the types of compensation payable to a Participant which may be deferred under the Plan, as</w:t>
      </w:r>
      <w:r>
        <w:rPr>
          <w:rFonts w:ascii="Arial" w:cs="Arial" w:eastAsia="Arial" w:hAnsi="Arial"/>
          <w:sz w:val="18"/>
          <w:szCs w:val="18"/>
          <w:color w:val="010000"/>
        </w:rPr>
        <w:t xml:space="preserve"> </w:t>
      </w:r>
      <w:r>
        <w:rPr>
          <w:rFonts w:ascii="Arial" w:cs="Arial" w:eastAsia="Arial" w:hAnsi="Arial"/>
          <w:sz w:val="18"/>
          <w:szCs w:val="18"/>
          <w:color w:val="000000"/>
        </w:rPr>
        <w:t>from time to time determined by the Committee in its sole discretion and may (but is not required to) include Bonus and/or Base Salary.</w:t>
      </w:r>
    </w:p>
    <w:p>
      <w:pPr>
        <w:spacing w:after="0" w:line="95" w:lineRule="exact"/>
        <w:rPr>
          <w:sz w:val="20"/>
          <w:szCs w:val="20"/>
          <w:color w:val="auto"/>
        </w:rPr>
      </w:pPr>
    </w:p>
    <w:p>
      <w:pPr>
        <w:ind w:right="260" w:firstLine="601"/>
        <w:spacing w:after="0" w:line="279" w:lineRule="auto"/>
        <w:rPr>
          <w:sz w:val="20"/>
          <w:szCs w:val="20"/>
          <w:color w:val="auto"/>
        </w:rPr>
      </w:pPr>
      <w:r>
        <w:rPr>
          <w:rFonts w:ascii="Arial" w:cs="Arial" w:eastAsia="Arial" w:hAnsi="Arial"/>
          <w:sz w:val="20"/>
          <w:szCs w:val="20"/>
          <w:color w:val="010000"/>
        </w:rPr>
        <w:t xml:space="preserve">2.17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Eligible Employee</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an employee of the Company or an Affiliate who is designated as being eligible to participate in</w:t>
      </w:r>
      <w:r>
        <w:rPr>
          <w:rFonts w:ascii="Arial" w:cs="Arial" w:eastAsia="Arial" w:hAnsi="Arial"/>
          <w:sz w:val="20"/>
          <w:szCs w:val="20"/>
          <w:color w:val="010000"/>
        </w:rPr>
        <w:t xml:space="preserve"> </w:t>
      </w:r>
      <w:r>
        <w:rPr>
          <w:rFonts w:ascii="Arial" w:cs="Arial" w:eastAsia="Arial" w:hAnsi="Arial"/>
          <w:sz w:val="20"/>
          <w:szCs w:val="20"/>
          <w:color w:val="000000"/>
        </w:rPr>
        <w:t>the Plan in accordance with Article IV.</w:t>
      </w:r>
    </w:p>
    <w:p>
      <w:pPr>
        <w:spacing w:after="0" w:line="141"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20"/>
          <w:szCs w:val="20"/>
          <w:color w:val="010000"/>
        </w:rPr>
        <w:t>2.18</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Employee Retirement Income Security Act of 1974, as amended.</w:t>
      </w:r>
    </w:p>
    <w:p>
      <w:pPr>
        <w:spacing w:after="0" w:line="208" w:lineRule="exact"/>
        <w:rPr>
          <w:sz w:val="20"/>
          <w:szCs w:val="20"/>
          <w:color w:val="auto"/>
        </w:rPr>
      </w:pPr>
    </w:p>
    <w:p>
      <w:pPr>
        <w:ind w:right="100" w:firstLine="601"/>
        <w:spacing w:after="0" w:line="279" w:lineRule="auto"/>
        <w:rPr>
          <w:sz w:val="20"/>
          <w:szCs w:val="20"/>
          <w:color w:val="auto"/>
        </w:rPr>
      </w:pPr>
      <w:r>
        <w:rPr>
          <w:rFonts w:ascii="Arial" w:cs="Arial" w:eastAsia="Arial" w:hAnsi="Arial"/>
          <w:sz w:val="20"/>
          <w:szCs w:val="20"/>
          <w:color w:val="010000"/>
        </w:rPr>
        <w:t xml:space="preserve">2.19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Fiscal Year Compensation</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“fiscal year compensation” as defined under Treas. Reg §1.409A-2(a)(6) or any successor</w:t>
      </w:r>
      <w:r>
        <w:rPr>
          <w:rFonts w:ascii="Arial" w:cs="Arial" w:eastAsia="Arial" w:hAnsi="Arial"/>
          <w:sz w:val="20"/>
          <w:szCs w:val="20"/>
          <w:color w:val="010000"/>
        </w:rPr>
        <w:t xml:space="preserve"> </w:t>
      </w:r>
      <w:r>
        <w:rPr>
          <w:rFonts w:ascii="Arial" w:cs="Arial" w:eastAsia="Arial" w:hAnsi="Arial"/>
          <w:sz w:val="20"/>
          <w:szCs w:val="20"/>
          <w:color w:val="000000"/>
        </w:rPr>
        <w:t>thereto.</w:t>
      </w:r>
    </w:p>
    <w:p>
      <w:pPr>
        <w:spacing w:after="0" w:line="141" w:lineRule="exact"/>
        <w:rPr>
          <w:sz w:val="20"/>
          <w:szCs w:val="20"/>
          <w:color w:val="auto"/>
        </w:rPr>
      </w:pPr>
    </w:p>
    <w:p>
      <w:pPr>
        <w:ind w:right="540" w:firstLine="601"/>
        <w:spacing w:after="0" w:line="279" w:lineRule="auto"/>
        <w:rPr>
          <w:sz w:val="20"/>
          <w:szCs w:val="20"/>
          <w:color w:val="auto"/>
        </w:rPr>
      </w:pPr>
      <w:r>
        <w:rPr>
          <w:rFonts w:ascii="Arial" w:cs="Arial" w:eastAsia="Arial" w:hAnsi="Arial"/>
          <w:sz w:val="20"/>
          <w:szCs w:val="20"/>
          <w:color w:val="010000"/>
        </w:rPr>
        <w:t xml:space="preserve">2.20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Investment Fund</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any of the notional investments as may be designated by the Committee from time to time for</w:t>
      </w:r>
      <w:r>
        <w:rPr>
          <w:rFonts w:ascii="Arial" w:cs="Arial" w:eastAsia="Arial" w:hAnsi="Arial"/>
          <w:sz w:val="20"/>
          <w:szCs w:val="20"/>
          <w:color w:val="010000"/>
        </w:rPr>
        <w:t xml:space="preserve"> </w:t>
      </w:r>
      <w:r>
        <w:rPr>
          <w:rFonts w:ascii="Arial" w:cs="Arial" w:eastAsia="Arial" w:hAnsi="Arial"/>
          <w:sz w:val="20"/>
          <w:szCs w:val="20"/>
          <w:color w:val="000000"/>
        </w:rPr>
        <w:t>purposes of determining the increase or decrease in value of the Participants’ Accounts.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157" w:right="239" w:bottom="1440" w:gutter="0" w:footer="0" w:header="0"/>
        </w:sectPr>
      </w:pPr>
    </w:p>
    <w:bookmarkStart w:id="114" w:name="page115"/>
    <w:bookmarkEnd w:id="114"/>
    <w:p>
      <w:pPr>
        <w:ind w:left="600"/>
        <w:spacing w:after="0"/>
        <w:tabs>
          <w:tab w:leader="none" w:pos="1140" w:val="left"/>
        </w:tabs>
        <w:rPr>
          <w:sz w:val="20"/>
          <w:szCs w:val="20"/>
          <w:color w:val="auto"/>
        </w:rPr>
      </w:pPr>
      <w:r>
        <w:rPr>
          <w:rFonts w:ascii="Arial" w:cs="Arial" w:eastAsia="Arial" w:hAnsi="Arial"/>
          <w:sz w:val="20"/>
          <w:szCs w:val="20"/>
          <w:color w:val="010000"/>
        </w:rPr>
        <w:t>2.21</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Eligible Employee who becomes a participant in this Plan in accordance with Article IV.</w:t>
      </w:r>
    </w:p>
    <w:p>
      <w:pPr>
        <w:spacing w:after="0" w:line="208" w:lineRule="exact"/>
        <w:rPr>
          <w:sz w:val="20"/>
          <w:szCs w:val="20"/>
          <w:color w:val="auto"/>
        </w:rPr>
      </w:pPr>
    </w:p>
    <w:p>
      <w:pPr>
        <w:ind w:right="20" w:firstLine="601"/>
        <w:spacing w:after="0" w:line="279" w:lineRule="auto"/>
        <w:rPr>
          <w:sz w:val="20"/>
          <w:szCs w:val="20"/>
          <w:color w:val="auto"/>
        </w:rPr>
      </w:pPr>
      <w:r>
        <w:rPr>
          <w:rFonts w:ascii="Arial" w:cs="Arial" w:eastAsia="Arial" w:hAnsi="Arial"/>
          <w:sz w:val="20"/>
          <w:szCs w:val="20"/>
          <w:color w:val="010000"/>
        </w:rPr>
        <w:t xml:space="preserve">2.22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Performance-Based Compensation</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“performance-based compensation” as defined under Treas. Reg §1.409A-1(e) or</w:t>
      </w:r>
      <w:r>
        <w:rPr>
          <w:rFonts w:ascii="Arial" w:cs="Arial" w:eastAsia="Arial" w:hAnsi="Arial"/>
          <w:sz w:val="20"/>
          <w:szCs w:val="20"/>
          <w:color w:val="010000"/>
        </w:rPr>
        <w:t xml:space="preserve"> </w:t>
      </w:r>
      <w:r>
        <w:rPr>
          <w:rFonts w:ascii="Arial" w:cs="Arial" w:eastAsia="Arial" w:hAnsi="Arial"/>
          <w:sz w:val="20"/>
          <w:szCs w:val="20"/>
          <w:color w:val="000000"/>
        </w:rPr>
        <w:t>any successor thereto.</w:t>
      </w:r>
    </w:p>
    <w:p>
      <w:pPr>
        <w:spacing w:after="0" w:line="141"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20"/>
          <w:szCs w:val="20"/>
          <w:color w:val="010000"/>
        </w:rPr>
        <w:t>2.23</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Booz Allen Hamilton Inc. Nonqualified Deferred Compensation Plan, as amended from time to time.</w:t>
      </w:r>
    </w:p>
    <w:p>
      <w:pPr>
        <w:spacing w:after="0" w:line="208"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20"/>
          <w:szCs w:val="20"/>
          <w:color w:val="010000"/>
        </w:rPr>
        <w:t>2.24</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Plan Year</w:t>
      </w:r>
      <w:r>
        <w:rPr>
          <w:rFonts w:ascii="Arial" w:cs="Arial" w:eastAsia="Arial" w:hAnsi="Arial"/>
          <w:sz w:val="17"/>
          <w:szCs w:val="17"/>
          <w:color w:val="auto"/>
        </w:rPr>
        <w:t>” means the calendar year.</w:t>
      </w:r>
    </w:p>
    <w:p>
      <w:pPr>
        <w:spacing w:after="0" w:line="208" w:lineRule="exact"/>
        <w:rPr>
          <w:sz w:val="20"/>
          <w:szCs w:val="20"/>
          <w:color w:val="auto"/>
        </w:rPr>
      </w:pPr>
    </w:p>
    <w:p>
      <w:pPr>
        <w:ind w:right="680" w:firstLine="601"/>
        <w:spacing w:after="0" w:line="279" w:lineRule="auto"/>
        <w:rPr>
          <w:sz w:val="20"/>
          <w:szCs w:val="20"/>
          <w:color w:val="auto"/>
        </w:rPr>
      </w:pPr>
      <w:r>
        <w:rPr>
          <w:rFonts w:ascii="Arial" w:cs="Arial" w:eastAsia="Arial" w:hAnsi="Arial"/>
          <w:sz w:val="20"/>
          <w:szCs w:val="20"/>
          <w:color w:val="010000"/>
        </w:rPr>
        <w:t xml:space="preserve">2.25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Separation from Service</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a “separation from service” within the meaning of section 409A of the Code and the</w:t>
      </w:r>
      <w:r>
        <w:rPr>
          <w:rFonts w:ascii="Arial" w:cs="Arial" w:eastAsia="Arial" w:hAnsi="Arial"/>
          <w:sz w:val="20"/>
          <w:szCs w:val="20"/>
          <w:color w:val="010000"/>
        </w:rPr>
        <w:t xml:space="preserve"> </w:t>
      </w:r>
      <w:r>
        <w:rPr>
          <w:rFonts w:ascii="Arial" w:cs="Arial" w:eastAsia="Arial" w:hAnsi="Arial"/>
          <w:sz w:val="20"/>
          <w:szCs w:val="20"/>
          <w:color w:val="000000"/>
        </w:rPr>
        <w:t>regulations thereunder.</w:t>
      </w:r>
    </w:p>
    <w:p>
      <w:pPr>
        <w:spacing w:after="0" w:line="141" w:lineRule="exact"/>
        <w:rPr>
          <w:sz w:val="20"/>
          <w:szCs w:val="20"/>
          <w:color w:val="auto"/>
        </w:rPr>
      </w:pPr>
    </w:p>
    <w:p>
      <w:pPr>
        <w:ind w:firstLine="601"/>
        <w:spacing w:after="0" w:line="279" w:lineRule="auto"/>
        <w:rPr>
          <w:sz w:val="20"/>
          <w:szCs w:val="20"/>
          <w:color w:val="auto"/>
        </w:rPr>
      </w:pPr>
      <w:r>
        <w:rPr>
          <w:rFonts w:ascii="Arial" w:cs="Arial" w:eastAsia="Arial" w:hAnsi="Arial"/>
          <w:sz w:val="20"/>
          <w:szCs w:val="20"/>
          <w:color w:val="010000"/>
        </w:rPr>
        <w:t xml:space="preserve">2.26 </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0000"/>
        </w:rPr>
        <w:t>Specified Employee</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means a Participant who is a “specified employee,” within the meaning of section 409A of the Code and</w:t>
      </w:r>
      <w:r>
        <w:rPr>
          <w:rFonts w:ascii="Arial" w:cs="Arial" w:eastAsia="Arial" w:hAnsi="Arial"/>
          <w:sz w:val="20"/>
          <w:szCs w:val="20"/>
          <w:color w:val="010000"/>
        </w:rPr>
        <w:t xml:space="preserve"> </w:t>
      </w:r>
      <w:r>
        <w:rPr>
          <w:rFonts w:ascii="Arial" w:cs="Arial" w:eastAsia="Arial" w:hAnsi="Arial"/>
          <w:sz w:val="20"/>
          <w:szCs w:val="20"/>
          <w:color w:val="000000"/>
        </w:rPr>
        <w:t>the regulations thereunder.</w:t>
      </w:r>
    </w:p>
    <w:p>
      <w:pPr>
        <w:spacing w:after="0" w:line="145" w:lineRule="exact"/>
        <w:rPr>
          <w:sz w:val="20"/>
          <w:szCs w:val="20"/>
          <w:color w:val="auto"/>
        </w:rPr>
      </w:pPr>
    </w:p>
    <w:p>
      <w:pPr>
        <w:ind w:right="60" w:firstLine="601"/>
        <w:spacing w:after="0" w:line="290" w:lineRule="auto"/>
        <w:rPr>
          <w:sz w:val="20"/>
          <w:szCs w:val="20"/>
          <w:color w:val="auto"/>
        </w:rPr>
      </w:pPr>
      <w:r>
        <w:rPr>
          <w:rFonts w:ascii="Arial" w:cs="Arial" w:eastAsia="Arial" w:hAnsi="Arial"/>
          <w:sz w:val="18"/>
          <w:szCs w:val="18"/>
          <w:color w:val="010000"/>
        </w:rPr>
        <w:t xml:space="preserve">2.27 </w:t>
      </w:r>
      <w:r>
        <w:rPr>
          <w:rFonts w:ascii="Arial" w:cs="Arial" w:eastAsia="Arial" w:hAnsi="Arial"/>
          <w:sz w:val="18"/>
          <w:szCs w:val="18"/>
          <w:color w:val="000000"/>
        </w:rPr>
        <w:t>“</w:t>
      </w:r>
      <w:r>
        <w:rPr>
          <w:rFonts w:ascii="Arial" w:cs="Arial" w:eastAsia="Arial" w:hAnsi="Arial"/>
          <w:sz w:val="18"/>
          <w:szCs w:val="18"/>
          <w:b w:val="1"/>
          <w:bCs w:val="1"/>
          <w:i w:val="1"/>
          <w:iCs w:val="1"/>
          <w:color w:val="000000"/>
        </w:rPr>
        <w:t>Unforeseeable Emergency</w:t>
      </w:r>
      <w:r>
        <w:rPr>
          <w:rFonts w:ascii="Arial" w:cs="Arial" w:eastAsia="Arial" w:hAnsi="Arial"/>
          <w:sz w:val="18"/>
          <w:szCs w:val="18"/>
          <w:color w:val="000000"/>
        </w:rPr>
        <w:t>” means a severe financial hardship to a Participant resulting from (a) an illness or accident of the</w:t>
      </w:r>
      <w:r>
        <w:rPr>
          <w:rFonts w:ascii="Arial" w:cs="Arial" w:eastAsia="Arial" w:hAnsi="Arial"/>
          <w:sz w:val="18"/>
          <w:szCs w:val="18"/>
          <w:color w:val="010000"/>
        </w:rPr>
        <w:t xml:space="preserve"> </w:t>
      </w:r>
      <w:r>
        <w:rPr>
          <w:rFonts w:ascii="Arial" w:cs="Arial" w:eastAsia="Arial" w:hAnsi="Arial"/>
          <w:sz w:val="18"/>
          <w:szCs w:val="18"/>
          <w:color w:val="000000"/>
        </w:rPr>
        <w:t>Participant, the Participant’s spouse, the Participant’s Beneficiary or the Participant’s dependent (as defined in section 152 of the Code, without regard to section 152(b)(1), (b)(2) and (d)(1)(B) of the Code, (b) the loss of the Participant’s property due to casualty (including the need to rebuild a home following damage to a home not otherwise covered by insurance, irrespective of whether caused by a natural disaster) or (c) other similar extraordinary and unforeseeable circumstances arising as a result of events beyond the control of the Participant.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III</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ADMINISTRATION</w:t>
      </w:r>
    </w:p>
    <w:p>
      <w:pPr>
        <w:spacing w:after="0" w:line="190" w:lineRule="exact"/>
        <w:rPr>
          <w:sz w:val="20"/>
          <w:szCs w:val="20"/>
          <w:color w:val="auto"/>
        </w:rPr>
      </w:pPr>
    </w:p>
    <w:p>
      <w:pPr>
        <w:ind w:right="20" w:firstLine="601"/>
        <w:spacing w:after="0" w:line="264" w:lineRule="auto"/>
        <w:rPr>
          <w:sz w:val="20"/>
          <w:szCs w:val="20"/>
          <w:color w:val="auto"/>
        </w:rPr>
      </w:pPr>
      <w:r>
        <w:rPr>
          <w:rFonts w:ascii="Arial" w:cs="Arial" w:eastAsia="Arial" w:hAnsi="Arial"/>
          <w:sz w:val="19"/>
          <w:szCs w:val="19"/>
          <w:color w:val="auto"/>
        </w:rPr>
        <w:t>The Plan shall be administered by the Committee. The Committee shall be appointed by, and serve at the pleasure of, the Board or the Compensation Committee. If no Committee has been appointed, the Compensation Committee shall serve as the Committee. The Committee shall have full authority and discretion to construe and interpret the terms and provisions of this Plan, which interpretations or construction shall be final and binding on all parties, including but not limited to the Company and any Participant or Beneficiary. The duties and the authority of the Committee shall include (i) interpretation of the provisions of the Plan, (ii) the adoption of any rules and regulations which may become necessary or advisable in the operation of the Plan, (iii) the making, in its sole discretion, of such determinations as may be permitted or required pursuant to the Plan, and (iv) the taking of such other actions as may be required for the proper administration of the Plan in accordance with its terms. Benefits under this Plan shall be paid only if the Committee decides, in its sole discretion, that the Participant, Beneficiary or other person is entitled to them. Any action taken by the Committee with respect to any one or more Participants shall not be binding on the Committee as to any action to be taken with respect to any other Participant. The Committee may designate any other person or committee, including employees of the Company, to carry out any of its responsibilities with respect to administration of the Plan. The Committee is authorized at the expense of the Company to employ such legal counsel or other advisors as it may deem advisable to assist in the performance of its duties hereunder.</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80"/>
          </w:cols>
          <w:pgMar w:left="240" w:top="1153" w:right="27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20"/>
          <w:szCs w:val="20"/>
          <w:b w:val="1"/>
          <w:bCs w:val="1"/>
          <w:color w:val="010000"/>
        </w:rPr>
        <w:t>ARTICLE IV</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ELIGIBILITY AND PARTICIPATION</w:t>
      </w:r>
    </w:p>
    <w:p>
      <w:pPr>
        <w:spacing w:after="0" w:line="186" w:lineRule="exact"/>
        <w:rPr>
          <w:sz w:val="20"/>
          <w:szCs w:val="20"/>
          <w:color w:val="auto"/>
        </w:rPr>
      </w:pPr>
    </w:p>
    <w:p>
      <w:pPr>
        <w:ind w:firstLine="601"/>
        <w:spacing w:after="0" w:line="264" w:lineRule="auto"/>
        <w:rPr>
          <w:sz w:val="20"/>
          <w:szCs w:val="20"/>
          <w:color w:val="auto"/>
        </w:rPr>
      </w:pPr>
      <w:r>
        <w:rPr>
          <w:rFonts w:ascii="Arial" w:cs="Arial" w:eastAsia="Arial" w:hAnsi="Arial"/>
          <w:sz w:val="20"/>
          <w:szCs w:val="20"/>
          <w:color w:val="010000"/>
        </w:rPr>
        <w:t xml:space="preserve">4.1 </w:t>
      </w:r>
      <w:r>
        <w:rPr>
          <w:rFonts w:ascii="Arial" w:cs="Arial" w:eastAsia="Arial" w:hAnsi="Arial"/>
          <w:sz w:val="20"/>
          <w:szCs w:val="20"/>
          <w:b w:val="1"/>
          <w:bCs w:val="1"/>
          <w:u w:val="single" w:color="auto"/>
          <w:color w:val="000000"/>
        </w:rPr>
        <w:t>Eligibility</w:t>
      </w:r>
      <w:r>
        <w:rPr>
          <w:rFonts w:ascii="Arial" w:cs="Arial" w:eastAsia="Arial" w:hAnsi="Arial"/>
          <w:sz w:val="20"/>
          <w:szCs w:val="20"/>
          <w:color w:val="000000"/>
        </w:rPr>
        <w:t>. Eligible Employees shall consist of those management or highly-compensated employees of the Company or an</w:t>
      </w:r>
      <w:r>
        <w:rPr>
          <w:rFonts w:ascii="Arial" w:cs="Arial" w:eastAsia="Arial" w:hAnsi="Arial"/>
          <w:sz w:val="20"/>
          <w:szCs w:val="20"/>
          <w:color w:val="010000"/>
        </w:rPr>
        <w:t xml:space="preserve"> </w:t>
      </w:r>
      <w:r>
        <w:rPr>
          <w:rFonts w:ascii="Arial" w:cs="Arial" w:eastAsia="Arial" w:hAnsi="Arial"/>
          <w:sz w:val="20"/>
          <w:szCs w:val="20"/>
          <w:color w:val="000000"/>
        </w:rPr>
        <w:t>Affiliate designated by the Committee and set forth in Exhibit I. The Committee may, from time to time, change which employees are Eligible Employees under the Plan and Exhibit I shall be revised accordingly.</w:t>
      </w:r>
    </w:p>
    <w:p>
      <w:pPr>
        <w:spacing w:after="0" w:line="155" w:lineRule="exact"/>
        <w:rPr>
          <w:sz w:val="20"/>
          <w:szCs w:val="20"/>
          <w:color w:val="auto"/>
        </w:rPr>
      </w:pPr>
    </w:p>
    <w:p>
      <w:pPr>
        <w:jc w:val="both"/>
        <w:ind w:right="200" w:firstLine="601"/>
        <w:spacing w:after="0" w:line="264" w:lineRule="auto"/>
        <w:rPr>
          <w:sz w:val="20"/>
          <w:szCs w:val="20"/>
          <w:color w:val="auto"/>
        </w:rPr>
      </w:pPr>
      <w:r>
        <w:rPr>
          <w:rFonts w:ascii="Arial" w:cs="Arial" w:eastAsia="Arial" w:hAnsi="Arial"/>
          <w:sz w:val="20"/>
          <w:szCs w:val="20"/>
          <w:color w:val="010000"/>
        </w:rPr>
        <w:t xml:space="preserve">4.2 </w:t>
      </w:r>
      <w:r>
        <w:rPr>
          <w:rFonts w:ascii="Arial" w:cs="Arial" w:eastAsia="Arial" w:hAnsi="Arial"/>
          <w:sz w:val="20"/>
          <w:szCs w:val="20"/>
          <w:b w:val="1"/>
          <w:bCs w:val="1"/>
          <w:u w:val="single" w:color="auto"/>
          <w:color w:val="000000"/>
        </w:rPr>
        <w:t>Participation</w:t>
      </w:r>
      <w:r>
        <w:rPr>
          <w:rFonts w:ascii="Arial" w:cs="Arial" w:eastAsia="Arial" w:hAnsi="Arial"/>
          <w:sz w:val="20"/>
          <w:szCs w:val="20"/>
          <w:color w:val="000000"/>
        </w:rPr>
        <w:t>. An Eligible Employee shall become a Participant in the Plan by electing to make a deferral in accordance with</w:t>
      </w:r>
      <w:r>
        <w:rPr>
          <w:rFonts w:ascii="Arial" w:cs="Arial" w:eastAsia="Arial" w:hAnsi="Arial"/>
          <w:sz w:val="20"/>
          <w:szCs w:val="20"/>
          <w:color w:val="010000"/>
        </w:rPr>
        <w:t xml:space="preserve"> </w:t>
      </w:r>
      <w:r>
        <w:rPr>
          <w:rFonts w:ascii="Arial" w:cs="Arial" w:eastAsia="Arial" w:hAnsi="Arial"/>
          <w:sz w:val="20"/>
          <w:szCs w:val="20"/>
          <w:color w:val="000000"/>
        </w:rPr>
        <w:t>Section 5.1 (or being credited with a Discretionary Contribution pursuant to Section 5.2). A Participant shall cease to be a Participant on the date his or her Account is fully distributed.</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V</w:t>
      </w:r>
    </w:p>
    <w:p>
      <w:pPr>
        <w:spacing w:after="0" w:line="30" w:lineRule="exact"/>
        <w:rPr>
          <w:sz w:val="20"/>
          <w:szCs w:val="20"/>
          <w:color w:val="auto"/>
        </w:rPr>
      </w:pPr>
    </w:p>
    <w:p>
      <w:pPr>
        <w:ind w:left="600" w:right="2680" w:firstLine="2083"/>
        <w:spacing w:after="0" w:line="453" w:lineRule="auto"/>
        <w:rPr>
          <w:sz w:val="20"/>
          <w:szCs w:val="20"/>
          <w:color w:val="auto"/>
        </w:rPr>
      </w:pPr>
      <w:r>
        <w:rPr>
          <w:rFonts w:ascii="Arial" w:cs="Arial" w:eastAsia="Arial" w:hAnsi="Arial"/>
          <w:sz w:val="20"/>
          <w:szCs w:val="20"/>
          <w:b w:val="1"/>
          <w:bCs w:val="1"/>
          <w:color w:val="auto"/>
        </w:rPr>
        <w:t xml:space="preserve">PARTICIPANT DEFERRALS AND EMPLOYER CONTRIBUTIONS </w:t>
      </w:r>
      <w:r>
        <w:rPr>
          <w:rFonts w:ascii="Arial" w:cs="Arial" w:eastAsia="Arial" w:hAnsi="Arial"/>
          <w:sz w:val="20"/>
          <w:szCs w:val="20"/>
          <w:color w:val="010000"/>
        </w:rPr>
        <w:t xml:space="preserve">5.1 </w:t>
      </w:r>
      <w:r>
        <w:rPr>
          <w:rFonts w:ascii="Arial" w:cs="Arial" w:eastAsia="Arial" w:hAnsi="Arial"/>
          <w:sz w:val="20"/>
          <w:szCs w:val="20"/>
          <w:b w:val="1"/>
          <w:bCs w:val="1"/>
          <w:u w:val="single" w:color="auto"/>
          <w:color w:val="000000"/>
        </w:rPr>
        <w:t>Elections to Defer Eligible Compensation</w:t>
      </w:r>
      <w:r>
        <w:rPr>
          <w:rFonts w:ascii="Arial" w:cs="Arial" w:eastAsia="Arial" w:hAnsi="Arial"/>
          <w:sz w:val="20"/>
          <w:szCs w:val="20"/>
          <w:color w:val="000000"/>
        </w:rPr>
        <w:t>.</w:t>
      </w:r>
    </w:p>
    <w:p>
      <w:pPr>
        <w:spacing w:after="0" w:line="2" w:lineRule="exact"/>
        <w:rPr>
          <w:sz w:val="20"/>
          <w:szCs w:val="20"/>
          <w:color w:val="auto"/>
        </w:rPr>
      </w:pPr>
    </w:p>
    <w:p>
      <w:pPr>
        <w:ind w:right="60" w:firstLine="1202"/>
        <w:spacing w:after="0" w:line="252" w:lineRule="auto"/>
        <w:tabs>
          <w:tab w:leader="none" w:pos="1624" w:val="left"/>
        </w:tabs>
        <w:numPr>
          <w:ilvl w:val="0"/>
          <w:numId w:val="82"/>
        </w:numPr>
        <w:rPr>
          <w:rFonts w:ascii="Arial" w:cs="Arial" w:eastAsia="Arial" w:hAnsi="Arial"/>
          <w:sz w:val="20"/>
          <w:szCs w:val="20"/>
          <w:color w:val="010000"/>
        </w:rPr>
      </w:pPr>
      <w:r>
        <w:rPr>
          <w:rFonts w:ascii="Arial" w:cs="Arial" w:eastAsia="Arial" w:hAnsi="Arial"/>
          <w:sz w:val="20"/>
          <w:szCs w:val="20"/>
          <w:u w:val="single" w:color="auto"/>
          <w:color w:val="auto"/>
        </w:rPr>
        <w:t>Initial Deferral Election</w:t>
      </w:r>
      <w:r>
        <w:rPr>
          <w:rFonts w:ascii="Arial" w:cs="Arial" w:eastAsia="Arial" w:hAnsi="Arial"/>
          <w:sz w:val="20"/>
          <w:szCs w:val="20"/>
          <w:color w:val="auto"/>
        </w:rPr>
        <w:t xml:space="preserve">. An Eligible Employee may make an irrevocable election to defer Eligible Compensation subject to guidelines and limitations as determined by the Committee in its sole discretion. The Committee shall specify the types of Eligible Compensation from which an Eligible Employee may make a deferral election and, with respect to each such type of Eligible Compensation, the Committee shall prescribe the maximum percentage that may be deferred and the timing and manner in which such election shall be made (which may be different for different types of Eligible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except as otherwise provided under Section 5.1(b), (c) and (d), such election must be made no later than the first day of the Plan Year for which such Eligible Compensation would be earned.</w:t>
      </w:r>
    </w:p>
    <w:p>
      <w:pPr>
        <w:spacing w:after="0" w:line="174" w:lineRule="exact"/>
        <w:rPr>
          <w:rFonts w:ascii="Arial" w:cs="Arial" w:eastAsia="Arial" w:hAnsi="Arial"/>
          <w:sz w:val="20"/>
          <w:szCs w:val="20"/>
          <w:color w:val="010000"/>
        </w:rPr>
      </w:pPr>
    </w:p>
    <w:p>
      <w:pPr>
        <w:ind w:right="140" w:firstLine="1202"/>
        <w:spacing w:after="0" w:line="261" w:lineRule="auto"/>
        <w:tabs>
          <w:tab w:leader="none" w:pos="1635" w:val="left"/>
        </w:tabs>
        <w:numPr>
          <w:ilvl w:val="0"/>
          <w:numId w:val="82"/>
        </w:numPr>
        <w:rPr>
          <w:rFonts w:ascii="Arial" w:cs="Arial" w:eastAsia="Arial" w:hAnsi="Arial"/>
          <w:sz w:val="20"/>
          <w:szCs w:val="20"/>
          <w:color w:val="010000"/>
        </w:rPr>
      </w:pPr>
      <w:r>
        <w:rPr>
          <w:rFonts w:ascii="Arial" w:cs="Arial" w:eastAsia="Arial" w:hAnsi="Arial"/>
          <w:sz w:val="20"/>
          <w:szCs w:val="20"/>
          <w:u w:val="single" w:color="auto"/>
          <w:color w:val="auto"/>
        </w:rPr>
        <w:t>Fiscal Year Compensation</w:t>
      </w:r>
      <w:r>
        <w:rPr>
          <w:rFonts w:ascii="Arial" w:cs="Arial" w:eastAsia="Arial" w:hAnsi="Arial"/>
          <w:sz w:val="20"/>
          <w:szCs w:val="20"/>
          <w:color w:val="auto"/>
        </w:rPr>
        <w:t>. Notwithstanding Section 5.1(a), elections to defer Eligible Compensation that constitutes Fiscal Year Compensation must be made no later than the last day of the Company’s fiscal year immediately preceding the first fiscal year in which services are performed relate to such Eligible Compensation.</w:t>
      </w:r>
    </w:p>
    <w:p>
      <w:pPr>
        <w:spacing w:after="0" w:line="163" w:lineRule="exact"/>
        <w:rPr>
          <w:rFonts w:ascii="Arial" w:cs="Arial" w:eastAsia="Arial" w:hAnsi="Arial"/>
          <w:sz w:val="20"/>
          <w:szCs w:val="20"/>
          <w:color w:val="010000"/>
        </w:rPr>
      </w:pPr>
    </w:p>
    <w:p>
      <w:pPr>
        <w:ind w:right="80" w:firstLine="1202"/>
        <w:spacing w:after="0" w:line="253" w:lineRule="auto"/>
        <w:tabs>
          <w:tab w:leader="none" w:pos="1624" w:val="left"/>
        </w:tabs>
        <w:numPr>
          <w:ilvl w:val="0"/>
          <w:numId w:val="82"/>
        </w:numPr>
        <w:rPr>
          <w:rFonts w:ascii="Arial" w:cs="Arial" w:eastAsia="Arial" w:hAnsi="Arial"/>
          <w:sz w:val="20"/>
          <w:szCs w:val="20"/>
          <w:color w:val="010000"/>
        </w:rPr>
      </w:pPr>
      <w:r>
        <w:rPr>
          <w:rFonts w:ascii="Arial" w:cs="Arial" w:eastAsia="Arial" w:hAnsi="Arial"/>
          <w:sz w:val="20"/>
          <w:szCs w:val="20"/>
          <w:u w:val="single" w:color="auto"/>
          <w:color w:val="auto"/>
        </w:rPr>
        <w:t>Performance Based Compensation</w:t>
      </w:r>
      <w:r>
        <w:rPr>
          <w:rFonts w:ascii="Arial" w:cs="Arial" w:eastAsia="Arial" w:hAnsi="Arial"/>
          <w:sz w:val="20"/>
          <w:szCs w:val="20"/>
          <w:color w:val="auto"/>
        </w:rPr>
        <w:t xml:space="preserve">. Notwithstanding Section 5.1(a), elections to defer Eligible Compensation that constitutes Performance-Based Compensation that is based on services performed over a performance period of at least twelve (12) month must be made no later than six (6) months before the end of the applicable performance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Participant remains continuously employed from the later of the beginning of the applicable performance period or the date of the applicable performance criteria are established through the date of the election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no election shall be permitted to be made after any performance-based compensation has become readily ascertainable.</w:t>
      </w:r>
    </w:p>
    <w:p>
      <w:pPr>
        <w:spacing w:after="0" w:line="172" w:lineRule="exact"/>
        <w:rPr>
          <w:rFonts w:ascii="Arial" w:cs="Arial" w:eastAsia="Arial" w:hAnsi="Arial"/>
          <w:sz w:val="20"/>
          <w:szCs w:val="20"/>
          <w:color w:val="010000"/>
        </w:rPr>
      </w:pPr>
    </w:p>
    <w:p>
      <w:pPr>
        <w:ind w:right="40" w:firstLine="1202"/>
        <w:spacing w:after="0" w:line="255" w:lineRule="auto"/>
        <w:tabs>
          <w:tab w:leader="none" w:pos="1635" w:val="left"/>
        </w:tabs>
        <w:numPr>
          <w:ilvl w:val="0"/>
          <w:numId w:val="82"/>
        </w:numPr>
        <w:rPr>
          <w:rFonts w:ascii="Arial" w:cs="Arial" w:eastAsia="Arial" w:hAnsi="Arial"/>
          <w:sz w:val="20"/>
          <w:szCs w:val="20"/>
          <w:color w:val="010000"/>
        </w:rPr>
      </w:pPr>
      <w:r>
        <w:rPr>
          <w:rFonts w:ascii="Arial" w:cs="Arial" w:eastAsia="Arial" w:hAnsi="Arial"/>
          <w:sz w:val="20"/>
          <w:szCs w:val="20"/>
          <w:u w:val="single" w:color="auto"/>
          <w:color w:val="auto"/>
        </w:rPr>
        <w:t>Special Rule</w:t>
      </w:r>
      <w:r>
        <w:rPr>
          <w:rFonts w:ascii="Arial" w:cs="Arial" w:eastAsia="Arial" w:hAnsi="Arial"/>
          <w:sz w:val="20"/>
          <w:szCs w:val="20"/>
          <w:color w:val="auto"/>
        </w:rPr>
        <w:t>. Notwithstanding Section 5.1(a), (b) and (c), the Committee may permit a newly Eligible Employee to make an initial deferral election under this Section 5.1 within 30 calendar days of his or her initial eligibility to participate in this Plan (</w:t>
      </w:r>
      <w:r>
        <w:rPr>
          <w:rFonts w:ascii="Arial" w:cs="Arial" w:eastAsia="Arial" w:hAnsi="Arial"/>
          <w:sz w:val="20"/>
          <w:szCs w:val="20"/>
          <w:i w:val="1"/>
          <w:iCs w:val="1"/>
          <w:color w:val="auto"/>
        </w:rPr>
        <w:t>i.e.</w:t>
      </w:r>
      <w:r>
        <w:rPr>
          <w:rFonts w:ascii="Arial" w:cs="Arial" w:eastAsia="Arial" w:hAnsi="Arial"/>
          <w:sz w:val="20"/>
          <w:szCs w:val="20"/>
          <w:color w:val="auto"/>
        </w:rPr>
        <w:t xml:space="preserve">, the date of hire or promotion to an eligible position described in Exhibit 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such event any deferral election made shall apply only to Eligible Compensation that is earned after the date of such election. Any election made to defer Bonus shall apply solely to that portion 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253" w:right="239" w:bottom="1440" w:gutter="0" w:footer="0" w:header="0"/>
        </w:sectPr>
      </w:pPr>
    </w:p>
    <w:bookmarkStart w:id="116" w:name="page117"/>
    <w:bookmarkEnd w:id="116"/>
    <w:p>
      <w:pPr>
        <w:spacing w:after="0" w:line="294" w:lineRule="auto"/>
        <w:rPr>
          <w:sz w:val="20"/>
          <w:szCs w:val="20"/>
          <w:color w:val="auto"/>
        </w:rPr>
      </w:pPr>
      <w:r>
        <w:rPr>
          <w:rFonts w:ascii="Arial" w:cs="Arial" w:eastAsia="Arial" w:hAnsi="Arial"/>
          <w:sz w:val="18"/>
          <w:szCs w:val="18"/>
          <w:color w:val="auto"/>
        </w:rPr>
        <w:t>the Bonus equal to the total Bonus multiplied by the ratio of the number of days remaining in the applicable bonus period subsequent to the date of such election over the total number of days in such bonus period. An Eligible Employee is not newly eligible if he or she was, at any time during the 24-month period ending on the date on which he or she became eligible to participate in this Plan, eligible to participate in this Plan or any other plan of the Company or an Affiliate that is required to be aggregated with this Plan under section 409A of the Code.</w:t>
      </w:r>
    </w:p>
    <w:p>
      <w:pPr>
        <w:spacing w:after="0" w:line="133" w:lineRule="exact"/>
        <w:rPr>
          <w:sz w:val="20"/>
          <w:szCs w:val="20"/>
          <w:color w:val="auto"/>
        </w:rPr>
      </w:pPr>
    </w:p>
    <w:p>
      <w:pPr>
        <w:jc w:val="both"/>
        <w:ind w:right="620" w:firstLine="601"/>
        <w:spacing w:after="0" w:line="264" w:lineRule="auto"/>
        <w:rPr>
          <w:sz w:val="20"/>
          <w:szCs w:val="20"/>
          <w:color w:val="auto"/>
        </w:rPr>
      </w:pPr>
      <w:r>
        <w:rPr>
          <w:rFonts w:ascii="Arial" w:cs="Arial" w:eastAsia="Arial" w:hAnsi="Arial"/>
          <w:sz w:val="20"/>
          <w:szCs w:val="20"/>
          <w:color w:val="010000"/>
        </w:rPr>
        <w:t xml:space="preserve">5.2 </w:t>
      </w:r>
      <w:r>
        <w:rPr>
          <w:rFonts w:ascii="Arial" w:cs="Arial" w:eastAsia="Arial" w:hAnsi="Arial"/>
          <w:sz w:val="20"/>
          <w:szCs w:val="20"/>
          <w:b w:val="1"/>
          <w:bCs w:val="1"/>
          <w:u w:val="single" w:color="auto"/>
          <w:color w:val="000000"/>
        </w:rPr>
        <w:t>Discretionary Contributions</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The Committee may, at any time and in its sole discretion, credit on behalf of one or more</w:t>
      </w:r>
      <w:r>
        <w:rPr>
          <w:rFonts w:ascii="Arial" w:cs="Arial" w:eastAsia="Arial" w:hAnsi="Arial"/>
          <w:sz w:val="20"/>
          <w:szCs w:val="20"/>
          <w:color w:val="010000"/>
        </w:rPr>
        <w:t xml:space="preserve"> </w:t>
      </w:r>
      <w:r>
        <w:rPr>
          <w:rFonts w:ascii="Arial" w:cs="Arial" w:eastAsia="Arial" w:hAnsi="Arial"/>
          <w:sz w:val="20"/>
          <w:szCs w:val="20"/>
          <w:color w:val="000000"/>
        </w:rPr>
        <w:t>Participants a discretionary employer contribution. Discretionary employer contributions shall be or become vested in accordance with Section 7.2.</w:t>
      </w:r>
    </w:p>
    <w:p>
      <w:pPr>
        <w:spacing w:after="0" w:line="155" w:lineRule="exact"/>
        <w:rPr>
          <w:sz w:val="20"/>
          <w:szCs w:val="20"/>
          <w:color w:val="auto"/>
        </w:rPr>
      </w:pPr>
    </w:p>
    <w:p>
      <w:pPr>
        <w:ind w:right="60" w:firstLine="601"/>
        <w:spacing w:after="0" w:line="256" w:lineRule="auto"/>
        <w:rPr>
          <w:sz w:val="20"/>
          <w:szCs w:val="20"/>
          <w:color w:val="auto"/>
        </w:rPr>
      </w:pPr>
      <w:r>
        <w:rPr>
          <w:rFonts w:ascii="Arial" w:cs="Arial" w:eastAsia="Arial" w:hAnsi="Arial"/>
          <w:sz w:val="20"/>
          <w:szCs w:val="20"/>
          <w:color w:val="010000"/>
        </w:rPr>
        <w:t xml:space="preserve">5.3 </w:t>
      </w:r>
      <w:r>
        <w:rPr>
          <w:rFonts w:ascii="Arial" w:cs="Arial" w:eastAsia="Arial" w:hAnsi="Arial"/>
          <w:sz w:val="20"/>
          <w:szCs w:val="20"/>
          <w:b w:val="1"/>
          <w:bCs w:val="1"/>
          <w:u w:val="single" w:color="auto"/>
          <w:color w:val="000000"/>
        </w:rPr>
        <w:t>Crediting of Deferrals and Contributions</w:t>
      </w:r>
      <w:r>
        <w:rPr>
          <w:rFonts w:ascii="Arial" w:cs="Arial" w:eastAsia="Arial" w:hAnsi="Arial"/>
          <w:sz w:val="20"/>
          <w:szCs w:val="20"/>
          <w:color w:val="000000"/>
        </w:rPr>
        <w:t>. The Committee shall credit to the Account of each Participant the amount of the</w:t>
      </w:r>
      <w:r>
        <w:rPr>
          <w:rFonts w:ascii="Arial" w:cs="Arial" w:eastAsia="Arial" w:hAnsi="Arial"/>
          <w:sz w:val="20"/>
          <w:szCs w:val="20"/>
          <w:color w:val="010000"/>
        </w:rPr>
        <w:t xml:space="preserve"> </w:t>
      </w:r>
      <w:r>
        <w:rPr>
          <w:rFonts w:ascii="Arial" w:cs="Arial" w:eastAsia="Arial" w:hAnsi="Arial"/>
          <w:sz w:val="20"/>
          <w:szCs w:val="20"/>
          <w:color w:val="000000"/>
        </w:rPr>
        <w:t>Eligible Compensation deferred and/or the amount of Discretionary Contributions to be credited on behalf of each Participant. Deferrals with respect to Eligible Compensation shall be credited as soon as administratively practicable following the date on which the Participant’s Eligible Compensation is reduced by the amount of such deferral. Discretionary Contributions shall be credited at such time as determined by the Committee in its sole discretion.</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VI</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DEEMED INVESTMENT OF ACCOUNTS</w:t>
      </w:r>
    </w:p>
    <w:p>
      <w:pPr>
        <w:spacing w:after="0" w:line="198" w:lineRule="exact"/>
        <w:rPr>
          <w:sz w:val="20"/>
          <w:szCs w:val="20"/>
          <w:color w:val="auto"/>
        </w:rPr>
      </w:pPr>
    </w:p>
    <w:p>
      <w:pPr>
        <w:ind w:right="120" w:firstLine="601"/>
        <w:spacing w:after="0" w:line="306" w:lineRule="auto"/>
        <w:rPr>
          <w:sz w:val="20"/>
          <w:szCs w:val="20"/>
          <w:color w:val="auto"/>
        </w:rPr>
      </w:pPr>
      <w:r>
        <w:rPr>
          <w:rFonts w:ascii="Arial" w:cs="Arial" w:eastAsia="Arial" w:hAnsi="Arial"/>
          <w:sz w:val="18"/>
          <w:szCs w:val="18"/>
          <w:color w:val="010000"/>
        </w:rPr>
        <w:t xml:space="preserve">6.1 </w:t>
      </w:r>
      <w:r>
        <w:rPr>
          <w:rFonts w:ascii="Arial" w:cs="Arial" w:eastAsia="Arial" w:hAnsi="Arial"/>
          <w:sz w:val="18"/>
          <w:szCs w:val="18"/>
          <w:b w:val="1"/>
          <w:bCs w:val="1"/>
          <w:u w:val="single" w:color="auto"/>
          <w:color w:val="000000"/>
        </w:rPr>
        <w:t>Participant Elections</w:t>
      </w:r>
      <w:r>
        <w:rPr>
          <w:rFonts w:ascii="Arial" w:cs="Arial" w:eastAsia="Arial" w:hAnsi="Arial"/>
          <w:sz w:val="18"/>
          <w:szCs w:val="18"/>
          <w:color w:val="000000"/>
        </w:rPr>
        <w:t>. Each Participant shall make an election, at the time and in the manner prescribed by the Committee,</w:t>
      </w:r>
      <w:r>
        <w:rPr>
          <w:rFonts w:ascii="Arial" w:cs="Arial" w:eastAsia="Arial" w:hAnsi="Arial"/>
          <w:sz w:val="18"/>
          <w:szCs w:val="18"/>
          <w:color w:val="010000"/>
        </w:rPr>
        <w:t xml:space="preserve"> </w:t>
      </w:r>
      <w:r>
        <w:rPr>
          <w:rFonts w:ascii="Arial" w:cs="Arial" w:eastAsia="Arial" w:hAnsi="Arial"/>
          <w:sz w:val="18"/>
          <w:szCs w:val="18"/>
          <w:color w:val="000000"/>
        </w:rPr>
        <w:t>regarding the deemed investment of his or her Account among the Investment Funds made available by the Committee. If no such election is made, the Participant’s Account shall be deemed invested in a default Investment Fund selected by the Committee from time to time.</w:t>
      </w:r>
    </w:p>
    <w:p>
      <w:pPr>
        <w:spacing w:after="0" w:line="122" w:lineRule="exact"/>
        <w:rPr>
          <w:sz w:val="20"/>
          <w:szCs w:val="20"/>
          <w:color w:val="auto"/>
        </w:rPr>
      </w:pPr>
    </w:p>
    <w:p>
      <w:pPr>
        <w:ind w:right="80" w:firstLine="601"/>
        <w:spacing w:after="0" w:line="254" w:lineRule="auto"/>
        <w:rPr>
          <w:sz w:val="20"/>
          <w:szCs w:val="20"/>
          <w:color w:val="auto"/>
        </w:rPr>
      </w:pPr>
      <w:r>
        <w:rPr>
          <w:rFonts w:ascii="Arial" w:cs="Arial" w:eastAsia="Arial" w:hAnsi="Arial"/>
          <w:sz w:val="20"/>
          <w:szCs w:val="20"/>
          <w:color w:val="010000"/>
        </w:rPr>
        <w:t xml:space="preserve">6.2 </w:t>
      </w:r>
      <w:r>
        <w:rPr>
          <w:rFonts w:ascii="Arial" w:cs="Arial" w:eastAsia="Arial" w:hAnsi="Arial"/>
          <w:sz w:val="20"/>
          <w:szCs w:val="20"/>
          <w:b w:val="1"/>
          <w:bCs w:val="1"/>
          <w:u w:val="single" w:color="auto"/>
          <w:color w:val="000000"/>
        </w:rPr>
        <w:t>Investment Funds</w:t>
      </w:r>
      <w:r>
        <w:rPr>
          <w:rFonts w:ascii="Arial" w:cs="Arial" w:eastAsia="Arial" w:hAnsi="Arial"/>
          <w:sz w:val="20"/>
          <w:szCs w:val="20"/>
          <w:color w:val="000000"/>
        </w:rPr>
        <w:t>. The Committee shall determine the Investment Funds that are available for the deemed investment of</w:t>
      </w:r>
      <w:r>
        <w:rPr>
          <w:rFonts w:ascii="Arial" w:cs="Arial" w:eastAsia="Arial" w:hAnsi="Arial"/>
          <w:sz w:val="20"/>
          <w:szCs w:val="20"/>
          <w:color w:val="010000"/>
        </w:rPr>
        <w:t xml:space="preserve"> </w:t>
      </w:r>
      <w:r>
        <w:rPr>
          <w:rFonts w:ascii="Arial" w:cs="Arial" w:eastAsia="Arial" w:hAnsi="Arial"/>
          <w:sz w:val="20"/>
          <w:szCs w:val="20"/>
          <w:color w:val="000000"/>
        </w:rPr>
        <w:t>Accounts. The Committee may alter, modify, eliminate or replace any Investment Fund at any time. Participants shall be allowed to select the Investment Funds in which their Accounts will be deemed invested, and the portion of each Account deemed invested in each selected Investment Funds at such times (which shall be at least annually) and in the manner prescribed by the Committee. The Company may invest Company assets, or establish a grantor trust to invest assets, in Investment Funds to provide for the payment of benefits under the Plan, but shall not be required to do so.</w:t>
      </w:r>
    </w:p>
    <w:p>
      <w:pPr>
        <w:spacing w:after="0" w:line="167" w:lineRule="exact"/>
        <w:rPr>
          <w:sz w:val="20"/>
          <w:szCs w:val="20"/>
          <w:color w:val="auto"/>
        </w:rPr>
      </w:pPr>
    </w:p>
    <w:p>
      <w:pPr>
        <w:ind w:right="120" w:firstLine="601"/>
        <w:spacing w:after="0" w:line="284" w:lineRule="auto"/>
        <w:rPr>
          <w:sz w:val="20"/>
          <w:szCs w:val="20"/>
          <w:color w:val="auto"/>
        </w:rPr>
      </w:pPr>
      <w:r>
        <w:rPr>
          <w:rFonts w:ascii="Arial" w:cs="Arial" w:eastAsia="Arial" w:hAnsi="Arial"/>
          <w:sz w:val="19"/>
          <w:szCs w:val="19"/>
          <w:color w:val="010000"/>
        </w:rPr>
        <w:t xml:space="preserve">6.3 </w:t>
      </w:r>
      <w:r>
        <w:rPr>
          <w:rFonts w:ascii="Arial" w:cs="Arial" w:eastAsia="Arial" w:hAnsi="Arial"/>
          <w:sz w:val="19"/>
          <w:szCs w:val="19"/>
          <w:b w:val="1"/>
          <w:bCs w:val="1"/>
          <w:u w:val="single" w:color="auto"/>
          <w:color w:val="000000"/>
        </w:rPr>
        <w:t>Valuation of Accounts</w:t>
      </w:r>
      <w:r>
        <w:rPr>
          <w:rFonts w:ascii="Arial" w:cs="Arial" w:eastAsia="Arial" w:hAnsi="Arial"/>
          <w:sz w:val="19"/>
          <w:szCs w:val="19"/>
          <w:color w:val="000000"/>
        </w:rPr>
        <w:t>. Unless otherwise determined by the Committee, each Account shall be adjusted no less frequently than</w:t>
      </w:r>
      <w:r>
        <w:rPr>
          <w:rFonts w:ascii="Arial" w:cs="Arial" w:eastAsia="Arial" w:hAnsi="Arial"/>
          <w:sz w:val="19"/>
          <w:szCs w:val="19"/>
          <w:color w:val="010000"/>
        </w:rPr>
        <w:t xml:space="preserve"> </w:t>
      </w:r>
      <w:r>
        <w:rPr>
          <w:rFonts w:ascii="Arial" w:cs="Arial" w:eastAsia="Arial" w:hAnsi="Arial"/>
          <w:sz w:val="19"/>
          <w:szCs w:val="19"/>
          <w:color w:val="000000"/>
        </w:rPr>
        <w:t>quarterly to reflect the increases or decreases that the Accounts would have experienced had they actually been invested in the Investment Funds chosen by the applicable Participant (or in the default Investment Fund, if and as applicable).</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VII</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VESTING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157" w:right="239" w:bottom="1440" w:gutter="0" w:footer="0" w:header="0"/>
        </w:sectPr>
      </w:pPr>
    </w:p>
    <w:bookmarkStart w:id="117" w:name="page118"/>
    <w:bookmarkEnd w:id="117"/>
    <w:p>
      <w:pPr>
        <w:ind w:right="260" w:firstLine="601"/>
        <w:spacing w:after="0" w:line="279" w:lineRule="auto"/>
        <w:rPr>
          <w:sz w:val="20"/>
          <w:szCs w:val="20"/>
          <w:color w:val="auto"/>
        </w:rPr>
      </w:pPr>
      <w:r>
        <w:rPr>
          <w:rFonts w:ascii="Arial" w:cs="Arial" w:eastAsia="Arial" w:hAnsi="Arial"/>
          <w:sz w:val="20"/>
          <w:szCs w:val="20"/>
          <w:color w:val="010000"/>
        </w:rPr>
        <w:t xml:space="preserve">7.1 </w:t>
      </w:r>
      <w:r>
        <w:rPr>
          <w:rFonts w:ascii="Arial" w:cs="Arial" w:eastAsia="Arial" w:hAnsi="Arial"/>
          <w:sz w:val="20"/>
          <w:szCs w:val="20"/>
          <w:b w:val="1"/>
          <w:bCs w:val="1"/>
          <w:u w:val="single" w:color="auto"/>
          <w:color w:val="000000"/>
        </w:rPr>
        <w:t>Vesting in Deferrals</w:t>
      </w:r>
      <w:r>
        <w:rPr>
          <w:rFonts w:ascii="Arial" w:cs="Arial" w:eastAsia="Arial" w:hAnsi="Arial"/>
          <w:sz w:val="20"/>
          <w:szCs w:val="20"/>
          <w:color w:val="000000"/>
        </w:rPr>
        <w:t>. Participants shall be 100% vested at all times in his or her Account to the extent attributable to deferrals</w:t>
      </w:r>
      <w:r>
        <w:rPr>
          <w:rFonts w:ascii="Arial" w:cs="Arial" w:eastAsia="Arial" w:hAnsi="Arial"/>
          <w:sz w:val="20"/>
          <w:szCs w:val="20"/>
          <w:color w:val="010000"/>
        </w:rPr>
        <w:t xml:space="preserve"> </w:t>
      </w:r>
      <w:r>
        <w:rPr>
          <w:rFonts w:ascii="Arial" w:cs="Arial" w:eastAsia="Arial" w:hAnsi="Arial"/>
          <w:sz w:val="20"/>
          <w:szCs w:val="20"/>
          <w:color w:val="000000"/>
        </w:rPr>
        <w:t>(and any earnings thereon) from Eligible Compensation.</w:t>
      </w:r>
    </w:p>
    <w:p>
      <w:pPr>
        <w:spacing w:after="0" w:line="141" w:lineRule="exact"/>
        <w:rPr>
          <w:sz w:val="20"/>
          <w:szCs w:val="20"/>
          <w:color w:val="auto"/>
        </w:rPr>
      </w:pPr>
    </w:p>
    <w:p>
      <w:pPr>
        <w:ind w:right="300" w:firstLine="601"/>
        <w:spacing w:after="0" w:line="276" w:lineRule="auto"/>
        <w:rPr>
          <w:sz w:val="20"/>
          <w:szCs w:val="20"/>
          <w:color w:val="auto"/>
        </w:rPr>
      </w:pPr>
      <w:r>
        <w:rPr>
          <w:rFonts w:ascii="Arial" w:cs="Arial" w:eastAsia="Arial" w:hAnsi="Arial"/>
          <w:sz w:val="19"/>
          <w:szCs w:val="19"/>
          <w:color w:val="010000"/>
        </w:rPr>
        <w:t xml:space="preserve">7.2 </w:t>
      </w:r>
      <w:r>
        <w:rPr>
          <w:rFonts w:ascii="Arial" w:cs="Arial" w:eastAsia="Arial" w:hAnsi="Arial"/>
          <w:sz w:val="19"/>
          <w:szCs w:val="19"/>
          <w:b w:val="1"/>
          <w:bCs w:val="1"/>
          <w:u w:val="single" w:color="auto"/>
          <w:color w:val="000000"/>
        </w:rPr>
        <w:t>Vesting in Discretionary Contributions</w:t>
      </w:r>
      <w:r>
        <w:rPr>
          <w:rFonts w:ascii="Arial" w:cs="Arial" w:eastAsia="Arial" w:hAnsi="Arial"/>
          <w:sz w:val="19"/>
          <w:szCs w:val="19"/>
          <w:color w:val="000000"/>
        </w:rPr>
        <w:t>. As of the date the Committee determines that a Discretionary Contribution shall be</w:t>
      </w:r>
      <w:r>
        <w:rPr>
          <w:rFonts w:ascii="Arial" w:cs="Arial" w:eastAsia="Arial" w:hAnsi="Arial"/>
          <w:sz w:val="19"/>
          <w:szCs w:val="19"/>
          <w:color w:val="010000"/>
        </w:rPr>
        <w:t xml:space="preserve"> </w:t>
      </w:r>
      <w:r>
        <w:rPr>
          <w:rFonts w:ascii="Arial" w:cs="Arial" w:eastAsia="Arial" w:hAnsi="Arial"/>
          <w:sz w:val="19"/>
          <w:szCs w:val="19"/>
          <w:color w:val="000000"/>
        </w:rPr>
        <w:t>credited to a Participant’s Account, the Committee shall determine, in its sole discretion, the terms and conditions on which such Discretionary Contribution, and any earnings thereon, shall be or become vested (including the terms and conditions on which such Discretionary Contribution shall be or become vested in the event of a Change in Control).</w:t>
      </w:r>
    </w:p>
    <w:p>
      <w:pPr>
        <w:spacing w:after="0" w:line="146" w:lineRule="exact"/>
        <w:rPr>
          <w:sz w:val="20"/>
          <w:szCs w:val="20"/>
          <w:color w:val="auto"/>
        </w:rPr>
      </w:pPr>
    </w:p>
    <w:p>
      <w:pPr>
        <w:ind w:right="40" w:firstLine="601"/>
        <w:spacing w:after="0" w:line="258" w:lineRule="auto"/>
        <w:rPr>
          <w:sz w:val="20"/>
          <w:szCs w:val="20"/>
          <w:color w:val="auto"/>
        </w:rPr>
      </w:pPr>
      <w:r>
        <w:rPr>
          <w:rFonts w:ascii="Arial" w:cs="Arial" w:eastAsia="Arial" w:hAnsi="Arial"/>
          <w:sz w:val="20"/>
          <w:szCs w:val="20"/>
          <w:color w:val="010000"/>
        </w:rPr>
        <w:t xml:space="preserve">7.3 </w:t>
      </w:r>
      <w:r>
        <w:rPr>
          <w:rFonts w:ascii="Arial" w:cs="Arial" w:eastAsia="Arial" w:hAnsi="Arial"/>
          <w:sz w:val="20"/>
          <w:szCs w:val="20"/>
          <w:b w:val="1"/>
          <w:bCs w:val="1"/>
          <w:u w:val="single" w:color="auto"/>
          <w:color w:val="000000"/>
        </w:rPr>
        <w:t>Effect of Separation from Service</w:t>
      </w:r>
      <w:r>
        <w:rPr>
          <w:rFonts w:ascii="Arial" w:cs="Arial" w:eastAsia="Arial" w:hAnsi="Arial"/>
          <w:sz w:val="20"/>
          <w:szCs w:val="20"/>
          <w:color w:val="000000"/>
        </w:rPr>
        <w:t>. Except to the extent waived by the Committee, if a Participant incurs a Separation from</w:t>
      </w:r>
      <w:r>
        <w:rPr>
          <w:rFonts w:ascii="Arial" w:cs="Arial" w:eastAsia="Arial" w:hAnsi="Arial"/>
          <w:sz w:val="20"/>
          <w:szCs w:val="20"/>
          <w:color w:val="010000"/>
        </w:rPr>
        <w:t xml:space="preserve"> </w:t>
      </w:r>
      <w:r>
        <w:rPr>
          <w:rFonts w:ascii="Arial" w:cs="Arial" w:eastAsia="Arial" w:hAnsi="Arial"/>
          <w:sz w:val="20"/>
          <w:szCs w:val="20"/>
          <w:color w:val="000000"/>
        </w:rPr>
        <w:t>Service, that portion of his or her Account in which the Participant has not yet vested as of the date of his or her Separation from Service shall thereupon be forfeited. Notwithstanding Section 7.1 and 7.2 above, if a Participant incurs a Separation from Service due to Cause, the entire portion of his or her Account, to the extent not yet distributed, shall be forfeited.</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VIII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DISTRIBUTIONS</w:t>
      </w:r>
    </w:p>
    <w:p>
      <w:pPr>
        <w:spacing w:after="0" w:line="198" w:lineRule="exact"/>
        <w:rPr>
          <w:sz w:val="20"/>
          <w:szCs w:val="20"/>
          <w:color w:val="auto"/>
        </w:rPr>
      </w:pPr>
    </w:p>
    <w:p>
      <w:pPr>
        <w:jc w:val="both"/>
        <w:ind w:right="260" w:firstLine="601"/>
        <w:spacing w:after="0" w:line="264" w:lineRule="auto"/>
        <w:rPr>
          <w:sz w:val="20"/>
          <w:szCs w:val="20"/>
          <w:color w:val="auto"/>
        </w:rPr>
      </w:pPr>
      <w:r>
        <w:rPr>
          <w:rFonts w:ascii="Arial" w:cs="Arial" w:eastAsia="Arial" w:hAnsi="Arial"/>
          <w:sz w:val="20"/>
          <w:szCs w:val="20"/>
          <w:color w:val="010000"/>
        </w:rPr>
        <w:t xml:space="preserve">8.1 </w:t>
      </w:r>
      <w:r>
        <w:rPr>
          <w:rFonts w:ascii="Arial" w:cs="Arial" w:eastAsia="Arial" w:hAnsi="Arial"/>
          <w:sz w:val="20"/>
          <w:szCs w:val="20"/>
          <w:b w:val="1"/>
          <w:bCs w:val="1"/>
          <w:u w:val="single" w:color="auto"/>
          <w:color w:val="000000"/>
        </w:rPr>
        <w:t>Distribution of Deferrals</w:t>
      </w:r>
      <w:r>
        <w:rPr>
          <w:rFonts w:ascii="Arial" w:cs="Arial" w:eastAsia="Arial" w:hAnsi="Arial"/>
          <w:sz w:val="20"/>
          <w:szCs w:val="20"/>
          <w:color w:val="000000"/>
        </w:rPr>
        <w:t>. Each Participant shall elect (a) the date on which amounts deferred pursuant to Section 5.1 and (b)</w:t>
      </w:r>
      <w:r>
        <w:rPr>
          <w:rFonts w:ascii="Arial" w:cs="Arial" w:eastAsia="Arial" w:hAnsi="Arial"/>
          <w:sz w:val="20"/>
          <w:szCs w:val="20"/>
          <w:color w:val="010000"/>
        </w:rPr>
        <w:t xml:space="preserve"> </w:t>
      </w:r>
      <w:r>
        <w:rPr>
          <w:rFonts w:ascii="Arial" w:cs="Arial" w:eastAsia="Arial" w:hAnsi="Arial"/>
          <w:sz w:val="20"/>
          <w:szCs w:val="20"/>
          <w:color w:val="000000"/>
        </w:rPr>
        <w:t>the form in which distribution of such deferred amounts shall be paid or commence to be paid, in each case, as adjusted by any increases or decreases.</w:t>
      </w:r>
    </w:p>
    <w:p>
      <w:pPr>
        <w:spacing w:after="0" w:line="159" w:lineRule="exact"/>
        <w:rPr>
          <w:sz w:val="20"/>
          <w:szCs w:val="20"/>
          <w:color w:val="auto"/>
        </w:rPr>
      </w:pPr>
    </w:p>
    <w:p>
      <w:pPr>
        <w:ind w:firstLine="1202"/>
        <w:spacing w:after="0" w:line="257" w:lineRule="auto"/>
        <w:tabs>
          <w:tab w:leader="none" w:pos="1624" w:val="left"/>
        </w:tabs>
        <w:numPr>
          <w:ilvl w:val="0"/>
          <w:numId w:val="83"/>
        </w:numPr>
        <w:rPr>
          <w:rFonts w:ascii="Arial" w:cs="Arial" w:eastAsia="Arial" w:hAnsi="Arial"/>
          <w:sz w:val="20"/>
          <w:szCs w:val="20"/>
          <w:color w:val="010000"/>
        </w:rPr>
      </w:pPr>
      <w:r>
        <w:rPr>
          <w:rFonts w:ascii="Arial" w:cs="Arial" w:eastAsia="Arial" w:hAnsi="Arial"/>
          <w:sz w:val="20"/>
          <w:szCs w:val="20"/>
          <w:u w:val="single" w:color="auto"/>
          <w:color w:val="auto"/>
        </w:rPr>
        <w:t>Payment Date</w:t>
      </w:r>
      <w:r>
        <w:rPr>
          <w:rFonts w:ascii="Arial" w:cs="Arial" w:eastAsia="Arial" w:hAnsi="Arial"/>
          <w:sz w:val="20"/>
          <w:szCs w:val="20"/>
          <w:color w:val="auto"/>
        </w:rPr>
        <w:t>. Distribution of a Participant’s Account attributable to amounts deferred pursuant to Section 5.1 (and any earnings thereon) shall be made or commence upon the earlier of (i) a distribution date specified by the Participant that is at least two (2) years after the date on which the final payment of the deferred amount would have been made to the Participant absent the deferral or (ii) the Participant’s Separation from Service.</w:t>
      </w:r>
    </w:p>
    <w:p>
      <w:pPr>
        <w:spacing w:after="0" w:line="166" w:lineRule="exact"/>
        <w:rPr>
          <w:rFonts w:ascii="Arial" w:cs="Arial" w:eastAsia="Arial" w:hAnsi="Arial"/>
          <w:sz w:val="20"/>
          <w:szCs w:val="20"/>
          <w:color w:val="010000"/>
        </w:rPr>
      </w:pPr>
    </w:p>
    <w:p>
      <w:pPr>
        <w:ind w:firstLine="1202"/>
        <w:spacing w:after="0" w:line="255" w:lineRule="auto"/>
        <w:tabs>
          <w:tab w:leader="none" w:pos="1635" w:val="left"/>
        </w:tabs>
        <w:numPr>
          <w:ilvl w:val="0"/>
          <w:numId w:val="83"/>
        </w:numPr>
        <w:rPr>
          <w:rFonts w:ascii="Arial" w:cs="Arial" w:eastAsia="Arial" w:hAnsi="Arial"/>
          <w:sz w:val="20"/>
          <w:szCs w:val="20"/>
          <w:color w:val="010000"/>
        </w:rPr>
      </w:pPr>
      <w:r>
        <w:rPr>
          <w:rFonts w:ascii="Arial" w:cs="Arial" w:eastAsia="Arial" w:hAnsi="Arial"/>
          <w:sz w:val="20"/>
          <w:szCs w:val="20"/>
          <w:u w:val="single" w:color="auto"/>
          <w:color w:val="auto"/>
        </w:rPr>
        <w:t>Form of Distribution</w:t>
      </w:r>
      <w:r>
        <w:rPr>
          <w:rFonts w:ascii="Arial" w:cs="Arial" w:eastAsia="Arial" w:hAnsi="Arial"/>
          <w:sz w:val="20"/>
          <w:szCs w:val="20"/>
          <w:color w:val="auto"/>
        </w:rPr>
        <w:t>. A Participant may elect that amounts deferred be distributed in either (i) a lump sum payment or (ii) annual installments over a period to be determined by the Committee, not to exceed 20 years. Each installment shall be determined by dividing the value of the Participant’s Account as of the applicable valuation date by the number of remaining installments. For purposes of section 409A of the Code, the entitlement to a series of installment payments under the Plan shall be treated as the entitlement to a single payment as of the date the first installment is scheduled to be paid.</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 xml:space="preserve">All distribution elections pursuant to this Section 8.1 shall be made at the time of making the initial deferral election under Section 5.1. Distributions shall be paid or begin within 90 days after the scheduled distribution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any amount is credited to the Participant’s Account after such 90 day period, any distributions of such amount that are otherwise payable prior to the date credited to the Participant’s Account shall be payable within 30 days after the date credited to the Participant’s Account. All distributions shall be paid in cash.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153" w:right="239" w:bottom="1440" w:gutter="0" w:footer="0" w:header="0"/>
        </w:sectPr>
      </w:pPr>
    </w:p>
    <w:bookmarkStart w:id="118" w:name="page119"/>
    <w:bookmarkEnd w:id="118"/>
    <w:p>
      <w:pPr>
        <w:ind w:left="600"/>
        <w:spacing w:after="0"/>
        <w:tabs>
          <w:tab w:leader="none" w:pos="1040" w:val="left"/>
        </w:tabs>
        <w:rPr>
          <w:sz w:val="20"/>
          <w:szCs w:val="20"/>
          <w:color w:val="auto"/>
        </w:rPr>
      </w:pPr>
      <w:r>
        <w:rPr>
          <w:rFonts w:ascii="Arial" w:cs="Arial" w:eastAsia="Arial" w:hAnsi="Arial"/>
          <w:sz w:val="20"/>
          <w:szCs w:val="20"/>
          <w:color w:val="010000"/>
        </w:rPr>
        <w:t>8.2</w:t>
      </w:r>
      <w:r>
        <w:rPr>
          <w:sz w:val="20"/>
          <w:szCs w:val="20"/>
          <w:color w:val="auto"/>
        </w:rPr>
        <w:tab/>
      </w:r>
      <w:r>
        <w:rPr>
          <w:rFonts w:ascii="Arial" w:cs="Arial" w:eastAsia="Arial" w:hAnsi="Arial"/>
          <w:sz w:val="17"/>
          <w:szCs w:val="17"/>
          <w:b w:val="1"/>
          <w:bCs w:val="1"/>
          <w:u w:val="single" w:color="auto"/>
          <w:color w:val="auto"/>
        </w:rPr>
        <w:t>Special Distribution Provisions</w:t>
      </w:r>
      <w:r>
        <w:rPr>
          <w:rFonts w:ascii="Arial" w:cs="Arial" w:eastAsia="Arial" w:hAnsi="Arial"/>
          <w:sz w:val="17"/>
          <w:szCs w:val="17"/>
          <w:color w:val="auto"/>
        </w:rPr>
        <w:t>.</w:t>
      </w:r>
    </w:p>
    <w:p>
      <w:pPr>
        <w:spacing w:after="0" w:line="212" w:lineRule="exact"/>
        <w:rPr>
          <w:sz w:val="20"/>
          <w:szCs w:val="20"/>
          <w:color w:val="auto"/>
        </w:rPr>
      </w:pPr>
    </w:p>
    <w:p>
      <w:pPr>
        <w:ind w:right="100" w:firstLine="1202"/>
        <w:spacing w:after="0" w:line="257" w:lineRule="auto"/>
        <w:tabs>
          <w:tab w:leader="none" w:pos="1624" w:val="left"/>
        </w:tabs>
        <w:numPr>
          <w:ilvl w:val="0"/>
          <w:numId w:val="84"/>
        </w:numPr>
        <w:rPr>
          <w:rFonts w:ascii="Arial" w:cs="Arial" w:eastAsia="Arial" w:hAnsi="Arial"/>
          <w:sz w:val="20"/>
          <w:szCs w:val="20"/>
          <w:color w:val="010000"/>
        </w:rPr>
      </w:pPr>
      <w:r>
        <w:rPr>
          <w:rFonts w:ascii="Arial" w:cs="Arial" w:eastAsia="Arial" w:hAnsi="Arial"/>
          <w:sz w:val="20"/>
          <w:szCs w:val="20"/>
          <w:u w:val="single" w:color="auto"/>
          <w:color w:val="auto"/>
        </w:rPr>
        <w:t>Default Distribution Election</w:t>
      </w:r>
      <w:r>
        <w:rPr>
          <w:rFonts w:ascii="Arial" w:cs="Arial" w:eastAsia="Arial" w:hAnsi="Arial"/>
          <w:sz w:val="20"/>
          <w:szCs w:val="20"/>
          <w:color w:val="auto"/>
        </w:rPr>
        <w:t>. If a Participant fails to make an election specifying the time or form in which all or any portion of the Participant’s Account will be paid, the Participant shall be deemed to have elected to receive (i) a lump sum distribution, if the Participant has failed to make an election specifying the form of payment, and (ii) a payment upon Separation from Service, if the Participant has failed to make an election specifying the time of payment.</w:t>
      </w:r>
    </w:p>
    <w:p>
      <w:pPr>
        <w:spacing w:after="0" w:line="166" w:lineRule="exact"/>
        <w:rPr>
          <w:rFonts w:ascii="Arial" w:cs="Arial" w:eastAsia="Arial" w:hAnsi="Arial"/>
          <w:sz w:val="20"/>
          <w:szCs w:val="20"/>
          <w:color w:val="010000"/>
        </w:rPr>
      </w:pPr>
    </w:p>
    <w:p>
      <w:pPr>
        <w:ind w:right="20" w:firstLine="1202"/>
        <w:spacing w:after="0" w:line="253" w:lineRule="auto"/>
        <w:tabs>
          <w:tab w:leader="none" w:pos="1635" w:val="left"/>
        </w:tabs>
        <w:numPr>
          <w:ilvl w:val="0"/>
          <w:numId w:val="84"/>
        </w:numPr>
        <w:rPr>
          <w:rFonts w:ascii="Arial" w:cs="Arial" w:eastAsia="Arial" w:hAnsi="Arial"/>
          <w:sz w:val="20"/>
          <w:szCs w:val="20"/>
          <w:color w:val="010000"/>
        </w:rPr>
      </w:pPr>
      <w:r>
        <w:rPr>
          <w:rFonts w:ascii="Arial" w:cs="Arial" w:eastAsia="Arial" w:hAnsi="Arial"/>
          <w:sz w:val="20"/>
          <w:szCs w:val="20"/>
          <w:u w:val="single" w:color="auto"/>
          <w:color w:val="auto"/>
        </w:rPr>
        <w:t>Small Account</w:t>
      </w:r>
      <w:r>
        <w:rPr>
          <w:rFonts w:ascii="Arial" w:cs="Arial" w:eastAsia="Arial" w:hAnsi="Arial"/>
          <w:sz w:val="20"/>
          <w:szCs w:val="20"/>
          <w:color w:val="auto"/>
        </w:rPr>
        <w:t xml:space="preserve">. Notwithstanding a Participant’s election, if the value of the Participant’s Account under the Plan (and all plans required to be aggregated with the Plan under section 409A of the Code) is less than or equal to the applicable dollar amount under section 402(g)(1)(B) of the Code at any time on or after the date of the Participant’s Separation from Service, the Committee may provide that the recipient shall receive a distribution of the Participant’s Account in a single lump sum payment,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payment results in the termination and liquidation of the entirety of the Participant’s interest in the Plan (and all plans required to be aggregated with the Plan under section 409A of the Code).</w:t>
      </w:r>
    </w:p>
    <w:p>
      <w:pPr>
        <w:spacing w:after="0" w:line="172" w:lineRule="exact"/>
        <w:rPr>
          <w:rFonts w:ascii="Arial" w:cs="Arial" w:eastAsia="Arial" w:hAnsi="Arial"/>
          <w:sz w:val="20"/>
          <w:szCs w:val="20"/>
          <w:color w:val="010000"/>
        </w:rPr>
      </w:pPr>
    </w:p>
    <w:p>
      <w:pPr>
        <w:ind w:right="40" w:firstLine="1202"/>
        <w:spacing w:after="0" w:line="257" w:lineRule="auto"/>
        <w:tabs>
          <w:tab w:leader="none" w:pos="1624" w:val="left"/>
        </w:tabs>
        <w:numPr>
          <w:ilvl w:val="0"/>
          <w:numId w:val="84"/>
        </w:numPr>
        <w:rPr>
          <w:rFonts w:ascii="Arial" w:cs="Arial" w:eastAsia="Arial" w:hAnsi="Arial"/>
          <w:sz w:val="20"/>
          <w:szCs w:val="20"/>
          <w:color w:val="010000"/>
        </w:rPr>
      </w:pPr>
      <w:r>
        <w:rPr>
          <w:rFonts w:ascii="Arial" w:cs="Arial" w:eastAsia="Arial" w:hAnsi="Arial"/>
          <w:sz w:val="20"/>
          <w:szCs w:val="20"/>
          <w:u w:val="single" w:color="auto"/>
          <w:color w:val="auto"/>
        </w:rPr>
        <w:t>Discretionary Contributions</w:t>
      </w:r>
      <w:r>
        <w:rPr>
          <w:rFonts w:ascii="Arial" w:cs="Arial" w:eastAsia="Arial" w:hAnsi="Arial"/>
          <w:sz w:val="20"/>
          <w:szCs w:val="20"/>
          <w:color w:val="auto"/>
        </w:rPr>
        <w:t>. At the time the Committee determines that a Discretionary Contribution will be credited to a Participant’s Account, the Committee shall specify the time and form of distribution of such Discretionary Contribution, as adjusted for any earnings or losses thereon. Alternatively, the Committee may require or permit the Participant to elect the time and form of such distribution in accordance with Section 8.1.</w:t>
      </w:r>
    </w:p>
    <w:p>
      <w:pPr>
        <w:spacing w:after="0" w:line="166" w:lineRule="exact"/>
        <w:rPr>
          <w:rFonts w:ascii="Arial" w:cs="Arial" w:eastAsia="Arial" w:hAnsi="Arial"/>
          <w:sz w:val="20"/>
          <w:szCs w:val="20"/>
          <w:color w:val="010000"/>
        </w:rPr>
      </w:pPr>
    </w:p>
    <w:p>
      <w:pPr>
        <w:ind w:firstLine="1202"/>
        <w:spacing w:after="0" w:line="290" w:lineRule="auto"/>
        <w:tabs>
          <w:tab w:leader="none" w:pos="1635"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Specified Employee</w:t>
      </w:r>
      <w:r>
        <w:rPr>
          <w:rFonts w:ascii="Arial" w:cs="Arial" w:eastAsia="Arial" w:hAnsi="Arial"/>
          <w:sz w:val="18"/>
          <w:szCs w:val="18"/>
          <w:color w:val="auto"/>
        </w:rPr>
        <w:t>. Notwithstanding anything in this Plan to the contrary, if a distribution is to be made or commence upon the Separation of Service of a Specified Employee, no portion of such distribution shall be made or commence until after the six-month anniversary of the Participant’s Separation from Service (or, if earlier, the date of the Participant’s death). The aggregate amount of any payments which a Participant cannot receive. due to being a Specified Employee during such six-month period, shall be paid to the Participant in a lump sum during the seventh calendar month following the calendar month in which the Participant’s Separation from Service occurs.</w:t>
      </w:r>
    </w:p>
    <w:p>
      <w:pPr>
        <w:spacing w:after="0" w:line="138" w:lineRule="exact"/>
        <w:rPr>
          <w:rFonts w:ascii="Arial" w:cs="Arial" w:eastAsia="Arial" w:hAnsi="Arial"/>
          <w:sz w:val="18"/>
          <w:szCs w:val="18"/>
          <w:color w:val="010000"/>
        </w:rPr>
      </w:pPr>
    </w:p>
    <w:p>
      <w:pPr>
        <w:ind w:right="20" w:firstLine="1202"/>
        <w:spacing w:after="0" w:line="290" w:lineRule="auto"/>
        <w:tabs>
          <w:tab w:leader="none" w:pos="1624"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For purposes of this Plan, a Participant shall not have a Separation from Service while the Participant is on military leave, sick leave or other bona fide leave of absence (such as temporary employment by the government) if such leave does not exceed 6 months (or if the leave exceeds 6 months, but the Participant’s right to reemployment is protected either by statute or contract). If the Participant’s leave exceeds 6 months and the right to reemployment is not protected by statute or contract, then the Participant shall be deemed to have a Separation from Service for purposes of this Plan as of the first day immediately following the end of the 6-month period.</w:t>
      </w:r>
    </w:p>
    <w:p>
      <w:pPr>
        <w:spacing w:after="0" w:line="138" w:lineRule="exact"/>
        <w:rPr>
          <w:rFonts w:ascii="Arial" w:cs="Arial" w:eastAsia="Arial" w:hAnsi="Arial"/>
          <w:sz w:val="18"/>
          <w:szCs w:val="18"/>
          <w:color w:val="010000"/>
        </w:rPr>
      </w:pPr>
    </w:p>
    <w:p>
      <w:pPr>
        <w:ind w:right="140" w:firstLine="1202"/>
        <w:spacing w:after="0" w:line="304" w:lineRule="auto"/>
        <w:tabs>
          <w:tab w:leader="none" w:pos="1602"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of a Change in Control, the Committee may in its discretion determine to terminate the Plan and provide that all Accounts under the Plan shall be distributed to Participants in accordance with section 409A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that all plans required to be aggregated with the Plan under Treas. Reg. §1.409A-3(j)(4)(ix)(B) are also terminated and liquidated.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153" w:right="239" w:bottom="1440" w:gutter="0" w:footer="0" w:header="0"/>
        </w:sectPr>
      </w:pPr>
    </w:p>
    <w:bookmarkStart w:id="119" w:name="page120"/>
    <w:bookmarkEnd w:id="119"/>
    <w:p>
      <w:pPr>
        <w:ind w:left="600"/>
        <w:spacing w:after="0"/>
        <w:tabs>
          <w:tab w:leader="none" w:pos="1040" w:val="left"/>
        </w:tabs>
        <w:rPr>
          <w:sz w:val="20"/>
          <w:szCs w:val="20"/>
          <w:color w:val="auto"/>
        </w:rPr>
      </w:pPr>
      <w:r>
        <w:rPr>
          <w:rFonts w:ascii="Arial" w:cs="Arial" w:eastAsia="Arial" w:hAnsi="Arial"/>
          <w:sz w:val="20"/>
          <w:szCs w:val="20"/>
          <w:color w:val="010000"/>
        </w:rPr>
        <w:t>8.3</w:t>
      </w:r>
      <w:r>
        <w:rPr>
          <w:sz w:val="20"/>
          <w:szCs w:val="20"/>
          <w:color w:val="auto"/>
        </w:rPr>
        <w:tab/>
      </w:r>
      <w:r>
        <w:rPr>
          <w:rFonts w:ascii="Arial" w:cs="Arial" w:eastAsia="Arial" w:hAnsi="Arial"/>
          <w:sz w:val="18"/>
          <w:szCs w:val="18"/>
          <w:b w:val="1"/>
          <w:bCs w:val="1"/>
          <w:u w:val="single" w:color="auto"/>
          <w:color w:val="auto"/>
        </w:rPr>
        <w:t>Death and Disability</w:t>
      </w:r>
      <w:r>
        <w:rPr>
          <w:rFonts w:ascii="Arial" w:cs="Arial" w:eastAsia="Arial" w:hAnsi="Arial"/>
          <w:sz w:val="18"/>
          <w:szCs w:val="18"/>
          <w:color w:val="auto"/>
        </w:rPr>
        <w:t>.</w:t>
      </w:r>
    </w:p>
    <w:p>
      <w:pPr>
        <w:spacing w:after="0" w:line="212" w:lineRule="exact"/>
        <w:rPr>
          <w:sz w:val="20"/>
          <w:szCs w:val="20"/>
          <w:color w:val="auto"/>
        </w:rPr>
      </w:pPr>
    </w:p>
    <w:p>
      <w:pPr>
        <w:ind w:right="80" w:firstLine="1202"/>
        <w:spacing w:after="0" w:line="257" w:lineRule="auto"/>
        <w:tabs>
          <w:tab w:leader="none" w:pos="1624" w:val="left"/>
        </w:tabs>
        <w:numPr>
          <w:ilvl w:val="0"/>
          <w:numId w:val="85"/>
        </w:numPr>
        <w:rPr>
          <w:rFonts w:ascii="Arial" w:cs="Arial" w:eastAsia="Arial" w:hAnsi="Arial"/>
          <w:sz w:val="20"/>
          <w:szCs w:val="20"/>
          <w:color w:val="010000"/>
        </w:rPr>
      </w:pPr>
      <w:r>
        <w:rPr>
          <w:rFonts w:ascii="Arial" w:cs="Arial" w:eastAsia="Arial" w:hAnsi="Arial"/>
          <w:sz w:val="20"/>
          <w:szCs w:val="20"/>
          <w:u w:val="single" w:color="auto"/>
          <w:color w:val="auto"/>
        </w:rPr>
        <w:t>Death</w:t>
      </w:r>
      <w:r>
        <w:rPr>
          <w:rFonts w:ascii="Arial" w:cs="Arial" w:eastAsia="Arial" w:hAnsi="Arial"/>
          <w:sz w:val="20"/>
          <w:szCs w:val="20"/>
          <w:color w:val="auto"/>
        </w:rPr>
        <w:t>. Notwithstanding anything in this Article VIII to the contrary, in the case of the death of a Participant, either while employed by the Company or an Affiliate, or prior to distribution of the Participant’s entire Account, the Participant’s Account shall be distributed to the Participant’s Beneficiary in a lump sum payment as soon as administratively possible and in no event later than 90 days following the death of the Participant.</w:t>
      </w:r>
    </w:p>
    <w:p>
      <w:pPr>
        <w:spacing w:after="0" w:line="166" w:lineRule="exact"/>
        <w:rPr>
          <w:rFonts w:ascii="Arial" w:cs="Arial" w:eastAsia="Arial" w:hAnsi="Arial"/>
          <w:sz w:val="20"/>
          <w:szCs w:val="20"/>
          <w:color w:val="010000"/>
        </w:rPr>
      </w:pPr>
    </w:p>
    <w:p>
      <w:pPr>
        <w:jc w:val="both"/>
        <w:ind w:right="320" w:firstLine="1202"/>
        <w:spacing w:after="0" w:line="257" w:lineRule="auto"/>
        <w:tabs>
          <w:tab w:leader="none" w:pos="1635" w:val="left"/>
        </w:tabs>
        <w:numPr>
          <w:ilvl w:val="0"/>
          <w:numId w:val="85"/>
        </w:numPr>
        <w:rPr>
          <w:rFonts w:ascii="Arial" w:cs="Arial" w:eastAsia="Arial" w:hAnsi="Arial"/>
          <w:sz w:val="20"/>
          <w:szCs w:val="20"/>
          <w:color w:val="010000"/>
        </w:rPr>
      </w:pPr>
      <w:r>
        <w:rPr>
          <w:rFonts w:ascii="Arial" w:cs="Arial" w:eastAsia="Arial" w:hAnsi="Arial"/>
          <w:sz w:val="20"/>
          <w:szCs w:val="20"/>
          <w:u w:val="single" w:color="auto"/>
          <w:color w:val="auto"/>
        </w:rPr>
        <w:t>Disability</w:t>
      </w:r>
      <w:r>
        <w:rPr>
          <w:rFonts w:ascii="Arial" w:cs="Arial" w:eastAsia="Arial" w:hAnsi="Arial"/>
          <w:sz w:val="20"/>
          <w:szCs w:val="20"/>
          <w:color w:val="auto"/>
        </w:rPr>
        <w:t>. Notwithstanding anything in this Article VIII to the contrary, in the event a Participant’s Separation from Service is due to his or her Disability, the Participant’s Account shall be distributed to the Participant in a lump sum payment as soon as administratively possible following the date of the Participant’s Separation from Service and in no event later than 90 days following such date.</w:t>
      </w:r>
    </w:p>
    <w:p>
      <w:pPr>
        <w:spacing w:after="0" w:line="166" w:lineRule="exact"/>
        <w:rPr>
          <w:rFonts w:ascii="Arial" w:cs="Arial" w:eastAsia="Arial" w:hAnsi="Arial"/>
          <w:sz w:val="20"/>
          <w:szCs w:val="20"/>
          <w:color w:val="010000"/>
        </w:rPr>
      </w:pPr>
    </w:p>
    <w:p>
      <w:pPr>
        <w:ind w:firstLine="1202"/>
        <w:spacing w:after="0" w:line="285" w:lineRule="auto"/>
        <w:tabs>
          <w:tab w:leader="none" w:pos="1624"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designate one or more Beneficiaries (who may be designated contingently or successively) in accordance with procedures established by the Committee to receive the benefits specified hereunder in the event of the Participant’s death. No beneficiary designation shall become effective until it is filed with the Committee at the time and in the manner prescribed by the Committee during the lifetime of the Participant and each designation will automatically revoke any prior designations by the same Participant. All Beneficiary designations shall be subject to applicable community property laws. If there is no such designation or if there is no surviving designated Beneficiary, then the Participant’s surviving spouse shall be the Beneficiary. If there is no surviving spouse to receive any benefits payable in accordance with the preceding sentence, the Participant’s estate shall be the Beneficiary.</w:t>
      </w:r>
    </w:p>
    <w:p>
      <w:pPr>
        <w:spacing w:after="0" w:line="140" w:lineRule="exact"/>
        <w:rPr>
          <w:sz w:val="20"/>
          <w:szCs w:val="20"/>
          <w:color w:val="auto"/>
        </w:rPr>
      </w:pPr>
    </w:p>
    <w:p>
      <w:pPr>
        <w:ind w:firstLine="601"/>
        <w:spacing w:after="0" w:line="258" w:lineRule="auto"/>
        <w:rPr>
          <w:sz w:val="20"/>
          <w:szCs w:val="20"/>
          <w:color w:val="auto"/>
        </w:rPr>
      </w:pPr>
      <w:r>
        <w:rPr>
          <w:rFonts w:ascii="Arial" w:cs="Arial" w:eastAsia="Arial" w:hAnsi="Arial"/>
          <w:sz w:val="20"/>
          <w:szCs w:val="20"/>
          <w:color w:val="010000"/>
        </w:rPr>
        <w:t xml:space="preserve">8.4 </w:t>
      </w:r>
      <w:r>
        <w:rPr>
          <w:rFonts w:ascii="Arial" w:cs="Arial" w:eastAsia="Arial" w:hAnsi="Arial"/>
          <w:sz w:val="20"/>
          <w:szCs w:val="20"/>
          <w:b w:val="1"/>
          <w:bCs w:val="1"/>
          <w:u w:val="single" w:color="auto"/>
          <w:color w:val="000000"/>
        </w:rPr>
        <w:t>Payments on Account of Failure to Comply with Section 409A of the Code</w:t>
      </w:r>
      <w:r>
        <w:rPr>
          <w:rFonts w:ascii="Arial" w:cs="Arial" w:eastAsia="Arial" w:hAnsi="Arial"/>
          <w:sz w:val="20"/>
          <w:szCs w:val="20"/>
          <w:color w:val="000000"/>
        </w:rPr>
        <w:t>. If any portion of the Participant’s Account that</w:t>
      </w:r>
      <w:r>
        <w:rPr>
          <w:rFonts w:ascii="Arial" w:cs="Arial" w:eastAsia="Arial" w:hAnsi="Arial"/>
          <w:sz w:val="20"/>
          <w:szCs w:val="20"/>
          <w:color w:val="010000"/>
        </w:rPr>
        <w:t xml:space="preserve"> </w:t>
      </w:r>
      <w:r>
        <w:rPr>
          <w:rFonts w:ascii="Arial" w:cs="Arial" w:eastAsia="Arial" w:hAnsi="Arial"/>
          <w:sz w:val="20"/>
          <w:szCs w:val="20"/>
          <w:color w:val="000000"/>
        </w:rPr>
        <w:t>has not yet been distributed must be included in the Participant’s taxable income for a calendar year pursuant to section 409A of the Code, the Committee shall distribute the portion of the Account that has been included in the Participant’s taxable income as soon as administratively practicable.</w:t>
      </w:r>
    </w:p>
    <w:p>
      <w:pPr>
        <w:spacing w:after="0" w:line="163" w:lineRule="exact"/>
        <w:rPr>
          <w:sz w:val="20"/>
          <w:szCs w:val="20"/>
          <w:color w:val="auto"/>
        </w:rPr>
      </w:pPr>
    </w:p>
    <w:p>
      <w:pPr>
        <w:ind w:right="300" w:firstLine="601"/>
        <w:spacing w:after="0" w:line="264" w:lineRule="auto"/>
        <w:rPr>
          <w:sz w:val="20"/>
          <w:szCs w:val="20"/>
          <w:color w:val="auto"/>
        </w:rPr>
      </w:pPr>
      <w:r>
        <w:rPr>
          <w:rFonts w:ascii="Arial" w:cs="Arial" w:eastAsia="Arial" w:hAnsi="Arial"/>
          <w:sz w:val="20"/>
          <w:szCs w:val="20"/>
          <w:color w:val="010000"/>
        </w:rPr>
        <w:t xml:space="preserve">8.5 </w:t>
      </w:r>
      <w:r>
        <w:rPr>
          <w:rFonts w:ascii="Arial" w:cs="Arial" w:eastAsia="Arial" w:hAnsi="Arial"/>
          <w:sz w:val="20"/>
          <w:szCs w:val="20"/>
          <w:b w:val="1"/>
          <w:bCs w:val="1"/>
          <w:u w:val="single" w:color="auto"/>
          <w:color w:val="000000"/>
        </w:rPr>
        <w:t>Permitted Acceleration of Payment</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The Committee may permit acceleration of the time or schedule of any payment or</w:t>
      </w:r>
      <w:r>
        <w:rPr>
          <w:rFonts w:ascii="Arial" w:cs="Arial" w:eastAsia="Arial" w:hAnsi="Arial"/>
          <w:sz w:val="20"/>
          <w:szCs w:val="20"/>
          <w:color w:val="010000"/>
        </w:rPr>
        <w:t xml:space="preserve"> </w:t>
      </w:r>
      <w:r>
        <w:rPr>
          <w:rFonts w:ascii="Arial" w:cs="Arial" w:eastAsia="Arial" w:hAnsi="Arial"/>
          <w:sz w:val="20"/>
          <w:szCs w:val="20"/>
          <w:color w:val="000000"/>
        </w:rPr>
        <w:t>amount scheduled to be paid pursuant to a payment under the Plan provided such acceleration is also permitted by the provisions of Treas. Reg. §1.409A-3(j)(4), including, but not limited to, the following events:</w:t>
      </w:r>
    </w:p>
    <w:p>
      <w:pPr>
        <w:spacing w:after="0" w:line="159" w:lineRule="exact"/>
        <w:rPr>
          <w:sz w:val="20"/>
          <w:szCs w:val="20"/>
          <w:color w:val="auto"/>
        </w:rPr>
      </w:pPr>
    </w:p>
    <w:p>
      <w:pPr>
        <w:ind w:right="60" w:firstLine="1202"/>
        <w:spacing w:after="0" w:line="275" w:lineRule="auto"/>
        <w:tabs>
          <w:tab w:leader="none" w:pos="1624" w:val="left"/>
        </w:tabs>
        <w:numPr>
          <w:ilvl w:val="0"/>
          <w:numId w:val="86"/>
        </w:numPr>
        <w:rPr>
          <w:rFonts w:ascii="Arial" w:cs="Arial" w:eastAsia="Arial" w:hAnsi="Arial"/>
          <w:sz w:val="20"/>
          <w:szCs w:val="20"/>
          <w:color w:val="010000"/>
        </w:rPr>
      </w:pPr>
      <w:r>
        <w:rPr>
          <w:rFonts w:ascii="Arial" w:cs="Arial" w:eastAsia="Arial" w:hAnsi="Arial"/>
          <w:sz w:val="20"/>
          <w:szCs w:val="20"/>
          <w:u w:val="single" w:color="auto"/>
          <w:color w:val="auto"/>
        </w:rPr>
        <w:t>Domestic Relations Order</w:t>
      </w:r>
      <w:r>
        <w:rPr>
          <w:rFonts w:ascii="Arial" w:cs="Arial" w:eastAsia="Arial" w:hAnsi="Arial"/>
          <w:sz w:val="20"/>
          <w:szCs w:val="20"/>
          <w:color w:val="auto"/>
        </w:rPr>
        <w:t>. A payment may be accelerated if such payment is made to an alternate payee pursuant to and following the receipt and qualification of a domestic relations order as defined in section 414(p) of the Code.</w:t>
      </w:r>
    </w:p>
    <w:p>
      <w:pPr>
        <w:spacing w:after="0" w:line="148" w:lineRule="exact"/>
        <w:rPr>
          <w:rFonts w:ascii="Arial" w:cs="Arial" w:eastAsia="Arial" w:hAnsi="Arial"/>
          <w:sz w:val="20"/>
          <w:szCs w:val="20"/>
          <w:color w:val="010000"/>
        </w:rPr>
      </w:pPr>
    </w:p>
    <w:p>
      <w:pPr>
        <w:ind w:right="20" w:firstLine="1202"/>
        <w:spacing w:after="0" w:line="257" w:lineRule="auto"/>
        <w:tabs>
          <w:tab w:leader="none" w:pos="1635" w:val="left"/>
        </w:tabs>
        <w:numPr>
          <w:ilvl w:val="0"/>
          <w:numId w:val="86"/>
        </w:numPr>
        <w:rPr>
          <w:rFonts w:ascii="Arial" w:cs="Arial" w:eastAsia="Arial" w:hAnsi="Arial"/>
          <w:sz w:val="20"/>
          <w:szCs w:val="20"/>
          <w:color w:val="010000"/>
        </w:rPr>
      </w:pPr>
      <w:r>
        <w:rPr>
          <w:rFonts w:ascii="Arial" w:cs="Arial" w:eastAsia="Arial" w:hAnsi="Arial"/>
          <w:sz w:val="20"/>
          <w:szCs w:val="20"/>
          <w:u w:val="single" w:color="auto"/>
          <w:color w:val="auto"/>
        </w:rPr>
        <w:t>Compliance with Ethics Agreements and Legal Requirements</w:t>
      </w:r>
      <w:r>
        <w:rPr>
          <w:rFonts w:ascii="Arial" w:cs="Arial" w:eastAsia="Arial" w:hAnsi="Arial"/>
          <w:sz w:val="20"/>
          <w:szCs w:val="20"/>
          <w:color w:val="auto"/>
        </w:rPr>
        <w:t>. A payment may be accelerated as may be necessary to comply with ethics agreements with the federal government or as may be reasonably necessary to avoid the violation of federal, state, local or bona fide foreign ethics law or conflicts of interest laws, in accordance with the requirements of section 409A of the Code and the Treasury regulations thereunder.</w:t>
      </w:r>
    </w:p>
    <w:p>
      <w:pPr>
        <w:spacing w:after="0" w:line="162" w:lineRule="exact"/>
        <w:rPr>
          <w:sz w:val="20"/>
          <w:szCs w:val="20"/>
          <w:color w:val="auto"/>
        </w:rPr>
      </w:pPr>
    </w:p>
    <w:p>
      <w:pPr>
        <w:ind w:left="600"/>
        <w:spacing w:after="0"/>
        <w:tabs>
          <w:tab w:leader="none" w:pos="1040" w:val="left"/>
        </w:tabs>
        <w:rPr>
          <w:sz w:val="20"/>
          <w:szCs w:val="20"/>
          <w:color w:val="auto"/>
        </w:rPr>
      </w:pPr>
      <w:r>
        <w:rPr>
          <w:rFonts w:ascii="Arial" w:cs="Arial" w:eastAsia="Arial" w:hAnsi="Arial"/>
          <w:sz w:val="20"/>
          <w:szCs w:val="20"/>
          <w:color w:val="010000"/>
        </w:rPr>
        <w:t>8.6</w:t>
      </w:r>
      <w:r>
        <w:rPr>
          <w:sz w:val="20"/>
          <w:szCs w:val="20"/>
          <w:color w:val="auto"/>
        </w:rPr>
        <w:tab/>
      </w:r>
      <w:r>
        <w:rPr>
          <w:rFonts w:ascii="Arial" w:cs="Arial" w:eastAsia="Arial" w:hAnsi="Arial"/>
          <w:sz w:val="17"/>
          <w:szCs w:val="17"/>
          <w:b w:val="1"/>
          <w:bCs w:val="1"/>
          <w:u w:val="single" w:color="auto"/>
          <w:color w:val="auto"/>
        </w:rPr>
        <w:t>Unforeseeable Emergency</w:t>
      </w:r>
      <w:r>
        <w:rPr>
          <w:rFonts w:ascii="Arial" w:cs="Arial" w:eastAsia="Arial" w:hAnsi="Arial"/>
          <w:sz w:val="17"/>
          <w:szCs w:val="17"/>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80"/>
          </w:cols>
          <w:pgMar w:left="240" w:top="1153" w:right="279" w:bottom="1440" w:gutter="0" w:footer="0" w:header="0"/>
        </w:sectPr>
      </w:pPr>
    </w:p>
    <w:bookmarkStart w:id="120" w:name="page121"/>
    <w:bookmarkEnd w:id="120"/>
    <w:p>
      <w:pPr>
        <w:ind w:firstLine="1202"/>
        <w:spacing w:after="0" w:line="283" w:lineRule="auto"/>
        <w:tabs>
          <w:tab w:leader="none" w:pos="1624" w:val="left"/>
        </w:tabs>
        <w:numPr>
          <w:ilvl w:val="0"/>
          <w:numId w:val="87"/>
        </w:numPr>
        <w:rPr>
          <w:rFonts w:ascii="Arial" w:cs="Arial" w:eastAsia="Arial" w:hAnsi="Arial"/>
          <w:sz w:val="18"/>
          <w:szCs w:val="18"/>
          <w:color w:val="010000"/>
        </w:rPr>
      </w:pPr>
      <w:r>
        <w:rPr>
          <w:rFonts w:ascii="Arial" w:cs="Arial" w:eastAsia="Arial" w:hAnsi="Arial"/>
          <w:sz w:val="18"/>
          <w:szCs w:val="18"/>
          <w:u w:val="single" w:color="auto"/>
          <w:color w:val="auto"/>
        </w:rPr>
        <w:t>In General</w:t>
      </w:r>
      <w:r>
        <w:rPr>
          <w:rFonts w:ascii="Arial" w:cs="Arial" w:eastAsia="Arial" w:hAnsi="Arial"/>
          <w:sz w:val="18"/>
          <w:szCs w:val="18"/>
          <w:color w:val="auto"/>
        </w:rPr>
        <w:t>. A Participant may request a withdrawal all or a portion of his or her Account for an Unforeseeable Emergency. In the event that the Committee approves a withdrawal due to an Unforeseeable Emergency, the amounts distributed with respect to an Unforeseeable Emergency may not exceed the amounts necessary to satisfy such Unforeseeable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that the liquidation of such assets would not itself cause severe financial hardship) or by cessation of deferrals under the Plan. Payments made upon an Unforeseeable Emergency shall be made to the Participant in a lump sum payment as soon as practicable following such approval, but in no event later than ninety (90) days after the occurrence of the Unforeseeable Emergency.</w:t>
      </w:r>
    </w:p>
    <w:p>
      <w:pPr>
        <w:spacing w:after="0" w:line="150" w:lineRule="exact"/>
        <w:rPr>
          <w:rFonts w:ascii="Arial" w:cs="Arial" w:eastAsia="Arial" w:hAnsi="Arial"/>
          <w:sz w:val="18"/>
          <w:szCs w:val="18"/>
          <w:color w:val="010000"/>
        </w:rPr>
      </w:pPr>
    </w:p>
    <w:p>
      <w:pPr>
        <w:ind w:right="160" w:firstLine="1202"/>
        <w:spacing w:after="0" w:line="261" w:lineRule="auto"/>
        <w:tabs>
          <w:tab w:leader="none" w:pos="1635" w:val="left"/>
        </w:tabs>
        <w:numPr>
          <w:ilvl w:val="0"/>
          <w:numId w:val="87"/>
        </w:numPr>
        <w:rPr>
          <w:rFonts w:ascii="Arial" w:cs="Arial" w:eastAsia="Arial" w:hAnsi="Arial"/>
          <w:sz w:val="20"/>
          <w:szCs w:val="20"/>
          <w:color w:val="010000"/>
        </w:rPr>
      </w:pPr>
      <w:r>
        <w:rPr>
          <w:rFonts w:ascii="Arial" w:cs="Arial" w:eastAsia="Arial" w:hAnsi="Arial"/>
          <w:sz w:val="20"/>
          <w:szCs w:val="20"/>
          <w:u w:val="single" w:color="auto"/>
          <w:color w:val="auto"/>
        </w:rPr>
        <w:t>Coordination with Employees’ Capital Accumulation Plan</w:t>
      </w:r>
      <w:r>
        <w:rPr>
          <w:rFonts w:ascii="Arial" w:cs="Arial" w:eastAsia="Arial" w:hAnsi="Arial"/>
          <w:sz w:val="20"/>
          <w:szCs w:val="20"/>
          <w:color w:val="auto"/>
        </w:rPr>
        <w:t>. Except as other permitted under section 409A of the Code, a Participant shall be required to take any available hardship withdrawals from the Company’s Employees’ Capital Accumulation Plan (the “</w:t>
      </w:r>
      <w:r>
        <w:rPr>
          <w:rFonts w:ascii="Arial" w:cs="Arial" w:eastAsia="Arial" w:hAnsi="Arial"/>
          <w:sz w:val="20"/>
          <w:szCs w:val="20"/>
          <w:u w:val="single" w:color="auto"/>
          <w:color w:val="auto"/>
        </w:rPr>
        <w:t>401(k) Plan</w:t>
      </w:r>
      <w:r>
        <w:rPr>
          <w:rFonts w:ascii="Arial" w:cs="Arial" w:eastAsia="Arial" w:hAnsi="Arial"/>
          <w:sz w:val="20"/>
          <w:szCs w:val="20"/>
          <w:color w:val="auto"/>
        </w:rPr>
        <w:t>”) before being eligible to receive a withdrawal under this Section 8.6.</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IX</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AND TERMINATION</w:t>
      </w:r>
    </w:p>
    <w:p>
      <w:pPr>
        <w:spacing w:after="0" w:line="202" w:lineRule="exact"/>
        <w:rPr>
          <w:sz w:val="20"/>
          <w:szCs w:val="20"/>
          <w:color w:val="auto"/>
        </w:rPr>
      </w:pPr>
    </w:p>
    <w:p>
      <w:pPr>
        <w:ind w:right="400" w:firstLine="601"/>
        <w:spacing w:after="0" w:line="271" w:lineRule="auto"/>
        <w:rPr>
          <w:sz w:val="20"/>
          <w:szCs w:val="20"/>
          <w:color w:val="auto"/>
        </w:rPr>
      </w:pPr>
      <w:r>
        <w:rPr>
          <w:rFonts w:ascii="Arial" w:cs="Arial" w:eastAsia="Arial" w:hAnsi="Arial"/>
          <w:sz w:val="19"/>
          <w:szCs w:val="19"/>
          <w:color w:val="auto"/>
        </w:rPr>
        <w:t>The Board or the Compensation Committee may, at its sole discretion, amend or terminate the Plan at any time provided that the amendment or termination shall not decrease the amounts credited to a Participant’s Account as of such amendment or termination. Upon termination of the Plan, Participants’ Accounts shall be distributed in accordance with Article VIII unless the Board or the Compensation Committee determines in its sole discretion that all such amounts shall be distributed upon termination of the Plan in accordance with the requirements of section 409A of the Code and the regulations thereunder.</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X</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MISCELLANEOUS</w:t>
      </w:r>
    </w:p>
    <w:p>
      <w:pPr>
        <w:spacing w:after="0" w:line="198" w:lineRule="exact"/>
        <w:rPr>
          <w:sz w:val="20"/>
          <w:szCs w:val="20"/>
          <w:color w:val="auto"/>
        </w:rPr>
      </w:pPr>
    </w:p>
    <w:p>
      <w:pPr>
        <w:ind w:right="160" w:firstLine="601"/>
        <w:spacing w:after="0" w:line="268" w:lineRule="auto"/>
        <w:rPr>
          <w:sz w:val="20"/>
          <w:szCs w:val="20"/>
          <w:color w:val="auto"/>
        </w:rPr>
      </w:pPr>
      <w:r>
        <w:rPr>
          <w:rFonts w:ascii="Arial" w:cs="Arial" w:eastAsia="Arial" w:hAnsi="Arial"/>
          <w:sz w:val="19"/>
          <w:szCs w:val="19"/>
          <w:color w:val="010000"/>
        </w:rPr>
        <w:t xml:space="preserve">10.1 </w:t>
      </w:r>
      <w:r>
        <w:rPr>
          <w:rFonts w:ascii="Arial" w:cs="Arial" w:eastAsia="Arial" w:hAnsi="Arial"/>
          <w:sz w:val="19"/>
          <w:szCs w:val="19"/>
          <w:b w:val="1"/>
          <w:bCs w:val="1"/>
          <w:u w:val="single" w:color="auto"/>
          <w:color w:val="000000"/>
        </w:rPr>
        <w:t>Unsecured General Creditor</w:t>
      </w:r>
      <w:r>
        <w:rPr>
          <w:rFonts w:ascii="Arial" w:cs="Arial" w:eastAsia="Arial" w:hAnsi="Arial"/>
          <w:sz w:val="19"/>
          <w:szCs w:val="19"/>
          <w:color w:val="000000"/>
        </w:rPr>
        <w:t>. Participants and their Beneficiaries, heirs, successors, and assigns shall have no legal or</w:t>
      </w:r>
      <w:r>
        <w:rPr>
          <w:rFonts w:ascii="Arial" w:cs="Arial" w:eastAsia="Arial" w:hAnsi="Arial"/>
          <w:sz w:val="19"/>
          <w:szCs w:val="19"/>
          <w:color w:val="010000"/>
        </w:rPr>
        <w:t xml:space="preserve"> </w:t>
      </w:r>
      <w:r>
        <w:rPr>
          <w:rFonts w:ascii="Arial" w:cs="Arial" w:eastAsia="Arial" w:hAnsi="Arial"/>
          <w:sz w:val="19"/>
          <w:szCs w:val="19"/>
          <w:color w:val="000000"/>
        </w:rPr>
        <w:t>equitable rights, claims, or interest in any specific property or assets of the Company. No assets of the Company shall be held in any way as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be unfunded for purposes of the Code and for purposes of Title I of the Employee Retirement Income Security Act of 1974, as amended.</w:t>
      </w:r>
    </w:p>
    <w:p>
      <w:pPr>
        <w:spacing w:after="0" w:line="157" w:lineRule="exact"/>
        <w:rPr>
          <w:sz w:val="20"/>
          <w:szCs w:val="20"/>
          <w:color w:val="auto"/>
        </w:rPr>
      </w:pPr>
    </w:p>
    <w:p>
      <w:pPr>
        <w:ind w:right="20" w:firstLine="601"/>
        <w:spacing w:after="0" w:line="264" w:lineRule="auto"/>
        <w:rPr>
          <w:sz w:val="20"/>
          <w:szCs w:val="20"/>
          <w:color w:val="auto"/>
        </w:rPr>
      </w:pPr>
      <w:r>
        <w:rPr>
          <w:rFonts w:ascii="Arial" w:cs="Arial" w:eastAsia="Arial" w:hAnsi="Arial"/>
          <w:sz w:val="20"/>
          <w:szCs w:val="20"/>
          <w:color w:val="010000"/>
        </w:rPr>
        <w:t xml:space="preserve">10.2 </w:t>
      </w:r>
      <w:r>
        <w:rPr>
          <w:rFonts w:ascii="Arial" w:cs="Arial" w:eastAsia="Arial" w:hAnsi="Arial"/>
          <w:sz w:val="20"/>
          <w:szCs w:val="20"/>
          <w:b w:val="1"/>
          <w:bCs w:val="1"/>
          <w:u w:val="single" w:color="auto"/>
          <w:color w:val="000000"/>
        </w:rPr>
        <w:t>Non-assignability</w:t>
      </w:r>
      <w:r>
        <w:rPr>
          <w:rFonts w:ascii="Arial" w:cs="Arial" w:eastAsia="Arial" w:hAnsi="Arial"/>
          <w:sz w:val="20"/>
          <w:szCs w:val="20"/>
          <w:color w:val="000000"/>
        </w:rPr>
        <w:t>. Neither a Participant nor a Beneficiary may voluntarily or involuntarily anticipate, assign, or alienate (either</w:t>
      </w:r>
      <w:r>
        <w:rPr>
          <w:rFonts w:ascii="Arial" w:cs="Arial" w:eastAsia="Arial" w:hAnsi="Arial"/>
          <w:sz w:val="20"/>
          <w:szCs w:val="20"/>
          <w:color w:val="010000"/>
        </w:rPr>
        <w:t xml:space="preserve"> </w:t>
      </w:r>
      <w:r>
        <w:rPr>
          <w:rFonts w:ascii="Arial" w:cs="Arial" w:eastAsia="Arial" w:hAnsi="Arial"/>
          <w:sz w:val="20"/>
          <w:szCs w:val="20"/>
          <w:color w:val="000000"/>
        </w:rPr>
        <w:t>at law or in equity) any benefit under the Plan, and the Committee shall not recognize any such anticipation, assignment, or alienation. Furthermore, a benefit under the Plan shall not be subject to attachment, garnishment, levy,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157" w:right="239" w:bottom="1440" w:gutter="0" w:footer="0" w:header="0"/>
        </w:sectPr>
      </w:pPr>
    </w:p>
    <w:bookmarkStart w:id="121" w:name="page122"/>
    <w:bookmarkEnd w:id="121"/>
    <w:p>
      <w:pPr>
        <w:ind w:right="260"/>
        <w:spacing w:after="0" w:line="261" w:lineRule="auto"/>
        <w:rPr>
          <w:sz w:val="20"/>
          <w:szCs w:val="20"/>
          <w:color w:val="auto"/>
        </w:rPr>
      </w:pPr>
      <w:r>
        <w:rPr>
          <w:rFonts w:ascii="Arial" w:cs="Arial" w:eastAsia="Arial" w:hAnsi="Arial"/>
          <w:sz w:val="20"/>
          <w:szCs w:val="20"/>
          <w:color w:val="auto"/>
        </w:rPr>
        <w:t>execution, or other legal or equitable process. Any attempted sale, conveyance, transfer, assignment, pledge or encumbrance of the rights, interests, or benefits provided pursuant to the terms of the Plan or the levy of any attachment or similar process thereupon, shall be null and void and without effect.</w:t>
      </w:r>
    </w:p>
    <w:p>
      <w:pPr>
        <w:spacing w:after="0" w:line="159" w:lineRule="exact"/>
        <w:rPr>
          <w:sz w:val="20"/>
          <w:szCs w:val="20"/>
          <w:color w:val="auto"/>
        </w:rPr>
      </w:pPr>
    </w:p>
    <w:p>
      <w:pPr>
        <w:ind w:right="260" w:firstLine="601"/>
        <w:spacing w:after="0" w:line="254" w:lineRule="auto"/>
        <w:rPr>
          <w:sz w:val="20"/>
          <w:szCs w:val="20"/>
          <w:color w:val="auto"/>
        </w:rPr>
      </w:pPr>
      <w:r>
        <w:rPr>
          <w:rFonts w:ascii="Arial" w:cs="Arial" w:eastAsia="Arial" w:hAnsi="Arial"/>
          <w:sz w:val="20"/>
          <w:szCs w:val="20"/>
          <w:color w:val="010000"/>
        </w:rPr>
        <w:t xml:space="preserve">10.3 </w:t>
      </w:r>
      <w:r>
        <w:rPr>
          <w:rFonts w:ascii="Arial" w:cs="Arial" w:eastAsia="Arial" w:hAnsi="Arial"/>
          <w:sz w:val="20"/>
          <w:szCs w:val="20"/>
          <w:b w:val="1"/>
          <w:bCs w:val="1"/>
          <w:u w:val="single" w:color="auto"/>
          <w:color w:val="000000"/>
        </w:rPr>
        <w:t>Taxes</w:t>
      </w:r>
      <w:r>
        <w:rPr>
          <w:rFonts w:ascii="Arial" w:cs="Arial" w:eastAsia="Arial" w:hAnsi="Arial"/>
          <w:sz w:val="20"/>
          <w:szCs w:val="20"/>
          <w:color w:val="000000"/>
        </w:rPr>
        <w:t>. Except as otherwise permitted by the Committee, the Participant’s share of any applicable withholding taxes owed on</w:t>
      </w:r>
      <w:r>
        <w:rPr>
          <w:rFonts w:ascii="Arial" w:cs="Arial" w:eastAsia="Arial" w:hAnsi="Arial"/>
          <w:sz w:val="20"/>
          <w:szCs w:val="20"/>
          <w:color w:val="010000"/>
        </w:rPr>
        <w:t xml:space="preserve"> </w:t>
      </w:r>
      <w:r>
        <w:rPr>
          <w:rFonts w:ascii="Arial" w:cs="Arial" w:eastAsia="Arial" w:hAnsi="Arial"/>
          <w:sz w:val="20"/>
          <w:szCs w:val="20"/>
          <w:color w:val="000000"/>
        </w:rPr>
        <w:t>Eligible Compensation that the Participant elects to defer (or Discretionary Contributions credited to a Participant’s Account) shall be deducted from other compensation payable to the Participant. The Company shall deduct from all payments made under this Plan all applicable federal or state taxes required by law to be withheld. The Company also may, to the extent permitted under section 409A of the Code, reduce a Participant’s Account balance to provide for the withholding of employment taxes pursuant to section 3121(v) of the Code prior to the distribution of such Account.</w:t>
      </w:r>
    </w:p>
    <w:p>
      <w:pPr>
        <w:spacing w:after="0" w:line="167" w:lineRule="exact"/>
        <w:rPr>
          <w:sz w:val="20"/>
          <w:szCs w:val="20"/>
          <w:color w:val="auto"/>
        </w:rPr>
      </w:pPr>
    </w:p>
    <w:p>
      <w:pPr>
        <w:ind w:right="20" w:firstLine="601"/>
        <w:spacing w:after="0" w:line="256" w:lineRule="auto"/>
        <w:rPr>
          <w:sz w:val="20"/>
          <w:szCs w:val="20"/>
          <w:color w:val="auto"/>
        </w:rPr>
      </w:pPr>
      <w:r>
        <w:rPr>
          <w:rFonts w:ascii="Arial" w:cs="Arial" w:eastAsia="Arial" w:hAnsi="Arial"/>
          <w:sz w:val="20"/>
          <w:szCs w:val="20"/>
          <w:color w:val="010000"/>
        </w:rPr>
        <w:t xml:space="preserve">10.4 </w:t>
      </w:r>
      <w:r>
        <w:rPr>
          <w:rFonts w:ascii="Arial" w:cs="Arial" w:eastAsia="Arial" w:hAnsi="Arial"/>
          <w:sz w:val="20"/>
          <w:szCs w:val="20"/>
          <w:b w:val="1"/>
          <w:bCs w:val="1"/>
          <w:u w:val="single" w:color="auto"/>
          <w:color w:val="000000"/>
        </w:rPr>
        <w:t>Facility of Payment</w:t>
      </w:r>
      <w:r>
        <w:rPr>
          <w:rFonts w:ascii="Arial" w:cs="Arial" w:eastAsia="Arial" w:hAnsi="Arial"/>
          <w:sz w:val="20"/>
          <w:szCs w:val="20"/>
          <w:color w:val="000000"/>
        </w:rPr>
        <w:t>. If the Committee determines that any Participant or Beneficiary is unable to care for his or her affairs</w:t>
      </w:r>
      <w:r>
        <w:rPr>
          <w:rFonts w:ascii="Arial" w:cs="Arial" w:eastAsia="Arial" w:hAnsi="Arial"/>
          <w:sz w:val="20"/>
          <w:szCs w:val="20"/>
          <w:color w:val="010000"/>
        </w:rPr>
        <w:t xml:space="preserve"> </w:t>
      </w:r>
      <w:r>
        <w:rPr>
          <w:rFonts w:ascii="Arial" w:cs="Arial" w:eastAsia="Arial" w:hAnsi="Arial"/>
          <w:sz w:val="20"/>
          <w:szCs w:val="20"/>
          <w:color w:val="000000"/>
        </w:rPr>
        <w:t>because of illness or injury or because he or she is a minor, any amounts due to such Participant or Beneficiary under this Plan may be paid to any of the following, as the Committee may determine: (i) the spouse or parent of such Participant or Beneficiary; (ii) a legal representative or duly-appointed guardian of such Participant or Beneficiary or (iii) some other person duly designated to receive such payments on behalf of such Participant or Beneficiary.</w:t>
      </w:r>
    </w:p>
    <w:p>
      <w:pPr>
        <w:spacing w:after="0" w:line="163" w:lineRule="exact"/>
        <w:rPr>
          <w:sz w:val="20"/>
          <w:szCs w:val="20"/>
          <w:color w:val="auto"/>
        </w:rPr>
      </w:pPr>
    </w:p>
    <w:p>
      <w:pPr>
        <w:ind w:right="540" w:firstLine="601"/>
        <w:spacing w:after="0" w:line="279" w:lineRule="auto"/>
        <w:rPr>
          <w:sz w:val="20"/>
          <w:szCs w:val="20"/>
          <w:color w:val="auto"/>
        </w:rPr>
      </w:pPr>
      <w:r>
        <w:rPr>
          <w:rFonts w:ascii="Arial" w:cs="Arial" w:eastAsia="Arial" w:hAnsi="Arial"/>
          <w:sz w:val="20"/>
          <w:szCs w:val="20"/>
          <w:color w:val="010000"/>
        </w:rPr>
        <w:t xml:space="preserve">10.5 </w:t>
      </w:r>
      <w:r>
        <w:rPr>
          <w:rFonts w:ascii="Arial" w:cs="Arial" w:eastAsia="Arial" w:hAnsi="Arial"/>
          <w:sz w:val="20"/>
          <w:szCs w:val="20"/>
          <w:b w:val="1"/>
          <w:bCs w:val="1"/>
          <w:u w:val="single" w:color="auto"/>
          <w:color w:val="000000"/>
        </w:rPr>
        <w:t>Governing Law</w:t>
      </w:r>
      <w:r>
        <w:rPr>
          <w:rFonts w:ascii="Arial" w:cs="Arial" w:eastAsia="Arial" w:hAnsi="Arial"/>
          <w:sz w:val="20"/>
          <w:szCs w:val="20"/>
          <w:color w:val="000000"/>
        </w:rPr>
        <w:t>. To the extent not preempted by federal law, the Plan shall be construed in accordance with, and shall be</w:t>
      </w:r>
      <w:r>
        <w:rPr>
          <w:rFonts w:ascii="Arial" w:cs="Arial" w:eastAsia="Arial" w:hAnsi="Arial"/>
          <w:sz w:val="20"/>
          <w:szCs w:val="20"/>
          <w:color w:val="010000"/>
        </w:rPr>
        <w:t xml:space="preserve"> </w:t>
      </w:r>
      <w:r>
        <w:rPr>
          <w:rFonts w:ascii="Arial" w:cs="Arial" w:eastAsia="Arial" w:hAnsi="Arial"/>
          <w:sz w:val="20"/>
          <w:szCs w:val="20"/>
          <w:color w:val="000000"/>
        </w:rPr>
        <w:t>governed by, the laws of the state of Delaware without regard to any conflict of laws provisions thereunder.</w:t>
      </w:r>
    </w:p>
    <w:p>
      <w:pPr>
        <w:spacing w:after="0" w:line="141" w:lineRule="exact"/>
        <w:rPr>
          <w:sz w:val="20"/>
          <w:szCs w:val="20"/>
          <w:color w:val="auto"/>
        </w:rPr>
      </w:pPr>
    </w:p>
    <w:p>
      <w:pPr>
        <w:ind w:right="260" w:firstLine="601"/>
        <w:spacing w:after="0" w:line="279" w:lineRule="auto"/>
        <w:rPr>
          <w:sz w:val="20"/>
          <w:szCs w:val="20"/>
          <w:color w:val="auto"/>
        </w:rPr>
      </w:pPr>
      <w:r>
        <w:rPr>
          <w:rFonts w:ascii="Arial" w:cs="Arial" w:eastAsia="Arial" w:hAnsi="Arial"/>
          <w:sz w:val="20"/>
          <w:szCs w:val="20"/>
          <w:color w:val="010000"/>
        </w:rPr>
        <w:t xml:space="preserve">10.6 </w:t>
      </w:r>
      <w:r>
        <w:rPr>
          <w:rFonts w:ascii="Arial" w:cs="Arial" w:eastAsia="Arial" w:hAnsi="Arial"/>
          <w:sz w:val="20"/>
          <w:szCs w:val="20"/>
          <w:b w:val="1"/>
          <w:bCs w:val="1"/>
          <w:u w:val="single" w:color="auto"/>
          <w:color w:val="000000"/>
        </w:rPr>
        <w:t>Gender and Number</w:t>
      </w:r>
      <w:r>
        <w:rPr>
          <w:rFonts w:ascii="Arial" w:cs="Arial" w:eastAsia="Arial" w:hAnsi="Arial"/>
          <w:sz w:val="20"/>
          <w:szCs w:val="20"/>
          <w:color w:val="000000"/>
        </w:rPr>
        <w:t>. Except when otherwise indicated by the context, the masculine gender shall also include the feminine</w:t>
      </w:r>
      <w:r>
        <w:rPr>
          <w:rFonts w:ascii="Arial" w:cs="Arial" w:eastAsia="Arial" w:hAnsi="Arial"/>
          <w:sz w:val="20"/>
          <w:szCs w:val="20"/>
          <w:color w:val="010000"/>
        </w:rPr>
        <w:t xml:space="preserve"> </w:t>
      </w:r>
      <w:r>
        <w:rPr>
          <w:rFonts w:ascii="Arial" w:cs="Arial" w:eastAsia="Arial" w:hAnsi="Arial"/>
          <w:sz w:val="20"/>
          <w:szCs w:val="20"/>
          <w:color w:val="000000"/>
        </w:rPr>
        <w:t>gender and vice versa, and the singular shall also include the plural and vice versa.</w:t>
      </w:r>
    </w:p>
    <w:p>
      <w:pPr>
        <w:spacing w:after="0" w:line="141" w:lineRule="exact"/>
        <w:rPr>
          <w:sz w:val="20"/>
          <w:szCs w:val="20"/>
          <w:color w:val="auto"/>
        </w:rPr>
      </w:pPr>
    </w:p>
    <w:p>
      <w:pPr>
        <w:jc w:val="both"/>
        <w:ind w:right="140" w:firstLine="601"/>
        <w:spacing w:after="0" w:line="276" w:lineRule="auto"/>
        <w:rPr>
          <w:sz w:val="20"/>
          <w:szCs w:val="20"/>
          <w:color w:val="auto"/>
        </w:rPr>
      </w:pPr>
      <w:r>
        <w:rPr>
          <w:rFonts w:ascii="Arial" w:cs="Arial" w:eastAsia="Arial" w:hAnsi="Arial"/>
          <w:sz w:val="19"/>
          <w:szCs w:val="19"/>
          <w:color w:val="010000"/>
        </w:rPr>
        <w:t xml:space="preserve">10.7 </w:t>
      </w:r>
      <w:r>
        <w:rPr>
          <w:rFonts w:ascii="Arial" w:cs="Arial" w:eastAsia="Arial" w:hAnsi="Arial"/>
          <w:sz w:val="19"/>
          <w:szCs w:val="19"/>
          <w:b w:val="1"/>
          <w:bCs w:val="1"/>
          <w:u w:val="single" w:color="auto"/>
          <w:color w:val="000000"/>
        </w:rPr>
        <w:t>No Right to Continued Employment</w:t>
      </w:r>
      <w:r>
        <w:rPr>
          <w:rFonts w:ascii="Arial" w:cs="Arial" w:eastAsia="Arial" w:hAnsi="Arial"/>
          <w:sz w:val="19"/>
          <w:szCs w:val="19"/>
          <w:color w:val="000000"/>
        </w:rPr>
        <w:t>. Nothing contained in the Plan shall confer upon any Participant any right with respect</w:t>
      </w:r>
      <w:r>
        <w:rPr>
          <w:rFonts w:ascii="Arial" w:cs="Arial" w:eastAsia="Arial" w:hAnsi="Arial"/>
          <w:sz w:val="19"/>
          <w:szCs w:val="19"/>
          <w:color w:val="010000"/>
        </w:rPr>
        <w:t xml:space="preserve"> </w:t>
      </w:r>
      <w:r>
        <w:rPr>
          <w:rFonts w:ascii="Arial" w:cs="Arial" w:eastAsia="Arial" w:hAnsi="Arial"/>
          <w:sz w:val="19"/>
          <w:szCs w:val="19"/>
          <w:color w:val="000000"/>
        </w:rPr>
        <w:t>to the continuation of the Participant’s employment by, or consulting relationship with, the Company or an Affiliate, or interfere in any way with the right of the Company or an Affiliate, subject to the terms of any separate employment agreement or other contract to the contrary, at any time to terminate such services or to increase or decrease the compensation of the Participant.</w:t>
      </w:r>
    </w:p>
    <w:p>
      <w:pPr>
        <w:spacing w:after="0" w:line="146" w:lineRule="exact"/>
        <w:rPr>
          <w:sz w:val="20"/>
          <w:szCs w:val="20"/>
          <w:color w:val="auto"/>
        </w:rPr>
      </w:pPr>
    </w:p>
    <w:p>
      <w:pPr>
        <w:ind w:firstLine="601"/>
        <w:spacing w:after="0" w:line="253" w:lineRule="auto"/>
        <w:rPr>
          <w:sz w:val="20"/>
          <w:szCs w:val="20"/>
          <w:color w:val="auto"/>
        </w:rPr>
      </w:pPr>
      <w:r>
        <w:rPr>
          <w:rFonts w:ascii="Arial" w:cs="Arial" w:eastAsia="Arial" w:hAnsi="Arial"/>
          <w:sz w:val="20"/>
          <w:szCs w:val="20"/>
          <w:color w:val="010000"/>
        </w:rPr>
        <w:t xml:space="preserve">10.8 </w:t>
      </w:r>
      <w:r>
        <w:rPr>
          <w:rFonts w:ascii="Arial" w:cs="Arial" w:eastAsia="Arial" w:hAnsi="Arial"/>
          <w:sz w:val="20"/>
          <w:szCs w:val="20"/>
          <w:b w:val="1"/>
          <w:bCs w:val="1"/>
          <w:u w:val="single" w:color="auto"/>
          <w:color w:val="000000"/>
        </w:rPr>
        <w:t>Section 409A</w:t>
      </w:r>
      <w:r>
        <w:rPr>
          <w:rFonts w:ascii="Arial" w:cs="Arial" w:eastAsia="Arial" w:hAnsi="Arial"/>
          <w:sz w:val="20"/>
          <w:szCs w:val="20"/>
          <w:color w:val="000000"/>
        </w:rPr>
        <w:t>. The provisions of the Plan shall be construed and interpreted in a manner consistent with the requirements for</w:t>
      </w:r>
      <w:r>
        <w:rPr>
          <w:rFonts w:ascii="Arial" w:cs="Arial" w:eastAsia="Arial" w:hAnsi="Arial"/>
          <w:sz w:val="20"/>
          <w:szCs w:val="20"/>
          <w:color w:val="010000"/>
        </w:rPr>
        <w:t xml:space="preserve"> </w:t>
      </w:r>
      <w:r>
        <w:rPr>
          <w:rFonts w:ascii="Arial" w:cs="Arial" w:eastAsia="Arial" w:hAnsi="Arial"/>
          <w:sz w:val="20"/>
          <w:szCs w:val="20"/>
          <w:color w:val="000000"/>
        </w:rPr>
        <w:t xml:space="preserve">avoiding taxes or penalties under section 409A of the Code. If the Committee determines that any amounts payable hereunder may be taxable to a Participant under section 409A of the Code, the Company may (i) adopt such amendments to the Plan and appropriate policies and procedures, including amendments and policies with retroactive effect, that the Committee determines necessary or appropriate to preserve the intended tax treatment of the benefits provided by the Plan and/or (ii) take such other actions as the Committee determines necessary or appropriate to avoid or limit the imposition of an additional tax under section 409A of the Code; </w:t>
      </w:r>
      <w:r>
        <w:rPr>
          <w:rFonts w:ascii="Arial" w:cs="Arial" w:eastAsia="Arial" w:hAnsi="Arial"/>
          <w:sz w:val="20"/>
          <w:szCs w:val="20"/>
          <w:u w:val="single" w:color="auto"/>
          <w:color w:val="000000"/>
        </w:rPr>
        <w:t>provided</w:t>
      </w:r>
      <w:r>
        <w:rPr>
          <w:rFonts w:ascii="Arial" w:cs="Arial" w:eastAsia="Arial" w:hAnsi="Arial"/>
          <w:sz w:val="20"/>
          <w:szCs w:val="20"/>
          <w:color w:val="000000"/>
        </w:rPr>
        <w:t>, that neither the Company nor any of 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1157" w:right="239" w:bottom="1440" w:gutter="0" w:footer="0" w:header="0"/>
        </w:sectPr>
      </w:pPr>
    </w:p>
    <w:bookmarkStart w:id="122" w:name="page123"/>
    <w:bookmarkEnd w:id="122"/>
    <w:p>
      <w:pPr>
        <w:spacing w:after="0" w:line="275" w:lineRule="auto"/>
        <w:rPr>
          <w:sz w:val="20"/>
          <w:szCs w:val="20"/>
          <w:color w:val="auto"/>
        </w:rPr>
      </w:pPr>
      <w:r>
        <w:rPr>
          <w:rFonts w:ascii="Arial" w:cs="Arial" w:eastAsia="Arial" w:hAnsi="Arial"/>
          <w:sz w:val="20"/>
          <w:szCs w:val="20"/>
          <w:color w:val="auto"/>
        </w:rPr>
        <w:t>Affiliates nor any other person or entity shall have any liability to a Participant or Beneficiary with respect to the tax imposed by section 409A of the Code.</w:t>
      </w:r>
    </w:p>
    <w:p>
      <w:pPr>
        <w:spacing w:after="0" w:line="145" w:lineRule="exact"/>
        <w:rPr>
          <w:sz w:val="20"/>
          <w:szCs w:val="20"/>
          <w:color w:val="auto"/>
        </w:rPr>
      </w:pPr>
    </w:p>
    <w:p>
      <w:pPr>
        <w:ind w:right="60" w:firstLine="601"/>
        <w:spacing w:after="0" w:line="337" w:lineRule="auto"/>
        <w:rPr>
          <w:sz w:val="20"/>
          <w:szCs w:val="20"/>
          <w:color w:val="auto"/>
        </w:rPr>
      </w:pPr>
      <w:r>
        <w:rPr>
          <w:rFonts w:ascii="Arial" w:cs="Arial" w:eastAsia="Arial" w:hAnsi="Arial"/>
          <w:sz w:val="18"/>
          <w:szCs w:val="18"/>
          <w:color w:val="010000"/>
        </w:rPr>
        <w:t xml:space="preserve">10.9 </w:t>
      </w:r>
      <w:r>
        <w:rPr>
          <w:rFonts w:ascii="Arial" w:cs="Arial" w:eastAsia="Arial" w:hAnsi="Arial"/>
          <w:sz w:val="18"/>
          <w:szCs w:val="18"/>
          <w:b w:val="1"/>
          <w:bCs w:val="1"/>
          <w:u w:val="single" w:color="auto"/>
          <w:color w:val="000000"/>
        </w:rPr>
        <w:t>Provisions Severable</w:t>
      </w:r>
      <w:r>
        <w:rPr>
          <w:rFonts w:ascii="Arial" w:cs="Arial" w:eastAsia="Arial" w:hAnsi="Arial"/>
          <w:sz w:val="18"/>
          <w:szCs w:val="18"/>
          <w:color w:val="000000"/>
        </w:rPr>
        <w:t>. To the extent that any one or more of the provisions of the Plan shall be invalid, illegal or unenforceable</w:t>
      </w:r>
      <w:r>
        <w:rPr>
          <w:rFonts w:ascii="Arial" w:cs="Arial" w:eastAsia="Arial" w:hAnsi="Arial"/>
          <w:sz w:val="18"/>
          <w:szCs w:val="18"/>
          <w:color w:val="010000"/>
        </w:rPr>
        <w:t xml:space="preserve"> </w:t>
      </w:r>
      <w:r>
        <w:rPr>
          <w:rFonts w:ascii="Arial" w:cs="Arial" w:eastAsia="Arial" w:hAnsi="Arial"/>
          <w:sz w:val="18"/>
          <w:szCs w:val="18"/>
          <w:color w:val="000000"/>
        </w:rPr>
        <w:t>in any respect, the validity, legality and enforceability of the remaining provisions shall not in any way be affected or impaired.</w:t>
      </w:r>
    </w:p>
    <w:p>
      <w:pPr>
        <w:spacing w:after="0" w:line="95" w:lineRule="exact"/>
        <w:rPr>
          <w:sz w:val="20"/>
          <w:szCs w:val="20"/>
          <w:color w:val="auto"/>
        </w:rPr>
      </w:pPr>
    </w:p>
    <w:p>
      <w:pPr>
        <w:ind w:left="600"/>
        <w:spacing w:after="0"/>
        <w:tabs>
          <w:tab w:leader="none" w:pos="1240" w:val="left"/>
        </w:tabs>
        <w:rPr>
          <w:sz w:val="20"/>
          <w:szCs w:val="20"/>
          <w:color w:val="auto"/>
        </w:rPr>
      </w:pPr>
      <w:r>
        <w:rPr>
          <w:rFonts w:ascii="Arial" w:cs="Arial" w:eastAsia="Arial" w:hAnsi="Arial"/>
          <w:sz w:val="20"/>
          <w:szCs w:val="20"/>
          <w:color w:val="010000"/>
        </w:rPr>
        <w:t>10.10</w:t>
      </w:r>
      <w:r>
        <w:rPr>
          <w:sz w:val="20"/>
          <w:szCs w:val="20"/>
          <w:color w:val="auto"/>
        </w:rPr>
        <w:tab/>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and section headings are for convenience only and shall not be used in interpreting or construing the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186" w:lineRule="exact"/>
        <w:rPr>
          <w:sz w:val="20"/>
          <w:szCs w:val="20"/>
          <w:color w:val="auto"/>
        </w:rPr>
      </w:pPr>
    </w:p>
    <w:p>
      <w:pPr>
        <w:ind w:right="20" w:firstLine="601"/>
        <w:spacing w:after="0" w:line="270" w:lineRule="auto"/>
        <w:rPr>
          <w:sz w:val="20"/>
          <w:szCs w:val="20"/>
          <w:color w:val="auto"/>
        </w:rPr>
      </w:pPr>
      <w:r>
        <w:rPr>
          <w:rFonts w:ascii="Arial" w:cs="Arial" w:eastAsia="Arial" w:hAnsi="Arial"/>
          <w:sz w:val="19"/>
          <w:szCs w:val="19"/>
          <w:color w:val="010000"/>
        </w:rPr>
        <w:t xml:space="preserve">10.11 </w:t>
      </w:r>
      <w:r>
        <w:rPr>
          <w:rFonts w:ascii="Arial" w:cs="Arial" w:eastAsia="Arial" w:hAnsi="Arial"/>
          <w:sz w:val="19"/>
          <w:szCs w:val="19"/>
          <w:b w:val="1"/>
          <w:bCs w:val="1"/>
          <w:u w:val="single" w:color="auto"/>
          <w:color w:val="000000"/>
        </w:rPr>
        <w:t>Inability to Locate Participant or Beneficiary</w:t>
      </w:r>
      <w:r>
        <w:rPr>
          <w:rFonts w:ascii="Arial" w:cs="Arial" w:eastAsia="Arial" w:hAnsi="Arial"/>
          <w:sz w:val="19"/>
          <w:szCs w:val="19"/>
          <w:color w:val="000000"/>
        </w:rPr>
        <w:t>. If, as of the Latest Payment Date, the Committee is unable to make payment</w:t>
      </w:r>
      <w:r>
        <w:rPr>
          <w:rFonts w:ascii="Arial" w:cs="Arial" w:eastAsia="Arial" w:hAnsi="Arial"/>
          <w:sz w:val="19"/>
          <w:szCs w:val="19"/>
          <w:color w:val="010000"/>
        </w:rPr>
        <w:t xml:space="preserve"> </w:t>
      </w:r>
      <w:r>
        <w:rPr>
          <w:rFonts w:ascii="Arial" w:cs="Arial" w:eastAsia="Arial" w:hAnsi="Arial"/>
          <w:sz w:val="19"/>
          <w:szCs w:val="19"/>
          <w:color w:val="000000"/>
        </w:rPr>
        <w:t>of all or a portion of a Participant’s Account to such Participant or his or her Beneficiary because the whereabouts of such person cannot be ascertained (notwithstanding the mailing of notice to any last known address or addresses and the exercise by the Committee of other reasonable diligence), then such Participant’s Account, or portion thereof, as applicable, shall be forfeited. For this purpose, the “Latest Payment Date” shall be the latest date on which a Participant’s Account, or portion thereof, as applicable, may be paid to the Participant or the Beneficiary without the imposition of excise taxes and other penalties under section 409A of the Code.</w:t>
      </w:r>
    </w:p>
    <w:p>
      <w:pPr>
        <w:spacing w:after="0" w:line="152" w:lineRule="exact"/>
        <w:rPr>
          <w:sz w:val="20"/>
          <w:szCs w:val="20"/>
          <w:color w:val="auto"/>
        </w:rPr>
      </w:pPr>
    </w:p>
    <w:p>
      <w:pPr>
        <w:ind w:right="40" w:firstLine="601"/>
        <w:spacing w:after="0" w:line="256" w:lineRule="auto"/>
        <w:rPr>
          <w:sz w:val="20"/>
          <w:szCs w:val="20"/>
          <w:color w:val="auto"/>
        </w:rPr>
      </w:pPr>
      <w:r>
        <w:rPr>
          <w:rFonts w:ascii="Arial" w:cs="Arial" w:eastAsia="Arial" w:hAnsi="Arial"/>
          <w:sz w:val="20"/>
          <w:szCs w:val="20"/>
          <w:color w:val="010000"/>
        </w:rPr>
        <w:t xml:space="preserve">10.12 </w:t>
      </w:r>
      <w:r>
        <w:rPr>
          <w:rFonts w:ascii="Arial" w:cs="Arial" w:eastAsia="Arial" w:hAnsi="Arial"/>
          <w:sz w:val="20"/>
          <w:szCs w:val="20"/>
          <w:b w:val="1"/>
          <w:bCs w:val="1"/>
          <w:u w:val="single" w:color="auto"/>
          <w:color w:val="000000"/>
        </w:rPr>
        <w:t>Clawback</w:t>
      </w:r>
      <w:r>
        <w:rPr>
          <w:rFonts w:ascii="Arial" w:cs="Arial" w:eastAsia="Arial" w:hAnsi="Arial"/>
          <w:sz w:val="20"/>
          <w:szCs w:val="20"/>
          <w:color w:val="000000"/>
        </w:rPr>
        <w:t>. To the maximum extent permitted under applicable law, a Participant’s Account and any amounts distributed with</w:t>
      </w:r>
      <w:r>
        <w:rPr>
          <w:rFonts w:ascii="Arial" w:cs="Arial" w:eastAsia="Arial" w:hAnsi="Arial"/>
          <w:sz w:val="20"/>
          <w:szCs w:val="20"/>
          <w:color w:val="010000"/>
        </w:rPr>
        <w:t xml:space="preserve"> </w:t>
      </w:r>
      <w:r>
        <w:rPr>
          <w:rFonts w:ascii="Arial" w:cs="Arial" w:eastAsia="Arial" w:hAnsi="Arial"/>
          <w:sz w:val="20"/>
          <w:szCs w:val="20"/>
          <w:color w:val="000000"/>
        </w:rPr>
        <w:t>respect to a Participant’s Account are subject to forfeiture, recovery by the Company or other action pursuant to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XI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CLAIMS PROCEDURE AND LEGAL ACTIONS</w:t>
      </w:r>
    </w:p>
    <w:p>
      <w:pPr>
        <w:spacing w:after="0" w:line="198" w:lineRule="exact"/>
        <w:rPr>
          <w:sz w:val="20"/>
          <w:szCs w:val="20"/>
          <w:color w:val="auto"/>
        </w:rPr>
      </w:pPr>
    </w:p>
    <w:p>
      <w:pPr>
        <w:ind w:right="160" w:firstLine="601"/>
        <w:spacing w:after="0" w:line="264" w:lineRule="auto"/>
        <w:rPr>
          <w:sz w:val="20"/>
          <w:szCs w:val="20"/>
          <w:color w:val="auto"/>
        </w:rPr>
      </w:pPr>
      <w:r>
        <w:rPr>
          <w:rFonts w:ascii="Arial" w:cs="Arial" w:eastAsia="Arial" w:hAnsi="Arial"/>
          <w:sz w:val="20"/>
          <w:szCs w:val="20"/>
          <w:color w:val="010000"/>
        </w:rPr>
        <w:t xml:space="preserve">11.1 </w:t>
      </w:r>
      <w:r>
        <w:rPr>
          <w:rFonts w:ascii="Arial" w:cs="Arial" w:eastAsia="Arial" w:hAnsi="Arial"/>
          <w:sz w:val="20"/>
          <w:szCs w:val="20"/>
          <w:b w:val="1"/>
          <w:bCs w:val="1"/>
          <w:u w:val="single" w:color="auto"/>
          <w:color w:val="000000"/>
        </w:rPr>
        <w:t>Filing a Claim</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A Participant or Beneficiary who believes that he or she is being denied a benefit to which such Participant or</w:t>
      </w:r>
      <w:r>
        <w:rPr>
          <w:rFonts w:ascii="Arial" w:cs="Arial" w:eastAsia="Arial" w:hAnsi="Arial"/>
          <w:sz w:val="20"/>
          <w:szCs w:val="20"/>
          <w:color w:val="010000"/>
        </w:rPr>
        <w:t xml:space="preserve"> </w:t>
      </w:r>
      <w:r>
        <w:rPr>
          <w:rFonts w:ascii="Arial" w:cs="Arial" w:eastAsia="Arial" w:hAnsi="Arial"/>
          <w:sz w:val="20"/>
          <w:szCs w:val="20"/>
          <w:color w:val="000000"/>
        </w:rPr>
        <w:t>Beneficiary is entitled under the Plan may file a written request for such benefit with the Committee, setting forth his or her claim. The request must be addressed to the Committee at the Company’s principal place of business.</w:t>
      </w:r>
    </w:p>
    <w:p>
      <w:pPr>
        <w:spacing w:after="0" w:line="155" w:lineRule="exact"/>
        <w:rPr>
          <w:sz w:val="20"/>
          <w:szCs w:val="20"/>
          <w:color w:val="auto"/>
        </w:rPr>
      </w:pPr>
    </w:p>
    <w:p>
      <w:pPr>
        <w:ind w:right="60" w:firstLine="601"/>
        <w:spacing w:after="0" w:line="252" w:lineRule="auto"/>
        <w:rPr>
          <w:sz w:val="20"/>
          <w:szCs w:val="20"/>
          <w:color w:val="auto"/>
        </w:rPr>
      </w:pPr>
      <w:r>
        <w:rPr>
          <w:rFonts w:ascii="Arial" w:cs="Arial" w:eastAsia="Arial" w:hAnsi="Arial"/>
          <w:sz w:val="20"/>
          <w:szCs w:val="20"/>
          <w:color w:val="010000"/>
        </w:rPr>
        <w:t xml:space="preserve">11.2 </w:t>
      </w:r>
      <w:r>
        <w:rPr>
          <w:rFonts w:ascii="Arial" w:cs="Arial" w:eastAsia="Arial" w:hAnsi="Arial"/>
          <w:sz w:val="20"/>
          <w:szCs w:val="20"/>
          <w:b w:val="1"/>
          <w:bCs w:val="1"/>
          <w:u w:val="single" w:color="auto"/>
          <w:color w:val="000000"/>
        </w:rPr>
        <w:t>Claim Decision</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Upon receipt of a claim, the Committee shall advise the Claimant that a reply shall be forthcoming within 90</w:t>
      </w:r>
      <w:r>
        <w:rPr>
          <w:rFonts w:ascii="Arial" w:cs="Arial" w:eastAsia="Arial" w:hAnsi="Arial"/>
          <w:sz w:val="20"/>
          <w:szCs w:val="20"/>
          <w:color w:val="010000"/>
        </w:rPr>
        <w:t xml:space="preserve"> </w:t>
      </w:r>
      <w:r>
        <w:rPr>
          <w:rFonts w:ascii="Arial" w:cs="Arial" w:eastAsia="Arial" w:hAnsi="Arial"/>
          <w:sz w:val="20"/>
          <w:szCs w:val="20"/>
          <w:color w:val="000000"/>
        </w:rPr>
        <w:t>days and shall, in fact, deliver such reply within such period. The Committee may, however, extend the reply period for an additional 90 days for special circumstances. If the claim is denied in whole or in part, the Committee shall inform the Claimant in writing, using language calculated to be understood by the Claimant, setting forth: (i) the specified reason or reasons for such denial; (ii) the specific reference to pertinent provisions of this Plan on which such denial is based; (iii) a description of any additional material or information necessary for the Claimant to perfect his or her claim and an explanation of why such material or such information is necessary; (iv) appropriate information as to the steps to be taken if the Claimant wishes to submit the claim for review; and (v) the time limits for requesting a review under Section 11.3.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157" w:right="239" w:bottom="1440" w:gutter="0" w:footer="0" w:header="0"/>
        </w:sectPr>
      </w:pPr>
    </w:p>
    <w:bookmarkStart w:id="123" w:name="page124"/>
    <w:bookmarkEnd w:id="123"/>
    <w:p>
      <w:pPr>
        <w:ind w:right="40" w:firstLine="601"/>
        <w:spacing w:after="0" w:line="254" w:lineRule="auto"/>
        <w:rPr>
          <w:sz w:val="20"/>
          <w:szCs w:val="20"/>
          <w:color w:val="auto"/>
        </w:rPr>
      </w:pPr>
      <w:r>
        <w:rPr>
          <w:rFonts w:ascii="Arial" w:cs="Arial" w:eastAsia="Arial" w:hAnsi="Arial"/>
          <w:sz w:val="20"/>
          <w:szCs w:val="20"/>
          <w:color w:val="010000"/>
        </w:rPr>
        <w:t xml:space="preserve">11.3 </w:t>
      </w:r>
      <w:r>
        <w:rPr>
          <w:rFonts w:ascii="Arial" w:cs="Arial" w:eastAsia="Arial" w:hAnsi="Arial"/>
          <w:sz w:val="20"/>
          <w:szCs w:val="20"/>
          <w:b w:val="1"/>
          <w:bCs w:val="1"/>
          <w:u w:val="single" w:color="auto"/>
          <w:color w:val="000000"/>
        </w:rPr>
        <w:t>Request For Review</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Within 60 days after the receipt by the Claimant of the written decision described above, the Claimant</w:t>
      </w:r>
      <w:r>
        <w:rPr>
          <w:rFonts w:ascii="Arial" w:cs="Arial" w:eastAsia="Arial" w:hAnsi="Arial"/>
          <w:sz w:val="20"/>
          <w:szCs w:val="20"/>
          <w:color w:val="010000"/>
        </w:rPr>
        <w:t xml:space="preserve"> </w:t>
      </w:r>
      <w:r>
        <w:rPr>
          <w:rFonts w:ascii="Arial" w:cs="Arial" w:eastAsia="Arial" w:hAnsi="Arial"/>
          <w:sz w:val="20"/>
          <w:szCs w:val="20"/>
          <w:color w:val="000000"/>
        </w:rPr>
        <w:t>may request in writing a review of the determination of the Committee. Such review shall be completed by the Committee. Such request must be addressed to the Committee, at the Company’s then principal place of business. The Claimant or his or her duly authorized representative may, but need not, review the pertinent documents and submit issues and comments in writing for consideration by the Committee. If the Claimant does not request a review within such 60-day period, the Participant shall be barred and estopped from challenging the Committee’s determination.</w:t>
      </w:r>
    </w:p>
    <w:p>
      <w:pPr>
        <w:spacing w:after="0" w:line="167" w:lineRule="exact"/>
        <w:rPr>
          <w:sz w:val="20"/>
          <w:szCs w:val="20"/>
          <w:color w:val="auto"/>
        </w:rPr>
      </w:pPr>
    </w:p>
    <w:p>
      <w:pPr>
        <w:ind w:right="120" w:firstLine="601"/>
        <w:spacing w:after="0" w:line="291" w:lineRule="auto"/>
        <w:rPr>
          <w:sz w:val="20"/>
          <w:szCs w:val="20"/>
          <w:color w:val="auto"/>
        </w:rPr>
      </w:pPr>
      <w:r>
        <w:rPr>
          <w:rFonts w:ascii="Arial" w:cs="Arial" w:eastAsia="Arial" w:hAnsi="Arial"/>
          <w:sz w:val="18"/>
          <w:szCs w:val="18"/>
          <w:color w:val="010000"/>
        </w:rPr>
        <w:t xml:space="preserve">11.4 </w:t>
      </w:r>
      <w:r>
        <w:rPr>
          <w:rFonts w:ascii="Arial" w:cs="Arial" w:eastAsia="Arial" w:hAnsi="Arial"/>
          <w:sz w:val="18"/>
          <w:szCs w:val="18"/>
          <w:b w:val="1"/>
          <w:bCs w:val="1"/>
          <w:u w:val="single" w:color="auto"/>
          <w:color w:val="000000"/>
        </w:rPr>
        <w:t>Review of Decision</w:t>
      </w:r>
      <w:r>
        <w:rPr>
          <w:rFonts w:ascii="Arial" w:cs="Arial" w:eastAsia="Arial" w:hAnsi="Arial"/>
          <w:sz w:val="18"/>
          <w:szCs w:val="18"/>
          <w:b w:val="1"/>
          <w:bCs w:val="1"/>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Within 60 days after the receipt of a request for review by the Committee, after considering all materials</w:t>
      </w:r>
      <w:r>
        <w:rPr>
          <w:rFonts w:ascii="Arial" w:cs="Arial" w:eastAsia="Arial" w:hAnsi="Arial"/>
          <w:sz w:val="18"/>
          <w:szCs w:val="18"/>
          <w:color w:val="010000"/>
        </w:rPr>
        <w:t xml:space="preserve"> </w:t>
      </w:r>
      <w:r>
        <w:rPr>
          <w:rFonts w:ascii="Arial" w:cs="Arial" w:eastAsia="Arial" w:hAnsi="Arial"/>
          <w:sz w:val="18"/>
          <w:szCs w:val="18"/>
          <w:color w:val="000000"/>
        </w:rPr>
        <w:t>presented by the Claimant, the Committee shall inform the Claimant in writing, in a manner calculated to be understood by the Claimant, the decision setting forth the specific reasons for the decision and any specific references to the pertinent provisions of this Plan on which the decision is based. If special circumstances require that the 60 day time period be extended, the Committee shall so notify the Claimant and shall render the decision as soon as possible, but no later than 120 days after receipt of the request for review.</w:t>
      </w:r>
    </w:p>
    <w:p>
      <w:pPr>
        <w:spacing w:after="0" w:line="135" w:lineRule="exact"/>
        <w:rPr>
          <w:sz w:val="20"/>
          <w:szCs w:val="20"/>
          <w:color w:val="auto"/>
        </w:rPr>
      </w:pPr>
    </w:p>
    <w:p>
      <w:pPr>
        <w:ind w:firstLine="601"/>
        <w:spacing w:after="0" w:line="283" w:lineRule="auto"/>
        <w:rPr>
          <w:sz w:val="20"/>
          <w:szCs w:val="20"/>
          <w:color w:val="auto"/>
        </w:rPr>
      </w:pPr>
      <w:r>
        <w:rPr>
          <w:rFonts w:ascii="Arial" w:cs="Arial" w:eastAsia="Arial" w:hAnsi="Arial"/>
          <w:sz w:val="18"/>
          <w:szCs w:val="18"/>
          <w:color w:val="010000"/>
        </w:rPr>
        <w:t xml:space="preserve">11.5 </w:t>
      </w:r>
      <w:r>
        <w:rPr>
          <w:rFonts w:ascii="Arial" w:cs="Arial" w:eastAsia="Arial" w:hAnsi="Arial"/>
          <w:sz w:val="18"/>
          <w:szCs w:val="18"/>
          <w:b w:val="1"/>
          <w:bCs w:val="1"/>
          <w:u w:val="single" w:color="auto"/>
          <w:color w:val="000000"/>
        </w:rPr>
        <w:t>Legal Actions</w:t>
      </w:r>
      <w:r>
        <w:rPr>
          <w:rFonts w:ascii="Arial" w:cs="Arial" w:eastAsia="Arial" w:hAnsi="Arial"/>
          <w:sz w:val="18"/>
          <w:szCs w:val="18"/>
          <w:b w:val="1"/>
          <w:bCs w:val="1"/>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Except for actions to which any statute of limitations prescribed by ERISA applies, (a) no legal or equitable</w:t>
      </w:r>
      <w:r>
        <w:rPr>
          <w:rFonts w:ascii="Arial" w:cs="Arial" w:eastAsia="Arial" w:hAnsi="Arial"/>
          <w:sz w:val="18"/>
          <w:szCs w:val="18"/>
          <w:color w:val="010000"/>
        </w:rPr>
        <w:t xml:space="preserve"> </w:t>
      </w:r>
      <w:r>
        <w:rPr>
          <w:rFonts w:ascii="Arial" w:cs="Arial" w:eastAsia="Arial" w:hAnsi="Arial"/>
          <w:sz w:val="18"/>
          <w:szCs w:val="18"/>
          <w:color w:val="000000"/>
        </w:rPr>
        <w:t>action relating to a claim for benefits under section 502 of ERISA with respect to the Plan may be commenced later than one (1) year after the Claimant receives a final decision from the Committee in response to the Claimant’s request for review of an adverse benefit determination and (b) no other legal or equitable action involving the Plan may be commenced later than two (2) years after the date the person bringing the action knew, or had reason to know, of the circumstances giving rise to the action. This Section 11.5 shall not bar the Plan or the Committee from recovering, in accordance with section 409A of the Code or other applicable law, overpayments of benefits or other amounts incorrectly paid to any person under the Plan at any time or bringing any legal or equitable action against any party. Any legal actions involving benefits or payments claimed under this Plan or legal obligations relating to or arising under this Plan may be filed only in Federal court in the Eastern District of Virginia. By participating in this Plan, each Participant shall be deemed to have elected to waive any right to a jury trial.</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010000"/>
        </w:rPr>
        <w:t>ARTICLE XII</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EFFECTIVE DATE</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Plan is effective as of January 25, 2017.</w:t>
      </w:r>
    </w:p>
    <w:p>
      <w:pPr>
        <w:spacing w:after="0" w:line="208" w:lineRule="exact"/>
        <w:rPr>
          <w:sz w:val="20"/>
          <w:szCs w:val="20"/>
          <w:color w:val="auto"/>
        </w:rPr>
      </w:pPr>
    </w:p>
    <w:p>
      <w:pPr>
        <w:ind w:right="120" w:firstLine="601"/>
        <w:spacing w:after="0" w:line="275" w:lineRule="auto"/>
        <w:rPr>
          <w:sz w:val="20"/>
          <w:szCs w:val="20"/>
          <w:color w:val="auto"/>
        </w:rPr>
      </w:pPr>
      <w:r>
        <w:rPr>
          <w:rFonts w:ascii="Arial" w:cs="Arial" w:eastAsia="Arial" w:hAnsi="Arial"/>
          <w:sz w:val="20"/>
          <w:szCs w:val="20"/>
          <w:color w:val="auto"/>
        </w:rPr>
        <w:t>The Company hereby agrees to the provisions of the Plan and in witness of its agreement, the Company by its duly authorized officer has executed the Plan on the date written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00"/>
          </w:cols>
          <w:pgMar w:left="240" w:top="1153" w:right="259" w:bottom="1440" w:gutter="0" w:footer="0" w:header="0"/>
        </w:sectPr>
      </w:pPr>
    </w:p>
    <w:bookmarkStart w:id="124" w:name="page125"/>
    <w:bookmarkEnd w:id="124"/>
    <w:p>
      <w:pPr>
        <w:spacing w:after="0" w:line="252"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BOOZ ALLEN HAMILTON INC.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By:</w:t>
      </w:r>
    </w:p>
    <w:p>
      <w:pPr>
        <w:spacing w:after="0" w:line="4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Title:</w:t>
      </w:r>
    </w:p>
    <w:p>
      <w:pPr>
        <w:spacing w:after="0" w:line="4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EXHIBIT I</w:t>
      </w:r>
    </w:p>
    <w:p>
      <w:pPr>
        <w:spacing w:after="0" w:line="200" w:lineRule="exact"/>
        <w:rPr>
          <w:sz w:val="20"/>
          <w:szCs w:val="20"/>
          <w:color w:val="auto"/>
        </w:rPr>
      </w:pPr>
    </w:p>
    <w:p>
      <w:pPr>
        <w:spacing w:after="0" w:line="208"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Eligible Employees</w:t>
      </w:r>
    </w:p>
    <w:p>
      <w:pPr>
        <w:spacing w:after="0" w:line="200" w:lineRule="exact"/>
        <w:rPr>
          <w:sz w:val="20"/>
          <w:szCs w:val="20"/>
          <w:color w:val="auto"/>
        </w:rPr>
      </w:pP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As of the effective date of the Plan, the Eligible Employees shall include employees of the Company who are employed in one of the following roles:</w:t>
      </w:r>
    </w:p>
    <w:p>
      <w:pPr>
        <w:spacing w:after="0" w:line="149" w:lineRule="exact"/>
        <w:rPr>
          <w:sz w:val="20"/>
          <w:szCs w:val="20"/>
          <w:color w:val="auto"/>
        </w:rPr>
      </w:pPr>
    </w:p>
    <w:p>
      <w:pPr>
        <w:ind w:left="900" w:hanging="599"/>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Vice-President</w:t>
      </w:r>
    </w:p>
    <w:p>
      <w:pPr>
        <w:spacing w:after="0" w:line="25" w:lineRule="exact"/>
        <w:rPr>
          <w:rFonts w:ascii="Arial" w:cs="Arial" w:eastAsia="Arial" w:hAnsi="Arial"/>
          <w:sz w:val="20"/>
          <w:szCs w:val="20"/>
          <w:color w:val="auto"/>
        </w:rPr>
      </w:pPr>
    </w:p>
    <w:p>
      <w:pPr>
        <w:ind w:left="900" w:hanging="599"/>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Senior Vice President</w:t>
      </w:r>
    </w:p>
    <w:p>
      <w:pPr>
        <w:spacing w:after="0" w:line="7" w:lineRule="exact"/>
        <w:rPr>
          <w:rFonts w:ascii="Arial" w:cs="Arial" w:eastAsia="Arial" w:hAnsi="Arial"/>
          <w:sz w:val="20"/>
          <w:szCs w:val="20"/>
          <w:color w:val="auto"/>
        </w:rPr>
      </w:pPr>
    </w:p>
    <w:p>
      <w:pPr>
        <w:ind w:left="900" w:hanging="599"/>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Executive Vice President</w:t>
      </w:r>
    </w:p>
    <w:p>
      <w:pPr>
        <w:spacing w:after="0" w:line="7" w:lineRule="exact"/>
        <w:rPr>
          <w:rFonts w:ascii="Arial" w:cs="Arial" w:eastAsia="Arial" w:hAnsi="Arial"/>
          <w:sz w:val="20"/>
          <w:szCs w:val="20"/>
          <w:color w:val="auto"/>
        </w:rPr>
      </w:pPr>
    </w:p>
    <w:p>
      <w:pPr>
        <w:ind w:left="900" w:hanging="599"/>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President</w:t>
      </w:r>
    </w:p>
    <w:p>
      <w:pPr>
        <w:spacing w:after="0" w:line="7" w:lineRule="exact"/>
        <w:rPr>
          <w:rFonts w:ascii="Arial" w:cs="Arial" w:eastAsia="Arial" w:hAnsi="Arial"/>
          <w:sz w:val="20"/>
          <w:szCs w:val="20"/>
          <w:color w:val="auto"/>
        </w:rPr>
      </w:pPr>
    </w:p>
    <w:p>
      <w:pPr>
        <w:ind w:left="900" w:hanging="599"/>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35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660"/>
          </w:cols>
          <w:pgMar w:left="240" w:top="1440" w:right="9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AMENDED AND RESTATED EQUITY INCENTIVE PLAN OF</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OPTION AGREEMENT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NOTICE</w:t>
      </w:r>
    </w:p>
    <w:p>
      <w:pPr>
        <w:spacing w:after="0" w:line="248" w:lineRule="exact"/>
        <w:rPr>
          <w:sz w:val="20"/>
          <w:szCs w:val="20"/>
          <w:color w:val="auto"/>
        </w:rPr>
      </w:pPr>
    </w:p>
    <w:p>
      <w:pPr>
        <w:ind w:right="120"/>
        <w:spacing w:after="0" w:line="305" w:lineRule="auto"/>
        <w:rPr>
          <w:sz w:val="20"/>
          <w:szCs w:val="20"/>
          <w:color w:val="auto"/>
        </w:rPr>
      </w:pPr>
      <w:r>
        <w:rPr>
          <w:rFonts w:ascii="Arial" w:cs="Arial" w:eastAsia="Arial" w:hAnsi="Arial"/>
          <w:sz w:val="18"/>
          <w:szCs w:val="18"/>
          <w:color w:val="auto"/>
        </w:rPr>
        <w:t>Unless otherwise defined herein, the terms defined in the Second Amended and Restated Equity Incentive Plan of Booz Allen Hamilton Holding Corporation (the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same defined meanings in this Stock Option Agreement, which includes the terms in this Grant Notice (the “</w:t>
      </w:r>
      <w:r>
        <w:rPr>
          <w:rFonts w:ascii="Arial" w:cs="Arial" w:eastAsia="Arial" w:hAnsi="Arial"/>
          <w:sz w:val="18"/>
          <w:szCs w:val="18"/>
          <w:u w:val="single" w:color="auto"/>
          <w:color w:val="auto"/>
        </w:rPr>
        <w:t>Grant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(collectively,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62" w:lineRule="exact"/>
        <w:rPr>
          <w:sz w:val="20"/>
          <w:szCs w:val="20"/>
          <w:color w:val="auto"/>
        </w:rPr>
      </w:pPr>
    </w:p>
    <w:p>
      <w:pPr>
        <w:ind w:right="200"/>
        <w:spacing w:after="0" w:line="305" w:lineRule="auto"/>
        <w:rPr>
          <w:sz w:val="20"/>
          <w:szCs w:val="20"/>
          <w:color w:val="auto"/>
        </w:rPr>
      </w:pPr>
      <w:r>
        <w:rPr>
          <w:rFonts w:ascii="Arial" w:cs="Arial" w:eastAsia="Arial" w:hAnsi="Arial"/>
          <w:sz w:val="18"/>
          <w:szCs w:val="18"/>
          <w:color w:val="auto"/>
        </w:rPr>
        <w:t>You (the “</w:t>
      </w:r>
      <w:r>
        <w:rPr>
          <w:rFonts w:ascii="Arial" w:cs="Arial" w:eastAsia="Arial" w:hAnsi="Arial"/>
          <w:sz w:val="18"/>
          <w:szCs w:val="18"/>
          <w:u w:val="single" w:color="auto"/>
          <w:color w:val="auto"/>
        </w:rPr>
        <w:t>Optionee</w:t>
      </w:r>
      <w:r>
        <w:rPr>
          <w:rFonts w:ascii="Arial" w:cs="Arial" w:eastAsia="Arial" w:hAnsi="Arial"/>
          <w:sz w:val="18"/>
          <w:szCs w:val="18"/>
          <w:color w:val="auto"/>
        </w:rPr>
        <w:t>”) have been granted an Option to purchase the number of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Class A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Booz Allen Hamilton Holding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as set forth on the Fidelity NetBenefits system at www.netbenefits.com, subject to the terms and conditions of the Plan and this Agreement, as follows:</w:t>
      </w:r>
    </w:p>
    <w:p>
      <w:pPr>
        <w:sectPr>
          <w:pgSz w:w="11900" w:h="16838" w:orient="portrait"/>
          <w:cols w:equalWidth="0" w:num="1">
            <w:col w:w="11420"/>
          </w:cols>
          <w:pgMar w:left="240" w:top="1007" w:right="239" w:bottom="1440" w:gutter="0" w:footer="0" w:header="0"/>
        </w:sectPr>
      </w:pPr>
    </w:p>
    <w:p>
      <w:pPr>
        <w:spacing w:after="0" w:line="1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Type of Option: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4160"/>
        <w:spacing w:after="0"/>
        <w:rPr>
          <w:sz w:val="20"/>
          <w:szCs w:val="20"/>
          <w:color w:val="auto"/>
        </w:rPr>
      </w:pPr>
      <w:r>
        <w:rPr>
          <w:rFonts w:ascii="Arial" w:cs="Arial" w:eastAsia="Arial" w:hAnsi="Arial"/>
          <w:sz w:val="17"/>
          <w:szCs w:val="17"/>
          <w:color w:val="auto"/>
        </w:rPr>
        <w:t>Non-Qualified Stock Option</w:t>
      </w:r>
    </w:p>
    <w:p>
      <w:pPr>
        <w:spacing w:after="0" w:line="200" w:lineRule="exact"/>
        <w:rPr>
          <w:sz w:val="20"/>
          <w:szCs w:val="20"/>
          <w:color w:val="auto"/>
        </w:rPr>
      </w:pPr>
    </w:p>
    <w:p>
      <w:pPr>
        <w:sectPr>
          <w:pgSz w:w="11900" w:h="16838" w:orient="portrait"/>
          <w:cols w:equalWidth="0" w:num="2">
            <w:col w:w="4440" w:space="720"/>
            <w:col w:w="6260"/>
          </w:cols>
          <w:pgMar w:left="240" w:top="1007" w:right="239" w:bottom="1440" w:gutter="0" w:footer="0" w:header="0"/>
          <w:type w:val="continuous"/>
        </w:sectPr>
      </w:pPr>
    </w:p>
    <w:p>
      <w:pPr>
        <w:spacing w:after="0" w:line="243" w:lineRule="exact"/>
        <w:rPr>
          <w:sz w:val="20"/>
          <w:szCs w:val="20"/>
          <w:color w:val="auto"/>
        </w:rPr>
      </w:pPr>
    </w:p>
    <w:p>
      <w:pPr>
        <w:ind w:left="20"/>
        <w:spacing w:after="0"/>
        <w:tabs>
          <w:tab w:leader="none" w:pos="5140" w:val="left"/>
        </w:tabs>
        <w:rPr>
          <w:sz w:val="20"/>
          <w:szCs w:val="20"/>
          <w:color w:val="auto"/>
        </w:rPr>
      </w:pPr>
      <w:r>
        <w:rPr>
          <w:rFonts w:ascii="Arial" w:cs="Arial" w:eastAsia="Arial" w:hAnsi="Arial"/>
          <w:sz w:val="18"/>
          <w:szCs w:val="18"/>
          <w:color w:val="auto"/>
        </w:rPr>
        <w:t>Final Expiration Date:</w:t>
      </w:r>
      <w:r>
        <w:rPr>
          <w:sz w:val="20"/>
          <w:szCs w:val="20"/>
          <w:color w:val="auto"/>
        </w:rPr>
        <w:tab/>
      </w:r>
      <w:r>
        <w:rPr>
          <w:rFonts w:ascii="Arial" w:cs="Arial" w:eastAsia="Arial" w:hAnsi="Arial"/>
          <w:sz w:val="16"/>
          <w:szCs w:val="16"/>
          <w:color w:val="auto"/>
        </w:rPr>
        <w:t>Ten years from the date of grant</w:t>
      </w:r>
    </w:p>
    <w:p>
      <w:pPr>
        <w:sectPr>
          <w:pgSz w:w="11900" w:h="16838" w:orient="portrait"/>
          <w:cols w:equalWidth="0" w:num="1">
            <w:col w:w="11420"/>
          </w:cols>
          <w:pgMar w:left="240" w:top="1007" w:right="239" w:bottom="1440" w:gutter="0" w:footer="0" w:header="0"/>
          <w:type w:val="continuous"/>
        </w:sectPr>
      </w:pPr>
    </w:p>
    <w:p>
      <w:pPr>
        <w:spacing w:after="0" w:line="56"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 xml:space="preserve">Your acceptance of this Option indicates your agreement and understanding that this Option is subject to all of the terms and conditions contained in the Agreement (including this Grant Notice and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the Agreement) and the Plan. </w:t>
      </w:r>
      <w:r>
        <w:rPr>
          <w:rFonts w:ascii="Arial" w:cs="Arial" w:eastAsia="Arial" w:hAnsi="Arial"/>
          <w:sz w:val="16"/>
          <w:szCs w:val="16"/>
          <w:b w:val="1"/>
          <w:bCs w:val="1"/>
          <w:color w:val="auto"/>
        </w:rPr>
        <w:t>ACCORDINGLY, PLEASE BE SURE TO READ ALL OF</w:t>
      </w:r>
    </w:p>
    <w:p>
      <w:pPr>
        <w:spacing w:after="0" w:line="1" w:lineRule="exact"/>
        <w:rPr>
          <w:sz w:val="20"/>
          <w:szCs w:val="20"/>
          <w:color w:val="auto"/>
        </w:rPr>
      </w:pPr>
    </w:p>
    <w:p>
      <w:pPr>
        <w:ind w:right="60"/>
        <w:spacing w:after="0" w:line="307" w:lineRule="auto"/>
        <w:rPr>
          <w:sz w:val="20"/>
          <w:szCs w:val="20"/>
          <w:color w:val="auto"/>
        </w:rPr>
      </w:pPr>
      <w:r>
        <w:rPr>
          <w:rFonts w:ascii="Arial" w:cs="Arial" w:eastAsia="Arial" w:hAnsi="Arial"/>
          <w:sz w:val="18"/>
          <w:szCs w:val="18"/>
          <w:b w:val="1"/>
          <w:bCs w:val="1"/>
          <w:color w:val="auto"/>
        </w:rPr>
        <w:t>THE PLAN AND APPENDIX A, WHICH CONTAIN THE SPECIFIC TERMS AND CONDITIONS OF THIS OPTION. IN PARTICULAR, BY ACCEPTANCE OF THIS OPTION, YOU AGREE TO THE TERMS AND CONDITIONS CONTAINED IN THE AGREEMENT RELATING TO ELECTRONIC DELIVERY OF ANY DOCUMENTS RELATED TO THE OPTION.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07" w:right="239" w:bottom="1440" w:gutter="0" w:footer="0" w:header="0"/>
          <w:type w:val="continuous"/>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t>APPENDIX A TO STOCK OPTION AGREEMENT</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I.</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GRANT OF OPTION</w:t>
      </w:r>
    </w:p>
    <w:p>
      <w:pPr>
        <w:spacing w:after="0" w:line="200" w:lineRule="exact"/>
        <w:rPr>
          <w:sz w:val="20"/>
          <w:szCs w:val="20"/>
          <w:color w:val="auto"/>
        </w:rPr>
      </w:pPr>
    </w:p>
    <w:p>
      <w:pPr>
        <w:spacing w:after="0" w:line="256" w:lineRule="exact"/>
        <w:rPr>
          <w:sz w:val="20"/>
          <w:szCs w:val="20"/>
          <w:color w:val="auto"/>
        </w:rPr>
      </w:pPr>
    </w:p>
    <w:p>
      <w:pPr>
        <w:spacing w:after="0" w:line="317" w:lineRule="auto"/>
        <w:rPr>
          <w:sz w:val="20"/>
          <w:szCs w:val="20"/>
          <w:color w:val="auto"/>
        </w:rPr>
      </w:pP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w:t>
      </w:r>
      <w:r>
        <w:rPr>
          <w:rFonts w:ascii="Arial" w:cs="Arial" w:eastAsia="Arial" w:hAnsi="Arial"/>
          <w:sz w:val="18"/>
          <w:szCs w:val="18"/>
          <w:u w:val="single" w:color="auto"/>
          <w:color w:val="auto"/>
        </w:rPr>
        <w:t>Grant of Option</w:t>
      </w:r>
      <w:r>
        <w:rPr>
          <w:rFonts w:ascii="Arial" w:cs="Arial" w:eastAsia="Arial" w:hAnsi="Arial"/>
          <w:sz w:val="18"/>
          <w:szCs w:val="18"/>
          <w:color w:val="auto"/>
        </w:rPr>
        <w:t>. The Company hereby grants to the Optionee the Option to purchase any part or all of the Shares upon the terms and</w:t>
      </w:r>
      <w:r>
        <w:rPr>
          <w:rFonts w:ascii="Arial" w:cs="Arial" w:eastAsia="Arial" w:hAnsi="Arial"/>
          <w:sz w:val="20"/>
          <w:szCs w:val="20"/>
          <w:color w:val="auto"/>
        </w:rPr>
        <w:t xml:space="preserve"> </w:t>
      </w:r>
      <w:r>
        <w:rPr>
          <w:rFonts w:ascii="Arial" w:cs="Arial" w:eastAsia="Arial" w:hAnsi="Arial"/>
          <w:sz w:val="18"/>
          <w:szCs w:val="18"/>
          <w:color w:val="auto"/>
        </w:rPr>
        <w:t>conditions set forth in the Plan and this Agreement (including the Grant Notice and this Appendix). The Optionee hereby agrees that, except as required by law, he or she will not disclose to any Person other than the Optionee’s spouse and/or tax or financial advisor (if any) the grant of the Option or any of the terms or provisions hereof without prior approval from the Administrator.</w:t>
      </w:r>
    </w:p>
    <w:p>
      <w:pPr>
        <w:spacing w:after="0" w:line="360" w:lineRule="exact"/>
        <w:rPr>
          <w:sz w:val="20"/>
          <w:szCs w:val="20"/>
          <w:color w:val="auto"/>
        </w:rPr>
      </w:pPr>
    </w:p>
    <w:p>
      <w:pPr>
        <w:ind w:right="540"/>
        <w:spacing w:after="0" w:line="321" w:lineRule="auto"/>
        <w:rPr>
          <w:sz w:val="20"/>
          <w:szCs w:val="20"/>
          <w:color w:val="auto"/>
        </w:rPr>
      </w:pP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w:t>
      </w:r>
      <w:r>
        <w:rPr>
          <w:rFonts w:ascii="Arial" w:cs="Arial" w:eastAsia="Arial" w:hAnsi="Arial"/>
          <w:sz w:val="18"/>
          <w:szCs w:val="18"/>
          <w:u w:val="single" w:color="auto"/>
          <w:color w:val="auto"/>
        </w:rPr>
        <w:t>Option Subject to Plan</w:t>
      </w:r>
      <w:r>
        <w:rPr>
          <w:rFonts w:ascii="Arial" w:cs="Arial" w:eastAsia="Arial" w:hAnsi="Arial"/>
          <w:sz w:val="18"/>
          <w:szCs w:val="18"/>
          <w:color w:val="auto"/>
        </w:rPr>
        <w:t>. The Option granted hereunder is subject to the terms and provisions of the Plan, including, but not limited to,</w:t>
      </w:r>
      <w:r>
        <w:rPr>
          <w:rFonts w:ascii="Arial" w:cs="Arial" w:eastAsia="Arial" w:hAnsi="Arial"/>
          <w:sz w:val="20"/>
          <w:szCs w:val="20"/>
          <w:color w:val="auto"/>
        </w:rPr>
        <w:t xml:space="preserve"> </w:t>
      </w:r>
      <w:r>
        <w:rPr>
          <w:rFonts w:ascii="Arial" w:cs="Arial" w:eastAsia="Arial" w:hAnsi="Arial"/>
          <w:sz w:val="18"/>
          <w:szCs w:val="18"/>
          <w:color w:val="auto"/>
        </w:rPr>
        <w:t>Article V, Article XI, Article XII, Article XIII and Article XIV thereof.</w:t>
      </w:r>
    </w:p>
    <w:p>
      <w:pPr>
        <w:spacing w:after="0" w:line="349" w:lineRule="exact"/>
        <w:rPr>
          <w:sz w:val="20"/>
          <w:szCs w:val="20"/>
          <w:color w:val="auto"/>
        </w:rPr>
      </w:pPr>
    </w:p>
    <w:p>
      <w:pPr>
        <w:ind w:right="200"/>
        <w:spacing w:after="0" w:line="321" w:lineRule="auto"/>
        <w:rPr>
          <w:sz w:val="20"/>
          <w:szCs w:val="20"/>
          <w:color w:val="auto"/>
        </w:rPr>
      </w:pP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the Shares covered by the Option has been determined in accordance with the provisions set forth in</w:t>
      </w:r>
      <w:r>
        <w:rPr>
          <w:rFonts w:ascii="Arial" w:cs="Arial" w:eastAsia="Arial" w:hAnsi="Arial"/>
          <w:sz w:val="20"/>
          <w:szCs w:val="20"/>
          <w:color w:val="auto"/>
        </w:rPr>
        <w:t xml:space="preserve"> </w:t>
      </w:r>
      <w:r>
        <w:rPr>
          <w:rFonts w:ascii="Arial" w:cs="Arial" w:eastAsia="Arial" w:hAnsi="Arial"/>
          <w:sz w:val="18"/>
          <w:szCs w:val="18"/>
          <w:color w:val="auto"/>
        </w:rPr>
        <w:t>the Plan and does not include any commission or other charges.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II.</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VESTING SCHEDULE; EXERCISABILITY</w:t>
      </w:r>
    </w:p>
    <w:p>
      <w:pPr>
        <w:spacing w:after="0" w:line="200" w:lineRule="exact"/>
        <w:rPr>
          <w:sz w:val="20"/>
          <w:szCs w:val="20"/>
          <w:color w:val="auto"/>
        </w:rPr>
      </w:pPr>
    </w:p>
    <w:p>
      <w:pPr>
        <w:spacing w:after="0" w:line="256"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2.1</w:t>
      </w:r>
      <w:r>
        <w:rPr>
          <w:sz w:val="20"/>
          <w:szCs w:val="20"/>
          <w:color w:val="auto"/>
        </w:rPr>
        <w:tab/>
      </w:r>
      <w:r>
        <w:rPr>
          <w:rFonts w:ascii="Arial" w:cs="Arial" w:eastAsia="Arial" w:hAnsi="Arial"/>
          <w:sz w:val="16"/>
          <w:szCs w:val="16"/>
          <w:u w:val="single" w:color="auto"/>
          <w:color w:val="auto"/>
        </w:rPr>
        <w:t>Vesting and Exercisability of the Option</w:t>
      </w:r>
      <w:r>
        <w:rPr>
          <w:rFonts w:ascii="Arial" w:cs="Arial" w:eastAsia="Arial" w:hAnsi="Arial"/>
          <w:sz w:val="16"/>
          <w:szCs w:val="16"/>
          <w:color w:val="auto"/>
        </w:rPr>
        <w:t>.</w:t>
      </w:r>
    </w:p>
    <w:p>
      <w:pPr>
        <w:spacing w:after="0" w:line="200" w:lineRule="exact"/>
        <w:rPr>
          <w:sz w:val="20"/>
          <w:szCs w:val="20"/>
          <w:color w:val="auto"/>
        </w:rPr>
      </w:pPr>
    </w:p>
    <w:p>
      <w:pPr>
        <w:spacing w:after="0" w:line="275" w:lineRule="exact"/>
        <w:rPr>
          <w:sz w:val="20"/>
          <w:szCs w:val="20"/>
          <w:color w:val="auto"/>
        </w:rPr>
      </w:pPr>
    </w:p>
    <w:p>
      <w:pPr>
        <w:ind w:right="120" w:firstLine="601"/>
        <w:spacing w:after="0" w:line="337" w:lineRule="auto"/>
        <w:tabs>
          <w:tab w:leader="none" w:pos="990" w:val="left"/>
        </w:tabs>
        <w:numPr>
          <w:ilvl w:val="0"/>
          <w:numId w:val="89"/>
        </w:numPr>
        <w:rPr>
          <w:rFonts w:ascii="Arial" w:cs="Arial" w:eastAsia="Arial" w:hAnsi="Arial"/>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Except as provided below, the Option shall become vested and exercisable, so long as the Optionee remains continuously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as a Service Provider, from the date hereof through each relevant date set forth below, as follows:</w:t>
      </w:r>
    </w:p>
    <w:p>
      <w:pPr>
        <w:spacing w:after="0" w:line="350" w:lineRule="exact"/>
        <w:rPr>
          <w:rFonts w:ascii="Arial" w:cs="Arial" w:eastAsia="Arial" w:hAnsi="Arial"/>
          <w:sz w:val="20"/>
          <w:szCs w:val="20"/>
          <w:color w:val="auto"/>
        </w:rPr>
      </w:pPr>
    </w:p>
    <w:p>
      <w:pPr>
        <w:ind w:left="1560" w:hanging="358"/>
        <w:spacing w:after="0"/>
        <w:tabs>
          <w:tab w:leader="none" w:pos="1560" w:val="left"/>
        </w:tabs>
        <w:numPr>
          <w:ilvl w:val="1"/>
          <w:numId w:val="89"/>
        </w:numPr>
        <w:rPr>
          <w:rFonts w:ascii="Arial" w:cs="Arial" w:eastAsia="Arial" w:hAnsi="Arial"/>
          <w:sz w:val="20"/>
          <w:szCs w:val="20"/>
          <w:color w:val="auto"/>
        </w:rPr>
      </w:pPr>
      <w:r>
        <w:rPr>
          <w:rFonts w:ascii="Arial" w:cs="Arial" w:eastAsia="Arial" w:hAnsi="Arial"/>
          <w:sz w:val="18"/>
          <w:szCs w:val="18"/>
          <w:color w:val="auto"/>
        </w:rPr>
        <w:t>20% of the Option shall become vested and exercisable on March 31, 2018;</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620" w:hanging="418"/>
        <w:spacing w:after="0"/>
        <w:tabs>
          <w:tab w:leader="none" w:pos="1620" w:val="left"/>
        </w:tabs>
        <w:numPr>
          <w:ilvl w:val="1"/>
          <w:numId w:val="89"/>
        </w:numPr>
        <w:rPr>
          <w:rFonts w:ascii="Arial" w:cs="Arial" w:eastAsia="Arial" w:hAnsi="Arial"/>
          <w:sz w:val="20"/>
          <w:szCs w:val="20"/>
          <w:color w:val="auto"/>
        </w:rPr>
      </w:pPr>
      <w:r>
        <w:rPr>
          <w:rFonts w:ascii="Arial" w:cs="Arial" w:eastAsia="Arial" w:hAnsi="Arial"/>
          <w:sz w:val="18"/>
          <w:szCs w:val="18"/>
          <w:color w:val="auto"/>
        </w:rPr>
        <w:t>20% of the Option shall become vested and exercisable on March 31, 2019;</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660" w:hanging="458"/>
        <w:spacing w:after="0"/>
        <w:tabs>
          <w:tab w:leader="none" w:pos="1660" w:val="left"/>
        </w:tabs>
        <w:numPr>
          <w:ilvl w:val="1"/>
          <w:numId w:val="89"/>
        </w:numPr>
        <w:rPr>
          <w:rFonts w:ascii="Arial" w:cs="Arial" w:eastAsia="Arial" w:hAnsi="Arial"/>
          <w:sz w:val="20"/>
          <w:szCs w:val="20"/>
          <w:color w:val="auto"/>
        </w:rPr>
      </w:pPr>
      <w:r>
        <w:rPr>
          <w:rFonts w:ascii="Arial" w:cs="Arial" w:eastAsia="Arial" w:hAnsi="Arial"/>
          <w:sz w:val="18"/>
          <w:szCs w:val="18"/>
          <w:color w:val="auto"/>
        </w:rPr>
        <w:t>20% of the Option shall become vested and exercisable on March 31, 2020;</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660" w:hanging="458"/>
        <w:spacing w:after="0"/>
        <w:tabs>
          <w:tab w:leader="none" w:pos="1660" w:val="left"/>
        </w:tabs>
        <w:numPr>
          <w:ilvl w:val="1"/>
          <w:numId w:val="89"/>
        </w:numPr>
        <w:rPr>
          <w:rFonts w:ascii="Arial" w:cs="Arial" w:eastAsia="Arial" w:hAnsi="Arial"/>
          <w:sz w:val="20"/>
          <w:szCs w:val="20"/>
          <w:color w:val="auto"/>
        </w:rPr>
      </w:pPr>
      <w:r>
        <w:rPr>
          <w:rFonts w:ascii="Arial" w:cs="Arial" w:eastAsia="Arial" w:hAnsi="Arial"/>
          <w:sz w:val="18"/>
          <w:szCs w:val="18"/>
          <w:color w:val="auto"/>
        </w:rPr>
        <w:t>20% of the Option shall become vested and exercisable on March 31, 2021; and</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600" w:hanging="398"/>
        <w:spacing w:after="0"/>
        <w:tabs>
          <w:tab w:leader="none" w:pos="1600" w:val="left"/>
        </w:tabs>
        <w:numPr>
          <w:ilvl w:val="1"/>
          <w:numId w:val="89"/>
        </w:numPr>
        <w:rPr>
          <w:rFonts w:ascii="Arial" w:cs="Arial" w:eastAsia="Arial" w:hAnsi="Arial"/>
          <w:sz w:val="20"/>
          <w:szCs w:val="20"/>
          <w:color w:val="auto"/>
        </w:rPr>
      </w:pPr>
      <w:r>
        <w:rPr>
          <w:rFonts w:ascii="Arial" w:cs="Arial" w:eastAsia="Arial" w:hAnsi="Arial"/>
          <w:sz w:val="18"/>
          <w:szCs w:val="18"/>
          <w:color w:val="auto"/>
        </w:rPr>
        <w:t>20% of the Option shall become vested and exercisable on March 31, 2022.</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000" w:hanging="399"/>
        <w:spacing w:after="0"/>
        <w:tabs>
          <w:tab w:leader="none" w:pos="1000" w:val="left"/>
        </w:tabs>
        <w:numPr>
          <w:ilvl w:val="0"/>
          <w:numId w:val="89"/>
        </w:numPr>
        <w:rPr>
          <w:rFonts w:ascii="Arial" w:cs="Arial" w:eastAsia="Arial" w:hAnsi="Arial"/>
          <w:sz w:val="20"/>
          <w:szCs w:val="20"/>
          <w:color w:val="auto"/>
        </w:rPr>
      </w:pPr>
      <w:r>
        <w:rPr>
          <w:rFonts w:ascii="Arial" w:cs="Arial" w:eastAsia="Arial" w:hAnsi="Arial"/>
          <w:sz w:val="18"/>
          <w:szCs w:val="18"/>
          <w:i w:val="1"/>
          <w:iCs w:val="1"/>
          <w:color w:val="auto"/>
        </w:rPr>
        <w:t>Change in Control Vesting</w:t>
      </w:r>
      <w:r>
        <w:rPr>
          <w:rFonts w:ascii="Arial" w:cs="Arial" w:eastAsia="Arial" w:hAnsi="Arial"/>
          <w:sz w:val="18"/>
          <w:szCs w:val="18"/>
          <w:color w:val="auto"/>
        </w:rPr>
        <w:t>. Upon the occurrence of a Change in Control, any Option shall vest as set forth in Section 2.9.</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firstLine="601"/>
        <w:spacing w:after="0" w:line="337" w:lineRule="auto"/>
        <w:tabs>
          <w:tab w:leader="none" w:pos="990" w:val="left"/>
        </w:tabs>
        <w:numPr>
          <w:ilvl w:val="0"/>
          <w:numId w:val="89"/>
        </w:numPr>
        <w:rPr>
          <w:rFonts w:ascii="Arial" w:cs="Arial" w:eastAsia="Arial" w:hAnsi="Arial"/>
          <w:sz w:val="20"/>
          <w:szCs w:val="20"/>
          <w:color w:val="auto"/>
        </w:rPr>
      </w:pPr>
      <w:r>
        <w:rPr>
          <w:rFonts w:ascii="Arial" w:cs="Arial" w:eastAsia="Arial" w:hAnsi="Arial"/>
          <w:sz w:val="18"/>
          <w:szCs w:val="18"/>
          <w:i w:val="1"/>
          <w:iCs w:val="1"/>
          <w:color w:val="auto"/>
        </w:rPr>
        <w:t>Discretionary Vesting</w:t>
      </w:r>
      <w:r>
        <w:rPr>
          <w:rFonts w:ascii="Arial" w:cs="Arial" w:eastAsia="Arial" w:hAnsi="Arial"/>
          <w:sz w:val="18"/>
          <w:szCs w:val="18"/>
          <w:color w:val="auto"/>
        </w:rPr>
        <w:t>. The Administrator in its sole discretion may accelerate the vesting of any portion of the Option that does not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vest pursuant to this Section 2.1.</w:t>
      </w:r>
    </w:p>
    <w:p>
      <w:pPr>
        <w:sectPr>
          <w:pgSz w:w="11900" w:h="16838" w:orient="portrait"/>
          <w:cols w:equalWidth="0" w:num="1">
            <w:col w:w="11380"/>
          </w:cols>
          <w:pgMar w:left="240" w:top="1008" w:right="279" w:bottom="1440" w:gutter="0" w:footer="0" w:header="0"/>
        </w:sect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80"/>
          </w:cols>
          <w:pgMar w:left="240" w:top="1008" w:right="279" w:bottom="1440" w:gutter="0" w:footer="0" w:header="0"/>
          <w:type w:val="continuous"/>
        </w:sectPr>
      </w:pPr>
    </w:p>
    <w:bookmarkStart w:id="127" w:name="page128"/>
    <w:bookmarkEnd w:id="127"/>
    <w:p>
      <w:pPr>
        <w:spacing w:after="0"/>
        <w:tabs>
          <w:tab w:leader="none" w:pos="1040" w:val="left"/>
        </w:tabs>
        <w:rPr>
          <w:sz w:val="20"/>
          <w:szCs w:val="20"/>
          <w:color w:val="auto"/>
        </w:rPr>
      </w:pPr>
      <w:r>
        <w:rPr>
          <w:rFonts w:ascii="Arial" w:cs="Arial" w:eastAsia="Arial" w:hAnsi="Arial"/>
          <w:sz w:val="20"/>
          <w:szCs w:val="20"/>
          <w:u w:val="single" w:color="auto"/>
          <w:color w:val="auto"/>
        </w:rPr>
        <w:t>Section 2.2</w:t>
      </w:r>
      <w:r>
        <w:rPr>
          <w:sz w:val="20"/>
          <w:szCs w:val="20"/>
          <w:color w:val="auto"/>
        </w:rPr>
        <w:tab/>
      </w: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w:t>
      </w:r>
    </w:p>
    <w:p>
      <w:pPr>
        <w:spacing w:after="0" w:line="200" w:lineRule="exact"/>
        <w:rPr>
          <w:sz w:val="20"/>
          <w:szCs w:val="20"/>
          <w:color w:val="auto"/>
        </w:rPr>
      </w:pPr>
    </w:p>
    <w:p>
      <w:pPr>
        <w:spacing w:after="0" w:line="275" w:lineRule="exact"/>
        <w:rPr>
          <w:sz w:val="20"/>
          <w:szCs w:val="20"/>
          <w:color w:val="auto"/>
        </w:rPr>
      </w:pPr>
    </w:p>
    <w:p>
      <w:pPr>
        <w:ind w:right="40" w:firstLine="601"/>
        <w:spacing w:after="0" w:line="323" w:lineRule="auto"/>
        <w:tabs>
          <w:tab w:leader="none" w:pos="990" w:val="left"/>
        </w:tabs>
        <w:numPr>
          <w:ilvl w:val="0"/>
          <w:numId w:val="90"/>
        </w:numPr>
        <w:rPr>
          <w:rFonts w:ascii="Arial" w:cs="Arial" w:eastAsia="Arial" w:hAnsi="Arial"/>
          <w:sz w:val="20"/>
          <w:szCs w:val="20"/>
          <w:color w:val="auto"/>
        </w:rPr>
      </w:pPr>
      <w:r>
        <w:rPr>
          <w:rFonts w:ascii="Arial" w:cs="Arial" w:eastAsia="Arial" w:hAnsi="Arial"/>
          <w:sz w:val="18"/>
          <w:szCs w:val="18"/>
          <w:i w:val="1"/>
          <w:iCs w:val="1"/>
          <w:color w:val="auto"/>
        </w:rPr>
        <w:t>Termination Due to Death</w:t>
      </w:r>
      <w:r>
        <w:rPr>
          <w:rFonts w:ascii="Arial" w:cs="Arial" w:eastAsia="Arial" w:hAnsi="Arial"/>
          <w:sz w:val="18"/>
          <w:szCs w:val="18"/>
          <w:color w:val="auto"/>
        </w:rPr>
        <w:t>. If an Optionee’s employment or service terminates due to the Optionee’s death, all Options shall immediately vest</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remain outstanding until (</w:t>
      </w:r>
      <w:r>
        <w:rPr>
          <w:rFonts w:ascii="Arial" w:cs="Arial" w:eastAsia="Arial" w:hAnsi="Arial"/>
          <w:sz w:val="18"/>
          <w:szCs w:val="18"/>
          <w:u w:val="single" w:color="auto"/>
          <w:color w:val="auto"/>
        </w:rPr>
        <w:t>i</w:t>
      </w:r>
      <w:r>
        <w:rPr>
          <w:rFonts w:ascii="Arial" w:cs="Arial" w:eastAsia="Arial" w:hAnsi="Arial"/>
          <w:sz w:val="18"/>
          <w:szCs w:val="18"/>
          <w:color w:val="auto"/>
        </w:rPr>
        <w:t>) the first anniversary of the date of the Optionee’s death or (</w:t>
      </w:r>
      <w:r>
        <w:rPr>
          <w:rFonts w:ascii="Arial" w:cs="Arial" w:eastAsia="Arial" w:hAnsi="Arial"/>
          <w:sz w:val="18"/>
          <w:szCs w:val="18"/>
          <w:u w:val="single" w:color="auto"/>
          <w:color w:val="auto"/>
        </w:rPr>
        <w:t>ii</w:t>
      </w:r>
      <w:r>
        <w:rPr>
          <w:rFonts w:ascii="Arial" w:cs="Arial" w:eastAsia="Arial" w:hAnsi="Arial"/>
          <w:sz w:val="18"/>
          <w:szCs w:val="18"/>
          <w:color w:val="auto"/>
        </w:rPr>
        <w:t>) the Option’s Final Expiration Date, whichever is earlier, after which any unexercised Options shall immediately terminate.</w:t>
      </w:r>
    </w:p>
    <w:p>
      <w:pPr>
        <w:spacing w:after="0" w:line="372" w:lineRule="exact"/>
        <w:rPr>
          <w:rFonts w:ascii="Arial" w:cs="Arial" w:eastAsia="Arial" w:hAnsi="Arial"/>
          <w:sz w:val="20"/>
          <w:szCs w:val="20"/>
          <w:color w:val="auto"/>
        </w:rPr>
      </w:pPr>
    </w:p>
    <w:p>
      <w:pPr>
        <w:ind w:firstLine="601"/>
        <w:spacing w:after="0" w:line="322" w:lineRule="auto"/>
        <w:tabs>
          <w:tab w:leader="none" w:pos="1001" w:val="left"/>
        </w:tabs>
        <w:numPr>
          <w:ilvl w:val="0"/>
          <w:numId w:val="90"/>
        </w:numPr>
        <w:rPr>
          <w:rFonts w:ascii="Arial" w:cs="Arial" w:eastAsia="Arial" w:hAnsi="Arial"/>
          <w:sz w:val="20"/>
          <w:szCs w:val="20"/>
          <w:color w:val="auto"/>
        </w:rPr>
      </w:pPr>
      <w:r>
        <w:rPr>
          <w:rFonts w:ascii="Arial" w:cs="Arial" w:eastAsia="Arial" w:hAnsi="Arial"/>
          <w:sz w:val="18"/>
          <w:szCs w:val="18"/>
          <w:i w:val="1"/>
          <w:iCs w:val="1"/>
          <w:color w:val="auto"/>
        </w:rPr>
        <w:t>Termination Due to Disability</w:t>
      </w:r>
      <w:r>
        <w:rPr>
          <w:rFonts w:ascii="Arial" w:cs="Arial" w:eastAsia="Arial" w:hAnsi="Arial"/>
          <w:sz w:val="18"/>
          <w:szCs w:val="18"/>
          <w:color w:val="auto"/>
        </w:rPr>
        <w:t>. If an Optionee’s employment or service terminates due to the Optionee’s Disability, unvested Options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forfeited and shall continue to vest in accordance with the schedule set forth in this Stock Option Agreement. All vested Options shall remain outstanding until (</w:t>
      </w:r>
      <w:r>
        <w:rPr>
          <w:rFonts w:ascii="Arial" w:cs="Arial" w:eastAsia="Arial" w:hAnsi="Arial"/>
          <w:sz w:val="18"/>
          <w:szCs w:val="18"/>
          <w:u w:val="single" w:color="auto"/>
          <w:color w:val="auto"/>
        </w:rPr>
        <w:t>i</w:t>
      </w:r>
      <w:r>
        <w:rPr>
          <w:rFonts w:ascii="Arial" w:cs="Arial" w:eastAsia="Arial" w:hAnsi="Arial"/>
          <w:sz w:val="18"/>
          <w:szCs w:val="18"/>
          <w:color w:val="auto"/>
        </w:rPr>
        <w:t>) the later of the first anniversary of either (</w:t>
      </w:r>
      <w:r>
        <w:rPr>
          <w:rFonts w:ascii="Arial" w:cs="Arial" w:eastAsia="Arial" w:hAnsi="Arial"/>
          <w:sz w:val="18"/>
          <w:szCs w:val="18"/>
          <w:u w:val="single" w:color="auto"/>
          <w:color w:val="auto"/>
        </w:rPr>
        <w:t>x</w:t>
      </w:r>
      <w:r>
        <w:rPr>
          <w:rFonts w:ascii="Arial" w:cs="Arial" w:eastAsia="Arial" w:hAnsi="Arial"/>
          <w:sz w:val="18"/>
          <w:szCs w:val="18"/>
          <w:color w:val="auto"/>
        </w:rPr>
        <w:t>) the date of termination due to Disability or (</w:t>
      </w:r>
      <w:r>
        <w:rPr>
          <w:rFonts w:ascii="Arial" w:cs="Arial" w:eastAsia="Arial" w:hAnsi="Arial"/>
          <w:sz w:val="18"/>
          <w:szCs w:val="18"/>
          <w:u w:val="single" w:color="auto"/>
          <w:color w:val="auto"/>
        </w:rPr>
        <w:t>y</w:t>
      </w:r>
      <w:r>
        <w:rPr>
          <w:rFonts w:ascii="Arial" w:cs="Arial" w:eastAsia="Arial" w:hAnsi="Arial"/>
          <w:sz w:val="18"/>
          <w:szCs w:val="18"/>
          <w:color w:val="auto"/>
        </w:rPr>
        <w:t>) the date of vesting or (</w:t>
      </w:r>
      <w:r>
        <w:rPr>
          <w:rFonts w:ascii="Arial" w:cs="Arial" w:eastAsia="Arial" w:hAnsi="Arial"/>
          <w:sz w:val="18"/>
          <w:szCs w:val="18"/>
          <w:u w:val="single" w:color="auto"/>
          <w:color w:val="auto"/>
        </w:rPr>
        <w:t>ii</w:t>
      </w:r>
      <w:r>
        <w:rPr>
          <w:rFonts w:ascii="Arial" w:cs="Arial" w:eastAsia="Arial" w:hAnsi="Arial"/>
          <w:sz w:val="18"/>
          <w:szCs w:val="18"/>
          <w:color w:val="auto"/>
        </w:rPr>
        <w:t>) the Option’s Final Expiration Date, whichever is earlier, after which any unexercised Options shall immediately terminate.</w:t>
      </w:r>
    </w:p>
    <w:p>
      <w:pPr>
        <w:spacing w:after="0" w:line="372" w:lineRule="exact"/>
        <w:rPr>
          <w:rFonts w:ascii="Arial" w:cs="Arial" w:eastAsia="Arial" w:hAnsi="Arial"/>
          <w:sz w:val="20"/>
          <w:szCs w:val="20"/>
          <w:color w:val="auto"/>
        </w:rPr>
      </w:pPr>
    </w:p>
    <w:p>
      <w:pPr>
        <w:ind w:left="1000" w:hanging="399"/>
        <w:spacing w:after="0"/>
        <w:tabs>
          <w:tab w:leader="none" w:pos="1000" w:val="left"/>
        </w:tabs>
        <w:numPr>
          <w:ilvl w:val="0"/>
          <w:numId w:val="90"/>
        </w:numPr>
        <w:rPr>
          <w:rFonts w:ascii="Arial" w:cs="Arial" w:eastAsia="Arial" w:hAnsi="Arial"/>
          <w:sz w:val="17"/>
          <w:szCs w:val="17"/>
          <w:color w:val="auto"/>
        </w:rPr>
      </w:pPr>
      <w:r>
        <w:rPr>
          <w:rFonts w:ascii="Arial" w:cs="Arial" w:eastAsia="Arial" w:hAnsi="Arial"/>
          <w:sz w:val="16"/>
          <w:szCs w:val="16"/>
          <w:i w:val="1"/>
          <w:iCs w:val="1"/>
          <w:color w:val="auto"/>
        </w:rPr>
        <w:t>Termination by Reason of a Company Approved Departure</w:t>
      </w:r>
      <w:r>
        <w:rPr>
          <w:rFonts w:ascii="Arial" w:cs="Arial" w:eastAsia="Arial" w:hAnsi="Arial"/>
          <w:sz w:val="16"/>
          <w:szCs w:val="16"/>
          <w:color w:val="auto"/>
        </w:rPr>
        <w:t>. Unless otherwise determined by the Administrator, if an Optionee’s employment</w:t>
      </w:r>
    </w:p>
    <w:p>
      <w:pPr>
        <w:spacing w:after="0" w:line="92" w:lineRule="exact"/>
        <w:rPr>
          <w:rFonts w:ascii="Arial" w:cs="Arial" w:eastAsia="Arial" w:hAnsi="Arial"/>
          <w:sz w:val="17"/>
          <w:szCs w:val="17"/>
          <w:color w:val="auto"/>
        </w:rPr>
      </w:pPr>
    </w:p>
    <w:p>
      <w:pPr>
        <w:ind w:right="20"/>
        <w:spacing w:after="0" w:line="301" w:lineRule="auto"/>
        <w:rPr>
          <w:rFonts w:ascii="Arial" w:cs="Arial" w:eastAsia="Arial" w:hAnsi="Arial"/>
          <w:sz w:val="17"/>
          <w:szCs w:val="17"/>
          <w:color w:val="auto"/>
        </w:rPr>
      </w:pPr>
      <w:r>
        <w:rPr>
          <w:rFonts w:ascii="Arial" w:cs="Arial" w:eastAsia="Arial" w:hAnsi="Arial"/>
          <w:sz w:val="18"/>
          <w:szCs w:val="18"/>
          <w:color w:val="auto"/>
        </w:rPr>
        <w:t>or service terminates in a Company Approved Departure, unvested Options shall not be forfeited and shall continue to vest in accordance with the schedule set forth in this Stock Option Agreement. All vested Options shall remain outstanding until (</w:t>
      </w:r>
      <w:r>
        <w:rPr>
          <w:rFonts w:ascii="Arial" w:cs="Arial" w:eastAsia="Arial" w:hAnsi="Arial"/>
          <w:sz w:val="18"/>
          <w:szCs w:val="18"/>
          <w:u w:val="single" w:color="auto"/>
          <w:color w:val="auto"/>
        </w:rPr>
        <w:t>i</w:t>
      </w:r>
      <w:r>
        <w:rPr>
          <w:rFonts w:ascii="Arial" w:cs="Arial" w:eastAsia="Arial" w:hAnsi="Arial"/>
          <w:sz w:val="18"/>
          <w:szCs w:val="18"/>
          <w:color w:val="auto"/>
        </w:rPr>
        <w:t>) the later of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either (</w:t>
      </w:r>
      <w:r>
        <w:rPr>
          <w:rFonts w:ascii="Arial" w:cs="Arial" w:eastAsia="Arial" w:hAnsi="Arial"/>
          <w:sz w:val="18"/>
          <w:szCs w:val="18"/>
          <w:u w:val="single" w:color="auto"/>
          <w:color w:val="auto"/>
        </w:rPr>
        <w:t>x</w:t>
      </w:r>
      <w:r>
        <w:rPr>
          <w:rFonts w:ascii="Arial" w:cs="Arial" w:eastAsia="Arial" w:hAnsi="Arial"/>
          <w:sz w:val="18"/>
          <w:szCs w:val="18"/>
          <w:color w:val="auto"/>
        </w:rPr>
        <w:t>) the date of termination of Optionee’s employment or service or (</w:t>
      </w:r>
      <w:r>
        <w:rPr>
          <w:rFonts w:ascii="Arial" w:cs="Arial" w:eastAsia="Arial" w:hAnsi="Arial"/>
          <w:sz w:val="18"/>
          <w:szCs w:val="18"/>
          <w:u w:val="single" w:color="auto"/>
          <w:color w:val="auto"/>
        </w:rPr>
        <w:t>y</w:t>
      </w:r>
      <w:r>
        <w:rPr>
          <w:rFonts w:ascii="Arial" w:cs="Arial" w:eastAsia="Arial" w:hAnsi="Arial"/>
          <w:sz w:val="18"/>
          <w:szCs w:val="18"/>
          <w:color w:val="auto"/>
        </w:rPr>
        <w:t>) the date of vesting or (</w:t>
      </w:r>
      <w:r>
        <w:rPr>
          <w:rFonts w:ascii="Arial" w:cs="Arial" w:eastAsia="Arial" w:hAnsi="Arial"/>
          <w:sz w:val="18"/>
          <w:szCs w:val="18"/>
          <w:u w:val="single" w:color="auto"/>
          <w:color w:val="auto"/>
        </w:rPr>
        <w:t>ii</w:t>
      </w:r>
      <w:r>
        <w:rPr>
          <w:rFonts w:ascii="Arial" w:cs="Arial" w:eastAsia="Arial" w:hAnsi="Arial"/>
          <w:sz w:val="18"/>
          <w:szCs w:val="18"/>
          <w:color w:val="auto"/>
        </w:rPr>
        <w:t>) the Option’s Final Expiration Date, whichever is earlier, after which any unexercised Options shall immediately terminate.</w:t>
      </w:r>
    </w:p>
    <w:p>
      <w:pPr>
        <w:spacing w:after="0" w:line="391" w:lineRule="exact"/>
        <w:rPr>
          <w:rFonts w:ascii="Arial" w:cs="Arial" w:eastAsia="Arial" w:hAnsi="Arial"/>
          <w:sz w:val="17"/>
          <w:szCs w:val="17"/>
          <w:color w:val="auto"/>
        </w:rPr>
      </w:pPr>
    </w:p>
    <w:p>
      <w:pPr>
        <w:ind w:firstLine="601"/>
        <w:spacing w:after="0" w:line="321" w:lineRule="auto"/>
        <w:tabs>
          <w:tab w:leader="none" w:pos="1001" w:val="left"/>
        </w:tabs>
        <w:numPr>
          <w:ilvl w:val="0"/>
          <w:numId w:val="90"/>
        </w:numPr>
        <w:rPr>
          <w:rFonts w:ascii="Arial" w:cs="Arial" w:eastAsia="Arial" w:hAnsi="Arial"/>
          <w:sz w:val="20"/>
          <w:szCs w:val="20"/>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Unless otherwise determined by the Administrator, if the Optionee’s employment or service terminates for Cause, all</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whether vested or unvested, shall be immediately forfeited and canceled, effective as of the date of the Optionee’s termination of employment or service. Notwithstanding the foregoing, unless otherwise determined by the Administrator and set forth in writing, any Option that vested during the twelve months prior to or any time after the Optionee engaged in the conduct that gave rise to the termination for Cause shall upon demand by the Administrator be immediately forfeited and disgorged or paid to the Company together with all gains earned or accrued due to the exercise of such Option or sale of Company Common Stock issued pursuant to such Option.</w:t>
      </w:r>
    </w:p>
    <w:p>
      <w:pPr>
        <w:spacing w:after="0" w:line="373" w:lineRule="exact"/>
        <w:rPr>
          <w:rFonts w:ascii="Arial" w:cs="Arial" w:eastAsia="Arial" w:hAnsi="Arial"/>
          <w:sz w:val="20"/>
          <w:szCs w:val="20"/>
          <w:color w:val="auto"/>
        </w:rPr>
      </w:pPr>
    </w:p>
    <w:p>
      <w:pPr>
        <w:ind w:left="1000" w:hanging="399"/>
        <w:spacing w:after="0"/>
        <w:tabs>
          <w:tab w:leader="none" w:pos="1000" w:val="left"/>
        </w:tabs>
        <w:numPr>
          <w:ilvl w:val="0"/>
          <w:numId w:val="90"/>
        </w:numPr>
        <w:rPr>
          <w:rFonts w:ascii="Arial" w:cs="Arial" w:eastAsia="Arial" w:hAnsi="Arial"/>
          <w:sz w:val="19"/>
          <w:szCs w:val="19"/>
          <w:color w:val="auto"/>
        </w:rPr>
      </w:pPr>
      <w:r>
        <w:rPr>
          <w:rFonts w:ascii="Arial" w:cs="Arial" w:eastAsia="Arial" w:hAnsi="Arial"/>
          <w:sz w:val="17"/>
          <w:szCs w:val="17"/>
          <w:i w:val="1"/>
          <w:iCs w:val="1"/>
          <w:color w:val="auto"/>
        </w:rPr>
        <w:t>Termination for Any Other Reason</w:t>
      </w:r>
      <w:r>
        <w:rPr>
          <w:rFonts w:ascii="Arial" w:cs="Arial" w:eastAsia="Arial" w:hAnsi="Arial"/>
          <w:sz w:val="17"/>
          <w:szCs w:val="17"/>
          <w:color w:val="auto"/>
        </w:rPr>
        <w:t>. Unless otherwise determined by the Administrator and set forth in writing, if an Optionee’s employment</w:t>
      </w:r>
    </w:p>
    <w:p>
      <w:pPr>
        <w:spacing w:after="0" w:line="69" w:lineRule="exact"/>
        <w:rPr>
          <w:rFonts w:ascii="Arial" w:cs="Arial" w:eastAsia="Arial" w:hAnsi="Arial"/>
          <w:sz w:val="19"/>
          <w:szCs w:val="19"/>
          <w:color w:val="auto"/>
        </w:rPr>
      </w:pPr>
    </w:p>
    <w:p>
      <w:pPr>
        <w:ind w:right="80"/>
        <w:spacing w:after="0" w:line="361" w:lineRule="auto"/>
        <w:rPr>
          <w:rFonts w:ascii="Arial" w:cs="Arial" w:eastAsia="Arial" w:hAnsi="Arial"/>
          <w:sz w:val="19"/>
          <w:szCs w:val="19"/>
          <w:color w:val="auto"/>
        </w:rPr>
      </w:pPr>
      <w:r>
        <w:rPr>
          <w:rFonts w:ascii="Arial" w:cs="Arial" w:eastAsia="Arial" w:hAnsi="Arial"/>
          <w:sz w:val="16"/>
          <w:szCs w:val="16"/>
          <w:color w:val="auto"/>
        </w:rPr>
        <w:t>or service terminates for any reason other than death, Disability, a Company Approved Departure, or Cause, all Options that are unvested shall be immediately forfeited and canceled, and all Options that are vested shall remain outstanding until (</w:t>
      </w:r>
      <w:r>
        <w:rPr>
          <w:rFonts w:ascii="Arial" w:cs="Arial" w:eastAsia="Arial" w:hAnsi="Arial"/>
          <w:sz w:val="16"/>
          <w:szCs w:val="16"/>
          <w:u w:val="single" w:color="auto"/>
          <w:color w:val="auto"/>
        </w:rPr>
        <w:t>x</w:t>
      </w:r>
      <w:r>
        <w:rPr>
          <w:rFonts w:ascii="Arial" w:cs="Arial" w:eastAsia="Arial" w:hAnsi="Arial"/>
          <w:sz w:val="16"/>
          <w:szCs w:val="16"/>
          <w:color w:val="auto"/>
        </w:rPr>
        <w:t>)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date of termination of Optionee’s employment or service or (</w:t>
      </w:r>
      <w:r>
        <w:rPr>
          <w:rFonts w:ascii="Arial" w:cs="Arial" w:eastAsia="Arial" w:hAnsi="Arial"/>
          <w:sz w:val="16"/>
          <w:szCs w:val="16"/>
          <w:u w:val="single" w:color="auto"/>
          <w:color w:val="auto"/>
        </w:rPr>
        <w:t>y</w:t>
      </w:r>
      <w:r>
        <w:rPr>
          <w:rFonts w:ascii="Arial" w:cs="Arial" w:eastAsia="Arial" w:hAnsi="Arial"/>
          <w:sz w:val="16"/>
          <w:szCs w:val="16"/>
          <w:color w:val="auto"/>
        </w:rPr>
        <w:t>) the Final Expiration Date, whichever is earlier, after which any unexercised Options shall immediately terminate.</w:t>
      </w:r>
    </w:p>
    <w:p>
      <w:pPr>
        <w:spacing w:after="0" w:line="310" w:lineRule="exact"/>
        <w:rPr>
          <w:sz w:val="20"/>
          <w:szCs w:val="20"/>
          <w:color w:val="auto"/>
        </w:rPr>
      </w:pPr>
    </w:p>
    <w:p>
      <w:pPr>
        <w:ind w:right="80"/>
        <w:spacing w:after="0" w:line="320" w:lineRule="auto"/>
        <w:rPr>
          <w:sz w:val="20"/>
          <w:szCs w:val="20"/>
          <w:color w:val="auto"/>
        </w:rPr>
      </w:pP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w:t>
      </w:r>
      <w:r>
        <w:rPr>
          <w:rFonts w:ascii="Arial" w:cs="Arial" w:eastAsia="Arial" w:hAnsi="Arial"/>
          <w:sz w:val="18"/>
          <w:szCs w:val="18"/>
          <w:u w:val="single" w:color="auto"/>
          <w:color w:val="auto"/>
        </w:rPr>
        <w:t>Additional Forfeiture Provisions</w:t>
      </w:r>
      <w:r>
        <w:rPr>
          <w:rFonts w:ascii="Arial" w:cs="Arial" w:eastAsia="Arial" w:hAnsi="Arial"/>
          <w:sz w:val="18"/>
          <w:szCs w:val="18"/>
          <w:color w:val="auto"/>
        </w:rPr>
        <w:t>. The Optionee acknowledges and agrees that the Option shall be immediately forfeited and cease to be</w:t>
      </w:r>
      <w:r>
        <w:rPr>
          <w:rFonts w:ascii="Arial" w:cs="Arial" w:eastAsia="Arial" w:hAnsi="Arial"/>
          <w:sz w:val="20"/>
          <w:szCs w:val="20"/>
          <w:color w:val="auto"/>
        </w:rPr>
        <w:t xml:space="preserve"> </w:t>
      </w:r>
      <w:r>
        <w:rPr>
          <w:rFonts w:ascii="Arial" w:cs="Arial" w:eastAsia="Arial" w:hAnsi="Arial"/>
          <w:sz w:val="18"/>
          <w:szCs w:val="18"/>
          <w:color w:val="auto"/>
        </w:rPr>
        <w:t>exercisable, and the Optionee shall be required to disgorge to the Company all gains earned or accrued due to the exercise of Options or sale of any Shares issued pursuant to such Options upon certain accounting restatements, if the Optionee engages in Competitive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07" w:right="239" w:bottom="1440" w:gutter="0" w:footer="0" w:header="0"/>
        </w:sectPr>
      </w:pPr>
    </w:p>
    <w:bookmarkStart w:id="128" w:name="page129"/>
    <w:bookmarkEnd w:id="128"/>
    <w:p>
      <w:pPr>
        <w:ind w:right="20"/>
        <w:spacing w:after="0" w:line="321" w:lineRule="auto"/>
        <w:rPr>
          <w:sz w:val="20"/>
          <w:szCs w:val="20"/>
          <w:color w:val="auto"/>
        </w:rPr>
      </w:pPr>
      <w:r>
        <w:rPr>
          <w:rFonts w:ascii="Arial" w:cs="Arial" w:eastAsia="Arial" w:hAnsi="Arial"/>
          <w:sz w:val="18"/>
          <w:szCs w:val="18"/>
          <w:color w:val="auto"/>
        </w:rPr>
        <w:t>Activity (excluding, only if the Optionee is located in California, clause (a) of the definition of Competitive Activity contained in the Plan), as required by applicable law or if the Optionee engages in certain other misconduct as provided in Section 11.4 of the Plan.</w:t>
      </w:r>
    </w:p>
    <w:p>
      <w:pPr>
        <w:spacing w:after="0" w:line="343" w:lineRule="exact"/>
        <w:rPr>
          <w:sz w:val="20"/>
          <w:szCs w:val="20"/>
          <w:color w:val="auto"/>
        </w:rPr>
      </w:pPr>
    </w:p>
    <w:p>
      <w:pPr>
        <w:jc w:val="both"/>
        <w:ind w:right="80"/>
        <w:spacing w:after="0" w:line="363" w:lineRule="auto"/>
        <w:rPr>
          <w:sz w:val="20"/>
          <w:szCs w:val="20"/>
          <w:color w:val="auto"/>
        </w:rPr>
      </w:pP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w:t>
      </w:r>
      <w:r>
        <w:rPr>
          <w:rFonts w:ascii="Arial" w:cs="Arial" w:eastAsia="Arial" w:hAnsi="Arial"/>
          <w:sz w:val="16"/>
          <w:szCs w:val="16"/>
          <w:u w:val="single" w:color="auto"/>
          <w:color w:val="auto"/>
        </w:rPr>
        <w:t>Exercisability of the Option</w:t>
      </w:r>
      <w:r>
        <w:rPr>
          <w:rFonts w:ascii="Arial" w:cs="Arial" w:eastAsia="Arial" w:hAnsi="Arial"/>
          <w:sz w:val="16"/>
          <w:szCs w:val="16"/>
          <w:color w:val="auto"/>
        </w:rPr>
        <w:t>. The Optionee shall not have the right to exercise the Option until the date the applicable portion of the Option</w:t>
      </w:r>
      <w:r>
        <w:rPr>
          <w:rFonts w:ascii="Arial" w:cs="Arial" w:eastAsia="Arial" w:hAnsi="Arial"/>
          <w:sz w:val="18"/>
          <w:szCs w:val="18"/>
          <w:color w:val="auto"/>
        </w:rPr>
        <w:t xml:space="preserve"> </w:t>
      </w:r>
      <w:r>
        <w:rPr>
          <w:rFonts w:ascii="Arial" w:cs="Arial" w:eastAsia="Arial" w:hAnsi="Arial"/>
          <w:sz w:val="16"/>
          <w:szCs w:val="16"/>
          <w:color w:val="auto"/>
        </w:rPr>
        <w:t>becomes vested pursuant to Section 2.1 or Section 2.2. The date that the applicable portion of the Option becomes exercisable is referred to herein as the “Exercise Commencement Date.” Subject to Section 14.1 of the Plan, following the Exercise Commencement Date, the applicable portion of the Option shall remain exercisable until it becomes unexercisable under Section 2.5. Once the Option becomes unexercisable, it shall be forfeited immediately.</w:t>
      </w:r>
    </w:p>
    <w:p>
      <w:pPr>
        <w:spacing w:after="0" w:line="332"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2.5</w:t>
      </w:r>
      <w:r>
        <w:rPr>
          <w:sz w:val="20"/>
          <w:szCs w:val="20"/>
          <w:color w:val="auto"/>
        </w:rPr>
        <w:tab/>
      </w:r>
      <w:r>
        <w:rPr>
          <w:rFonts w:ascii="Arial" w:cs="Arial" w:eastAsia="Arial" w:hAnsi="Arial"/>
          <w:sz w:val="17"/>
          <w:szCs w:val="17"/>
          <w:u w:val="single" w:color="auto"/>
          <w:color w:val="auto"/>
        </w:rPr>
        <w:t>Expiration of Option</w:t>
      </w:r>
      <w:r>
        <w:rPr>
          <w:rFonts w:ascii="Arial" w:cs="Arial" w:eastAsia="Arial" w:hAnsi="Arial"/>
          <w:sz w:val="17"/>
          <w:szCs w:val="17"/>
          <w:color w:val="auto"/>
        </w:rPr>
        <w:t>.</w:t>
      </w:r>
    </w:p>
    <w:p>
      <w:pPr>
        <w:spacing w:after="0" w:line="200" w:lineRule="exact"/>
        <w:rPr>
          <w:sz w:val="20"/>
          <w:szCs w:val="20"/>
          <w:color w:val="auto"/>
        </w:rPr>
      </w:pPr>
    </w:p>
    <w:p>
      <w:pPr>
        <w:spacing w:after="0" w:line="275" w:lineRule="exact"/>
        <w:rPr>
          <w:sz w:val="20"/>
          <w:szCs w:val="20"/>
          <w:color w:val="auto"/>
        </w:rPr>
      </w:pPr>
    </w:p>
    <w:p>
      <w:pPr>
        <w:ind w:left="1000" w:hanging="399"/>
        <w:spacing w:after="0"/>
        <w:tabs>
          <w:tab w:leader="none" w:pos="1000" w:val="left"/>
        </w:tabs>
        <w:numPr>
          <w:ilvl w:val="0"/>
          <w:numId w:val="91"/>
        </w:numPr>
        <w:rPr>
          <w:rFonts w:ascii="Arial" w:cs="Arial" w:eastAsia="Arial" w:hAnsi="Arial"/>
          <w:sz w:val="20"/>
          <w:szCs w:val="20"/>
          <w:color w:val="auto"/>
        </w:rPr>
      </w:pPr>
      <w:r>
        <w:rPr>
          <w:rFonts w:ascii="Arial" w:cs="Arial" w:eastAsia="Arial" w:hAnsi="Arial"/>
          <w:sz w:val="18"/>
          <w:szCs w:val="18"/>
          <w:color w:val="auto"/>
        </w:rPr>
        <w:t>The Option may not be exercised to any extent by anyone after the first to occur of the following events:</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560" w:hanging="358"/>
        <w:spacing w:after="0"/>
        <w:tabs>
          <w:tab w:leader="none" w:pos="1560" w:val="left"/>
        </w:tabs>
        <w:numPr>
          <w:ilvl w:val="1"/>
          <w:numId w:val="91"/>
        </w:numPr>
        <w:rPr>
          <w:rFonts w:ascii="Arial" w:cs="Arial" w:eastAsia="Arial" w:hAnsi="Arial"/>
          <w:sz w:val="20"/>
          <w:szCs w:val="20"/>
          <w:color w:val="auto"/>
        </w:rPr>
      </w:pPr>
      <w:r>
        <w:rPr>
          <w:rFonts w:ascii="Arial" w:cs="Arial" w:eastAsia="Arial" w:hAnsi="Arial"/>
          <w:sz w:val="18"/>
          <w:szCs w:val="18"/>
          <w:color w:val="auto"/>
        </w:rPr>
        <w:t>The Final Expiration Date;</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600" w:firstLine="602"/>
        <w:spacing w:after="0" w:line="322" w:lineRule="auto"/>
        <w:tabs>
          <w:tab w:leader="none" w:pos="1612" w:val="left"/>
        </w:tabs>
        <w:numPr>
          <w:ilvl w:val="1"/>
          <w:numId w:val="91"/>
        </w:numPr>
        <w:rPr>
          <w:rFonts w:ascii="Arial" w:cs="Arial" w:eastAsia="Arial" w:hAnsi="Arial"/>
          <w:sz w:val="20"/>
          <w:szCs w:val="20"/>
          <w:color w:val="auto"/>
        </w:rPr>
      </w:pPr>
      <w:r>
        <w:rPr>
          <w:rFonts w:ascii="Arial" w:cs="Arial" w:eastAsia="Arial" w:hAnsi="Arial"/>
          <w:sz w:val="18"/>
          <w:szCs w:val="18"/>
          <w:color w:val="auto"/>
        </w:rPr>
        <w:t>Except for such longer period of time as the Administrator may otherwise approve, in the event of a termination of the Optionee’s employment or service as a Service Provider for any reason other than Cause, death or Disability or in a Company Approved Departure, sixty (60) days following the date of the Optionee’s termination of employment or service as a Service Provider for any reason other than Cause, death, or Disability or in a Company Approved Departure;</w:t>
      </w:r>
    </w:p>
    <w:p>
      <w:pPr>
        <w:spacing w:after="0" w:line="372" w:lineRule="exact"/>
        <w:rPr>
          <w:rFonts w:ascii="Arial" w:cs="Arial" w:eastAsia="Arial" w:hAnsi="Arial"/>
          <w:sz w:val="20"/>
          <w:szCs w:val="20"/>
          <w:color w:val="auto"/>
        </w:rPr>
      </w:pPr>
    </w:p>
    <w:p>
      <w:pPr>
        <w:ind w:left="600" w:firstLine="602"/>
        <w:spacing w:after="0" w:line="337" w:lineRule="auto"/>
        <w:tabs>
          <w:tab w:leader="none" w:pos="1668" w:val="left"/>
        </w:tabs>
        <w:numPr>
          <w:ilvl w:val="1"/>
          <w:numId w:val="91"/>
        </w:numPr>
        <w:rPr>
          <w:rFonts w:ascii="Arial" w:cs="Arial" w:eastAsia="Arial" w:hAnsi="Arial"/>
          <w:sz w:val="20"/>
          <w:szCs w:val="20"/>
          <w:color w:val="auto"/>
        </w:rPr>
      </w:pPr>
      <w:r>
        <w:rPr>
          <w:rFonts w:ascii="Arial" w:cs="Arial" w:eastAsia="Arial" w:hAnsi="Arial"/>
          <w:sz w:val="18"/>
          <w:szCs w:val="18"/>
          <w:color w:val="auto"/>
        </w:rPr>
        <w:t>Except as the Administrator may otherwise approve, the date that the Company terminates the Optionee’s employment or service as a Service Provider for Cause;</w:t>
      </w:r>
    </w:p>
    <w:p>
      <w:pPr>
        <w:spacing w:after="0" w:line="350" w:lineRule="exact"/>
        <w:rPr>
          <w:rFonts w:ascii="Arial" w:cs="Arial" w:eastAsia="Arial" w:hAnsi="Arial"/>
          <w:sz w:val="20"/>
          <w:szCs w:val="20"/>
          <w:color w:val="auto"/>
        </w:rPr>
      </w:pPr>
    </w:p>
    <w:p>
      <w:pPr>
        <w:ind w:left="600" w:right="760" w:firstLine="602"/>
        <w:spacing w:after="0" w:line="337" w:lineRule="auto"/>
        <w:tabs>
          <w:tab w:leader="none" w:pos="1657" w:val="left"/>
        </w:tabs>
        <w:numPr>
          <w:ilvl w:val="1"/>
          <w:numId w:val="91"/>
        </w:numPr>
        <w:rPr>
          <w:rFonts w:ascii="Arial" w:cs="Arial" w:eastAsia="Arial" w:hAnsi="Arial"/>
          <w:sz w:val="20"/>
          <w:szCs w:val="20"/>
          <w:color w:val="auto"/>
        </w:rPr>
      </w:pPr>
      <w:r>
        <w:rPr>
          <w:rFonts w:ascii="Arial" w:cs="Arial" w:eastAsia="Arial" w:hAnsi="Arial"/>
          <w:sz w:val="18"/>
          <w:szCs w:val="18"/>
          <w:color w:val="auto"/>
        </w:rPr>
        <w:t>Except for such longer period of time as the Administrator may otherwise approve, the first anniversary of the Optionee’s termination of employment or service as a Service Provider by reason of the Optionee’s death;</w:t>
      </w:r>
    </w:p>
    <w:p>
      <w:pPr>
        <w:spacing w:after="0" w:line="350" w:lineRule="exact"/>
        <w:rPr>
          <w:rFonts w:ascii="Arial" w:cs="Arial" w:eastAsia="Arial" w:hAnsi="Arial"/>
          <w:sz w:val="20"/>
          <w:szCs w:val="20"/>
          <w:color w:val="auto"/>
        </w:rPr>
      </w:pPr>
    </w:p>
    <w:p>
      <w:pPr>
        <w:ind w:left="600" w:right="340" w:firstLine="602"/>
        <w:spacing w:after="0" w:line="323" w:lineRule="auto"/>
        <w:tabs>
          <w:tab w:leader="none" w:pos="1601" w:val="left"/>
        </w:tabs>
        <w:numPr>
          <w:ilvl w:val="1"/>
          <w:numId w:val="91"/>
        </w:numPr>
        <w:rPr>
          <w:rFonts w:ascii="Arial" w:cs="Arial" w:eastAsia="Arial" w:hAnsi="Arial"/>
          <w:sz w:val="20"/>
          <w:szCs w:val="20"/>
          <w:color w:val="auto"/>
        </w:rPr>
      </w:pPr>
      <w:r>
        <w:rPr>
          <w:rFonts w:ascii="Arial" w:cs="Arial" w:eastAsia="Arial" w:hAnsi="Arial"/>
          <w:sz w:val="18"/>
          <w:szCs w:val="18"/>
          <w:color w:val="auto"/>
        </w:rPr>
        <w:t>Except for such longer period of time as the Administrator may otherwise approve, in the event of the Optionee’s termination of employment or service as a Service Provider by reason of the Optionee’s Disability, the first anniversary of the later of (</w:t>
      </w:r>
      <w:r>
        <w:rPr>
          <w:rFonts w:ascii="Arial" w:cs="Arial" w:eastAsia="Arial" w:hAnsi="Arial"/>
          <w:sz w:val="18"/>
          <w:szCs w:val="18"/>
          <w:u w:val="single" w:color="auto"/>
          <w:color w:val="auto"/>
        </w:rPr>
        <w:t>A</w:t>
      </w:r>
      <w:r>
        <w:rPr>
          <w:rFonts w:ascii="Arial" w:cs="Arial" w:eastAsia="Arial" w:hAnsi="Arial"/>
          <w:sz w:val="18"/>
          <w:szCs w:val="18"/>
          <w:color w:val="auto"/>
        </w:rPr>
        <w:t>) the Optionee’s termination of employment or service or (</w:t>
      </w:r>
      <w:r>
        <w:rPr>
          <w:rFonts w:ascii="Arial" w:cs="Arial" w:eastAsia="Arial" w:hAnsi="Arial"/>
          <w:sz w:val="18"/>
          <w:szCs w:val="18"/>
          <w:u w:val="single" w:color="auto"/>
          <w:color w:val="auto"/>
        </w:rPr>
        <w:t>B</w:t>
      </w:r>
      <w:r>
        <w:rPr>
          <w:rFonts w:ascii="Arial" w:cs="Arial" w:eastAsia="Arial" w:hAnsi="Arial"/>
          <w:sz w:val="18"/>
          <w:szCs w:val="18"/>
          <w:color w:val="auto"/>
        </w:rPr>
        <w:t>) the date of vesting of the applicable Option;</w:t>
      </w:r>
    </w:p>
    <w:p>
      <w:pPr>
        <w:spacing w:after="0" w:line="372" w:lineRule="exact"/>
        <w:rPr>
          <w:rFonts w:ascii="Arial" w:cs="Arial" w:eastAsia="Arial" w:hAnsi="Arial"/>
          <w:sz w:val="20"/>
          <w:szCs w:val="20"/>
          <w:color w:val="auto"/>
        </w:rPr>
      </w:pPr>
    </w:p>
    <w:p>
      <w:pPr>
        <w:ind w:left="600" w:right="280" w:firstLine="602"/>
        <w:spacing w:after="0" w:line="292" w:lineRule="auto"/>
        <w:tabs>
          <w:tab w:leader="none" w:pos="1657" w:val="left"/>
        </w:tabs>
        <w:numPr>
          <w:ilvl w:val="1"/>
          <w:numId w:val="91"/>
        </w:numPr>
        <w:rPr>
          <w:rFonts w:ascii="Arial" w:cs="Arial" w:eastAsia="Arial" w:hAnsi="Arial"/>
          <w:sz w:val="20"/>
          <w:szCs w:val="20"/>
          <w:color w:val="auto"/>
        </w:rPr>
      </w:pPr>
      <w:r>
        <w:rPr>
          <w:rFonts w:ascii="Arial" w:cs="Arial" w:eastAsia="Arial" w:hAnsi="Arial"/>
          <w:sz w:val="18"/>
          <w:szCs w:val="18"/>
          <w:color w:val="auto"/>
        </w:rPr>
        <w:t>Except for such longer period of time as the Administrator may otherwise approve, in the event of the Optionee’s termination of employment or service as a Service Provider by reason of a Company Approved Departure,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later of (</w:t>
      </w:r>
      <w:r>
        <w:rPr>
          <w:rFonts w:ascii="Arial" w:cs="Arial" w:eastAsia="Arial" w:hAnsi="Arial"/>
          <w:sz w:val="18"/>
          <w:szCs w:val="18"/>
          <w:u w:val="single" w:color="auto"/>
          <w:color w:val="auto"/>
        </w:rPr>
        <w:t>A</w:t>
      </w:r>
      <w:r>
        <w:rPr>
          <w:rFonts w:ascii="Arial" w:cs="Arial" w:eastAsia="Arial" w:hAnsi="Arial"/>
          <w:sz w:val="18"/>
          <w:szCs w:val="18"/>
          <w:color w:val="auto"/>
        </w:rPr>
        <w:t>) the Optionee’s termination of employment or service or (</w:t>
      </w:r>
      <w:r>
        <w:rPr>
          <w:rFonts w:ascii="Arial" w:cs="Arial" w:eastAsia="Arial" w:hAnsi="Arial"/>
          <w:sz w:val="18"/>
          <w:szCs w:val="18"/>
          <w:u w:val="single" w:color="auto"/>
          <w:color w:val="auto"/>
        </w:rPr>
        <w:t>B</w:t>
      </w:r>
      <w:r>
        <w:rPr>
          <w:rFonts w:ascii="Arial" w:cs="Arial" w:eastAsia="Arial" w:hAnsi="Arial"/>
          <w:sz w:val="18"/>
          <w:szCs w:val="18"/>
          <w:color w:val="auto"/>
        </w:rPr>
        <w:t>) the date of vesting of the applicable Option; or</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1012" w:right="319" w:bottom="1440" w:gutter="0" w:footer="0" w:header="0"/>
        </w:sectPr>
      </w:pPr>
    </w:p>
    <w:bookmarkStart w:id="129" w:name="page130"/>
    <w:bookmarkEnd w:id="129"/>
    <w:p>
      <w:pPr>
        <w:ind w:left="1720" w:hanging="518"/>
        <w:spacing w:after="0"/>
        <w:tabs>
          <w:tab w:leader="none" w:pos="1720" w:val="left"/>
        </w:tabs>
        <w:numPr>
          <w:ilvl w:val="1"/>
          <w:numId w:val="92"/>
        </w:numPr>
        <w:rPr>
          <w:rFonts w:ascii="Arial" w:cs="Arial" w:eastAsia="Arial" w:hAnsi="Arial"/>
          <w:sz w:val="20"/>
          <w:szCs w:val="20"/>
          <w:color w:val="auto"/>
        </w:rPr>
      </w:pPr>
      <w:r>
        <w:rPr>
          <w:rFonts w:ascii="Arial" w:cs="Arial" w:eastAsia="Arial" w:hAnsi="Arial"/>
          <w:sz w:val="18"/>
          <w:szCs w:val="18"/>
          <w:color w:val="auto"/>
        </w:rPr>
        <w:t>Upon forfeiture of an Option as provided in Section 11.4 of the Plan.</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right="20" w:firstLine="601"/>
        <w:spacing w:after="0" w:line="340" w:lineRule="auto"/>
        <w:tabs>
          <w:tab w:leader="none" w:pos="1001" w:val="left"/>
        </w:tabs>
        <w:numPr>
          <w:ilvl w:val="0"/>
          <w:numId w:val="93"/>
        </w:numPr>
        <w:rPr>
          <w:rFonts w:ascii="Arial" w:cs="Arial" w:eastAsia="Arial" w:hAnsi="Arial"/>
          <w:sz w:val="19"/>
          <w:szCs w:val="19"/>
          <w:color w:val="auto"/>
        </w:rPr>
      </w:pPr>
      <w:r>
        <w:rPr>
          <w:rFonts w:ascii="Arial" w:cs="Arial" w:eastAsia="Arial" w:hAnsi="Arial"/>
          <w:sz w:val="17"/>
          <w:szCs w:val="17"/>
          <w:color w:val="auto"/>
        </w:rPr>
        <w:t>For the purposes of the Plan and this Agreement, the date of the Optionee’s termination of service as a Service Provider shall be the last day that the Optionee provided service as a Service Provider, as determined by the Administrator, whether such day is selected by agreement with the Optionee or unilaterally by the Company or its Subsidiaries and whether with or without advance notice. For the avoidance of doubt, except as expressly provided in Section 2.2, no period of notice that is given or that ought to have been given to the Optionee under applicable law in respect of such termination of service as a Service Provider will be utilized in determining entitlement under the Plan or this Agreement. Any action by the Company or its Subsidiaries taken in accordance with the terms of the Plan and this Agreement as set out aforesaid shall be deemed to fully and completely satisfy any liability or obligation of the Company or its Subsidiaries to the Optionee in respect of the Plan or this Agreement arising from or in connection with the Optionee’s termination of service as a Service Provider, including in respect of any period of notice given or that ought to have been given under applicable law in respect of such termination of service as a Service Provider.</w:t>
      </w:r>
    </w:p>
    <w:p>
      <w:pPr>
        <w:spacing w:after="0" w:line="350" w:lineRule="exact"/>
        <w:rPr>
          <w:sz w:val="20"/>
          <w:szCs w:val="20"/>
          <w:color w:val="auto"/>
        </w:rPr>
      </w:pPr>
    </w:p>
    <w:p>
      <w:pPr>
        <w:ind w:right="80"/>
        <w:spacing w:after="0" w:line="321" w:lineRule="auto"/>
        <w:rPr>
          <w:sz w:val="20"/>
          <w:szCs w:val="20"/>
          <w:color w:val="auto"/>
        </w:rPr>
      </w:pP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w:t>
      </w:r>
      <w:r>
        <w:rPr>
          <w:rFonts w:ascii="Arial" w:cs="Arial" w:eastAsia="Arial" w:hAnsi="Arial"/>
          <w:sz w:val="18"/>
          <w:szCs w:val="18"/>
          <w:u w:val="single" w:color="auto"/>
          <w:color w:val="auto"/>
        </w:rPr>
        <w:t>Partial Exercise</w:t>
      </w:r>
      <w:r>
        <w:rPr>
          <w:rFonts w:ascii="Arial" w:cs="Arial" w:eastAsia="Arial" w:hAnsi="Arial"/>
          <w:sz w:val="18"/>
          <w:szCs w:val="18"/>
          <w:color w:val="auto"/>
        </w:rPr>
        <w:t>. Any exercisable portion of the Option or the entire Option, if then wholly exercisable, may be exercised in whole or in part</w:t>
      </w:r>
      <w:r>
        <w:rPr>
          <w:rFonts w:ascii="Arial" w:cs="Arial" w:eastAsia="Arial" w:hAnsi="Arial"/>
          <w:sz w:val="20"/>
          <w:szCs w:val="20"/>
          <w:color w:val="auto"/>
        </w:rPr>
        <w:t xml:space="preserve"> </w:t>
      </w:r>
      <w:r>
        <w:rPr>
          <w:rFonts w:ascii="Arial" w:cs="Arial" w:eastAsia="Arial" w:hAnsi="Arial"/>
          <w:sz w:val="18"/>
          <w:szCs w:val="18"/>
          <w:color w:val="auto"/>
        </w:rPr>
        <w:t>at any time prior to the time when the Option or portion thereof becomes unexercisable.</w:t>
      </w:r>
    </w:p>
    <w:p>
      <w:pPr>
        <w:spacing w:after="0" w:line="349" w:lineRule="exact"/>
        <w:rPr>
          <w:sz w:val="20"/>
          <w:szCs w:val="20"/>
          <w:color w:val="auto"/>
        </w:rPr>
      </w:pPr>
    </w:p>
    <w:p>
      <w:pPr>
        <w:ind w:right="560"/>
        <w:spacing w:after="0" w:line="321" w:lineRule="auto"/>
        <w:rPr>
          <w:sz w:val="20"/>
          <w:szCs w:val="20"/>
          <w:color w:val="auto"/>
        </w:rPr>
      </w:pP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w:t>
      </w:r>
      <w:r>
        <w:rPr>
          <w:rFonts w:ascii="Arial" w:cs="Arial" w:eastAsia="Arial" w:hAnsi="Arial"/>
          <w:sz w:val="18"/>
          <w:szCs w:val="18"/>
          <w:u w:val="single" w:color="auto"/>
          <w:color w:val="auto"/>
        </w:rPr>
        <w:t>Exercise of Option</w:t>
      </w:r>
      <w:r>
        <w:rPr>
          <w:rFonts w:ascii="Arial" w:cs="Arial" w:eastAsia="Arial" w:hAnsi="Arial"/>
          <w:sz w:val="18"/>
          <w:szCs w:val="18"/>
          <w:color w:val="auto"/>
        </w:rPr>
        <w:t>. The exercise of the Option shall be governed by the terms of this Agreement and the terms of the Plan, including,</w:t>
      </w:r>
      <w:r>
        <w:rPr>
          <w:rFonts w:ascii="Arial" w:cs="Arial" w:eastAsia="Arial" w:hAnsi="Arial"/>
          <w:sz w:val="20"/>
          <w:szCs w:val="20"/>
          <w:color w:val="auto"/>
        </w:rPr>
        <w:t xml:space="preserve"> </w:t>
      </w:r>
      <w:r>
        <w:rPr>
          <w:rFonts w:ascii="Arial" w:cs="Arial" w:eastAsia="Arial" w:hAnsi="Arial"/>
          <w:sz w:val="18"/>
          <w:szCs w:val="18"/>
          <w:color w:val="auto"/>
        </w:rPr>
        <w:t>without limitation, the provisions of Article V of the Plan.</w:t>
      </w:r>
    </w:p>
    <w:p>
      <w:pPr>
        <w:spacing w:after="0" w:line="349"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2.8</w:t>
      </w:r>
      <w:r>
        <w:rPr>
          <w:sz w:val="20"/>
          <w:szCs w:val="20"/>
          <w:color w:val="auto"/>
        </w:rPr>
        <w:tab/>
      </w:r>
      <w:r>
        <w:rPr>
          <w:rFonts w:ascii="Arial" w:cs="Arial" w:eastAsia="Arial" w:hAnsi="Arial"/>
          <w:sz w:val="17"/>
          <w:szCs w:val="17"/>
          <w:u w:val="single" w:color="auto"/>
          <w:color w:val="auto"/>
        </w:rPr>
        <w:t>Manner of Exercise; Tax Withholding</w:t>
      </w:r>
      <w:r>
        <w:rPr>
          <w:rFonts w:ascii="Arial" w:cs="Arial" w:eastAsia="Arial" w:hAnsi="Arial"/>
          <w:sz w:val="17"/>
          <w:szCs w:val="17"/>
          <w:color w:val="auto"/>
        </w:rPr>
        <w:t>.</w:t>
      </w:r>
    </w:p>
    <w:p>
      <w:pPr>
        <w:spacing w:after="0" w:line="200" w:lineRule="exact"/>
        <w:rPr>
          <w:sz w:val="20"/>
          <w:szCs w:val="20"/>
          <w:color w:val="auto"/>
        </w:rPr>
      </w:pPr>
    </w:p>
    <w:p>
      <w:pPr>
        <w:spacing w:after="0" w:line="275" w:lineRule="exact"/>
        <w:rPr>
          <w:sz w:val="20"/>
          <w:szCs w:val="20"/>
          <w:color w:val="auto"/>
        </w:rPr>
      </w:pPr>
    </w:p>
    <w:p>
      <w:pPr>
        <w:ind w:firstLine="601"/>
        <w:spacing w:after="0" w:line="322" w:lineRule="auto"/>
        <w:tabs>
          <w:tab w:leader="none" w:pos="990" w:val="left"/>
        </w:tabs>
        <w:numPr>
          <w:ilvl w:val="0"/>
          <w:numId w:val="94"/>
        </w:numPr>
        <w:rPr>
          <w:rFonts w:ascii="Arial" w:cs="Arial" w:eastAsia="Arial" w:hAnsi="Arial"/>
          <w:sz w:val="20"/>
          <w:szCs w:val="20"/>
          <w:color w:val="auto"/>
        </w:rPr>
      </w:pPr>
      <w:r>
        <w:rPr>
          <w:rFonts w:ascii="Arial" w:cs="Arial" w:eastAsia="Arial" w:hAnsi="Arial"/>
          <w:sz w:val="18"/>
          <w:szCs w:val="18"/>
          <w:color w:val="auto"/>
        </w:rPr>
        <w:t>As a condition to the exercise of the Option, the Optionee shall (</w:t>
      </w:r>
      <w:r>
        <w:rPr>
          <w:rFonts w:ascii="Arial" w:cs="Arial" w:eastAsia="Arial" w:hAnsi="Arial"/>
          <w:sz w:val="18"/>
          <w:szCs w:val="18"/>
          <w:u w:val="single" w:color="auto"/>
          <w:color w:val="auto"/>
        </w:rPr>
        <w:t>i</w:t>
      </w:r>
      <w:r>
        <w:rPr>
          <w:rFonts w:ascii="Arial" w:cs="Arial" w:eastAsia="Arial" w:hAnsi="Arial"/>
          <w:sz w:val="18"/>
          <w:szCs w:val="18"/>
          <w:color w:val="auto"/>
        </w:rPr>
        <w:t>) notify the Company at least three (3) days prior to exercise and no earlier than ninety (90) days prior to exercise that the Optionee intends to exercise and (</w:t>
      </w:r>
      <w:r>
        <w:rPr>
          <w:rFonts w:ascii="Arial" w:cs="Arial" w:eastAsia="Arial" w:hAnsi="Arial"/>
          <w:sz w:val="18"/>
          <w:szCs w:val="18"/>
          <w:u w:val="single" w:color="auto"/>
          <w:color w:val="auto"/>
        </w:rPr>
        <w:t>ii</w:t>
      </w:r>
      <w:r>
        <w:rPr>
          <w:rFonts w:ascii="Arial" w:cs="Arial" w:eastAsia="Arial" w:hAnsi="Arial"/>
          <w:sz w:val="18"/>
          <w:szCs w:val="18"/>
          <w:color w:val="auto"/>
        </w:rPr>
        <w:t>) provide the Company with payment of the Exercise Price of the Option, together with any Withholding Tax payment required by Section 3.8 below, which shall be payable to the Company in full as set forth in Section 2.8(b) or Section 2.8(c) below, as applicable.</w:t>
      </w:r>
    </w:p>
    <w:p>
      <w:pPr>
        <w:spacing w:after="0" w:line="372" w:lineRule="exact"/>
        <w:rPr>
          <w:rFonts w:ascii="Arial" w:cs="Arial" w:eastAsia="Arial" w:hAnsi="Arial"/>
          <w:sz w:val="20"/>
          <w:szCs w:val="20"/>
          <w:color w:val="auto"/>
        </w:rPr>
      </w:pPr>
    </w:p>
    <w:p>
      <w:pPr>
        <w:ind w:right="160" w:firstLine="601"/>
        <w:spacing w:after="0" w:line="341" w:lineRule="auto"/>
        <w:tabs>
          <w:tab w:leader="none" w:pos="1001" w:val="left"/>
        </w:tabs>
        <w:numPr>
          <w:ilvl w:val="0"/>
          <w:numId w:val="94"/>
        </w:numPr>
        <w:rPr>
          <w:rFonts w:ascii="Arial" w:cs="Arial" w:eastAsia="Arial" w:hAnsi="Arial"/>
          <w:sz w:val="19"/>
          <w:szCs w:val="19"/>
          <w:color w:val="auto"/>
        </w:rPr>
      </w:pPr>
      <w:r>
        <w:rPr>
          <w:rFonts w:ascii="Arial" w:cs="Arial" w:eastAsia="Arial" w:hAnsi="Arial"/>
          <w:sz w:val="17"/>
          <w:szCs w:val="17"/>
          <w:color w:val="auto"/>
        </w:rPr>
        <w:t>To the extent permitted by law or the applicable listing rules, if any, the Optionee may pay for the Shares with respect to which such Option or portion of such Option is exercised through (</w:t>
      </w:r>
      <w:r>
        <w:rPr>
          <w:rFonts w:ascii="Arial" w:cs="Arial" w:eastAsia="Arial" w:hAnsi="Arial"/>
          <w:sz w:val="17"/>
          <w:szCs w:val="17"/>
          <w:u w:val="single" w:color="auto"/>
          <w:color w:val="auto"/>
        </w:rPr>
        <w:t>i</w:t>
      </w:r>
      <w:r>
        <w:rPr>
          <w:rFonts w:ascii="Arial" w:cs="Arial" w:eastAsia="Arial" w:hAnsi="Arial"/>
          <w:sz w:val="17"/>
          <w:szCs w:val="17"/>
          <w:color w:val="auto"/>
        </w:rPr>
        <w:t>) payment in cash; (</w:t>
      </w:r>
      <w:r>
        <w:rPr>
          <w:rFonts w:ascii="Arial" w:cs="Arial" w:eastAsia="Arial" w:hAnsi="Arial"/>
          <w:sz w:val="17"/>
          <w:szCs w:val="17"/>
          <w:u w:val="single" w:color="auto"/>
          <w:color w:val="auto"/>
        </w:rPr>
        <w:t>ii</w:t>
      </w:r>
      <w:r>
        <w:rPr>
          <w:rFonts w:ascii="Arial" w:cs="Arial" w:eastAsia="Arial" w:hAnsi="Arial"/>
          <w:sz w:val="17"/>
          <w:szCs w:val="17"/>
          <w:color w:val="auto"/>
        </w:rPr>
        <w:t>) with the consent of the Administrator, the delivery of Shares which are owned by the Optionee, duly endorsed for transfer to the Company with a Fair Market Value on the date of delivery equal to the aggregate Exercise Price of the exercised portion of the Option; (</w:t>
      </w:r>
      <w:r>
        <w:rPr>
          <w:rFonts w:ascii="Arial" w:cs="Arial" w:eastAsia="Arial" w:hAnsi="Arial"/>
          <w:sz w:val="17"/>
          <w:szCs w:val="17"/>
          <w:u w:val="single" w:color="auto"/>
          <w:color w:val="auto"/>
        </w:rPr>
        <w:t>iii</w:t>
      </w:r>
      <w:r>
        <w:rPr>
          <w:rFonts w:ascii="Arial" w:cs="Arial" w:eastAsia="Arial" w:hAnsi="Arial"/>
          <w:sz w:val="17"/>
          <w:szCs w:val="17"/>
          <w:color w:val="auto"/>
        </w:rPr>
        <w:t>) with the consent of the Administrator, through the surrender of Shares then issuable upon exercise of the Option having a Fair Market Value on the date of the exercise of the Option equal to the aggregate Exercise Price of the exercised portion of the Option;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Exercise Price; </w:t>
      </w:r>
      <w:r>
        <w:rPr>
          <w:rFonts w:ascii="Arial" w:cs="Arial" w:eastAsia="Arial" w:hAnsi="Arial"/>
          <w:sz w:val="17"/>
          <w:szCs w:val="17"/>
          <w:i w:val="1"/>
          <w:iCs w:val="1"/>
          <w:color w:val="auto"/>
        </w:rPr>
        <w:t>provided</w:t>
      </w:r>
      <w:r>
        <w:rPr>
          <w:rFonts w:ascii="Arial" w:cs="Arial" w:eastAsia="Arial" w:hAnsi="Arial"/>
          <w:sz w:val="17"/>
          <w:szCs w:val="17"/>
          <w:color w:val="auto"/>
        </w:rPr>
        <w:t>, that payment of such</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24" w:right="239" w:bottom="1440" w:gutter="0" w:footer="0" w:header="0"/>
        </w:sectPr>
      </w:pPr>
    </w:p>
    <w:bookmarkStart w:id="130" w:name="page131"/>
    <w:bookmarkEnd w:id="130"/>
    <w:p>
      <w:pPr>
        <w:ind w:right="100"/>
        <w:spacing w:after="0" w:line="391" w:lineRule="auto"/>
        <w:rPr>
          <w:sz w:val="20"/>
          <w:szCs w:val="20"/>
          <w:color w:val="auto"/>
        </w:rPr>
      </w:pPr>
      <w:r>
        <w:rPr>
          <w:rFonts w:ascii="Arial" w:cs="Arial" w:eastAsia="Arial" w:hAnsi="Arial"/>
          <w:sz w:val="16"/>
          <w:szCs w:val="16"/>
          <w:color w:val="auto"/>
        </w:rPr>
        <w:t>proceeds is then made to the Company upon settlement of such sale. Notwithstanding the foregoing, the consent of the Administrator shall not be required with respect to clauses (iii) and (iv) of this Section 2.8(b) if the Optionee exercises such Option on or after the date of the Optionee’s Retirement.</w:t>
      </w:r>
    </w:p>
    <w:p>
      <w:pPr>
        <w:spacing w:after="0" w:line="314" w:lineRule="exact"/>
        <w:rPr>
          <w:sz w:val="20"/>
          <w:szCs w:val="20"/>
          <w:color w:val="auto"/>
        </w:rPr>
      </w:pPr>
    </w:p>
    <w:p>
      <w:pPr>
        <w:ind w:right="100" w:firstLine="601"/>
        <w:spacing w:after="0" w:line="320" w:lineRule="auto"/>
        <w:tabs>
          <w:tab w:leader="none" w:pos="990" w:val="left"/>
        </w:tabs>
        <w:numPr>
          <w:ilvl w:val="0"/>
          <w:numId w:val="95"/>
        </w:numPr>
        <w:rPr>
          <w:rFonts w:ascii="Arial" w:cs="Arial" w:eastAsia="Arial" w:hAnsi="Arial"/>
          <w:sz w:val="20"/>
          <w:szCs w:val="20"/>
          <w:color w:val="auto"/>
        </w:rPr>
      </w:pPr>
      <w:r>
        <w:rPr>
          <w:rFonts w:ascii="Arial" w:cs="Arial" w:eastAsia="Arial" w:hAnsi="Arial"/>
          <w:sz w:val="18"/>
          <w:szCs w:val="18"/>
          <w:color w:val="auto"/>
        </w:rPr>
        <w:t>As a condition to exercise, the Optionee must make appropriate arrangements for the payment to the Company (or its Subsidiary, as applicable) in cash or by delivery of a certified or bank cashier check, or by any other means of payment approved by the Administrator, of the amount which the Company (or its Subsidiary, as applicable) is required to withhold under applicable law in connection with the exercise of the Option. With the consent of the Administrator and subject to any applicable legal conditions or restrictions, the Company shall, upon the Optionee’s request, withhold from the Shares issuable to the Optionee upon the exercise of the Option (or any portion thereof) a number of whole Shares having a Fair Market Value, determined as of the date of exercise, not in excess of the minimum of tax required to be withheld by law (or such lower amount as may be necessary to avoid liability award accounting). Any adverse consequences to the Optionee arising in connection with the Share withholding procedure set forth in the preceding sentence shall be the sole responsibility of the Optionee.</w:t>
      </w:r>
    </w:p>
    <w:p>
      <w:pPr>
        <w:spacing w:after="0" w:line="361" w:lineRule="exact"/>
        <w:rPr>
          <w:sz w:val="20"/>
          <w:szCs w:val="20"/>
          <w:color w:val="auto"/>
        </w:rPr>
      </w:pPr>
    </w:p>
    <w:p>
      <w:pPr>
        <w:spacing w:after="0" w:line="318" w:lineRule="auto"/>
        <w:rPr>
          <w:sz w:val="20"/>
          <w:szCs w:val="20"/>
          <w:color w:val="auto"/>
        </w:rPr>
      </w:pP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w:t>
      </w:r>
      <w:r>
        <w:rPr>
          <w:rFonts w:ascii="Arial" w:cs="Arial" w:eastAsia="Arial" w:hAnsi="Arial"/>
          <w:sz w:val="18"/>
          <w:szCs w:val="18"/>
          <w:u w:val="single" w:color="auto"/>
          <w:color w:val="auto"/>
        </w:rPr>
        <w:t>Change in Control</w:t>
      </w:r>
      <w:r>
        <w:rPr>
          <w:rFonts w:ascii="Arial" w:cs="Arial" w:eastAsia="Arial" w:hAnsi="Arial"/>
          <w:sz w:val="18"/>
          <w:szCs w:val="18"/>
          <w:color w:val="auto"/>
        </w:rPr>
        <w:t>. Upon the occurrence of a Change in Control, the Options shall vest, forfeit or continue as set forth in Article XIII of the</w:t>
      </w:r>
      <w:r>
        <w:rPr>
          <w:rFonts w:ascii="Arial" w:cs="Arial" w:eastAsia="Arial" w:hAnsi="Arial"/>
          <w:sz w:val="20"/>
          <w:szCs w:val="20"/>
          <w:color w:val="auto"/>
        </w:rPr>
        <w:t xml:space="preserve"> </w:t>
      </w:r>
      <w:r>
        <w:rPr>
          <w:rFonts w:ascii="Arial" w:cs="Arial" w:eastAsia="Arial" w:hAnsi="Arial"/>
          <w:sz w:val="18"/>
          <w:szCs w:val="18"/>
          <w:color w:val="auto"/>
        </w:rPr>
        <w:t>Plan. At the discretion of the Administrator (as constituted immediately prior to the Change in Control), any or all vested Options may be canceled in exchange for an amount equal to the product of (</w:t>
      </w:r>
      <w:r>
        <w:rPr>
          <w:rFonts w:ascii="Arial" w:cs="Arial" w:eastAsia="Arial" w:hAnsi="Arial"/>
          <w:sz w:val="18"/>
          <w:szCs w:val="18"/>
          <w:u w:val="single" w:color="auto"/>
          <w:color w:val="auto"/>
        </w:rPr>
        <w:t>A</w:t>
      </w:r>
      <w:r>
        <w:rPr>
          <w:rFonts w:ascii="Arial" w:cs="Arial" w:eastAsia="Arial" w:hAnsi="Arial"/>
          <w:sz w:val="18"/>
          <w:szCs w:val="18"/>
          <w:color w:val="auto"/>
        </w:rPr>
        <w:t>) the excess, if any, of the Fair Market Value of the Shares upon the Change in Control over the exercise price for such vested Options, multiplied by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aggregate number of shares of Company Common Stock covered by such vested Options. Payment of any amounts calculated in accordance with this Section 2.9 shall be made in cash or, if determined by the Administrator (as constituted immediately prior to the Change in Control), in shares of common stock of the new employer having an aggregate fair market value equal to such amount or in such securities or other property as are paid to the stockholders of the Company in connection with the Change of Control and shall be payable in full, as soon as reasonably practicable, but in no event later than 30 days, following the Change in Control or such later date as such consideration is paid to the stockholders of the Company generally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payments shall in all events be payable to the stockholders generally within five years after the Change in Control.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200" w:lineRule="exact"/>
        <w:rPr>
          <w:sz w:val="20"/>
          <w:szCs w:val="20"/>
          <w:color w:val="auto"/>
        </w:rPr>
      </w:pPr>
    </w:p>
    <w:p>
      <w:pPr>
        <w:spacing w:after="0" w:line="256" w:lineRule="exact"/>
        <w:rPr>
          <w:sz w:val="20"/>
          <w:szCs w:val="20"/>
          <w:color w:val="auto"/>
        </w:rPr>
      </w:pPr>
    </w:p>
    <w:p>
      <w:pPr>
        <w:ind w:right="60"/>
        <w:spacing w:after="0" w:line="361" w:lineRule="auto"/>
        <w:rPr>
          <w:sz w:val="20"/>
          <w:szCs w:val="20"/>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6"/>
          <w:szCs w:val="16"/>
          <w:u w:val="single" w:color="auto"/>
          <w:color w:val="auto"/>
        </w:rPr>
        <w:t>Optionee Representation; Not a Contract of Employment or Service</w:t>
      </w:r>
      <w:r>
        <w:rPr>
          <w:rFonts w:ascii="Arial" w:cs="Arial" w:eastAsia="Arial" w:hAnsi="Arial"/>
          <w:sz w:val="16"/>
          <w:szCs w:val="16"/>
          <w:color w:val="auto"/>
        </w:rPr>
        <w:t>. The Optionee hereby represents that the Optionee’s execution of this</w:t>
      </w:r>
      <w:r>
        <w:rPr>
          <w:rFonts w:ascii="Arial" w:cs="Arial" w:eastAsia="Arial" w:hAnsi="Arial"/>
          <w:sz w:val="18"/>
          <w:szCs w:val="18"/>
          <w:color w:val="auto"/>
        </w:rPr>
        <w:t xml:space="preserve"> </w:t>
      </w:r>
      <w:r>
        <w:rPr>
          <w:rFonts w:ascii="Arial" w:cs="Arial" w:eastAsia="Arial" w:hAnsi="Arial"/>
          <w:sz w:val="16"/>
          <w:szCs w:val="16"/>
          <w:color w:val="auto"/>
        </w:rPr>
        <w:t>Agreement and participation in the Plan is voluntary and that the Optionee has in no way been induced to enter into this Agreement in exchange for or as a requirement of the expectation of employment or service with the Company or any of its Subsidiaries. Nothing in this Agreement or in the Plan shall confer upon the Optionee any right to continue as a Service Provider, or shall interfere with or restrict in any way the rights of the Company or its Subsidiaries, which are hereby expressly reserved, to discharge the Optionee at any time for any reason whatsoever, with or without Cause, except to the extent expressly provided otherwise in a written employment or other agreement between the Optionee and the Company or any of its Subsidiaries.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11" w:right="239" w:bottom="1440" w:gutter="0" w:footer="0" w:header="0"/>
        </w:sectPr>
      </w:pPr>
    </w:p>
    <w:bookmarkStart w:id="131" w:name="page132"/>
    <w:bookmarkEnd w:id="131"/>
    <w:p>
      <w:pPr>
        <w:ind w:right="180"/>
        <w:spacing w:after="0" w:line="320" w:lineRule="auto"/>
        <w:rPr>
          <w:sz w:val="20"/>
          <w:szCs w:val="20"/>
          <w:color w:val="auto"/>
        </w:rPr>
      </w:pP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w:t>
      </w:r>
      <w:r>
        <w:rPr>
          <w:rFonts w:ascii="Arial" w:cs="Arial" w:eastAsia="Arial" w:hAnsi="Arial"/>
          <w:sz w:val="18"/>
          <w:szCs w:val="18"/>
          <w:u w:val="single" w:color="auto"/>
          <w:color w:val="auto"/>
        </w:rPr>
        <w:t>Shares Subject to Plan; Restrictions on the Transfer of Option and Company Common Stock</w:t>
      </w:r>
      <w:r>
        <w:rPr>
          <w:rFonts w:ascii="Arial" w:cs="Arial" w:eastAsia="Arial" w:hAnsi="Arial"/>
          <w:sz w:val="18"/>
          <w:szCs w:val="18"/>
          <w:color w:val="auto"/>
        </w:rPr>
        <w:t>. The Optionee acknowledges that this Option</w:t>
      </w:r>
      <w:r>
        <w:rPr>
          <w:rFonts w:ascii="Arial" w:cs="Arial" w:eastAsia="Arial" w:hAnsi="Arial"/>
          <w:sz w:val="20"/>
          <w:szCs w:val="20"/>
          <w:color w:val="auto"/>
        </w:rPr>
        <w:t xml:space="preserve"> </w:t>
      </w:r>
      <w:r>
        <w:rPr>
          <w:rFonts w:ascii="Arial" w:cs="Arial" w:eastAsia="Arial" w:hAnsi="Arial"/>
          <w:sz w:val="18"/>
          <w:szCs w:val="18"/>
          <w:color w:val="auto"/>
        </w:rPr>
        <w:t>and any Shares acquired upon exercise of the Option are subject to the terms of the Plan, including, without limitation, the restrictions set forth in Sections 5.7 and 5.8 of the Plan.</w:t>
      </w:r>
    </w:p>
    <w:p>
      <w:pPr>
        <w:spacing w:after="0" w:line="350" w:lineRule="exact"/>
        <w:rPr>
          <w:sz w:val="20"/>
          <w:szCs w:val="20"/>
          <w:color w:val="auto"/>
        </w:rPr>
      </w:pPr>
    </w:p>
    <w:p>
      <w:pPr>
        <w:ind w:right="100"/>
        <w:spacing w:after="0" w:line="338" w:lineRule="auto"/>
        <w:rPr>
          <w:sz w:val="20"/>
          <w:szCs w:val="20"/>
          <w:color w:val="auto"/>
        </w:rPr>
      </w:pP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w:t>
      </w:r>
      <w:r>
        <w:rPr>
          <w:rFonts w:ascii="Arial" w:cs="Arial" w:eastAsia="Arial" w:hAnsi="Arial"/>
          <w:sz w:val="17"/>
          <w:szCs w:val="17"/>
          <w:u w:val="single" w:color="auto"/>
          <w:color w:val="auto"/>
        </w:rPr>
        <w:t>Registration of Shares</w:t>
      </w:r>
      <w:r>
        <w:rPr>
          <w:rFonts w:ascii="Arial" w:cs="Arial" w:eastAsia="Arial" w:hAnsi="Arial"/>
          <w:sz w:val="17"/>
          <w:szCs w:val="17"/>
          <w:color w:val="auto"/>
        </w:rPr>
        <w:t>. The Company may postpone the issuance and delivery of Company Common Stock upon the exercise of the Option</w:t>
      </w:r>
      <w:r>
        <w:rPr>
          <w:rFonts w:ascii="Arial" w:cs="Arial" w:eastAsia="Arial" w:hAnsi="Arial"/>
          <w:sz w:val="19"/>
          <w:szCs w:val="19"/>
          <w:color w:val="auto"/>
        </w:rPr>
        <w:t xml:space="preserve"> </w:t>
      </w:r>
      <w:r>
        <w:rPr>
          <w:rFonts w:ascii="Arial" w:cs="Arial" w:eastAsia="Arial" w:hAnsi="Arial"/>
          <w:sz w:val="17"/>
          <w:szCs w:val="17"/>
          <w:color w:val="auto"/>
        </w:rPr>
        <w:t>until such Shares may be issued in compliance with any applicable state or federal law, rule or regulation. Notwithstanding any other provision in this Agreement, the Optionee may not sell the Shares acquired upon exercise of the Option unless such Shares are registered under the Securities Act of 1933, as amended from time to time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if such Shares are not then so registered, such sale would be exempt from the registration requirements of the Securities Act. The sale must also comply with other applicable laws and regulations governing the Shares, and the Optionee shall not sell the Shares if the Administrator determines that such sale would not be in compliance with such laws and regulations.</w:t>
      </w:r>
    </w:p>
    <w:p>
      <w:pPr>
        <w:spacing w:after="0" w:line="349"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3.4</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administered, interpreted and enforced under the laws of the State of Delaware.</w:t>
      </w:r>
    </w:p>
    <w:p>
      <w:pPr>
        <w:spacing w:after="0" w:line="200" w:lineRule="exact"/>
        <w:rPr>
          <w:sz w:val="20"/>
          <w:szCs w:val="20"/>
          <w:color w:val="auto"/>
        </w:rPr>
      </w:pPr>
    </w:p>
    <w:p>
      <w:pPr>
        <w:spacing w:after="0" w:line="258" w:lineRule="exact"/>
        <w:rPr>
          <w:sz w:val="20"/>
          <w:szCs w:val="20"/>
          <w:color w:val="auto"/>
        </w:rPr>
      </w:pPr>
    </w:p>
    <w:p>
      <w:pPr>
        <w:spacing w:after="0" w:line="338" w:lineRule="auto"/>
        <w:rPr>
          <w:sz w:val="20"/>
          <w:szCs w:val="20"/>
          <w:color w:val="auto"/>
        </w:rPr>
      </w:pP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The Optionee acknowledges that the Plan is intended to conform to the extent necessary with all provisions</w:t>
      </w:r>
      <w:r>
        <w:rPr>
          <w:rFonts w:ascii="Arial" w:cs="Arial" w:eastAsia="Arial" w:hAnsi="Arial"/>
          <w:sz w:val="19"/>
          <w:szCs w:val="19"/>
          <w:color w:val="auto"/>
        </w:rPr>
        <w:t xml:space="preserve"> </w:t>
      </w:r>
      <w:r>
        <w:rPr>
          <w:rFonts w:ascii="Arial" w:cs="Arial" w:eastAsia="Arial" w:hAnsi="Arial"/>
          <w:sz w:val="17"/>
          <w:szCs w:val="17"/>
          <w:color w:val="auto"/>
        </w:rPr>
        <w:t>of the Securities Act and the Exchange Act and any and all regulations and rules promulgated thereunder by the Securities and Exchange Commission, including without limitation Rule 16b-3. Notwithstanding anything herein to the contrary, the Plan and this Agreement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349"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The Option may be wholly or partially amended or otherwise modified, suspended or terminated</w:t>
      </w:r>
      <w:r>
        <w:rPr>
          <w:rFonts w:ascii="Arial" w:cs="Arial" w:eastAsia="Arial" w:hAnsi="Arial"/>
          <w:sz w:val="20"/>
          <w:szCs w:val="20"/>
          <w:color w:val="auto"/>
        </w:rPr>
        <w:t xml:space="preserve"> </w:t>
      </w:r>
      <w:r>
        <w:rPr>
          <w:rFonts w:ascii="Arial" w:cs="Arial" w:eastAsia="Arial" w:hAnsi="Arial"/>
          <w:sz w:val="18"/>
          <w:szCs w:val="18"/>
          <w:color w:val="auto"/>
        </w:rPr>
        <w:t xml:space="preserve">at any time or from time to time by the Administrator or the Board, </w:t>
      </w:r>
      <w:r>
        <w:rPr>
          <w:rFonts w:ascii="Arial" w:cs="Arial" w:eastAsia="Arial" w:hAnsi="Arial"/>
          <w:sz w:val="18"/>
          <w:szCs w:val="18"/>
          <w:i w:val="1"/>
          <w:iCs w:val="1"/>
          <w:color w:val="auto"/>
        </w:rPr>
        <w:t>provided that</w:t>
      </w:r>
      <w:r>
        <w:rPr>
          <w:rFonts w:ascii="Arial" w:cs="Arial" w:eastAsia="Arial" w:hAnsi="Arial"/>
          <w:sz w:val="18"/>
          <w:szCs w:val="18"/>
          <w:color w:val="auto"/>
        </w:rPr>
        <w:t>, except as provided by Section 14.1 of the Plan, neither the amendment, modification, suspension nor termination of this Agreement (including the Grant Notice) shall, without the consent of the Optionee, materially alter or impair any rights or obligations under the Option.</w:t>
      </w:r>
    </w:p>
    <w:p>
      <w:pPr>
        <w:spacing w:after="0" w:line="360" w:lineRule="exact"/>
        <w:rPr>
          <w:sz w:val="20"/>
          <w:szCs w:val="20"/>
          <w:color w:val="auto"/>
        </w:rPr>
      </w:pPr>
    </w:p>
    <w:p>
      <w:pPr>
        <w:ind w:right="300"/>
        <w:spacing w:after="0" w:line="318" w:lineRule="auto"/>
        <w:rPr>
          <w:sz w:val="20"/>
          <w:szCs w:val="20"/>
          <w:color w:val="auto"/>
        </w:rPr>
      </w:pP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w:t>
      </w:r>
      <w:r>
        <w:rPr>
          <w:rFonts w:ascii="Arial" w:cs="Arial" w:eastAsia="Arial" w:hAnsi="Arial"/>
          <w:sz w:val="18"/>
          <w:szCs w:val="18"/>
          <w:u w:val="single" w:color="auto"/>
          <w:color w:val="auto"/>
        </w:rPr>
        <w:t>Data Privacy Consent</w:t>
      </w:r>
      <w:r>
        <w:rPr>
          <w:rFonts w:ascii="Arial" w:cs="Arial" w:eastAsia="Arial" w:hAnsi="Arial"/>
          <w:sz w:val="18"/>
          <w:szCs w:val="18"/>
          <w:color w:val="auto"/>
        </w:rPr>
        <w:t>. As a condition of the Option grant if the Optionee is a Non-U.S. Optionee, the Optionee explicitly and</w:t>
      </w:r>
      <w:r>
        <w:rPr>
          <w:rFonts w:ascii="Arial" w:cs="Arial" w:eastAsia="Arial" w:hAnsi="Arial"/>
          <w:sz w:val="20"/>
          <w:szCs w:val="20"/>
          <w:color w:val="auto"/>
        </w:rPr>
        <w:t xml:space="preserve"> </w:t>
      </w:r>
      <w:r>
        <w:rPr>
          <w:rFonts w:ascii="Arial" w:cs="Arial" w:eastAsia="Arial" w:hAnsi="Arial"/>
          <w:sz w:val="18"/>
          <w:szCs w:val="18"/>
          <w:color w:val="auto"/>
        </w:rPr>
        <w:t>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Optionee’s participation in the Plan. The Optionee understands that the Company and its Subsidiaries and Affiliates hold certain personal information about the Optionee, including the Optionee’s name, home address and telephone number, date of birth, social insurance number or other identification number, salary, nationality, job title, any shares of stock or directorships held in the Company, details of all restricted stock or any other entitlement to Shares awarded, canceled, exercised, vested, unvested or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007" w:right="239" w:bottom="1440" w:gutter="0" w:footer="0" w:header="0"/>
        </w:sectPr>
      </w:pPr>
    </w:p>
    <w:bookmarkStart w:id="132" w:name="page133"/>
    <w:bookmarkEnd w:id="132"/>
    <w:p>
      <w:pPr>
        <w:spacing w:after="0" w:line="310" w:lineRule="auto"/>
        <w:rPr>
          <w:sz w:val="20"/>
          <w:szCs w:val="20"/>
          <w:color w:val="auto"/>
        </w:rPr>
      </w:pPr>
      <w:r>
        <w:rPr>
          <w:rFonts w:ascii="Arial" w:cs="Arial" w:eastAsia="Arial" w:hAnsi="Arial"/>
          <w:sz w:val="17"/>
          <w:szCs w:val="17"/>
          <w:color w:val="auto"/>
        </w:rPr>
        <w:t>outstanding in the Optionee’s favor, for the purpose of implementing, managing and administering the Plan (the “</w:t>
      </w:r>
      <w:r>
        <w:rPr>
          <w:rFonts w:ascii="Arial" w:cs="Arial" w:eastAsia="Arial" w:hAnsi="Arial"/>
          <w:sz w:val="17"/>
          <w:szCs w:val="17"/>
          <w:u w:val="single" w:color="auto"/>
          <w:color w:val="auto"/>
        </w:rPr>
        <w:t>Data</w:t>
      </w:r>
      <w:r>
        <w:rPr>
          <w:rFonts w:ascii="Arial" w:cs="Arial" w:eastAsia="Arial" w:hAnsi="Arial"/>
          <w:sz w:val="17"/>
          <w:szCs w:val="17"/>
          <w:color w:val="auto"/>
        </w:rPr>
        <w:t>”). The Optionee further understands that the Company and its Subsidiaries and Affiliates may transfer the Data amongst themselves as necessary for the purpose of implementation, administration and management of the Optionee’s participation in the Plan, and that the Company and its Subsidiaries and Affiliates may each further transfer the Data to any third parties assisting the Company in the implementation, administration and management of the Plan. The Optionee understands that these recipients may be located in the Optionee’s country, or elsewhere, and that the recipient’s country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such recipients to receive, possess, use, retain and transfer the Data, in electronic or other form, for the purposes of implementing, administering and managing the Optionee’s participation in the Plan, including any requisite transfer of such Data as may be required to a broker or other third party with whom the Optionee may elect to deposit any Shares. The Optionee understands that the Data will be held only as long as is necessary to implement, administer, and manage the Optionee’s participation in the Plan. The Optionee understands that he or she may, at any time, view the Data, request additional information about the storage and processing of the Data, require any necessary amendments to the Data, or refuse or withdraw the consents herein in writing, in any case without cost, by contacting his or her local human resources representative. The Optionee understands that refusal or withdrawal of consent may affect the Optionee’s ability to participate in the Plan. For more information on the consequences of refusal to consent or withdrawal of consent, the Optionee understands that he or she may contact his or her local human resources representative.</w:t>
      </w:r>
    </w:p>
    <w:p>
      <w:pPr>
        <w:spacing w:after="0" w:line="364" w:lineRule="exact"/>
        <w:rPr>
          <w:sz w:val="20"/>
          <w:szCs w:val="20"/>
          <w:color w:val="auto"/>
        </w:rPr>
      </w:pPr>
    </w:p>
    <w:p>
      <w:pPr>
        <w:ind w:right="20"/>
        <w:spacing w:after="0" w:line="338" w:lineRule="auto"/>
        <w:rPr>
          <w:sz w:val="20"/>
          <w:szCs w:val="20"/>
          <w:color w:val="auto"/>
        </w:rPr>
      </w:pP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w:t>
      </w:r>
      <w:r>
        <w:rPr>
          <w:rFonts w:ascii="Arial" w:cs="Arial" w:eastAsia="Arial" w:hAnsi="Arial"/>
          <w:sz w:val="17"/>
          <w:szCs w:val="17"/>
          <w:u w:val="single" w:color="auto"/>
          <w:color w:val="auto"/>
        </w:rPr>
        <w:t>Withholding Taxes</w:t>
      </w:r>
      <w:r>
        <w:rPr>
          <w:rFonts w:ascii="Arial" w:cs="Arial" w:eastAsia="Arial" w:hAnsi="Arial"/>
          <w:sz w:val="17"/>
          <w:szCs w:val="17"/>
          <w:color w:val="auto"/>
        </w:rPr>
        <w:t>. In addition to any rights or obligations with respect to Withholding Taxes under this Agreement or the Plan, the</w:t>
      </w:r>
      <w:r>
        <w:rPr>
          <w:rFonts w:ascii="Arial" w:cs="Arial" w:eastAsia="Arial" w:hAnsi="Arial"/>
          <w:sz w:val="19"/>
          <w:szCs w:val="19"/>
          <w:color w:val="auto"/>
        </w:rPr>
        <w:t xml:space="preserve"> </w:t>
      </w:r>
      <w:r>
        <w:rPr>
          <w:rFonts w:ascii="Arial" w:cs="Arial" w:eastAsia="Arial" w:hAnsi="Arial"/>
          <w:sz w:val="17"/>
          <w:szCs w:val="17"/>
          <w:color w:val="auto"/>
        </w:rPr>
        <w:t xml:space="preserve">Company shall have the right to withhold from the Optionee, or otherwise require the Optionee or an assignee to pay, any Withholding Taxes arising as a result of exercise of the Option, or any other taxable event occurring pursuant to the Plan or this Agreement, including, but not limited to, to the extent permitted by law, have the right to deduct any such Withholding Taxes from any payment of any kind otherwise due to the Optionee or to take such other action (including, but not limited to, withholding Shares or cash deliverable pursuant to the Plan or any Option) as may be necessary to satisfy such Withholding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the Company withholds Shares issuable to the Optionee upon the exercise of the Option (or any portion thereof) to satisfy the Withholding Taxes, the Company shall withhold a number of whole Shares having a Fair Market Value, determined as of the date of exercise, not in excess of the minimum of tax required to be withheld by law (or such lower amount as may be necessary to avoid liability award accounting). The Optionee shall be responsible for all Withholding Taxes and other tax consequences of this Award.</w:t>
      </w:r>
    </w:p>
    <w:p>
      <w:pPr>
        <w:spacing w:after="0" w:line="349" w:lineRule="exact"/>
        <w:rPr>
          <w:sz w:val="20"/>
          <w:szCs w:val="20"/>
          <w:color w:val="auto"/>
        </w:rPr>
      </w:pPr>
    </w:p>
    <w:p>
      <w:pPr>
        <w:ind w:right="80"/>
        <w:spacing w:after="0" w:line="377" w:lineRule="auto"/>
        <w:rPr>
          <w:sz w:val="20"/>
          <w:szCs w:val="20"/>
          <w:color w:val="auto"/>
        </w:rPr>
      </w:pP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w:t>
      </w: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decide to deliver any documents related to any Option granted under the Plan</w:t>
      </w:r>
      <w:r>
        <w:rPr>
          <w:rFonts w:ascii="Arial" w:cs="Arial" w:eastAsia="Arial" w:hAnsi="Arial"/>
          <w:sz w:val="18"/>
          <w:szCs w:val="18"/>
          <w:color w:val="auto"/>
        </w:rPr>
        <w:t xml:space="preserve"> </w:t>
      </w:r>
      <w:r>
        <w:rPr>
          <w:rFonts w:ascii="Arial" w:cs="Arial" w:eastAsia="Arial" w:hAnsi="Arial"/>
          <w:sz w:val="16"/>
          <w:szCs w:val="16"/>
          <w:color w:val="auto"/>
        </w:rPr>
        <w:t>by electronic means or request the Optionee’s consent to participate in the Plan by electronic means. The Optionee hereby explicitly and unambiguously consents to receive such documents (including, without limitation, information required to be delivered to the Optionee pursuant to applicable securities laws) by electronic delivery and, if requested, agrees to participate in the Plan through an on-line or electronic system established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012" w:right="259" w:bottom="1440" w:gutter="0" w:footer="0" w:header="0"/>
        </w:sectPr>
      </w:pPr>
    </w:p>
    <w:bookmarkStart w:id="133" w:name="page134"/>
    <w:bookmarkEnd w:id="133"/>
    <w:p>
      <w:pPr>
        <w:spacing w:after="0" w:line="316" w:lineRule="auto"/>
        <w:rPr>
          <w:sz w:val="20"/>
          <w:szCs w:val="20"/>
          <w:color w:val="auto"/>
        </w:rPr>
      </w:pPr>
      <w:r>
        <w:rPr>
          <w:rFonts w:ascii="Arial" w:cs="Arial" w:eastAsia="Arial" w:hAnsi="Arial"/>
          <w:sz w:val="17"/>
          <w:szCs w:val="17"/>
          <w:color w:val="auto"/>
        </w:rPr>
        <w:t>maintained by the Company or another third party designated by the Company, and such consent shall remain in effect throughout the Optionee’s term of employment or service with the Company and thereafter until withdrawn in writing by the Optionee. The Optionee acknowledges that he or she may receive from the Company a paper copy of any documents delivered electronically at no cost to the Optionee by contacting the Company by telephone or in writing. The Optionee further acknowledges that the Optionee will be provided with a paper copy of any documents if the attempted electronic delivery of such documents fails. Similarly, the Optionee understands that the Optionee must provide the Company or any designated third party administrator with a paper copy of any documents if the attempted electronic delivery of such documents fails.</w:t>
      </w:r>
    </w:p>
    <w:p>
      <w:pPr>
        <w:spacing w:after="0" w:line="354"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u w:val="single" w:color="auto"/>
          <w:color w:val="auto"/>
        </w:rPr>
        <w:t>Section 3.10</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spacing w:after="0" w:line="275" w:lineRule="exact"/>
        <w:rPr>
          <w:sz w:val="20"/>
          <w:szCs w:val="20"/>
          <w:color w:val="auto"/>
        </w:rPr>
      </w:pPr>
    </w:p>
    <w:p>
      <w:pPr>
        <w:ind w:right="320" w:firstLine="601"/>
        <w:spacing w:after="0" w:line="323" w:lineRule="auto"/>
        <w:tabs>
          <w:tab w:leader="none" w:pos="990" w:val="left"/>
        </w:tabs>
        <w:numPr>
          <w:ilvl w:val="0"/>
          <w:numId w:val="96"/>
        </w:numPr>
        <w:rPr>
          <w:rFonts w:ascii="Arial" w:cs="Arial" w:eastAsia="Arial" w:hAnsi="Arial"/>
          <w:sz w:val="20"/>
          <w:szCs w:val="20"/>
          <w:color w:val="auto"/>
        </w:rPr>
      </w:pPr>
      <w:r>
        <w:rPr>
          <w:rFonts w:ascii="Arial" w:cs="Arial" w:eastAsia="Arial" w:hAnsi="Arial"/>
          <w:sz w:val="18"/>
          <w:szCs w:val="18"/>
          <w:color w:val="auto"/>
        </w:rPr>
        <w:t>The Optionee shall have no rights as a stockholder of the Company with respect to the shares of Company Common Stock subject to this Agreement until such time as the purchase price has been paid and the other requirements of Section 2.8 above have been satisfied, and the shares of Company Common Stock have been issued and delivered to the Optionee.</w:t>
      </w:r>
    </w:p>
    <w:p>
      <w:pPr>
        <w:spacing w:after="0" w:line="372" w:lineRule="exact"/>
        <w:rPr>
          <w:rFonts w:ascii="Arial" w:cs="Arial" w:eastAsia="Arial" w:hAnsi="Arial"/>
          <w:sz w:val="20"/>
          <w:szCs w:val="20"/>
          <w:color w:val="auto"/>
        </w:rPr>
      </w:pPr>
    </w:p>
    <w:p>
      <w:pPr>
        <w:ind w:right="20" w:firstLine="601"/>
        <w:spacing w:after="0" w:line="337" w:lineRule="auto"/>
        <w:tabs>
          <w:tab w:leader="none" w:pos="1001" w:val="left"/>
        </w:tabs>
        <w:numPr>
          <w:ilvl w:val="0"/>
          <w:numId w:val="96"/>
        </w:numPr>
        <w:rPr>
          <w:rFonts w:ascii="Arial" w:cs="Arial" w:eastAsia="Arial" w:hAnsi="Arial"/>
          <w:sz w:val="20"/>
          <w:szCs w:val="20"/>
          <w:color w:val="auto"/>
        </w:rPr>
      </w:pPr>
      <w:r>
        <w:rPr>
          <w:rFonts w:ascii="Arial" w:cs="Arial" w:eastAsia="Arial" w:hAnsi="Arial"/>
          <w:sz w:val="18"/>
          <w:szCs w:val="18"/>
          <w:color w:val="auto"/>
        </w:rPr>
        <w:t>This Agreement shall be subject to all applicable laws, rules, and regulations, and to such approvals by any governmental agencies or United States or foreign securities exchanges as may be required.</w:t>
      </w:r>
    </w:p>
    <w:p>
      <w:pPr>
        <w:spacing w:after="0" w:line="350" w:lineRule="exact"/>
        <w:rPr>
          <w:rFonts w:ascii="Arial" w:cs="Arial" w:eastAsia="Arial" w:hAnsi="Arial"/>
          <w:sz w:val="20"/>
          <w:szCs w:val="20"/>
          <w:color w:val="auto"/>
        </w:rPr>
      </w:pPr>
    </w:p>
    <w:p>
      <w:pPr>
        <w:ind w:right="280" w:firstLine="601"/>
        <w:spacing w:after="0" w:line="337" w:lineRule="auto"/>
        <w:tabs>
          <w:tab w:leader="none" w:pos="990" w:val="left"/>
        </w:tabs>
        <w:numPr>
          <w:ilvl w:val="0"/>
          <w:numId w:val="96"/>
        </w:numPr>
        <w:rPr>
          <w:rFonts w:ascii="Arial" w:cs="Arial" w:eastAsia="Arial" w:hAnsi="Arial"/>
          <w:sz w:val="20"/>
          <w:szCs w:val="20"/>
          <w:color w:val="auto"/>
        </w:rPr>
      </w:pPr>
      <w:r>
        <w:rPr>
          <w:rFonts w:ascii="Arial" w:cs="Arial" w:eastAsia="Arial" w:hAnsi="Arial"/>
          <w:sz w:val="18"/>
          <w:szCs w:val="18"/>
          <w:color w:val="auto"/>
        </w:rPr>
        <w:t>This Agreement shall be governed by the laws of the State of Delaware regardless of the application of rules of conflict of law that would apply the laws of any other jurisdiction.</w:t>
      </w:r>
    </w:p>
    <w:p>
      <w:pPr>
        <w:spacing w:after="0" w:line="350" w:lineRule="exact"/>
        <w:rPr>
          <w:rFonts w:ascii="Arial" w:cs="Arial" w:eastAsia="Arial" w:hAnsi="Arial"/>
          <w:sz w:val="20"/>
          <w:szCs w:val="20"/>
          <w:color w:val="auto"/>
        </w:rPr>
      </w:pPr>
    </w:p>
    <w:p>
      <w:pPr>
        <w:ind w:right="140" w:firstLine="601"/>
        <w:spacing w:after="0" w:line="323" w:lineRule="auto"/>
        <w:tabs>
          <w:tab w:leader="none" w:pos="1001" w:val="left"/>
        </w:tabs>
        <w:numPr>
          <w:ilvl w:val="0"/>
          <w:numId w:val="96"/>
        </w:numPr>
        <w:rPr>
          <w:rFonts w:ascii="Arial" w:cs="Arial" w:eastAsia="Arial" w:hAnsi="Arial"/>
          <w:sz w:val="20"/>
          <w:szCs w:val="20"/>
          <w:color w:val="auto"/>
        </w:rPr>
      </w:pPr>
      <w:r>
        <w:rPr>
          <w:rFonts w:ascii="Arial" w:cs="Arial" w:eastAsia="Arial" w:hAnsi="Arial"/>
          <w:sz w:val="18"/>
          <w:szCs w:val="18"/>
          <w:color w:val="auto"/>
        </w:rPr>
        <w:t>All obligations of the Company under this Agreement and the Plan, with respect to the Option,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372" w:lineRule="exact"/>
        <w:rPr>
          <w:rFonts w:ascii="Arial" w:cs="Arial" w:eastAsia="Arial" w:hAnsi="Arial"/>
          <w:sz w:val="20"/>
          <w:szCs w:val="20"/>
          <w:color w:val="auto"/>
        </w:rPr>
      </w:pPr>
    </w:p>
    <w:p>
      <w:pPr>
        <w:ind w:right="400" w:firstLine="601"/>
        <w:spacing w:after="0" w:line="371" w:lineRule="auto"/>
        <w:tabs>
          <w:tab w:leader="none" w:pos="990" w:val="left"/>
        </w:tabs>
        <w:numPr>
          <w:ilvl w:val="0"/>
          <w:numId w:val="96"/>
        </w:numPr>
        <w:rPr>
          <w:rFonts w:ascii="Arial" w:cs="Arial" w:eastAsia="Arial" w:hAnsi="Arial"/>
          <w:sz w:val="19"/>
          <w:szCs w:val="19"/>
          <w:color w:val="auto"/>
        </w:rPr>
      </w:pPr>
      <w:r>
        <w:rPr>
          <w:rFonts w:ascii="Arial" w:cs="Arial" w:eastAsia="Arial" w:hAnsi="Arial"/>
          <w:sz w:val="17"/>
          <w:szCs w:val="17"/>
          <w:color w:val="auto"/>
        </w:rPr>
        <w:t>In the event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ARTICLE IV.</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0" w:lineRule="exact"/>
        <w:rPr>
          <w:sz w:val="20"/>
          <w:szCs w:val="20"/>
          <w:color w:val="auto"/>
        </w:rPr>
      </w:pPr>
    </w:p>
    <w:p>
      <w:pPr>
        <w:spacing w:after="0" w:line="260" w:lineRule="exact"/>
        <w:rPr>
          <w:sz w:val="20"/>
          <w:szCs w:val="20"/>
          <w:color w:val="auto"/>
        </w:rPr>
      </w:pPr>
    </w:p>
    <w:p>
      <w:pPr>
        <w:jc w:val="both"/>
        <w:ind w:right="180" w:firstLine="601"/>
        <w:spacing w:after="0" w:line="305" w:lineRule="auto"/>
        <w:rPr>
          <w:sz w:val="20"/>
          <w:szCs w:val="20"/>
          <w:color w:val="auto"/>
        </w:rPr>
      </w:pPr>
      <w:r>
        <w:rPr>
          <w:rFonts w:ascii="Arial" w:cs="Arial" w:eastAsia="Arial" w:hAnsi="Arial"/>
          <w:sz w:val="18"/>
          <w:szCs w:val="18"/>
          <w:color w:val="auto"/>
        </w:rPr>
        <w:t>Whenever the following terms are used in this Agreement (including the Grant Notice),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358"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4.1</w:t>
      </w:r>
      <w:r>
        <w:rPr>
          <w:sz w:val="20"/>
          <w:szCs w:val="20"/>
          <w:color w:val="auto"/>
        </w:rPr>
        <w:tab/>
      </w:r>
      <w:r>
        <w:rPr>
          <w:rFonts w:ascii="Arial" w:cs="Arial" w:eastAsia="Arial" w:hAnsi="Arial"/>
          <w:sz w:val="17"/>
          <w:szCs w:val="17"/>
          <w:color w:val="auto"/>
        </w:rPr>
        <w:t>“Company” shall mean Booz Allen Hamilton Holding Corporation, a Delaware corporation.</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1012" w:right="299" w:bottom="1440" w:gutter="0" w:footer="0" w:header="0"/>
        </w:sectPr>
      </w:pPr>
    </w:p>
    <w:bookmarkStart w:id="134" w:name="page135"/>
    <w:bookmarkEnd w:id="134"/>
    <w:p>
      <w:pPr>
        <w:ind w:right="200"/>
        <w:spacing w:after="0" w:line="320" w:lineRule="auto"/>
        <w:rPr>
          <w:sz w:val="20"/>
          <w:szCs w:val="20"/>
          <w:color w:val="auto"/>
        </w:rPr>
      </w:pP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w:t>
      </w:r>
      <w:r>
        <w:rPr>
          <w:rFonts w:ascii="Arial" w:cs="Arial" w:eastAsia="Arial" w:hAnsi="Arial"/>
          <w:sz w:val="18"/>
          <w:szCs w:val="18"/>
          <w:color w:val="auto"/>
        </w:rPr>
        <w:t>“Company Approved Departure” shall mean a termination of employment that the Company (through the members of its senior</w:t>
      </w:r>
      <w:r>
        <w:rPr>
          <w:rFonts w:ascii="Arial" w:cs="Arial" w:eastAsia="Arial" w:hAnsi="Arial"/>
          <w:sz w:val="20"/>
          <w:szCs w:val="20"/>
          <w:color w:val="auto"/>
        </w:rPr>
        <w:t xml:space="preserve"> </w:t>
      </w:r>
      <w:r>
        <w:rPr>
          <w:rFonts w:ascii="Arial" w:cs="Arial" w:eastAsia="Arial" w:hAnsi="Arial"/>
          <w:sz w:val="18"/>
          <w:szCs w:val="18"/>
          <w:color w:val="auto"/>
        </w:rPr>
        <w:t>management), in its sole discretion, determines to be in the best interest of the Company and the Company’s approval of such termination as a Company Approved Departure is approved or ratified by the Board or the Administrator.</w:t>
      </w:r>
    </w:p>
    <w:p>
      <w:pPr>
        <w:spacing w:after="0" w:line="350"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4.3</w:t>
      </w:r>
      <w:r>
        <w:rPr>
          <w:sz w:val="20"/>
          <w:szCs w:val="20"/>
          <w:color w:val="auto"/>
        </w:rPr>
        <w:tab/>
      </w:r>
      <w:r>
        <w:rPr>
          <w:rFonts w:ascii="Arial" w:cs="Arial" w:eastAsia="Arial" w:hAnsi="Arial"/>
          <w:sz w:val="16"/>
          <w:szCs w:val="16"/>
          <w:color w:val="auto"/>
        </w:rPr>
        <w:t>“Exchange Act” shall mean the Securities and Exchange Act of 1934, as amended.</w:t>
      </w:r>
    </w:p>
    <w:p>
      <w:pPr>
        <w:spacing w:after="0" w:line="200" w:lineRule="exact"/>
        <w:rPr>
          <w:sz w:val="20"/>
          <w:szCs w:val="20"/>
          <w:color w:val="auto"/>
        </w:rPr>
      </w:pPr>
    </w:p>
    <w:p>
      <w:pPr>
        <w:spacing w:after="0" w:line="258" w:lineRule="exact"/>
        <w:rPr>
          <w:sz w:val="20"/>
          <w:szCs w:val="20"/>
          <w:color w:val="auto"/>
        </w:rPr>
      </w:pPr>
    </w:p>
    <w:p>
      <w:pPr>
        <w:ind w:right="180"/>
        <w:spacing w:after="0" w:line="432" w:lineRule="auto"/>
        <w:rPr>
          <w:sz w:val="20"/>
          <w:szCs w:val="20"/>
          <w:color w:val="auto"/>
        </w:rPr>
      </w:pP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t>
      </w:r>
      <w:r>
        <w:rPr>
          <w:rFonts w:ascii="Arial" w:cs="Arial" w:eastAsia="Arial" w:hAnsi="Arial"/>
          <w:sz w:val="16"/>
          <w:szCs w:val="16"/>
          <w:color w:val="auto"/>
        </w:rPr>
        <w:t>“Exercise Price” shall mean the Fair Market Value of a share of Common Stock on the grant date of the Option, determined in accordance</w:t>
      </w:r>
      <w:r>
        <w:rPr>
          <w:rFonts w:ascii="Arial" w:cs="Arial" w:eastAsia="Arial" w:hAnsi="Arial"/>
          <w:sz w:val="18"/>
          <w:szCs w:val="18"/>
          <w:color w:val="auto"/>
        </w:rPr>
        <w:t xml:space="preserve"> </w:t>
      </w:r>
      <w:r>
        <w:rPr>
          <w:rFonts w:ascii="Arial" w:cs="Arial" w:eastAsia="Arial" w:hAnsi="Arial"/>
          <w:sz w:val="16"/>
          <w:szCs w:val="16"/>
          <w:color w:val="auto"/>
        </w:rPr>
        <w:t>with the provisions of the Plan, which Exercise Price has been communicated to the Optionee in a communication accompanying the Grant Notice.</w:t>
      </w:r>
    </w:p>
    <w:p>
      <w:pPr>
        <w:spacing w:after="0" w:line="260"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4.5</w:t>
      </w:r>
      <w:r>
        <w:rPr>
          <w:sz w:val="20"/>
          <w:szCs w:val="20"/>
          <w:color w:val="auto"/>
        </w:rPr>
        <w:tab/>
      </w:r>
      <w:r>
        <w:rPr>
          <w:rFonts w:ascii="Arial" w:cs="Arial" w:eastAsia="Arial" w:hAnsi="Arial"/>
          <w:sz w:val="16"/>
          <w:szCs w:val="16"/>
          <w:color w:val="auto"/>
        </w:rPr>
        <w:t>“Final Expiration Date” shall mean the date set forth in the Grant Notice.</w:t>
      </w:r>
    </w:p>
    <w:p>
      <w:pPr>
        <w:spacing w:after="0" w:line="200" w:lineRule="exact"/>
        <w:rPr>
          <w:sz w:val="20"/>
          <w:szCs w:val="20"/>
          <w:color w:val="auto"/>
        </w:rPr>
      </w:pPr>
    </w:p>
    <w:p>
      <w:pPr>
        <w:spacing w:after="0" w:line="258" w:lineRule="exact"/>
        <w:rPr>
          <w:sz w:val="20"/>
          <w:szCs w:val="20"/>
          <w:color w:val="auto"/>
        </w:rPr>
      </w:pPr>
    </w:p>
    <w:p>
      <w:pPr>
        <w:ind w:right="20"/>
        <w:spacing w:after="0" w:line="321" w:lineRule="auto"/>
        <w:rPr>
          <w:sz w:val="20"/>
          <w:szCs w:val="20"/>
          <w:color w:val="auto"/>
        </w:rPr>
      </w:pPr>
      <w:r>
        <w:rPr>
          <w:rFonts w:ascii="Arial" w:cs="Arial" w:eastAsia="Arial" w:hAnsi="Arial"/>
          <w:sz w:val="20"/>
          <w:szCs w:val="20"/>
          <w:u w:val="single" w:color="auto"/>
          <w:color w:val="auto"/>
        </w:rPr>
        <w:t>Section 4.6</w:t>
      </w:r>
      <w:r>
        <w:rPr>
          <w:rFonts w:ascii="Arial" w:cs="Arial" w:eastAsia="Arial" w:hAnsi="Arial"/>
          <w:sz w:val="20"/>
          <w:szCs w:val="20"/>
          <w:color w:val="auto"/>
        </w:rPr>
        <w:t xml:space="preserve"> </w:t>
      </w:r>
      <w:r>
        <w:rPr>
          <w:rFonts w:ascii="Arial" w:cs="Arial" w:eastAsia="Arial" w:hAnsi="Arial"/>
          <w:sz w:val="18"/>
          <w:szCs w:val="18"/>
          <w:color w:val="auto"/>
        </w:rPr>
        <w:t>“Grant Notice” shall mean the Grant Notice referred to in Section 1.1 of this Agreement, which Grant Notice is for all purposes a part of the</w:t>
      </w:r>
      <w:r>
        <w:rPr>
          <w:rFonts w:ascii="Arial" w:cs="Arial" w:eastAsia="Arial" w:hAnsi="Arial"/>
          <w:sz w:val="20"/>
          <w:szCs w:val="20"/>
          <w:color w:val="auto"/>
        </w:rPr>
        <w:t xml:space="preserve"> </w:t>
      </w:r>
      <w:r>
        <w:rPr>
          <w:rFonts w:ascii="Arial" w:cs="Arial" w:eastAsia="Arial" w:hAnsi="Arial"/>
          <w:sz w:val="18"/>
          <w:szCs w:val="18"/>
          <w:color w:val="auto"/>
        </w:rPr>
        <w:t>Agreement.</w:t>
      </w:r>
    </w:p>
    <w:p>
      <w:pPr>
        <w:spacing w:after="0" w:line="349"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4.7</w:t>
      </w:r>
      <w:r>
        <w:rPr>
          <w:sz w:val="20"/>
          <w:szCs w:val="20"/>
          <w:color w:val="auto"/>
        </w:rPr>
        <w:tab/>
      </w:r>
      <w:r>
        <w:rPr>
          <w:rFonts w:ascii="Arial" w:cs="Arial" w:eastAsia="Arial" w:hAnsi="Arial"/>
          <w:sz w:val="16"/>
          <w:szCs w:val="16"/>
          <w:color w:val="auto"/>
        </w:rPr>
        <w:t>“Option” shall mean the option to purchase Company Common Stock granted under this Agreement.</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Section 4.8</w:t>
      </w:r>
      <w:r>
        <w:rPr>
          <w:sz w:val="20"/>
          <w:szCs w:val="20"/>
          <w:color w:val="auto"/>
        </w:rPr>
        <w:tab/>
      </w:r>
      <w:r>
        <w:rPr>
          <w:rFonts w:ascii="Arial" w:cs="Arial" w:eastAsia="Arial" w:hAnsi="Arial"/>
          <w:sz w:val="16"/>
          <w:szCs w:val="16"/>
          <w:color w:val="auto"/>
        </w:rPr>
        <w:t>“Optionee” shall mean the Person designated as such in the Grant Notice.</w:t>
      </w:r>
    </w:p>
    <w:p>
      <w:pPr>
        <w:spacing w:after="0" w:line="200" w:lineRule="exact"/>
        <w:rPr>
          <w:sz w:val="20"/>
          <w:szCs w:val="20"/>
          <w:color w:val="auto"/>
        </w:rPr>
      </w:pPr>
    </w:p>
    <w:p>
      <w:pPr>
        <w:spacing w:after="0" w:line="258" w:lineRule="exact"/>
        <w:rPr>
          <w:sz w:val="20"/>
          <w:szCs w:val="20"/>
          <w:color w:val="auto"/>
        </w:rPr>
      </w:pPr>
    </w:p>
    <w:p>
      <w:pPr>
        <w:spacing w:after="0" w:line="321" w:lineRule="auto"/>
        <w:rPr>
          <w:sz w:val="20"/>
          <w:szCs w:val="20"/>
          <w:color w:val="auto"/>
        </w:rPr>
      </w:pPr>
      <w:r>
        <w:rPr>
          <w:rFonts w:ascii="Arial" w:cs="Arial" w:eastAsia="Arial" w:hAnsi="Arial"/>
          <w:sz w:val="20"/>
          <w:szCs w:val="20"/>
          <w:u w:val="single" w:color="auto"/>
          <w:color w:val="auto"/>
        </w:rPr>
        <w:t>Section 4.9</w:t>
      </w:r>
      <w:r>
        <w:rPr>
          <w:rFonts w:ascii="Arial" w:cs="Arial" w:eastAsia="Arial" w:hAnsi="Arial"/>
          <w:sz w:val="20"/>
          <w:szCs w:val="20"/>
          <w:color w:val="auto"/>
        </w:rPr>
        <w:t xml:space="preserve"> </w:t>
      </w:r>
      <w:r>
        <w:rPr>
          <w:rFonts w:ascii="Arial" w:cs="Arial" w:eastAsia="Arial" w:hAnsi="Arial"/>
          <w:sz w:val="18"/>
          <w:szCs w:val="18"/>
          <w:color w:val="auto"/>
        </w:rPr>
        <w:t>“Plan” shall mean the Second Amended and Restated Equity Incentive Plan of Booz Allen Hamilton Holding Corporation, as amended from</w:t>
      </w:r>
      <w:r>
        <w:rPr>
          <w:rFonts w:ascii="Arial" w:cs="Arial" w:eastAsia="Arial" w:hAnsi="Arial"/>
          <w:sz w:val="20"/>
          <w:szCs w:val="20"/>
          <w:color w:val="auto"/>
        </w:rPr>
        <w:t xml:space="preserve"> </w:t>
      </w:r>
      <w:r>
        <w:rPr>
          <w:rFonts w:ascii="Arial" w:cs="Arial" w:eastAsia="Arial" w:hAnsi="Arial"/>
          <w:sz w:val="18"/>
          <w:szCs w:val="18"/>
          <w:color w:val="auto"/>
        </w:rPr>
        <w:t>time to time.</w:t>
      </w:r>
    </w:p>
    <w:p>
      <w:pPr>
        <w:spacing w:after="0" w:line="349"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u w:val="single" w:color="auto"/>
          <w:color w:val="auto"/>
        </w:rPr>
        <w:t>Section 4.10</w:t>
      </w:r>
      <w:r>
        <w:rPr>
          <w:sz w:val="20"/>
          <w:szCs w:val="20"/>
          <w:color w:val="auto"/>
        </w:rPr>
        <w:tab/>
      </w:r>
      <w:r>
        <w:rPr>
          <w:rFonts w:ascii="Arial" w:cs="Arial" w:eastAsia="Arial" w:hAnsi="Arial"/>
          <w:sz w:val="16"/>
          <w:szCs w:val="16"/>
          <w:color w:val="auto"/>
        </w:rPr>
        <w:t>“Retirement” shall have the meaning set forth in the Company’s Retirement Policy.</w:t>
      </w:r>
    </w:p>
    <w:p>
      <w:pPr>
        <w:spacing w:after="0" w:line="200" w:lineRule="exact"/>
        <w:rPr>
          <w:sz w:val="20"/>
          <w:szCs w:val="20"/>
          <w:color w:val="auto"/>
        </w:rPr>
      </w:pPr>
    </w:p>
    <w:p>
      <w:pPr>
        <w:spacing w:after="0" w:line="258"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u w:val="single" w:color="auto"/>
          <w:color w:val="auto"/>
        </w:rPr>
        <w:t>Section 4.11</w:t>
      </w:r>
      <w:r>
        <w:rPr>
          <w:sz w:val="20"/>
          <w:szCs w:val="20"/>
          <w:color w:val="auto"/>
        </w:rPr>
        <w:tab/>
      </w:r>
      <w:r>
        <w:rPr>
          <w:rFonts w:ascii="Arial" w:cs="Arial" w:eastAsia="Arial" w:hAnsi="Arial"/>
          <w:sz w:val="16"/>
          <w:szCs w:val="16"/>
          <w:color w:val="auto"/>
        </w:rPr>
        <w:t>“Shares” shall have the meaning set forth in the Grant Notice.</w:t>
      </w:r>
    </w:p>
    <w:p>
      <w:pPr>
        <w:spacing w:after="0" w:line="200" w:lineRule="exact"/>
        <w:rPr>
          <w:sz w:val="20"/>
          <w:szCs w:val="20"/>
          <w:color w:val="auto"/>
        </w:rPr>
      </w:pPr>
    </w:p>
    <w:p>
      <w:pPr>
        <w:spacing w:after="0" w:line="258" w:lineRule="exact"/>
        <w:rPr>
          <w:sz w:val="20"/>
          <w:szCs w:val="20"/>
          <w:color w:val="auto"/>
        </w:rPr>
      </w:pPr>
    </w:p>
    <w:p>
      <w:pPr>
        <w:ind w:right="480"/>
        <w:spacing w:after="0" w:line="321" w:lineRule="auto"/>
        <w:rPr>
          <w:sz w:val="20"/>
          <w:szCs w:val="20"/>
          <w:color w:val="auto"/>
        </w:rPr>
      </w:pPr>
      <w:r>
        <w:rPr>
          <w:rFonts w:ascii="Arial" w:cs="Arial" w:eastAsia="Arial" w:hAnsi="Arial"/>
          <w:sz w:val="20"/>
          <w:szCs w:val="20"/>
          <w:u w:val="single" w:color="auto"/>
          <w:color w:val="auto"/>
        </w:rPr>
        <w:t>Section 4.12</w:t>
      </w:r>
      <w:r>
        <w:rPr>
          <w:rFonts w:ascii="Arial" w:cs="Arial" w:eastAsia="Arial" w:hAnsi="Arial"/>
          <w:sz w:val="20"/>
          <w:szCs w:val="20"/>
          <w:color w:val="auto"/>
        </w:rPr>
        <w:t xml:space="preserve"> </w:t>
      </w:r>
      <w:r>
        <w:rPr>
          <w:rFonts w:ascii="Arial" w:cs="Arial" w:eastAsia="Arial" w:hAnsi="Arial"/>
          <w:sz w:val="18"/>
          <w:szCs w:val="18"/>
          <w:color w:val="auto"/>
        </w:rPr>
        <w:t>“Withholding Taxes” means any federal, state, local, or foreign income taxes, withholding taxes, or employment taxes required to be</w:t>
      </w:r>
      <w:r>
        <w:rPr>
          <w:rFonts w:ascii="Arial" w:cs="Arial" w:eastAsia="Arial" w:hAnsi="Arial"/>
          <w:sz w:val="20"/>
          <w:szCs w:val="20"/>
          <w:color w:val="auto"/>
        </w:rPr>
        <w:t xml:space="preserve"> </w:t>
      </w:r>
      <w:r>
        <w:rPr>
          <w:rFonts w:ascii="Arial" w:cs="Arial" w:eastAsia="Arial" w:hAnsi="Arial"/>
          <w:sz w:val="18"/>
          <w:szCs w:val="18"/>
          <w:color w:val="auto"/>
        </w:rPr>
        <w:t>withheld under Applicable Law.</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1007" w:right="2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EQUITY INCENTIVE PLAN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BOOZ ALLEN HAMILTON HOLDING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NOTICE</w:t>
      </w:r>
    </w:p>
    <w:p>
      <w:pPr>
        <w:spacing w:after="0" w:line="200" w:lineRule="exact"/>
        <w:rPr>
          <w:sz w:val="20"/>
          <w:szCs w:val="20"/>
          <w:color w:val="auto"/>
        </w:rPr>
      </w:pPr>
    </w:p>
    <w:p>
      <w:pPr>
        <w:spacing w:after="0" w:line="212" w:lineRule="exact"/>
        <w:rPr>
          <w:sz w:val="20"/>
          <w:szCs w:val="20"/>
          <w:color w:val="auto"/>
        </w:rPr>
      </w:pPr>
    </w:p>
    <w:p>
      <w:pPr>
        <w:ind w:right="20" w:firstLine="601"/>
        <w:spacing w:after="0" w:line="282" w:lineRule="auto"/>
        <w:rPr>
          <w:sz w:val="20"/>
          <w:szCs w:val="20"/>
          <w:color w:val="auto"/>
        </w:rPr>
      </w:pPr>
      <w:r>
        <w:rPr>
          <w:rFonts w:ascii="Arial" w:cs="Arial" w:eastAsia="Arial" w:hAnsi="Arial"/>
          <w:sz w:val="19"/>
          <w:szCs w:val="19"/>
          <w:color w:val="auto"/>
        </w:rPr>
        <w:t>Unless otherwise defined herein, the terms defined in the Second Amended and Restated Equity Incentive Plan of Booz Allen Holding Corporation (the “</w:t>
      </w:r>
      <w:r>
        <w:rPr>
          <w:rFonts w:ascii="Arial" w:cs="Arial" w:eastAsia="Arial" w:hAnsi="Arial"/>
          <w:sz w:val="19"/>
          <w:szCs w:val="19"/>
          <w:u w:val="single" w:color="auto"/>
          <w:color w:val="auto"/>
        </w:rPr>
        <w:t>Plan</w:t>
      </w:r>
      <w:r>
        <w:rPr>
          <w:rFonts w:ascii="Arial" w:cs="Arial" w:eastAsia="Arial" w:hAnsi="Arial"/>
          <w:sz w:val="19"/>
          <w:szCs w:val="19"/>
          <w:color w:val="auto"/>
        </w:rPr>
        <w:t>”) shall have the same defined meanings in this Performance Restricted Stock Unit Agreement, which includes the terms in this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 (collectively,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344" w:lineRule="exact"/>
        <w:rPr>
          <w:sz w:val="20"/>
          <w:szCs w:val="20"/>
          <w:color w:val="auto"/>
        </w:rPr>
      </w:pPr>
    </w:p>
    <w:p>
      <w:pPr>
        <w:jc w:val="both"/>
        <w:ind w:right="20" w:firstLine="601"/>
        <w:spacing w:after="0" w:line="304" w:lineRule="auto"/>
        <w:rPr>
          <w:sz w:val="20"/>
          <w:szCs w:val="20"/>
          <w:color w:val="auto"/>
        </w:rPr>
      </w:pPr>
      <w:r>
        <w:rPr>
          <w:rFonts w:ascii="Arial" w:cs="Arial" w:eastAsia="Arial" w:hAnsi="Arial"/>
          <w:sz w:val="18"/>
          <w:szCs w:val="18"/>
          <w:color w:val="auto"/>
        </w:rPr>
        <w:t>You have been granted performance-based restricted stock units, subject to the terms and conditions of the Plan and this Agreement in an amount, vesting schedule and subject to satisfaction of the performance goals for the applicable performance period, as delivered and made available to you by the Company, which shall be deemed part of and incorporated by reference into this Grant Notice.</w:t>
      </w:r>
    </w:p>
    <w:p>
      <w:pPr>
        <w:spacing w:after="0" w:line="327" w:lineRule="exact"/>
        <w:rPr>
          <w:sz w:val="20"/>
          <w:szCs w:val="20"/>
          <w:color w:val="auto"/>
        </w:rPr>
      </w:pPr>
    </w:p>
    <w:p>
      <w:pPr>
        <w:ind w:right="120" w:firstLine="601"/>
        <w:spacing w:after="0" w:line="303" w:lineRule="auto"/>
        <w:rPr>
          <w:sz w:val="20"/>
          <w:szCs w:val="20"/>
          <w:color w:val="auto"/>
        </w:rPr>
      </w:pPr>
      <w:r>
        <w:rPr>
          <w:rFonts w:ascii="Arial" w:cs="Arial" w:eastAsia="Arial" w:hAnsi="Arial"/>
          <w:sz w:val="17"/>
          <w:szCs w:val="17"/>
          <w:color w:val="auto"/>
        </w:rPr>
        <w:t xml:space="preserve">Your acceptance of this grant indicates your agreement and understanding that the Performance Restricted Stock Units granted herein are subject to all of the terms and conditions contained in the Agreement and the Plan. </w:t>
      </w:r>
      <w:r>
        <w:rPr>
          <w:rFonts w:ascii="Arial" w:cs="Arial" w:eastAsia="Arial" w:hAnsi="Arial"/>
          <w:sz w:val="17"/>
          <w:szCs w:val="17"/>
          <w:b w:val="1"/>
          <w:bCs w:val="1"/>
          <w:color w:val="auto"/>
        </w:rPr>
        <w:t>ACCORDINGLY, PLEASE BE SURE TO READ</w:t>
      </w:r>
    </w:p>
    <w:p>
      <w:pPr>
        <w:ind w:right="1180"/>
        <w:spacing w:after="0" w:line="257" w:lineRule="auto"/>
        <w:rPr>
          <w:sz w:val="20"/>
          <w:szCs w:val="20"/>
          <w:color w:val="auto"/>
        </w:rPr>
      </w:pPr>
      <w:r>
        <w:rPr>
          <w:rFonts w:ascii="Arial" w:cs="Arial" w:eastAsia="Arial" w:hAnsi="Arial"/>
          <w:sz w:val="20"/>
          <w:szCs w:val="20"/>
          <w:b w:val="1"/>
          <w:bCs w:val="1"/>
          <w:color w:val="auto"/>
        </w:rPr>
        <w:t>ALL OF THE PLAN AND APPENDIX A, WHICH CONTAIN THE SPECIFIC TERMS AND CONDITIONS OF THE PERFORMANCE RESTRICTED STOCK UNITS.</w:t>
      </w:r>
    </w:p>
    <w:p>
      <w:pPr>
        <w:spacing w:after="0" w:line="3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order to accept this grant, please go to Fidelity NetBenefits at www.netbenefits.com and follow the instructions regarding this grant.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44"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APPENDIX A TO PERFORMANCE RESTRICTED STOCK UNIT AGREEMENT</w:t>
      </w:r>
    </w:p>
    <w:p>
      <w:pPr>
        <w:spacing w:after="0" w:line="200" w:lineRule="exact"/>
        <w:rPr>
          <w:sz w:val="20"/>
          <w:szCs w:val="20"/>
          <w:color w:val="auto"/>
        </w:rPr>
      </w:pPr>
    </w:p>
    <w:p>
      <w:pPr>
        <w:spacing w:after="0" w:line="212" w:lineRule="exact"/>
        <w:rPr>
          <w:sz w:val="20"/>
          <w:szCs w:val="20"/>
          <w:color w:val="auto"/>
        </w:rPr>
      </w:pPr>
    </w:p>
    <w:p>
      <w:pPr>
        <w:ind w:left="-40" w:right="20" w:firstLine="601"/>
        <w:spacing w:after="0" w:line="282" w:lineRule="auto"/>
        <w:tabs>
          <w:tab w:leader="none" w:pos="87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conditions, and restrictions set forth in this Agreement (including the Grant Notice made available to you by the Company) and in the Plan, the Company hereby evidences and confirms its grant to the Participant, effective as of the Grant Date, of the target number of performance restricted stock units (the “</w:t>
      </w:r>
      <w:r>
        <w:rPr>
          <w:rFonts w:ascii="Arial" w:cs="Arial" w:eastAsia="Arial" w:hAnsi="Arial"/>
          <w:sz w:val="18"/>
          <w:szCs w:val="18"/>
          <w:u w:val="single" w:color="auto"/>
          <w:color w:val="auto"/>
        </w:rPr>
        <w:t>Target Award</w:t>
      </w:r>
      <w:r>
        <w:rPr>
          <w:rFonts w:ascii="Arial" w:cs="Arial" w:eastAsia="Arial" w:hAnsi="Arial"/>
          <w:sz w:val="18"/>
          <w:szCs w:val="18"/>
          <w:color w:val="auto"/>
        </w:rPr>
        <w:t>”) specified in the Grant Notice. Each performance restricted stock unit (a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represents the right to receive between zero and two shares of Company Common Stock, subject to the terms and conditions set forth in this Agreement (including the Grant Notice) and in the Plan. Except as otherwise provided in Section 2, the number of Restricted Stock Units that the Participant shall actually earn for the Performance Period (up to the maximum specified in the Grant Notice) will be determined by the Administrator based on the level of achievement of the performance goals in accordance with the Grant Notice (the “</w:t>
      </w:r>
      <w:r>
        <w:rPr>
          <w:rFonts w:ascii="Arial" w:cs="Arial" w:eastAsia="Arial" w:hAnsi="Arial"/>
          <w:sz w:val="18"/>
          <w:szCs w:val="18"/>
          <w:u w:val="single" w:color="auto"/>
          <w:color w:val="auto"/>
        </w:rPr>
        <w:t>Performance Goals</w:t>
      </w:r>
      <w:r>
        <w:rPr>
          <w:rFonts w:ascii="Arial" w:cs="Arial" w:eastAsia="Arial" w:hAnsi="Arial"/>
          <w:sz w:val="18"/>
          <w:szCs w:val="18"/>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353" w:lineRule="exact"/>
        <w:rPr>
          <w:rFonts w:ascii="Arial" w:cs="Arial" w:eastAsia="Arial" w:hAnsi="Arial"/>
          <w:sz w:val="18"/>
          <w:szCs w:val="18"/>
          <w:color w:val="auto"/>
        </w:rPr>
      </w:pPr>
    </w:p>
    <w:p>
      <w:pPr>
        <w:ind w:left="880" w:hanging="319"/>
        <w:spacing w:after="0"/>
        <w:tabs>
          <w:tab w:leader="none" w:pos="88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jc w:val="both"/>
        <w:ind w:left="-40" w:firstLine="601"/>
        <w:spacing w:after="0" w:line="272" w:lineRule="auto"/>
        <w:tabs>
          <w:tab w:leader="none" w:pos="95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For purposes of this Agreement, the term “</w:t>
      </w:r>
      <w:r>
        <w:rPr>
          <w:rFonts w:ascii="Arial" w:cs="Arial" w:eastAsia="Arial" w:hAnsi="Arial"/>
          <w:sz w:val="19"/>
          <w:szCs w:val="19"/>
          <w:u w:val="single" w:color="auto"/>
          <w:color w:val="auto"/>
        </w:rPr>
        <w:t>Performance Period</w:t>
      </w:r>
      <w:r>
        <w:rPr>
          <w:rFonts w:ascii="Arial" w:cs="Arial" w:eastAsia="Arial" w:hAnsi="Arial"/>
          <w:sz w:val="19"/>
          <w:szCs w:val="19"/>
          <w:color w:val="auto"/>
        </w:rPr>
        <w:t>” shall mean the period set forth in the Grant Notice. The Restricted Stock Units are subject to forfeiture until they vest. Except as otherwise provided in this Section 2, the Restricted Stock Units shall become vested as of the vesting date specified in the Grant Notice (the “</w:t>
      </w:r>
      <w:r>
        <w:rPr>
          <w:rFonts w:ascii="Arial" w:cs="Arial" w:eastAsia="Arial" w:hAnsi="Arial"/>
          <w:sz w:val="19"/>
          <w:szCs w:val="19"/>
          <w:u w:val="single" w:color="auto"/>
          <w:color w:val="auto"/>
        </w:rPr>
        <w:t>Vesting Date</w:t>
      </w:r>
      <w:r>
        <w:rPr>
          <w:rFonts w:ascii="Arial" w:cs="Arial" w:eastAsia="Arial" w:hAnsi="Arial"/>
          <w:sz w:val="19"/>
          <w:szCs w:val="19"/>
          <w:color w:val="auto"/>
        </w:rPr>
        <w:t>”), subject to the continued employment or service of the Participant by the Company or any Subsidiary thereof through the Vesting Date, and to the achievement of the Performance Goals set forth in the Grant Notice for the Performance Period as certified by the Administrator pursuant to Section 3(a). Restricted Stock Units that do not vest in accordance with this Section 2 shall be forfeited.</w:t>
      </w:r>
    </w:p>
    <w:p>
      <w:pPr>
        <w:spacing w:after="0" w:line="354" w:lineRule="exact"/>
        <w:rPr>
          <w:rFonts w:ascii="Arial" w:cs="Arial" w:eastAsia="Arial" w:hAnsi="Arial"/>
          <w:sz w:val="19"/>
          <w:szCs w:val="19"/>
          <w:color w:val="auto"/>
        </w:rPr>
      </w:pPr>
    </w:p>
    <w:p>
      <w:pPr>
        <w:ind w:left="960" w:hanging="399"/>
        <w:spacing w:after="0"/>
        <w:tabs>
          <w:tab w:leader="none" w:pos="96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ind w:left="-40" w:right="220" w:firstLine="1202"/>
        <w:spacing w:after="0" w:line="268" w:lineRule="auto"/>
        <w:tabs>
          <w:tab w:leader="none" w:pos="1517"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Termination Due to Death</w:t>
      </w:r>
      <w:r>
        <w:rPr>
          <w:rFonts w:ascii="Arial" w:cs="Arial" w:eastAsia="Arial" w:hAnsi="Arial"/>
          <w:sz w:val="20"/>
          <w:szCs w:val="20"/>
          <w:color w:val="auto"/>
        </w:rPr>
        <w:t>. If a Participant’s employment or service terminates due to the Participant’s death prior to the Vesting Date, all unvested Restricted Stock Units shall vest on the effective date of such termination of employment or service at Target Award levels. Vested Restricted Stock Units shall be settled as set forth in Section 3.</w:t>
      </w:r>
    </w:p>
    <w:p>
      <w:pPr>
        <w:spacing w:after="0" w:line="356" w:lineRule="exact"/>
        <w:rPr>
          <w:rFonts w:ascii="Arial" w:cs="Arial" w:eastAsia="Arial" w:hAnsi="Arial"/>
          <w:sz w:val="20"/>
          <w:szCs w:val="20"/>
          <w:color w:val="auto"/>
        </w:rPr>
      </w:pPr>
    </w:p>
    <w:p>
      <w:pPr>
        <w:ind w:left="-40" w:firstLine="1202"/>
        <w:spacing w:after="0" w:line="293" w:lineRule="auto"/>
        <w:tabs>
          <w:tab w:leader="none" w:pos="1573"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a Company Approved Departure; Termination by Reason of Disability</w:t>
      </w:r>
      <w:r>
        <w:rPr>
          <w:rFonts w:ascii="Arial" w:cs="Arial" w:eastAsia="Arial" w:hAnsi="Arial"/>
          <w:sz w:val="18"/>
          <w:szCs w:val="18"/>
          <w:color w:val="auto"/>
        </w:rPr>
        <w:t>. If a Participant’s employment or service terminates prior to the Vesting Date (</w:t>
      </w:r>
      <w:r>
        <w:rPr>
          <w:rFonts w:ascii="Arial" w:cs="Arial" w:eastAsia="Arial" w:hAnsi="Arial"/>
          <w:sz w:val="18"/>
          <w:szCs w:val="18"/>
          <w:u w:val="single" w:color="auto"/>
          <w:color w:val="auto"/>
        </w:rPr>
        <w:t>A</w:t>
      </w:r>
      <w:r>
        <w:rPr>
          <w:rFonts w:ascii="Arial" w:cs="Arial" w:eastAsia="Arial" w:hAnsi="Arial"/>
          <w:sz w:val="18"/>
          <w:szCs w:val="18"/>
          <w:color w:val="auto"/>
        </w:rPr>
        <w:t>) by reason of a Company Approved Departure (as defined below)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by reason of the Participant’s Disability, then, in each case, the Participant’s unvested Restricted Stock Units shall vest as of the Vesting Date in a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amount of the Restricted Stock Units that would have been earned and vested in accordance with Section 2(a) based on actual</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the Performance Goals as if the Participant’s employment or service had not terminated, with such</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80" w:top="790" w:right="279" w:bottom="1440" w:gutter="0" w:footer="0" w:header="0"/>
        </w:sectPr>
      </w:pPr>
    </w:p>
    <w:bookmarkStart w:id="137" w:name="page138"/>
    <w:bookmarkEnd w:id="137"/>
    <w:p>
      <w:pPr>
        <w:spacing w:after="0" w:line="287" w:lineRule="auto"/>
        <w:rPr>
          <w:sz w:val="20"/>
          <w:szCs w:val="20"/>
          <w:color w:val="auto"/>
        </w:rPr>
      </w:pPr>
      <w:r>
        <w:rPr>
          <w:rFonts w:ascii="Arial" w:cs="Arial" w:eastAsia="Arial" w:hAnsi="Arial"/>
          <w:sz w:val="18"/>
          <w:szCs w:val="18"/>
          <w:color w:val="auto"/>
        </w:rPr>
        <w:t xml:space="preserve">amount prorated for the portion of the Performance Period that lapsed prior to the Participant’s termination of employment or service;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transition period (within the meaning of the Company’s Transition Policy, as may be amended from time to time) shall not be considered a period of employment or service for purposes of calculating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Vested Restricted Stock Units shall be settled as set forth in Section 3. “</w:t>
      </w:r>
      <w:r>
        <w:rPr>
          <w:rFonts w:ascii="Arial" w:cs="Arial" w:eastAsia="Arial" w:hAnsi="Arial"/>
          <w:sz w:val="18"/>
          <w:szCs w:val="18"/>
          <w:u w:val="single" w:color="auto"/>
          <w:color w:val="auto"/>
        </w:rPr>
        <w:t>Company Approved Departure</w:t>
      </w:r>
      <w:r>
        <w:rPr>
          <w:rFonts w:ascii="Arial" w:cs="Arial" w:eastAsia="Arial" w:hAnsi="Arial"/>
          <w:sz w:val="18"/>
          <w:szCs w:val="18"/>
          <w:color w:val="auto"/>
        </w:rPr>
        <w:t>”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342" w:lineRule="exact"/>
        <w:rPr>
          <w:sz w:val="20"/>
          <w:szCs w:val="20"/>
          <w:color w:val="auto"/>
        </w:rPr>
      </w:pPr>
    </w:p>
    <w:p>
      <w:pPr>
        <w:ind w:right="40" w:firstLine="1202"/>
        <w:spacing w:after="0" w:line="280" w:lineRule="auto"/>
        <w:tabs>
          <w:tab w:leader="none" w:pos="1669"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Retirement</w:t>
      </w:r>
      <w:r>
        <w:rPr>
          <w:rFonts w:ascii="Arial" w:cs="Arial" w:eastAsia="Arial" w:hAnsi="Arial"/>
          <w:sz w:val="18"/>
          <w:szCs w:val="18"/>
          <w:color w:val="auto"/>
        </w:rPr>
        <w:t>. (</w:t>
      </w:r>
      <w:r>
        <w:rPr>
          <w:rFonts w:ascii="Arial" w:cs="Arial" w:eastAsia="Arial" w:hAnsi="Arial"/>
          <w:sz w:val="18"/>
          <w:szCs w:val="18"/>
          <w:u w:val="single" w:color="auto"/>
          <w:color w:val="auto"/>
        </w:rPr>
        <w:t>A</w:t>
      </w:r>
      <w:r>
        <w:rPr>
          <w:rFonts w:ascii="Arial" w:cs="Arial" w:eastAsia="Arial" w:hAnsi="Arial"/>
          <w:sz w:val="18"/>
          <w:szCs w:val="18"/>
          <w:color w:val="auto"/>
        </w:rPr>
        <w:t>) If a Participant’s employment or service terminates prior to the Vesting Date by reason of a Participant’s Qualifying Permanent Retirement (as defined below), provided that such termination occurs on or after March 31 (or if March 31 is not a business day, the last business day prior to March 31) of the first fiscal year of the Performance Period, the unvested Restricted Stock Units shall vest in accordance with Section 2(a) based on actual achievement of the Performance Goals as if the Participant’s employment or service had not terminated; (</w:t>
      </w:r>
      <w:r>
        <w:rPr>
          <w:rFonts w:ascii="Arial" w:cs="Arial" w:eastAsia="Arial" w:hAnsi="Arial"/>
          <w:sz w:val="18"/>
          <w:szCs w:val="18"/>
          <w:u w:val="single" w:color="auto"/>
          <w:color w:val="auto"/>
        </w:rPr>
        <w:t>B</w:t>
      </w:r>
      <w:r>
        <w:rPr>
          <w:rFonts w:ascii="Arial" w:cs="Arial" w:eastAsia="Arial" w:hAnsi="Arial"/>
          <w:sz w:val="18"/>
          <w:szCs w:val="18"/>
          <w:color w:val="auto"/>
        </w:rPr>
        <w:t>) if a Participant’s employment or service terminates prior to March 31 (or if March 31 is not a business day, the last business day prior to March 31) of the first fiscal year of the Performance Period by reason of a Participant’s retirement (notwithstanding that such retirement may otherwise qualify as a Qualifying Permanent Retirement), all unvested Restricted Stock Units shall immediately be forfeited as of the termination date; and (</w:t>
      </w:r>
      <w:r>
        <w:rPr>
          <w:rFonts w:ascii="Arial" w:cs="Arial" w:eastAsia="Arial" w:hAnsi="Arial"/>
          <w:sz w:val="18"/>
          <w:szCs w:val="18"/>
          <w:u w:val="single" w:color="auto"/>
          <w:color w:val="auto"/>
        </w:rPr>
        <w:t>C</w:t>
      </w:r>
      <w:r>
        <w:rPr>
          <w:rFonts w:ascii="Arial" w:cs="Arial" w:eastAsia="Arial" w:hAnsi="Arial"/>
          <w:sz w:val="18"/>
          <w:szCs w:val="18"/>
          <w:color w:val="auto"/>
        </w:rPr>
        <w:t>) if a Participant’s employment or service terminates at any point prior to the Vesting Date by reason of a Participant’s retirement that at any point during the Performance Period does not constitute a Qualifying Permanent Retirement, all unvested Restricted Stock Units shall immediately be forfeited as of the termination date or, if later, the date such retirement does not constitute a Qualifying Permanent Retirement. Vested Restricted Stock Units shall be settled as set forth in Section 3. “</w:t>
      </w:r>
      <w:r>
        <w:rPr>
          <w:rFonts w:ascii="Arial" w:cs="Arial" w:eastAsia="Arial" w:hAnsi="Arial"/>
          <w:sz w:val="18"/>
          <w:szCs w:val="18"/>
          <w:u w:val="single" w:color="auto"/>
          <w:color w:val="auto"/>
        </w:rPr>
        <w:t>Qualifying Permanent Retirement</w:t>
      </w:r>
      <w:r>
        <w:rPr>
          <w:rFonts w:ascii="Arial" w:cs="Arial" w:eastAsia="Arial" w:hAnsi="Arial"/>
          <w:sz w:val="18"/>
          <w:szCs w:val="18"/>
          <w:color w:val="auto"/>
        </w:rPr>
        <w:t>” means a termination of the Participant’s employment or service by reason of a retirement (</w:t>
      </w:r>
      <w:r>
        <w:rPr>
          <w:rFonts w:ascii="Arial" w:cs="Arial" w:eastAsia="Arial" w:hAnsi="Arial"/>
          <w:sz w:val="18"/>
          <w:szCs w:val="18"/>
          <w:u w:val="single" w:color="auto"/>
          <w:color w:val="auto"/>
        </w:rPr>
        <w:t>I</w:t>
      </w:r>
      <w:r>
        <w:rPr>
          <w:rFonts w:ascii="Arial" w:cs="Arial" w:eastAsia="Arial" w:hAnsi="Arial"/>
          <w:sz w:val="18"/>
          <w:szCs w:val="18"/>
          <w:color w:val="auto"/>
        </w:rPr>
        <w:t>) in accordance with the applicable Company retirement policy (as may be amended from time to time) and (</w:t>
      </w:r>
      <w:r>
        <w:rPr>
          <w:rFonts w:ascii="Arial" w:cs="Arial" w:eastAsia="Arial" w:hAnsi="Arial"/>
          <w:sz w:val="18"/>
          <w:szCs w:val="18"/>
          <w:u w:val="single" w:color="auto"/>
          <w:color w:val="auto"/>
        </w:rPr>
        <w:t>II</w:t>
      </w:r>
      <w:r>
        <w:rPr>
          <w:rFonts w:ascii="Arial" w:cs="Arial" w:eastAsia="Arial" w:hAnsi="Arial"/>
          <w:sz w:val="18"/>
          <w:szCs w:val="18"/>
          <w:color w:val="auto"/>
        </w:rPr>
        <w:t>) that is a permanent retirement from all current and future employment, including but not limited to self-employment, unless such employment is approved by the Company in writing in advance of the Participant commencing such employment.</w:t>
      </w:r>
    </w:p>
    <w:p>
      <w:pPr>
        <w:spacing w:after="0" w:line="358" w:lineRule="exact"/>
        <w:rPr>
          <w:rFonts w:ascii="Arial" w:cs="Arial" w:eastAsia="Arial" w:hAnsi="Arial"/>
          <w:sz w:val="18"/>
          <w:szCs w:val="18"/>
          <w:color w:val="auto"/>
        </w:rPr>
      </w:pPr>
    </w:p>
    <w:p>
      <w:pPr>
        <w:ind w:right="40" w:firstLine="1202"/>
        <w:spacing w:after="0" w:line="256" w:lineRule="auto"/>
        <w:tabs>
          <w:tab w:leader="none" w:pos="1657"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Stock issued in settlement of any Restricted Stock Units.</w:t>
      </w:r>
    </w:p>
    <w:p>
      <w:pPr>
        <w:spacing w:after="0" w:line="368" w:lineRule="exact"/>
        <w:rPr>
          <w:rFonts w:ascii="Arial" w:cs="Arial" w:eastAsia="Arial" w:hAnsi="Arial"/>
          <w:sz w:val="20"/>
          <w:szCs w:val="20"/>
          <w:color w:val="auto"/>
        </w:rPr>
      </w:pPr>
    </w:p>
    <w:p>
      <w:pPr>
        <w:ind w:right="100" w:firstLine="1202"/>
        <w:spacing w:after="0" w:line="268" w:lineRule="auto"/>
        <w:tabs>
          <w:tab w:leader="none" w:pos="1602"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Termination for Any Other Reason</w:t>
      </w:r>
      <w:r>
        <w:rPr>
          <w:rFonts w:ascii="Arial" w:cs="Arial" w:eastAsia="Arial" w:hAnsi="Arial"/>
          <w:sz w:val="20"/>
          <w:szCs w:val="20"/>
          <w:color w:val="auto"/>
        </w:rPr>
        <w:t>. If a Participant’s employment terminates for any reason other than death, Disability, in a Company Approved Departure, in a Qualifying Permanent Retirement or by the Company for Cause, all unvested Restricted Stock Units shall immediately be forfeited.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56" w:right="239" w:bottom="1440" w:gutter="0" w:footer="0" w:header="0"/>
        </w:sectPr>
      </w:pPr>
    </w:p>
    <w:bookmarkStart w:id="138" w:name="page139"/>
    <w:bookmarkEnd w:id="138"/>
    <w:p>
      <w:pPr>
        <w:ind w:left="-60" w:firstLine="601"/>
        <w:spacing w:after="0" w:line="281" w:lineRule="auto"/>
        <w:tabs>
          <w:tab w:leader="none" w:pos="93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of a Change in Control prior to the Vesting Date, notwithstanding anything in Article XIII of the Plan to the contrary, an amount of Restricted Stock Units equal to the Target Award shall remain outstanding and shall vest on the Vesting Date, subject to the continued employment or service of the Participant by the Company or any Subsidiary thereof through such date, but without regard to achievement of any Performance Goals;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Participant’s employment or service is terminated by the Company without Cause or for Good Reason (each, a “</w:t>
      </w:r>
      <w:r>
        <w:rPr>
          <w:rFonts w:ascii="Arial" w:cs="Arial" w:eastAsia="Arial" w:hAnsi="Arial"/>
          <w:sz w:val="18"/>
          <w:szCs w:val="18"/>
          <w:u w:val="single" w:color="auto"/>
          <w:color w:val="auto"/>
        </w:rPr>
        <w:t>Qualifying CIC Termination</w:t>
      </w:r>
      <w:r>
        <w:rPr>
          <w:rFonts w:ascii="Arial" w:cs="Arial" w:eastAsia="Arial" w:hAnsi="Arial"/>
          <w:sz w:val="18"/>
          <w:szCs w:val="18"/>
          <w:color w:val="auto"/>
        </w:rPr>
        <w:t>”) within two (2) years following the effective date of the Change in Control, such outstanding Restricted Stock Units shall vest as of the date of such Qualifying CIC Termination. Vested Restricted Stock Units shall be settled as set forth in Section 3.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means (</w:t>
      </w:r>
      <w:r>
        <w:rPr>
          <w:rFonts w:ascii="Arial" w:cs="Arial" w:eastAsia="Arial" w:hAnsi="Arial"/>
          <w:sz w:val="18"/>
          <w:szCs w:val="18"/>
          <w:u w:val="single" w:color="auto"/>
          <w:color w:val="auto"/>
        </w:rPr>
        <w:t>i</w:t>
      </w:r>
      <w:r>
        <w:rPr>
          <w:rFonts w:ascii="Arial" w:cs="Arial" w:eastAsia="Arial" w:hAnsi="Arial"/>
          <w:sz w:val="18"/>
          <w:szCs w:val="18"/>
          <w:color w:val="auto"/>
        </w:rPr>
        <w:t>) if a Participant is a party to an employment or service agreement with the Company and such agreement provides for a definition of Good Reason, the definition contained therein; or (</w:t>
      </w:r>
      <w:r>
        <w:rPr>
          <w:rFonts w:ascii="Arial" w:cs="Arial" w:eastAsia="Arial" w:hAnsi="Arial"/>
          <w:sz w:val="18"/>
          <w:szCs w:val="18"/>
          <w:u w:val="single" w:color="auto"/>
          <w:color w:val="auto"/>
        </w:rPr>
        <w:t>ii</w:t>
      </w:r>
      <w:r>
        <w:rPr>
          <w:rFonts w:ascii="Arial" w:cs="Arial" w:eastAsia="Arial" w:hAnsi="Arial"/>
          <w:sz w:val="18"/>
          <w:szCs w:val="18"/>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w:t>
      </w:r>
      <w:r>
        <w:rPr>
          <w:rFonts w:ascii="Arial" w:cs="Arial" w:eastAsia="Arial" w:hAnsi="Arial"/>
          <w:sz w:val="18"/>
          <w:szCs w:val="18"/>
          <w:u w:val="single" w:color="auto"/>
          <w:color w:val="auto"/>
        </w:rPr>
        <w:t>A</w:t>
      </w:r>
      <w:r>
        <w:rPr>
          <w:rFonts w:ascii="Arial" w:cs="Arial" w:eastAsia="Arial" w:hAnsi="Arial"/>
          <w:sz w:val="18"/>
          <w:szCs w:val="18"/>
          <w:color w:val="auto"/>
        </w:rPr>
        <w:t>) any material, adverse change in the Participant’s duties, responsibilities or authority; (</w:t>
      </w:r>
      <w:r>
        <w:rPr>
          <w:rFonts w:ascii="Arial" w:cs="Arial" w:eastAsia="Arial" w:hAnsi="Arial"/>
          <w:sz w:val="18"/>
          <w:szCs w:val="18"/>
          <w:u w:val="single" w:color="auto"/>
          <w:color w:val="auto"/>
        </w:rPr>
        <w:t>B</w:t>
      </w:r>
      <w:r>
        <w:rPr>
          <w:rFonts w:ascii="Arial" w:cs="Arial" w:eastAsia="Arial" w:hAnsi="Arial"/>
          <w:sz w:val="18"/>
          <w:szCs w:val="18"/>
          <w:color w:val="auto"/>
        </w:rPr>
        <w:t>) a material reduction in the Participant’s base salary or bonus opportunity; or (</w:t>
      </w:r>
      <w:r>
        <w:rPr>
          <w:rFonts w:ascii="Arial" w:cs="Arial" w:eastAsia="Arial" w:hAnsi="Arial"/>
          <w:sz w:val="18"/>
          <w:szCs w:val="18"/>
          <w:u w:val="single" w:color="auto"/>
          <w:color w:val="auto"/>
        </w:rPr>
        <w:t>C</w:t>
      </w:r>
      <w:r>
        <w:rPr>
          <w:rFonts w:ascii="Arial" w:cs="Arial" w:eastAsia="Arial" w:hAnsi="Arial"/>
          <w:sz w:val="18"/>
          <w:szCs w:val="18"/>
          <w:color w:val="auto"/>
        </w:rPr>
        <w:t>) a geographical relocation of the Participant’s principal office location by more than fifty (50) miles (other than a temporary geographical relocation for business reasons).</w:t>
      </w:r>
    </w:p>
    <w:p>
      <w:pPr>
        <w:spacing w:after="0" w:line="349" w:lineRule="exact"/>
        <w:rPr>
          <w:rFonts w:ascii="Arial" w:cs="Arial" w:eastAsia="Arial" w:hAnsi="Arial"/>
          <w:sz w:val="18"/>
          <w:szCs w:val="18"/>
          <w:color w:val="auto"/>
        </w:rPr>
      </w:pPr>
    </w:p>
    <w:p>
      <w:pPr>
        <w:ind w:left="-60" w:right="180" w:firstLine="601"/>
        <w:spacing w:after="0" w:line="293" w:lineRule="auto"/>
        <w:tabs>
          <w:tab w:leader="none" w:pos="94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Other Forfeiture Provisions</w:t>
      </w:r>
      <w:r>
        <w:rPr>
          <w:rFonts w:ascii="Arial" w:cs="Arial" w:eastAsia="Arial" w:hAnsi="Arial"/>
          <w:sz w:val="18"/>
          <w:szCs w:val="18"/>
          <w:color w:val="auto"/>
        </w:rPr>
        <w:t>. The Restricted Stock Units shall also be forfeited and subject to disgorgement and/or repayment to the Company in the event the Participant (</w:t>
      </w:r>
      <w:r>
        <w:rPr>
          <w:rFonts w:ascii="Arial" w:cs="Arial" w:eastAsia="Arial" w:hAnsi="Arial"/>
          <w:sz w:val="18"/>
          <w:szCs w:val="18"/>
          <w:u w:val="single" w:color="auto"/>
          <w:color w:val="auto"/>
        </w:rPr>
        <w:t>i</w:t>
      </w:r>
      <w:r>
        <w:rPr>
          <w:rFonts w:ascii="Arial" w:cs="Arial" w:eastAsia="Arial" w:hAnsi="Arial"/>
          <w:sz w:val="18"/>
          <w:szCs w:val="18"/>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18"/>
          <w:szCs w:val="18"/>
          <w:u w:val="single" w:color="auto"/>
          <w:color w:val="auto"/>
        </w:rPr>
        <w:t>ii</w:t>
      </w:r>
      <w:r>
        <w:rPr>
          <w:rFonts w:ascii="Arial" w:cs="Arial" w:eastAsia="Arial" w:hAnsi="Arial"/>
          <w:sz w:val="18"/>
          <w:szCs w:val="18"/>
          <w:color w:val="auto"/>
        </w:rPr>
        <w:t>) materially violates any restrictive covenant agreement (or any other agreement containing restrictive covenants) that the Participant has entered into with the Company.</w:t>
      </w:r>
    </w:p>
    <w:p>
      <w:pPr>
        <w:spacing w:after="0" w:line="338" w:lineRule="exact"/>
        <w:rPr>
          <w:rFonts w:ascii="Arial" w:cs="Arial" w:eastAsia="Arial" w:hAnsi="Arial"/>
          <w:sz w:val="18"/>
          <w:szCs w:val="18"/>
          <w:color w:val="auto"/>
        </w:rPr>
      </w:pPr>
    </w:p>
    <w:p>
      <w:pPr>
        <w:ind w:left="-60" w:right="60" w:firstLine="601"/>
        <w:spacing w:after="0" w:line="256" w:lineRule="auto"/>
        <w:tabs>
          <w:tab w:leader="none" w:pos="93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Committee Discretion</w:t>
      </w:r>
      <w:r>
        <w:rPr>
          <w:rFonts w:ascii="Arial" w:cs="Arial" w:eastAsia="Arial" w:hAnsi="Arial"/>
          <w:sz w:val="20"/>
          <w:szCs w:val="20"/>
          <w:color w:val="auto"/>
        </w:rPr>
        <w:t xml:space="preserve">.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such waiver or acceleration of vesting shall not change the settlement date of the Restricted Stock Units provided in Section 3 of this Agreement;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the Administrator shall not waive satisfaction of the Performance Goals with respect to a Participant who is a “covered employee” as defined in Section 162(m)(3) of the Code.</w:t>
      </w:r>
    </w:p>
    <w:p>
      <w:pPr>
        <w:spacing w:after="0" w:line="368" w:lineRule="exact"/>
        <w:rPr>
          <w:rFonts w:ascii="Arial" w:cs="Arial" w:eastAsia="Arial" w:hAnsi="Arial"/>
          <w:sz w:val="20"/>
          <w:szCs w:val="20"/>
          <w:color w:val="auto"/>
        </w:rPr>
      </w:pPr>
    </w:p>
    <w:p>
      <w:pPr>
        <w:ind w:left="-60" w:right="260" w:firstLine="601"/>
        <w:spacing w:after="0" w:line="299" w:lineRule="auto"/>
        <w:tabs>
          <w:tab w:leader="none" w:pos="90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Post-Termination Informational Requirements</w:t>
      </w:r>
      <w:r>
        <w:rPr>
          <w:rFonts w:ascii="Arial" w:cs="Arial" w:eastAsia="Arial" w:hAnsi="Arial"/>
          <w:sz w:val="18"/>
          <w:szCs w:val="18"/>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2(b)(iii), 2(b)(iv) or 2(d) apply. Such representations and documents may include tax returns and all other relevant information and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300" w:top="557" w:right="279" w:bottom="1440" w:gutter="0" w:footer="0" w:header="0"/>
        </w:sectPr>
      </w:pPr>
    </w:p>
    <w:bookmarkStart w:id="139" w:name="page140"/>
    <w:bookmarkEnd w:id="139"/>
    <w:p>
      <w:pPr>
        <w:ind w:right="20"/>
        <w:spacing w:after="0" w:line="271" w:lineRule="auto"/>
        <w:rPr>
          <w:sz w:val="20"/>
          <w:szCs w:val="20"/>
          <w:color w:val="auto"/>
        </w:rPr>
      </w:pPr>
      <w:r>
        <w:rPr>
          <w:rFonts w:ascii="Arial" w:cs="Arial" w:eastAsia="Arial" w:hAnsi="Arial"/>
          <w:sz w:val="19"/>
          <w:szCs w:val="19"/>
          <w:color w:val="auto"/>
        </w:rPr>
        <w:t>records from which the Company can determine the current or former employment status of the Participant during the Performance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9"/>
          <w:szCs w:val="19"/>
          <w:u w:val="single" w:color="auto"/>
          <w:color w:val="auto"/>
        </w:rPr>
        <w:t>i</w:t>
      </w:r>
      <w:r>
        <w:rPr>
          <w:rFonts w:ascii="Arial" w:cs="Arial" w:eastAsia="Arial" w:hAnsi="Arial"/>
          <w:sz w:val="19"/>
          <w:szCs w:val="19"/>
          <w:color w:val="auto"/>
        </w:rPr>
        <w:t>) ninety (90) calendar days after the issue of a request from the Company for such information and (</w:t>
      </w:r>
      <w:r>
        <w:rPr>
          <w:rFonts w:ascii="Arial" w:cs="Arial" w:eastAsia="Arial" w:hAnsi="Arial"/>
          <w:sz w:val="19"/>
          <w:szCs w:val="19"/>
          <w:u w:val="single" w:color="auto"/>
          <w:color w:val="auto"/>
        </w:rPr>
        <w:t>ii</w:t>
      </w:r>
      <w:r>
        <w:rPr>
          <w:rFonts w:ascii="Arial" w:cs="Arial" w:eastAsia="Arial" w:hAnsi="Arial"/>
          <w:sz w:val="19"/>
          <w:szCs w:val="19"/>
          <w:color w:val="auto"/>
        </w:rPr>
        <w:t>) December 31 of the calendar year in which the Vesting Date occurs.</w:t>
      </w:r>
    </w:p>
    <w:p>
      <w:pPr>
        <w:spacing w:after="0" w:line="356" w:lineRule="exact"/>
        <w:rPr>
          <w:sz w:val="20"/>
          <w:szCs w:val="20"/>
          <w:color w:val="auto"/>
        </w:rPr>
      </w:pPr>
    </w:p>
    <w:p>
      <w:pPr>
        <w:ind w:left="920" w:hanging="319"/>
        <w:spacing w:after="0"/>
        <w:tabs>
          <w:tab w:leader="none" w:pos="92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Administrator Certification; Settlement of Restricted Stock Units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120" w:firstLine="601"/>
        <w:spacing w:after="0" w:line="256" w:lineRule="auto"/>
        <w:tabs>
          <w:tab w:leader="none" w:pos="99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Certification</w:t>
      </w:r>
      <w:r>
        <w:rPr>
          <w:rFonts w:ascii="Arial" w:cs="Arial" w:eastAsia="Arial" w:hAnsi="Arial"/>
          <w:sz w:val="20"/>
          <w:szCs w:val="20"/>
          <w:color w:val="auto"/>
        </w:rPr>
        <w:t>. As soon as practicable following completion of the Performance Period, the Administrator will review and certify in writing (</w:t>
      </w:r>
      <w:r>
        <w:rPr>
          <w:rFonts w:ascii="Arial" w:cs="Arial" w:eastAsia="Arial" w:hAnsi="Arial"/>
          <w:sz w:val="20"/>
          <w:szCs w:val="20"/>
          <w:u w:val="single" w:color="auto"/>
          <w:color w:val="auto"/>
        </w:rPr>
        <w:t>i</w:t>
      </w:r>
      <w:r>
        <w:rPr>
          <w:rFonts w:ascii="Arial" w:cs="Arial" w:eastAsia="Arial" w:hAnsi="Arial"/>
          <w:sz w:val="20"/>
          <w:szCs w:val="20"/>
          <w:color w:val="auto"/>
        </w:rPr>
        <w:t>) whether, and to what extent, the Performance Goals for the Performance Period have been achieved, in whole or in part, and (</w:t>
      </w:r>
      <w:r>
        <w:rPr>
          <w:rFonts w:ascii="Arial" w:cs="Arial" w:eastAsia="Arial" w:hAnsi="Arial"/>
          <w:sz w:val="20"/>
          <w:szCs w:val="20"/>
          <w:u w:val="single" w:color="auto"/>
          <w:color w:val="auto"/>
        </w:rPr>
        <w:t>ii</w:t>
      </w:r>
      <w:r>
        <w:rPr>
          <w:rFonts w:ascii="Arial" w:cs="Arial" w:eastAsia="Arial" w:hAnsi="Arial"/>
          <w:sz w:val="20"/>
          <w:szCs w:val="20"/>
          <w:color w:val="auto"/>
        </w:rPr>
        <w:t>) the number of Restricted Stock Units that the Participant shall earn, if any, subject to compliance with the requirements of Section 2 (the “</w:t>
      </w:r>
      <w:r>
        <w:rPr>
          <w:rFonts w:ascii="Arial" w:cs="Arial" w:eastAsia="Arial" w:hAnsi="Arial"/>
          <w:sz w:val="20"/>
          <w:szCs w:val="20"/>
          <w:u w:val="single" w:color="auto"/>
          <w:color w:val="auto"/>
        </w:rPr>
        <w:t>Administrator Certification</w:t>
      </w:r>
      <w:r>
        <w:rPr>
          <w:rFonts w:ascii="Arial" w:cs="Arial" w:eastAsia="Arial" w:hAnsi="Arial"/>
          <w:sz w:val="20"/>
          <w:szCs w:val="20"/>
          <w:color w:val="auto"/>
        </w:rPr>
        <w:t>”). All determinations of whether the Performance Goals have been achieved, the number of Restricted Stock Units earned by the Participant, and all other matters related to this Section 3(a) shall be made by the Administrator in its sole discretion and shall be final, conclusive and binding on the Participant.</w:t>
      </w:r>
    </w:p>
    <w:p>
      <w:pPr>
        <w:spacing w:after="0" w:line="368" w:lineRule="exact"/>
        <w:rPr>
          <w:rFonts w:ascii="Arial" w:cs="Arial" w:eastAsia="Arial" w:hAnsi="Arial"/>
          <w:sz w:val="20"/>
          <w:szCs w:val="20"/>
          <w:color w:val="auto"/>
        </w:rPr>
      </w:pPr>
    </w:p>
    <w:p>
      <w:pPr>
        <w:ind w:firstLine="601"/>
        <w:spacing w:after="0" w:line="266" w:lineRule="auto"/>
        <w:tabs>
          <w:tab w:leader="none" w:pos="100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Settlement of Restricted Stock Units</w:t>
      </w:r>
      <w:r>
        <w:rPr>
          <w:rFonts w:ascii="Arial" w:cs="Arial" w:eastAsia="Arial" w:hAnsi="Arial"/>
          <w:sz w:val="19"/>
          <w:szCs w:val="19"/>
          <w:color w:val="auto"/>
        </w:rPr>
        <w:t>. Subject to Sections 8(d), 2(f) and 3(a), the Company shall deliver to the Participant one share of Company Common Stock (or the value thereof) in settlement of each Restricted Stock Unit that has become earned and vested as provided in Section 2 on the first to occur of the following: (</w:t>
      </w:r>
      <w:r>
        <w:rPr>
          <w:rFonts w:ascii="Arial" w:cs="Arial" w:eastAsia="Arial" w:hAnsi="Arial"/>
          <w:sz w:val="19"/>
          <w:szCs w:val="19"/>
          <w:u w:val="single" w:color="auto"/>
          <w:color w:val="auto"/>
        </w:rPr>
        <w:t>i</w:t>
      </w:r>
      <w:r>
        <w:rPr>
          <w:rFonts w:ascii="Arial" w:cs="Arial" w:eastAsia="Arial" w:hAnsi="Arial"/>
          <w:sz w:val="19"/>
          <w:szCs w:val="19"/>
          <w:color w:val="auto"/>
        </w:rPr>
        <w:t>) on or as soon as practicable following the date of the Administrator Certification (but in no event later than 2½ months after the Vesting Date); (</w:t>
      </w:r>
      <w:r>
        <w:rPr>
          <w:rFonts w:ascii="Arial" w:cs="Arial" w:eastAsia="Arial" w:hAnsi="Arial"/>
          <w:sz w:val="19"/>
          <w:szCs w:val="19"/>
          <w:u w:val="single" w:color="auto"/>
          <w:color w:val="auto"/>
        </w:rPr>
        <w:t>ii</w:t>
      </w:r>
      <w:r>
        <w:rPr>
          <w:rFonts w:ascii="Arial" w:cs="Arial" w:eastAsia="Arial" w:hAnsi="Arial"/>
          <w:sz w:val="19"/>
          <w:szCs w:val="19"/>
          <w:color w:val="auto"/>
        </w:rPr>
        <w:t>) in the event of a termination of employment or service due to death, as soon as practicable following the Participant’s termination of employment or service by reason of death; (</w:t>
      </w:r>
      <w:r>
        <w:rPr>
          <w:rFonts w:ascii="Arial" w:cs="Arial" w:eastAsia="Arial" w:hAnsi="Arial"/>
          <w:sz w:val="19"/>
          <w:szCs w:val="19"/>
          <w:u w:val="single" w:color="auto"/>
          <w:color w:val="auto"/>
        </w:rPr>
        <w:t>iii</w:t>
      </w:r>
      <w:r>
        <w:rPr>
          <w:rFonts w:ascii="Arial" w:cs="Arial" w:eastAsia="Arial" w:hAnsi="Arial"/>
          <w:sz w:val="19"/>
          <w:szCs w:val="19"/>
          <w:color w:val="auto"/>
        </w:rPr>
        <w:t>) in the event of a Qualifying CIC Termination, within thirty (30) days following the effective date of the Participant’s Qualifying CIC Termination, in each case (</w:t>
      </w:r>
      <w:r>
        <w:rPr>
          <w:rFonts w:ascii="Arial" w:cs="Arial" w:eastAsia="Arial" w:hAnsi="Arial"/>
          <w:sz w:val="19"/>
          <w:szCs w:val="19"/>
          <w:u w:val="single" w:color="auto"/>
          <w:color w:val="auto"/>
        </w:rPr>
        <w:t>A</w:t>
      </w:r>
      <w:r>
        <w:rPr>
          <w:rFonts w:ascii="Arial" w:cs="Arial" w:eastAsia="Arial" w:hAnsi="Arial"/>
          <w:sz w:val="19"/>
          <w:szCs w:val="19"/>
          <w:color w:val="auto"/>
        </w:rPr>
        <w:t>) in Company Common Stock by either, (</w:t>
      </w:r>
      <w:r>
        <w:rPr>
          <w:rFonts w:ascii="Arial" w:cs="Arial" w:eastAsia="Arial" w:hAnsi="Arial"/>
          <w:sz w:val="19"/>
          <w:szCs w:val="19"/>
          <w:u w:val="single" w:color="auto"/>
          <w:color w:val="auto"/>
        </w:rPr>
        <w:t>x</w:t>
      </w:r>
      <w:r>
        <w:rPr>
          <w:rFonts w:ascii="Arial" w:cs="Arial" w:eastAsia="Arial" w:hAnsi="Arial"/>
          <w:sz w:val="19"/>
          <w:szCs w:val="19"/>
          <w:color w:val="auto"/>
        </w:rPr>
        <w:t>) issuing one or more certificates evidencing the Company Common Stock to the Participant or (</w:t>
      </w:r>
      <w:r>
        <w:rPr>
          <w:rFonts w:ascii="Arial" w:cs="Arial" w:eastAsia="Arial" w:hAnsi="Arial"/>
          <w:sz w:val="19"/>
          <w:szCs w:val="19"/>
          <w:u w:val="single" w:color="auto"/>
          <w:color w:val="auto"/>
        </w:rPr>
        <w:t>y</w:t>
      </w:r>
      <w:r>
        <w:rPr>
          <w:rFonts w:ascii="Arial" w:cs="Arial" w:eastAsia="Arial" w:hAnsi="Arial"/>
          <w:sz w:val="19"/>
          <w:szCs w:val="19"/>
          <w:color w:val="auto"/>
        </w:rPr>
        <w:t>) registering the issuance of the Stock in the name of the Participant through a book entry credit in the records of the Company’s transfer agent, or (</w:t>
      </w:r>
      <w:r>
        <w:rPr>
          <w:rFonts w:ascii="Arial" w:cs="Arial" w:eastAsia="Arial" w:hAnsi="Arial"/>
          <w:sz w:val="19"/>
          <w:szCs w:val="19"/>
          <w:u w:val="single" w:color="auto"/>
          <w:color w:val="auto"/>
        </w:rPr>
        <w:t>B</w:t>
      </w:r>
      <w:r>
        <w:rPr>
          <w:rFonts w:ascii="Arial" w:cs="Arial" w:eastAsia="Arial" w:hAnsi="Arial"/>
          <w:sz w:val="19"/>
          <w:szCs w:val="19"/>
          <w:color w:val="auto"/>
        </w:rPr>
        <w:t>) in the event of settlement upon a Change in Control, a cash payment equal to the Change in Control Price, multiplied by the number of vested Restricted Stock Units. No fractional shares of Company Common Stock shall be issued in settlement of Restricted Stock Units. Fractional Restricted Stock Units shall be settled through a cash payment equal to the Fair Market Value of the Company Common Stock on the settlement date.</w:t>
      </w:r>
    </w:p>
    <w:p>
      <w:pPr>
        <w:spacing w:after="0" w:line="361" w:lineRule="exact"/>
        <w:rPr>
          <w:sz w:val="20"/>
          <w:szCs w:val="20"/>
          <w:color w:val="auto"/>
        </w:rPr>
      </w:pPr>
    </w:p>
    <w:p>
      <w:pPr>
        <w:ind w:right="80" w:firstLine="601"/>
        <w:spacing w:after="0" w:line="256" w:lineRule="auto"/>
        <w:tabs>
          <w:tab w:leader="none" w:pos="918"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Securities Law Compliance</w:t>
      </w:r>
      <w:r>
        <w:rPr>
          <w:rFonts w:ascii="Arial" w:cs="Arial" w:eastAsia="Arial" w:hAnsi="Arial"/>
          <w:sz w:val="20"/>
          <w:szCs w:val="20"/>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557" w:right="279" w:bottom="1440" w:gutter="0" w:footer="0" w:header="0"/>
        </w:sectPr>
      </w:pPr>
    </w:p>
    <w:bookmarkStart w:id="140" w:name="page141"/>
    <w:bookmarkEnd w:id="140"/>
    <w:p>
      <w:pPr>
        <w:ind w:left="920" w:hanging="319"/>
        <w:spacing w:after="0"/>
        <w:tabs>
          <w:tab w:leader="none" w:pos="92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Participant’s Rights with Respect to the Restricted Stock Units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60" w:firstLine="601"/>
        <w:spacing w:after="0" w:line="272" w:lineRule="auto"/>
        <w:tabs>
          <w:tab w:leader="none" w:pos="99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354" w:lineRule="exact"/>
        <w:rPr>
          <w:rFonts w:ascii="Arial" w:cs="Arial" w:eastAsia="Arial" w:hAnsi="Arial"/>
          <w:sz w:val="19"/>
          <w:szCs w:val="19"/>
          <w:color w:val="auto"/>
        </w:rPr>
      </w:pPr>
    </w:p>
    <w:p>
      <w:pPr>
        <w:ind w:firstLine="601"/>
        <w:spacing w:after="0" w:line="288" w:lineRule="auto"/>
        <w:tabs>
          <w:tab w:leader="none" w:pos="100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339" w:lineRule="exact"/>
        <w:rPr>
          <w:rFonts w:ascii="Arial" w:cs="Arial" w:eastAsia="Arial" w:hAnsi="Arial"/>
          <w:sz w:val="19"/>
          <w:szCs w:val="19"/>
          <w:color w:val="auto"/>
        </w:rPr>
      </w:pPr>
    </w:p>
    <w:p>
      <w:pPr>
        <w:ind w:right="20" w:firstLine="601"/>
        <w:spacing w:after="0" w:line="268" w:lineRule="auto"/>
        <w:tabs>
          <w:tab w:leader="none" w:pos="99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If the Company declares a cash dividend on the shares of Company Common Stock, then the Participant shall be credited with Dividend Equivalents in the form of a right to a cash payment equal to (</w:t>
      </w:r>
      <w:r>
        <w:rPr>
          <w:rFonts w:ascii="Arial" w:cs="Arial" w:eastAsia="Arial" w:hAnsi="Arial"/>
          <w:sz w:val="19"/>
          <w:szCs w:val="19"/>
          <w:u w:val="single" w:color="auto"/>
          <w:color w:val="auto"/>
        </w:rPr>
        <w:t>i</w:t>
      </w:r>
      <w:r>
        <w:rPr>
          <w:rFonts w:ascii="Arial" w:cs="Arial" w:eastAsia="Arial" w:hAnsi="Arial"/>
          <w:sz w:val="19"/>
          <w:szCs w:val="19"/>
          <w:color w:val="auto"/>
        </w:rPr>
        <w:t>) the amount of the dividend declared and paid for each share of Company Common Stock, multiplied by (</w:t>
      </w:r>
      <w:r>
        <w:rPr>
          <w:rFonts w:ascii="Arial" w:cs="Arial" w:eastAsia="Arial" w:hAnsi="Arial"/>
          <w:sz w:val="19"/>
          <w:szCs w:val="19"/>
          <w:u w:val="single" w:color="auto"/>
          <w:color w:val="auto"/>
        </w:rPr>
        <w:t>ii</w:t>
      </w:r>
      <w:r>
        <w:rPr>
          <w:rFonts w:ascii="Arial" w:cs="Arial" w:eastAsia="Arial" w:hAnsi="Arial"/>
          <w:sz w:val="19"/>
          <w:szCs w:val="19"/>
          <w:color w:val="auto"/>
        </w:rPr>
        <w:t>) (</w:t>
      </w:r>
      <w:r>
        <w:rPr>
          <w:rFonts w:ascii="Arial" w:cs="Arial" w:eastAsia="Arial" w:hAnsi="Arial"/>
          <w:sz w:val="19"/>
          <w:szCs w:val="19"/>
          <w:u w:val="single" w:color="auto"/>
          <w:color w:val="auto"/>
        </w:rPr>
        <w:t>x</w:t>
      </w:r>
      <w:r>
        <w:rPr>
          <w:rFonts w:ascii="Arial" w:cs="Arial" w:eastAsia="Arial" w:hAnsi="Arial"/>
          <w:sz w:val="19"/>
          <w:szCs w:val="19"/>
          <w:color w:val="auto"/>
        </w:rPr>
        <w:t>) the number of Restricted Stock Units earned by the Participant as certified by the Administrator pursuant to Section 3(a) or (</w:t>
      </w:r>
      <w:r>
        <w:rPr>
          <w:rFonts w:ascii="Arial" w:cs="Arial" w:eastAsia="Arial" w:hAnsi="Arial"/>
          <w:sz w:val="19"/>
          <w:szCs w:val="19"/>
          <w:u w:val="single" w:color="auto"/>
          <w:color w:val="auto"/>
        </w:rPr>
        <w:t>y</w:t>
      </w:r>
      <w:r>
        <w:rPr>
          <w:rFonts w:ascii="Arial" w:cs="Arial" w:eastAsia="Arial" w:hAnsi="Arial"/>
          <w:sz w:val="19"/>
          <w:szCs w:val="19"/>
          <w:color w:val="auto"/>
        </w:rPr>
        <w:t>) in the case of a termination of employment or service by reason of Death or a Qualifying CIC Termination, the number of Restricted Stock Units equal to the Target Award. Dividend Equivalents shall be subject to the same forfeiture restrictions as the Restricted Stock Units to which they are attributable and shall be paid on the same date the Restricted Stock Units to which they are attributable are settled in accordance with Section 3 hereof. Dividend Equivalents credited to a Participant shall be distributed in cash or, at the discretion of the Administrator, in shares of Company Common Stock having a Fair Market Value equal to the amount of the Dividend Equivalents, if any.</w:t>
      </w:r>
    </w:p>
    <w:p>
      <w:pPr>
        <w:spacing w:after="0" w:line="358" w:lineRule="exact"/>
        <w:rPr>
          <w:sz w:val="20"/>
          <w:szCs w:val="20"/>
          <w:color w:val="auto"/>
        </w:rPr>
      </w:pPr>
    </w:p>
    <w:p>
      <w:pPr>
        <w:ind w:left="920" w:hanging="319"/>
        <w:spacing w:after="0"/>
        <w:tabs>
          <w:tab w:leader="none" w:pos="92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Participant’s Representations, Warranties and Covenants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60" w:firstLine="601"/>
        <w:spacing w:after="0" w:line="254" w:lineRule="auto"/>
        <w:tabs>
          <w:tab w:leader="none" w:pos="99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No Conflicts; No Consents</w:t>
      </w:r>
      <w:r>
        <w:rPr>
          <w:rFonts w:ascii="Arial" w:cs="Arial" w:eastAsia="Arial" w:hAnsi="Arial"/>
          <w:sz w:val="20"/>
          <w:szCs w:val="20"/>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20"/>
          <w:szCs w:val="20"/>
          <w:u w:val="single" w:color="auto"/>
          <w:color w:val="auto"/>
        </w:rPr>
        <w:t>i</w:t>
      </w:r>
      <w:r>
        <w:rPr>
          <w:rFonts w:ascii="Arial" w:cs="Arial" w:eastAsia="Arial" w:hAnsi="Arial"/>
          <w:sz w:val="20"/>
          <w:szCs w:val="20"/>
          <w:color w:val="auto"/>
        </w:rPr>
        <w:t>) materially conflict with or result in a material violation or breach of any term or provision of any Law applicable to either Participant or the Restricted Stock Units or (</w:t>
      </w:r>
      <w:r>
        <w:rPr>
          <w:rFonts w:ascii="Arial" w:cs="Arial" w:eastAsia="Arial" w:hAnsi="Arial"/>
          <w:sz w:val="20"/>
          <w:szCs w:val="20"/>
          <w:u w:val="single" w:color="auto"/>
          <w:color w:val="auto"/>
        </w:rPr>
        <w:t>ii</w:t>
      </w:r>
      <w:r>
        <w:rPr>
          <w:rFonts w:ascii="Arial" w:cs="Arial" w:eastAsia="Arial" w:hAnsi="Arial"/>
          <w:sz w:val="20"/>
          <w:szCs w:val="20"/>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374" w:lineRule="exact"/>
        <w:rPr>
          <w:rFonts w:ascii="Arial" w:cs="Arial" w:eastAsia="Arial" w:hAnsi="Arial"/>
          <w:sz w:val="20"/>
          <w:szCs w:val="20"/>
          <w:color w:val="auto"/>
        </w:rPr>
      </w:pPr>
    </w:p>
    <w:p>
      <w:pPr>
        <w:ind w:right="320" w:firstLine="601"/>
        <w:spacing w:after="0" w:line="288" w:lineRule="auto"/>
        <w:tabs>
          <w:tab w:leader="none" w:pos="1001"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Compliance with Rule 144</w:t>
      </w:r>
      <w:r>
        <w:rPr>
          <w:rFonts w:ascii="Arial" w:cs="Arial" w:eastAsia="Arial" w:hAnsi="Arial"/>
          <w:sz w:val="20"/>
          <w:szCs w:val="20"/>
          <w:color w:val="auto"/>
        </w:rPr>
        <w:t>. If any shares of Company Common Stock issued in respect of the Restricted Stock Units are to be disposed of in accordance with Rule 144, the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56" w:right="239" w:bottom="1440" w:gutter="0" w:footer="0" w:header="0"/>
        </w:sectPr>
      </w:pPr>
    </w:p>
    <w:bookmarkStart w:id="141" w:name="page142"/>
    <w:bookmarkEnd w:id="141"/>
    <w:p>
      <w:pPr>
        <w:spacing w:after="0" w:line="261" w:lineRule="auto"/>
        <w:rPr>
          <w:sz w:val="20"/>
          <w:szCs w:val="20"/>
          <w:color w:val="auto"/>
        </w:rPr>
      </w:pPr>
      <w:r>
        <w:rPr>
          <w:rFonts w:ascii="Arial" w:cs="Arial" w:eastAsia="Arial" w:hAnsi="Arial"/>
          <w:sz w:val="20"/>
          <w:szCs w:val="20"/>
          <w:color w:val="auto"/>
        </w:rPr>
        <w:t>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364" w:lineRule="exact"/>
        <w:rPr>
          <w:sz w:val="20"/>
          <w:szCs w:val="20"/>
          <w:color w:val="auto"/>
        </w:rPr>
      </w:pPr>
    </w:p>
    <w:p>
      <w:pPr>
        <w:ind w:right="460" w:firstLine="601"/>
        <w:spacing w:after="0" w:line="288" w:lineRule="auto"/>
        <w:tabs>
          <w:tab w:leader="none" w:pos="99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Participant Status</w:t>
      </w:r>
      <w:r>
        <w:rPr>
          <w:rFonts w:ascii="Arial" w:cs="Arial" w:eastAsia="Arial" w:hAnsi="Arial"/>
          <w:sz w:val="20"/>
          <w:szCs w:val="20"/>
          <w:color w:val="auto"/>
        </w:rPr>
        <w:t>. The Participant represents and warrants that, as of the date hereof, the Participant is an officer, employee, director or Consultant of the Company or a Subsidiary.</w:t>
      </w:r>
    </w:p>
    <w:p>
      <w:pPr>
        <w:spacing w:after="0" w:line="337" w:lineRule="exact"/>
        <w:rPr>
          <w:sz w:val="20"/>
          <w:szCs w:val="20"/>
          <w:color w:val="auto"/>
        </w:rPr>
      </w:pPr>
    </w:p>
    <w:p>
      <w:pPr>
        <w:ind w:right="100" w:firstLine="601"/>
        <w:spacing w:after="0" w:line="261" w:lineRule="auto"/>
        <w:tabs>
          <w:tab w:leader="none" w:pos="918"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Adjustment in Capitalization</w:t>
      </w:r>
      <w:r>
        <w:rPr>
          <w:rFonts w:ascii="Arial" w:cs="Arial" w:eastAsia="Arial" w:hAnsi="Arial"/>
          <w:sz w:val="20"/>
          <w:szCs w:val="20"/>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363" w:lineRule="exact"/>
        <w:rPr>
          <w:rFonts w:ascii="Arial" w:cs="Arial" w:eastAsia="Arial" w:hAnsi="Arial"/>
          <w:sz w:val="20"/>
          <w:szCs w:val="20"/>
          <w:color w:val="auto"/>
        </w:rPr>
      </w:pPr>
    </w:p>
    <w:p>
      <w:pPr>
        <w:ind w:left="920" w:hanging="319"/>
        <w:spacing w:after="0"/>
        <w:tabs>
          <w:tab w:leader="none" w:pos="92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20" w:firstLine="601"/>
        <w:spacing w:after="0" w:line="261" w:lineRule="auto"/>
        <w:tabs>
          <w:tab w:leader="none" w:pos="990"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Binding Effect; Benefits</w:t>
      </w:r>
      <w:r>
        <w:rPr>
          <w:rFonts w:ascii="Arial" w:cs="Arial" w:eastAsia="Arial" w:hAnsi="Arial"/>
          <w:sz w:val="20"/>
          <w:szCs w:val="20"/>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363" w:lineRule="exact"/>
        <w:rPr>
          <w:rFonts w:ascii="Arial" w:cs="Arial" w:eastAsia="Arial" w:hAnsi="Arial"/>
          <w:sz w:val="20"/>
          <w:szCs w:val="20"/>
          <w:color w:val="auto"/>
        </w:rPr>
      </w:pPr>
    </w:p>
    <w:p>
      <w:pPr>
        <w:ind w:right="220" w:firstLine="601"/>
        <w:spacing w:after="0" w:line="268" w:lineRule="auto"/>
        <w:tabs>
          <w:tab w:leader="none" w:pos="1001"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No Right to Continued Employment</w:t>
      </w:r>
      <w:r>
        <w:rPr>
          <w:rFonts w:ascii="Arial" w:cs="Arial" w:eastAsia="Arial" w:hAnsi="Arial"/>
          <w:sz w:val="20"/>
          <w:szCs w:val="20"/>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pacing w:after="0" w:line="356" w:lineRule="exact"/>
        <w:rPr>
          <w:rFonts w:ascii="Arial" w:cs="Arial" w:eastAsia="Arial" w:hAnsi="Arial"/>
          <w:sz w:val="20"/>
          <w:szCs w:val="20"/>
          <w:color w:val="auto"/>
        </w:rPr>
      </w:pPr>
    </w:p>
    <w:p>
      <w:pPr>
        <w:ind w:right="40" w:firstLine="601"/>
        <w:spacing w:after="0" w:line="268" w:lineRule="auto"/>
        <w:tabs>
          <w:tab w:leader="none" w:pos="990"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357" w:lineRule="exact"/>
        <w:rPr>
          <w:rFonts w:ascii="Arial" w:cs="Arial" w:eastAsia="Arial" w:hAnsi="Arial"/>
          <w:sz w:val="19"/>
          <w:szCs w:val="19"/>
          <w:color w:val="auto"/>
        </w:rPr>
      </w:pPr>
    </w:p>
    <w:p>
      <w:pPr>
        <w:ind w:right="40" w:firstLine="601"/>
        <w:spacing w:after="0" w:line="268" w:lineRule="auto"/>
        <w:tabs>
          <w:tab w:leader="none" w:pos="1001"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Whenever any cash or other payment is to be made hereunder or with respect to the Restricted Stock Units, the Company or any Subsidiary shall have the power to withhold an amount (in cash, Restricted Stock Units or in Company Common Stock issuable upon settlement of Restricted Stock Units or from other amounts paid to the Participant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557" w:right="279" w:bottom="1440" w:gutter="0" w:footer="0" w:header="0"/>
        </w:sectPr>
      </w:pPr>
    </w:p>
    <w:bookmarkStart w:id="142" w:name="page143"/>
    <w:bookmarkEnd w:id="142"/>
    <w:p>
      <w:pPr>
        <w:ind w:right="60"/>
        <w:spacing w:after="0" w:line="264" w:lineRule="auto"/>
        <w:rPr>
          <w:sz w:val="20"/>
          <w:szCs w:val="20"/>
          <w:color w:val="auto"/>
        </w:rPr>
      </w:pPr>
      <w:r>
        <w:rPr>
          <w:rFonts w:ascii="Arial" w:cs="Arial" w:eastAsia="Arial" w:hAnsi="Arial"/>
          <w:sz w:val="19"/>
          <w:szCs w:val="19"/>
          <w:color w:val="auto"/>
        </w:rPr>
        <w:t xml:space="preserve">in cash (whether under the Plan or otherwise)) sufficient to satisfy federal, state, and local withholding tax requirements relating to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Company withholds shares issuable to the Participant (or any portion thereof) to satisfy any applicable withholding taxes, the Company shall only withhold a number of whole shares having a Fair Market Value, determined as of the date of vesting, not in excess of the minimum of tax required to be withheld by law (or such lower amount as may be necessary to avoid liability award accounting). The Company may require the recipient of shares of Company Common Stock to remit to the Company an amount in cash sufficient to satisfy the amount of taxes required to be withheld as a condition to the issuance of shares in settlement of the Restricted Stock Units. The Committee may, in its discretion, require the Participant, or permit the Participant to elect, subject to such conditions as the Committee shall impose, to meet such obligations by having the Company withhold or sell the least number of whole shares of Company Common Stock having a Fair Market Value sufficient to satisfy all or part of the amount required to be withheld. The Company or such Subsidiary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 The Participant shall be responsible for all withholding taxes and other tax consequences of this award of Restricted Stock Units.</w:t>
      </w:r>
    </w:p>
    <w:p>
      <w:pPr>
        <w:spacing w:after="0" w:line="368" w:lineRule="exact"/>
        <w:rPr>
          <w:sz w:val="20"/>
          <w:szCs w:val="20"/>
          <w:color w:val="auto"/>
        </w:rPr>
      </w:pPr>
    </w:p>
    <w:p>
      <w:pPr>
        <w:jc w:val="both"/>
        <w:ind w:right="500" w:firstLine="601"/>
        <w:spacing w:after="0" w:line="347" w:lineRule="auto"/>
        <w:tabs>
          <w:tab w:leader="none" w:pos="99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in accordance with and governed by the laws of the State of Delaware, without reference to principles of conflict of laws which would give rise to the application of the substantive law of another jurisdiction.</w:t>
      </w:r>
    </w:p>
    <w:p>
      <w:pPr>
        <w:spacing w:after="0" w:line="290" w:lineRule="exact"/>
        <w:rPr>
          <w:rFonts w:ascii="Arial" w:cs="Arial" w:eastAsia="Arial" w:hAnsi="Arial"/>
          <w:sz w:val="18"/>
          <w:szCs w:val="18"/>
          <w:color w:val="auto"/>
        </w:rPr>
      </w:pPr>
    </w:p>
    <w:p>
      <w:pPr>
        <w:ind w:right="200" w:firstLine="601"/>
        <w:spacing w:after="0" w:line="288" w:lineRule="auto"/>
        <w:tabs>
          <w:tab w:leader="none" w:pos="968"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not be amended, modified or supplemented orally, but only by a written instrument executed by the Participant and the Company.</w:t>
      </w:r>
    </w:p>
    <w:p>
      <w:pPr>
        <w:spacing w:after="0" w:line="336" w:lineRule="exact"/>
        <w:rPr>
          <w:rFonts w:ascii="Arial" w:cs="Arial" w:eastAsia="Arial" w:hAnsi="Arial"/>
          <w:sz w:val="20"/>
          <w:szCs w:val="20"/>
          <w:color w:val="auto"/>
        </w:rPr>
      </w:pPr>
    </w:p>
    <w:p>
      <w:pPr>
        <w:ind w:right="80" w:firstLine="601"/>
        <w:spacing w:after="0" w:line="288" w:lineRule="auto"/>
        <w:tabs>
          <w:tab w:leader="none" w:pos="1001"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Assignability</w:t>
      </w:r>
      <w:r>
        <w:rPr>
          <w:rFonts w:ascii="Arial" w:cs="Arial" w:eastAsia="Arial" w:hAnsi="Arial"/>
          <w:sz w:val="19"/>
          <w:szCs w:val="19"/>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assign all or any portion of its rights or obligations under this Agreement to one or more persons or other entities designated by it.</w:t>
      </w:r>
    </w:p>
    <w:p>
      <w:pPr>
        <w:spacing w:after="0" w:line="339" w:lineRule="exact"/>
        <w:rPr>
          <w:rFonts w:ascii="Arial" w:cs="Arial" w:eastAsia="Arial" w:hAnsi="Arial"/>
          <w:sz w:val="19"/>
          <w:szCs w:val="19"/>
          <w:color w:val="auto"/>
        </w:rPr>
      </w:pPr>
    </w:p>
    <w:p>
      <w:pPr>
        <w:ind w:firstLine="601"/>
        <w:spacing w:after="0" w:line="268" w:lineRule="auto"/>
        <w:tabs>
          <w:tab w:leader="none" w:pos="1001"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Severability; Blue Pencil</w:t>
      </w:r>
      <w:r>
        <w:rPr>
          <w:rFonts w:ascii="Arial" w:cs="Arial" w:eastAsia="Arial" w:hAnsi="Arial"/>
          <w:sz w:val="20"/>
          <w:szCs w:val="20"/>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356" w:lineRule="exact"/>
        <w:rPr>
          <w:rFonts w:ascii="Arial" w:cs="Arial" w:eastAsia="Arial" w:hAnsi="Arial"/>
          <w:sz w:val="20"/>
          <w:szCs w:val="20"/>
          <w:color w:val="auto"/>
        </w:rPr>
      </w:pPr>
    </w:p>
    <w:p>
      <w:pPr>
        <w:ind w:right="40" w:firstLine="601"/>
        <w:spacing w:after="0" w:line="256" w:lineRule="auto"/>
        <w:tabs>
          <w:tab w:leader="none" w:pos="956"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Limitation on Rights; No Right to Future Grants; Extraordinary Item of Compensation</w:t>
      </w:r>
      <w:r>
        <w:rPr>
          <w:rFonts w:ascii="Arial" w:cs="Arial" w:eastAsia="Arial" w:hAnsi="Arial"/>
          <w:sz w:val="20"/>
          <w:szCs w:val="20"/>
          <w:color w:val="auto"/>
        </w:rPr>
        <w:t>. By entering into this Agreement and accepting the Restricted Stock Units evidenced hereby, the Participant acknowledges: (</w:t>
      </w:r>
      <w:r>
        <w:rPr>
          <w:rFonts w:ascii="Arial" w:cs="Arial" w:eastAsia="Arial" w:hAnsi="Arial"/>
          <w:sz w:val="20"/>
          <w:szCs w:val="20"/>
          <w:u w:val="single" w:color="auto"/>
          <w:color w:val="auto"/>
        </w:rPr>
        <w:t>a</w:t>
      </w:r>
      <w:r>
        <w:rPr>
          <w:rFonts w:ascii="Arial" w:cs="Arial" w:eastAsia="Arial" w:hAnsi="Arial"/>
          <w:sz w:val="20"/>
          <w:szCs w:val="20"/>
          <w:color w:val="auto"/>
        </w:rPr>
        <w:t>) that the Plan is discretionary in nature and may be suspended or terminated by the Company at any time; (</w:t>
      </w:r>
      <w:r>
        <w:rPr>
          <w:rFonts w:ascii="Arial" w:cs="Arial" w:eastAsia="Arial" w:hAnsi="Arial"/>
          <w:sz w:val="20"/>
          <w:szCs w:val="20"/>
          <w:u w:val="single" w:color="auto"/>
          <w:color w:val="auto"/>
        </w:rPr>
        <w:t>b</w:t>
      </w:r>
      <w:r>
        <w:rPr>
          <w:rFonts w:ascii="Arial" w:cs="Arial" w:eastAsia="Arial" w:hAnsi="Arial"/>
          <w:sz w:val="20"/>
          <w:szCs w:val="20"/>
          <w:color w:val="auto"/>
        </w:rPr>
        <w:t>) that the Award does not create any contractual or other right to receive future grants of Awards; (</w:t>
      </w:r>
      <w:r>
        <w:rPr>
          <w:rFonts w:ascii="Arial" w:cs="Arial" w:eastAsia="Arial" w:hAnsi="Arial"/>
          <w:sz w:val="20"/>
          <w:szCs w:val="20"/>
          <w:u w:val="single" w:color="auto"/>
          <w:color w:val="auto"/>
        </w:rPr>
        <w:t>c</w:t>
      </w:r>
      <w:r>
        <w:rPr>
          <w:rFonts w:ascii="Arial" w:cs="Arial" w:eastAsia="Arial" w:hAnsi="Arial"/>
          <w:sz w:val="20"/>
          <w:szCs w:val="20"/>
          <w:color w:val="auto"/>
        </w:rPr>
        <w:t>) that participation in the Plan is voluntary; (</w:t>
      </w:r>
      <w:r>
        <w:rPr>
          <w:rFonts w:ascii="Arial" w:cs="Arial" w:eastAsia="Arial" w:hAnsi="Arial"/>
          <w:sz w:val="20"/>
          <w:szCs w:val="20"/>
          <w:u w:val="single" w:color="auto"/>
          <w:color w:val="auto"/>
        </w:rPr>
        <w:t>d</w:t>
      </w:r>
      <w:r>
        <w:rPr>
          <w:rFonts w:ascii="Arial" w:cs="Arial" w:eastAsia="Arial" w:hAnsi="Arial"/>
          <w:sz w:val="20"/>
          <w:szCs w:val="20"/>
          <w:color w:val="auto"/>
        </w:rPr>
        <w:t>) that the value of the Restricted Stock Units is not part of normal or expected compensation for purposes of calculating any severance, resignation, redundancy, end of service payments, bonuses, long-service awards, pension or retirement benefits or similar payments; and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56" w:right="2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w:t>
      </w:r>
      <w:r>
        <w:rPr>
          <w:rFonts w:ascii="Arial" w:cs="Arial" w:eastAsia="Arial" w:hAnsi="Arial"/>
          <w:sz w:val="20"/>
          <w:szCs w:val="20"/>
          <w:color w:val="auto"/>
        </w:rPr>
        <w:t>) that the future value of the Company Common Stock is unknown and cannot be predicted with certainty.</w:t>
      </w:r>
    </w:p>
    <w:p>
      <w:pPr>
        <w:spacing w:after="0" w:line="200" w:lineRule="exact"/>
        <w:rPr>
          <w:sz w:val="20"/>
          <w:szCs w:val="20"/>
          <w:color w:val="auto"/>
        </w:rPr>
      </w:pPr>
    </w:p>
    <w:p>
      <w:pPr>
        <w:spacing w:after="0" w:line="208" w:lineRule="exact"/>
        <w:rPr>
          <w:sz w:val="20"/>
          <w:szCs w:val="20"/>
          <w:color w:val="auto"/>
        </w:rPr>
      </w:pPr>
    </w:p>
    <w:p>
      <w:pPr>
        <w:ind w:firstLine="601"/>
        <w:spacing w:after="0" w:line="275" w:lineRule="auto"/>
        <w:tabs>
          <w:tab w:leader="none" w:pos="956"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By accepting the grant evidenced hereby, the Participant: (</w:t>
      </w:r>
      <w:r>
        <w:rPr>
          <w:rFonts w:ascii="Arial" w:cs="Arial" w:eastAsia="Arial" w:hAnsi="Arial"/>
          <w:sz w:val="19"/>
          <w:szCs w:val="19"/>
          <w:u w:val="single" w:color="auto"/>
          <w:color w:val="auto"/>
        </w:rPr>
        <w:t>a</w:t>
      </w:r>
      <w:r>
        <w:rPr>
          <w:rFonts w:ascii="Arial" w:cs="Arial" w:eastAsia="Arial" w:hAnsi="Arial"/>
          <w:sz w:val="19"/>
          <w:szCs w:val="19"/>
          <w:color w:val="auto"/>
        </w:rPr>
        <w:t>) authorizes the Company and the Participant’s employer, if different, any agent of the Company administering the Plan or providing Plan recordkeeping services, to disclose to the Company or any of its affiliates any information and data the Company requests in order to facilitate the grant of the Award and the administration of the Plan; (</w:t>
      </w:r>
      <w:r>
        <w:rPr>
          <w:rFonts w:ascii="Arial" w:cs="Arial" w:eastAsia="Arial" w:hAnsi="Arial"/>
          <w:sz w:val="19"/>
          <w:szCs w:val="19"/>
          <w:u w:val="single" w:color="auto"/>
          <w:color w:val="auto"/>
        </w:rPr>
        <w:t>b</w:t>
      </w:r>
      <w:r>
        <w:rPr>
          <w:rFonts w:ascii="Arial" w:cs="Arial" w:eastAsia="Arial" w:hAnsi="Arial"/>
          <w:sz w:val="19"/>
          <w:szCs w:val="19"/>
          <w:color w:val="auto"/>
        </w:rPr>
        <w:t>) waives any data privacy rights the Participant may have with respect to such information; and (</w:t>
      </w:r>
      <w:r>
        <w:rPr>
          <w:rFonts w:ascii="Arial" w:cs="Arial" w:eastAsia="Arial" w:hAnsi="Arial"/>
          <w:sz w:val="19"/>
          <w:szCs w:val="19"/>
          <w:u w:val="single" w:color="auto"/>
          <w:color w:val="auto"/>
        </w:rPr>
        <w:t>c</w:t>
      </w:r>
      <w:r>
        <w:rPr>
          <w:rFonts w:ascii="Arial" w:cs="Arial" w:eastAsia="Arial" w:hAnsi="Arial"/>
          <w:sz w:val="19"/>
          <w:szCs w:val="19"/>
          <w:color w:val="auto"/>
        </w:rPr>
        <w:t>) authorizes the Company and its agents to store and transmit such information in electronic form.</w:t>
      </w:r>
    </w:p>
    <w:p>
      <w:pPr>
        <w:spacing w:after="0" w:line="350" w:lineRule="exact"/>
        <w:rPr>
          <w:rFonts w:ascii="Arial" w:cs="Arial" w:eastAsia="Arial" w:hAnsi="Arial"/>
          <w:sz w:val="19"/>
          <w:szCs w:val="19"/>
          <w:color w:val="auto"/>
        </w:rPr>
      </w:pPr>
    </w:p>
    <w:p>
      <w:pPr>
        <w:ind w:right="260" w:firstLine="601"/>
        <w:spacing w:after="0" w:line="258" w:lineRule="auto"/>
        <w:tabs>
          <w:tab w:leader="none" w:pos="1001"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Consent to Electronic Delivery</w:t>
      </w:r>
      <w:r>
        <w:rPr>
          <w:rFonts w:ascii="Arial" w:cs="Arial" w:eastAsia="Arial" w:hAnsi="Arial"/>
          <w:sz w:val="20"/>
          <w:szCs w:val="20"/>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366" w:lineRule="exact"/>
        <w:rPr>
          <w:rFonts w:ascii="Arial" w:cs="Arial" w:eastAsia="Arial" w:hAnsi="Arial"/>
          <w:sz w:val="20"/>
          <w:szCs w:val="20"/>
          <w:color w:val="auto"/>
        </w:rPr>
      </w:pPr>
    </w:p>
    <w:p>
      <w:pPr>
        <w:ind w:right="40" w:firstLine="601"/>
        <w:spacing w:after="0" w:line="270" w:lineRule="auto"/>
        <w:tabs>
          <w:tab w:leader="none" w:pos="956"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357" w:lineRule="exact"/>
        <w:rPr>
          <w:rFonts w:ascii="Arial" w:cs="Arial" w:eastAsia="Arial" w:hAnsi="Arial"/>
          <w:sz w:val="19"/>
          <w:szCs w:val="19"/>
          <w:color w:val="auto"/>
        </w:rPr>
      </w:pPr>
    </w:p>
    <w:p>
      <w:pPr>
        <w:ind w:right="20" w:firstLine="601"/>
        <w:spacing w:after="0" w:line="268" w:lineRule="auto"/>
        <w:tabs>
          <w:tab w:leader="none" w:pos="1057"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Specified Employee Delay</w:t>
      </w:r>
      <w:r>
        <w:rPr>
          <w:rFonts w:ascii="Arial" w:cs="Arial" w:eastAsia="Arial" w:hAnsi="Arial"/>
          <w:sz w:val="19"/>
          <w:szCs w:val="19"/>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9"/>
          <w:szCs w:val="19"/>
          <w:u w:val="single" w:color="auto"/>
          <w:color w:val="auto"/>
        </w:rPr>
        <w:t>a</w:t>
      </w:r>
      <w:r>
        <w:rPr>
          <w:rFonts w:ascii="Arial" w:cs="Arial" w:eastAsia="Arial" w:hAnsi="Arial"/>
          <w:sz w:val="19"/>
          <w:szCs w:val="19"/>
          <w:color w:val="auto"/>
        </w:rPr>
        <w:t>) the date that is six months following the Participant’s termination of service and (</w:t>
      </w:r>
      <w:r>
        <w:rPr>
          <w:rFonts w:ascii="Arial" w:cs="Arial" w:eastAsia="Arial" w:hAnsi="Arial"/>
          <w:sz w:val="19"/>
          <w:szCs w:val="19"/>
          <w:u w:val="single" w:color="auto"/>
          <w:color w:val="auto"/>
        </w:rPr>
        <w:t>b</w:t>
      </w:r>
      <w:r>
        <w:rPr>
          <w:rFonts w:ascii="Arial" w:cs="Arial" w:eastAsia="Arial" w:hAnsi="Arial"/>
          <w:sz w:val="19"/>
          <w:szCs w:val="19"/>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357" w:lineRule="exact"/>
        <w:rPr>
          <w:rFonts w:ascii="Arial" w:cs="Arial" w:eastAsia="Arial" w:hAnsi="Arial"/>
          <w:sz w:val="19"/>
          <w:szCs w:val="19"/>
          <w:color w:val="auto"/>
        </w:rPr>
      </w:pPr>
    </w:p>
    <w:p>
      <w:pPr>
        <w:ind w:right="40" w:firstLine="601"/>
        <w:spacing w:after="0" w:line="288" w:lineRule="auto"/>
        <w:tabs>
          <w:tab w:leader="none" w:pos="1001"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Headings and Captions</w:t>
      </w:r>
      <w:r>
        <w:rPr>
          <w:rFonts w:ascii="Arial" w:cs="Arial" w:eastAsia="Arial" w:hAnsi="Arial"/>
          <w:sz w:val="20"/>
          <w:szCs w:val="20"/>
          <w:color w:val="auto"/>
        </w:rPr>
        <w:t>. The section and other headings contained in this Agreement are for reference purposes only and shall not affect the meaning or interpretation of this Agreement.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56" w:right="239" w:bottom="1440" w:gutter="0" w:footer="0" w:header="0"/>
        </w:sectPr>
      </w:pPr>
    </w:p>
    <w:bookmarkStart w:id="144" w:name="page145"/>
    <w:bookmarkEnd w:id="144"/>
    <w:p>
      <w:pPr>
        <w:ind w:left="-40" w:firstLine="601"/>
        <w:spacing w:after="0" w:line="258" w:lineRule="auto"/>
        <w:tabs>
          <w:tab w:leader="none" w:pos="961"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under this Agreement shall be (</w:t>
      </w:r>
      <w:r>
        <w:rPr>
          <w:rFonts w:ascii="Arial" w:cs="Arial" w:eastAsia="Arial" w:hAnsi="Arial"/>
          <w:sz w:val="20"/>
          <w:szCs w:val="20"/>
          <w:u w:val="single" w:color="auto"/>
          <w:color w:val="auto"/>
        </w:rPr>
        <w:t>i</w:t>
      </w:r>
      <w:r>
        <w:rPr>
          <w:rFonts w:ascii="Arial" w:cs="Arial" w:eastAsia="Arial" w:hAnsi="Arial"/>
          <w:sz w:val="20"/>
          <w:szCs w:val="20"/>
          <w:color w:val="auto"/>
        </w:rPr>
        <w:t>) delivered by hand, (</w:t>
      </w:r>
      <w:r>
        <w:rPr>
          <w:rFonts w:ascii="Arial" w:cs="Arial" w:eastAsia="Arial" w:hAnsi="Arial"/>
          <w:sz w:val="20"/>
          <w:szCs w:val="20"/>
          <w:u w:val="single" w:color="auto"/>
          <w:color w:val="auto"/>
        </w:rPr>
        <w:t>ii</w:t>
      </w:r>
      <w:r>
        <w:rPr>
          <w:rFonts w:ascii="Arial" w:cs="Arial" w:eastAsia="Arial" w:hAnsi="Arial"/>
          <w:sz w:val="20"/>
          <w:szCs w:val="20"/>
          <w:color w:val="auto"/>
        </w:rPr>
        <w:t>) sent by commercial overnight courier service, (</w:t>
      </w:r>
      <w:r>
        <w:rPr>
          <w:rFonts w:ascii="Arial" w:cs="Arial" w:eastAsia="Arial" w:hAnsi="Arial"/>
          <w:sz w:val="20"/>
          <w:szCs w:val="20"/>
          <w:u w:val="single" w:color="auto"/>
          <w:color w:val="auto"/>
        </w:rPr>
        <w:t>iii</w:t>
      </w:r>
      <w:r>
        <w:rPr>
          <w:rFonts w:ascii="Arial" w:cs="Arial" w:eastAsia="Arial" w:hAnsi="Arial"/>
          <w:sz w:val="20"/>
          <w:szCs w:val="20"/>
          <w:color w:val="auto"/>
        </w:rPr>
        <w:t>) sent by registered or certified mail, return receipt requested, and first-class postage prepaid, (</w:t>
      </w:r>
      <w:r>
        <w:rPr>
          <w:rFonts w:ascii="Arial" w:cs="Arial" w:eastAsia="Arial" w:hAnsi="Arial"/>
          <w:sz w:val="20"/>
          <w:szCs w:val="20"/>
          <w:u w:val="single" w:color="auto"/>
          <w:color w:val="auto"/>
        </w:rPr>
        <w:t>iv</w:t>
      </w:r>
      <w:r>
        <w:rPr>
          <w:rFonts w:ascii="Arial" w:cs="Arial" w:eastAsia="Arial" w:hAnsi="Arial"/>
          <w:sz w:val="20"/>
          <w:szCs w:val="20"/>
          <w:color w:val="auto"/>
        </w:rPr>
        <w:t>) sent by e-mail or any other form of electronic transfer or delivery approved by the Administrator, or (</w:t>
      </w:r>
      <w:r>
        <w:rPr>
          <w:rFonts w:ascii="Arial" w:cs="Arial" w:eastAsia="Arial" w:hAnsi="Arial"/>
          <w:sz w:val="20"/>
          <w:szCs w:val="20"/>
          <w:u w:val="single" w:color="auto"/>
          <w:color w:val="auto"/>
        </w:rPr>
        <w:t>v</w:t>
      </w:r>
      <w:r>
        <w:rPr>
          <w:rFonts w:ascii="Arial" w:cs="Arial" w:eastAsia="Arial" w:hAnsi="Arial"/>
          <w:sz w:val="20"/>
          <w:szCs w:val="20"/>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366" w:lineRule="exact"/>
        <w:rPr>
          <w:rFonts w:ascii="Arial" w:cs="Arial" w:eastAsia="Arial" w:hAnsi="Arial"/>
          <w:sz w:val="20"/>
          <w:szCs w:val="20"/>
          <w:color w:val="auto"/>
        </w:rPr>
      </w:pPr>
    </w:p>
    <w:p>
      <w:pPr>
        <w:ind w:left="-40" w:right="180" w:firstLine="601"/>
        <w:spacing w:after="0" w:line="288" w:lineRule="auto"/>
        <w:tabs>
          <w:tab w:leader="none" w:pos="961"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each of which shall be deemed to be an original and all of which together shall constitute one and the same instrument.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80" w:top="556"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EQUITY INCENTIVE PLAN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BOOZ ALLEN HAMILTON HOLDING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NOTICE</w:t>
      </w:r>
    </w:p>
    <w:p>
      <w:pPr>
        <w:spacing w:after="0" w:line="200" w:lineRule="exact"/>
        <w:rPr>
          <w:sz w:val="20"/>
          <w:szCs w:val="20"/>
          <w:color w:val="auto"/>
        </w:rPr>
      </w:pPr>
    </w:p>
    <w:p>
      <w:pPr>
        <w:spacing w:after="0" w:line="212" w:lineRule="exact"/>
        <w:rPr>
          <w:sz w:val="20"/>
          <w:szCs w:val="20"/>
          <w:color w:val="auto"/>
        </w:rPr>
      </w:pPr>
    </w:p>
    <w:p>
      <w:pPr>
        <w:ind w:right="20" w:firstLine="601"/>
        <w:spacing w:after="0" w:line="261" w:lineRule="auto"/>
        <w:rPr>
          <w:sz w:val="20"/>
          <w:szCs w:val="20"/>
          <w:color w:val="auto"/>
        </w:rPr>
      </w:pPr>
      <w:r>
        <w:rPr>
          <w:rFonts w:ascii="Arial" w:cs="Arial" w:eastAsia="Arial" w:hAnsi="Arial"/>
          <w:sz w:val="20"/>
          <w:szCs w:val="20"/>
          <w:color w:val="auto"/>
        </w:rPr>
        <w:t>Unless otherwise defined herein, the terms defined in the Second Amended and Restated Equity Incentive Plan of Booz Allen Holding Corporation (the “</w:t>
      </w:r>
      <w:r>
        <w:rPr>
          <w:rFonts w:ascii="Arial" w:cs="Arial" w:eastAsia="Arial" w:hAnsi="Arial"/>
          <w:sz w:val="20"/>
          <w:szCs w:val="20"/>
          <w:u w:val="single" w:color="auto"/>
          <w:color w:val="auto"/>
        </w:rPr>
        <w:t>Plan</w:t>
      </w:r>
      <w:r>
        <w:rPr>
          <w:rFonts w:ascii="Arial" w:cs="Arial" w:eastAsia="Arial" w:hAnsi="Arial"/>
          <w:sz w:val="20"/>
          <w:szCs w:val="20"/>
          <w:color w:val="auto"/>
        </w:rPr>
        <w:t>”) shall have the same defined meanings in this Restricted Stock Unit Agreement, which includes the terms in this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attached hereto (collectively, the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63" w:lineRule="exact"/>
        <w:rPr>
          <w:sz w:val="20"/>
          <w:szCs w:val="20"/>
          <w:color w:val="auto"/>
        </w:rPr>
      </w:pPr>
    </w:p>
    <w:p>
      <w:pPr>
        <w:jc w:val="both"/>
        <w:ind w:right="420"/>
        <w:spacing w:after="0" w:line="282" w:lineRule="auto"/>
        <w:rPr>
          <w:sz w:val="20"/>
          <w:szCs w:val="20"/>
          <w:color w:val="auto"/>
        </w:rPr>
      </w:pPr>
      <w:r>
        <w:rPr>
          <w:rFonts w:ascii="Arial" w:cs="Arial" w:eastAsia="Arial" w:hAnsi="Arial"/>
          <w:sz w:val="19"/>
          <w:szCs w:val="19"/>
          <w:color w:val="auto"/>
        </w:rPr>
        <w:t>You have been granted performance-based restricted stock units, subject to the terms and conditions of the Plan and this Agreement in an amount and vesting schedule, and subject to achievement of applicable performance goals, as delivered and made available to you by the Company, which shall be deemed part of and incorporated by reference into this Grant Notice.</w:t>
      </w:r>
    </w:p>
    <w:p>
      <w:pPr>
        <w:spacing w:after="0" w:line="144" w:lineRule="exact"/>
        <w:rPr>
          <w:sz w:val="20"/>
          <w:szCs w:val="20"/>
          <w:color w:val="auto"/>
        </w:rPr>
      </w:pPr>
    </w:p>
    <w:p>
      <w:pPr>
        <w:ind w:right="80" w:firstLine="601"/>
        <w:spacing w:after="0" w:line="286" w:lineRule="auto"/>
        <w:rPr>
          <w:sz w:val="20"/>
          <w:szCs w:val="20"/>
          <w:color w:val="auto"/>
        </w:rPr>
      </w:pPr>
      <w:r>
        <w:rPr>
          <w:rFonts w:ascii="Arial" w:cs="Arial" w:eastAsia="Arial" w:hAnsi="Arial"/>
          <w:sz w:val="18"/>
          <w:szCs w:val="18"/>
          <w:color w:val="auto"/>
        </w:rPr>
        <w:t xml:space="preserve">Your acceptance of this grant indicates your agreement and understanding that the Restricted Stock Units granted herein are subject to all of the terms and conditions contained in the Agreement and the Plan. </w:t>
      </w:r>
      <w:r>
        <w:rPr>
          <w:rFonts w:ascii="Arial" w:cs="Arial" w:eastAsia="Arial" w:hAnsi="Arial"/>
          <w:sz w:val="18"/>
          <w:szCs w:val="18"/>
          <w:b w:val="1"/>
          <w:bCs w:val="1"/>
          <w:color w:val="auto"/>
        </w:rPr>
        <w:t>ACCORDINGLY, PLEASE BE SURE TO READ ALL OF THE</w:t>
      </w:r>
    </w:p>
    <w:p>
      <w:pPr>
        <w:ind w:right="340"/>
        <w:spacing w:after="0" w:line="257" w:lineRule="auto"/>
        <w:rPr>
          <w:sz w:val="20"/>
          <w:szCs w:val="20"/>
          <w:color w:val="auto"/>
        </w:rPr>
      </w:pPr>
      <w:r>
        <w:rPr>
          <w:rFonts w:ascii="Arial" w:cs="Arial" w:eastAsia="Arial" w:hAnsi="Arial"/>
          <w:sz w:val="20"/>
          <w:szCs w:val="20"/>
          <w:b w:val="1"/>
          <w:bCs w:val="1"/>
          <w:color w:val="auto"/>
        </w:rPr>
        <w:t>PLAN AND APPENDIX A, WHICH CONTAIN THE SPECIFIC TERMS AND CONDITIONS OF THE RESTRICTED STOCK UNITS.</w:t>
      </w:r>
    </w:p>
    <w:p>
      <w:pPr>
        <w:spacing w:after="0" w:line="3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order to accept this grant, please go to Fidelity NetBenefits at www.netbenefits.com and follow the instructions regarding this grant.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44"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APPENDIX A TO RESTRICTED STOCK UNIT AGREEMENT</w:t>
      </w:r>
    </w:p>
    <w:p>
      <w:pPr>
        <w:spacing w:after="0" w:line="200" w:lineRule="exact"/>
        <w:rPr>
          <w:sz w:val="20"/>
          <w:szCs w:val="20"/>
          <w:color w:val="auto"/>
        </w:rPr>
      </w:pPr>
    </w:p>
    <w:p>
      <w:pPr>
        <w:spacing w:after="0" w:line="212" w:lineRule="exact"/>
        <w:rPr>
          <w:sz w:val="20"/>
          <w:szCs w:val="20"/>
          <w:color w:val="auto"/>
        </w:rPr>
      </w:pPr>
    </w:p>
    <w:p>
      <w:pPr>
        <w:ind w:left="-40" w:right="20" w:firstLine="601"/>
        <w:spacing w:after="0" w:line="290" w:lineRule="auto"/>
        <w:tabs>
          <w:tab w:leader="none" w:pos="87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conditions, and restrictions set forth in this Agreement (including the Grant Notice made available to you by the Company) and in the Plan, the Company hereby evidences and confirms its grant to the Participant, effective as of the Grant Date, of the number of restricted stock units specified in the Grant Notice, which shall be subject to the achievement of Performance Goals as set forth below (the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339" w:lineRule="exact"/>
        <w:rPr>
          <w:rFonts w:ascii="Arial" w:cs="Arial" w:eastAsia="Arial" w:hAnsi="Arial"/>
          <w:sz w:val="18"/>
          <w:szCs w:val="18"/>
          <w:color w:val="auto"/>
        </w:rPr>
      </w:pPr>
    </w:p>
    <w:p>
      <w:pPr>
        <w:ind w:left="880" w:hanging="319"/>
        <w:spacing w:after="0"/>
        <w:tabs>
          <w:tab w:leader="none" w:pos="88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left="-40" w:right="60" w:firstLine="601"/>
        <w:spacing w:after="0" w:line="258" w:lineRule="auto"/>
        <w:tabs>
          <w:tab w:leader="none" w:pos="95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provided in this Section 2, the Restricted Stock Units shall become vested, in the amount(s), and on the vesting date(s) set forth in the Grant Notice (each, a “</w:t>
      </w:r>
      <w:r>
        <w:rPr>
          <w:rFonts w:ascii="Arial" w:cs="Arial" w:eastAsia="Arial" w:hAnsi="Arial"/>
          <w:sz w:val="20"/>
          <w:szCs w:val="20"/>
          <w:u w:val="single" w:color="auto"/>
          <w:color w:val="auto"/>
        </w:rPr>
        <w:t>Vesting Date</w:t>
      </w:r>
      <w:r>
        <w:rPr>
          <w:rFonts w:ascii="Arial" w:cs="Arial" w:eastAsia="Arial" w:hAnsi="Arial"/>
          <w:sz w:val="20"/>
          <w:szCs w:val="20"/>
          <w:color w:val="auto"/>
        </w:rPr>
        <w:t>”), subject to the continued employment of the Participant by the Company or any Subsidiary thereof through such date and to the achievement of the applicable performance goals as set forth in the Grant Notice (the “</w:t>
      </w:r>
      <w:r>
        <w:rPr>
          <w:rFonts w:ascii="Arial" w:cs="Arial" w:eastAsia="Arial" w:hAnsi="Arial"/>
          <w:sz w:val="20"/>
          <w:szCs w:val="20"/>
          <w:u w:val="single" w:color="auto"/>
          <w:color w:val="auto"/>
        </w:rPr>
        <w:t>Performance Goals</w:t>
      </w:r>
      <w:r>
        <w:rPr>
          <w:rFonts w:ascii="Arial" w:cs="Arial" w:eastAsia="Arial" w:hAnsi="Arial"/>
          <w:sz w:val="20"/>
          <w:szCs w:val="20"/>
          <w:color w:val="auto"/>
        </w:rPr>
        <w:t>”) as certified by the Administrator pursuant to Section 3(a). Restricted Stock Units that do not vest in accordance with Section 2 shall be forfeited.</w:t>
      </w:r>
    </w:p>
    <w:p>
      <w:pPr>
        <w:spacing w:after="0" w:line="366" w:lineRule="exact"/>
        <w:rPr>
          <w:rFonts w:ascii="Arial" w:cs="Arial" w:eastAsia="Arial" w:hAnsi="Arial"/>
          <w:sz w:val="20"/>
          <w:szCs w:val="20"/>
          <w:color w:val="auto"/>
        </w:rPr>
      </w:pPr>
    </w:p>
    <w:p>
      <w:pPr>
        <w:ind w:left="960" w:hanging="399"/>
        <w:spacing w:after="0"/>
        <w:tabs>
          <w:tab w:leader="none" w:pos="96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ind w:left="-40" w:right="100" w:firstLine="1202"/>
        <w:spacing w:after="0" w:line="288" w:lineRule="auto"/>
        <w:tabs>
          <w:tab w:leader="none" w:pos="1517" w:val="left"/>
        </w:tabs>
        <w:numPr>
          <w:ilvl w:val="1"/>
          <w:numId w:val="115"/>
        </w:numPr>
        <w:rPr>
          <w:rFonts w:ascii="Arial" w:cs="Arial" w:eastAsia="Arial" w:hAnsi="Arial"/>
          <w:sz w:val="20"/>
          <w:szCs w:val="20"/>
          <w:color w:val="auto"/>
        </w:rPr>
      </w:pPr>
      <w:r>
        <w:rPr>
          <w:rFonts w:ascii="Arial" w:cs="Arial" w:eastAsia="Arial" w:hAnsi="Arial"/>
          <w:sz w:val="20"/>
          <w:szCs w:val="20"/>
          <w:u w:val="single" w:color="auto"/>
          <w:color w:val="auto"/>
        </w:rPr>
        <w:t>Termination Due to Death</w:t>
      </w:r>
      <w:r>
        <w:rPr>
          <w:rFonts w:ascii="Arial" w:cs="Arial" w:eastAsia="Arial" w:hAnsi="Arial"/>
          <w:sz w:val="20"/>
          <w:szCs w:val="20"/>
          <w:color w:val="auto"/>
        </w:rPr>
        <w:t>. If a Participant’s employment or service terminates due to the Participant’s death, all unvested Restricted Stock Units shall immediately vest.</w:t>
      </w:r>
    </w:p>
    <w:p>
      <w:pPr>
        <w:spacing w:after="0" w:line="336" w:lineRule="exact"/>
        <w:rPr>
          <w:rFonts w:ascii="Arial" w:cs="Arial" w:eastAsia="Arial" w:hAnsi="Arial"/>
          <w:sz w:val="20"/>
          <w:szCs w:val="20"/>
          <w:color w:val="auto"/>
        </w:rPr>
      </w:pPr>
    </w:p>
    <w:p>
      <w:pPr>
        <w:ind w:left="-40" w:right="360" w:firstLine="1202"/>
        <w:spacing w:after="0" w:line="311" w:lineRule="auto"/>
        <w:tabs>
          <w:tab w:leader="none" w:pos="1573"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a Participant’s employment or service terminates due to Disability, all unvested Restricted Stock Units shall not be forfeited upon such termination and shall continue to vest in accordance with the schedule provided in Section 2(a), and shall continue to be subject to the achievement of the Performance Goals set forth in the Grant Notice.</w:t>
      </w:r>
    </w:p>
    <w:p>
      <w:pPr>
        <w:spacing w:after="0" w:line="321" w:lineRule="exact"/>
        <w:rPr>
          <w:rFonts w:ascii="Arial" w:cs="Arial" w:eastAsia="Arial" w:hAnsi="Arial"/>
          <w:sz w:val="18"/>
          <w:szCs w:val="18"/>
          <w:color w:val="auto"/>
        </w:rPr>
      </w:pPr>
    </w:p>
    <w:p>
      <w:pPr>
        <w:ind w:left="-40" w:firstLine="1202"/>
        <w:spacing w:after="0" w:line="272" w:lineRule="auto"/>
        <w:tabs>
          <w:tab w:leader="none" w:pos="1629"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a Company Approved Departure</w:t>
      </w:r>
      <w:r>
        <w:rPr>
          <w:rFonts w:ascii="Arial" w:cs="Arial" w:eastAsia="Arial" w:hAnsi="Arial"/>
          <w:sz w:val="19"/>
          <w:szCs w:val="19"/>
          <w:color w:val="auto"/>
        </w:rPr>
        <w:t>. If a Participant’s employment or service terminates in a Company Approved Departure (as defined below), all unvested Restricted Stock Units shall not be forfeited upon such termination and shall continue to vest in accordance with the schedule, and shall continue to be subject to the achievement of the Performance Goals set forth in the Grant Notice. “</w:t>
      </w:r>
      <w:r>
        <w:rPr>
          <w:rFonts w:ascii="Arial" w:cs="Arial" w:eastAsia="Arial" w:hAnsi="Arial"/>
          <w:sz w:val="19"/>
          <w:szCs w:val="19"/>
          <w:u w:val="single" w:color="auto"/>
          <w:color w:val="auto"/>
        </w:rPr>
        <w:t>Company Approved Departure</w:t>
      </w:r>
      <w:r>
        <w:rPr>
          <w:rFonts w:ascii="Arial" w:cs="Arial" w:eastAsia="Arial" w:hAnsi="Arial"/>
          <w:sz w:val="19"/>
          <w:szCs w:val="19"/>
          <w:color w:val="auto"/>
        </w:rPr>
        <w:t>”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354" w:lineRule="exact"/>
        <w:rPr>
          <w:rFonts w:ascii="Arial" w:cs="Arial" w:eastAsia="Arial" w:hAnsi="Arial"/>
          <w:sz w:val="19"/>
          <w:szCs w:val="19"/>
          <w:color w:val="auto"/>
        </w:rPr>
      </w:pPr>
    </w:p>
    <w:p>
      <w:pPr>
        <w:ind w:left="-40" w:firstLine="1202"/>
        <w:spacing w:after="0" w:line="288" w:lineRule="auto"/>
        <w:tabs>
          <w:tab w:leader="none" w:pos="1617" w:val="left"/>
        </w:tabs>
        <w:numPr>
          <w:ilvl w:val="1"/>
          <w:numId w:val="115"/>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If a Participant’s employment or service terminates for Cause, all unvested Restricted Stock Units shall be immediately forfeited and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40"/>
          </w:cols>
          <w:pgMar w:left="280" w:top="790" w:right="279" w:bottom="1440" w:gutter="0" w:footer="0" w:header="0"/>
        </w:sectPr>
      </w:pPr>
    </w:p>
    <w:bookmarkStart w:id="147" w:name="page148"/>
    <w:bookmarkEnd w:id="147"/>
    <w:p>
      <w:pPr>
        <w:ind w:right="20"/>
        <w:spacing w:after="0" w:line="294" w:lineRule="auto"/>
        <w:rPr>
          <w:sz w:val="20"/>
          <w:szCs w:val="20"/>
          <w:color w:val="auto"/>
        </w:rPr>
      </w:pPr>
      <w:r>
        <w:rPr>
          <w:rFonts w:ascii="Arial" w:cs="Arial" w:eastAsia="Arial" w:hAnsi="Arial"/>
          <w:sz w:val="18"/>
          <w:szCs w:val="18"/>
          <w:color w:val="auto"/>
        </w:rPr>
        <w:t>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Stock issued in settlement of any Restricted Stock Units.</w:t>
      </w:r>
    </w:p>
    <w:p>
      <w:pPr>
        <w:spacing w:after="0" w:line="338" w:lineRule="exact"/>
        <w:rPr>
          <w:sz w:val="20"/>
          <w:szCs w:val="20"/>
          <w:color w:val="auto"/>
        </w:rPr>
      </w:pPr>
    </w:p>
    <w:p>
      <w:pPr>
        <w:ind w:right="600" w:firstLine="1202"/>
        <w:spacing w:after="0" w:line="268" w:lineRule="auto"/>
        <w:tabs>
          <w:tab w:leader="none" w:pos="1602" w:val="left"/>
        </w:tabs>
        <w:numPr>
          <w:ilvl w:val="1"/>
          <w:numId w:val="116"/>
        </w:numPr>
        <w:rPr>
          <w:rFonts w:ascii="Arial" w:cs="Arial" w:eastAsia="Arial" w:hAnsi="Arial"/>
          <w:sz w:val="20"/>
          <w:szCs w:val="20"/>
          <w:color w:val="auto"/>
        </w:rPr>
      </w:pPr>
      <w:r>
        <w:rPr>
          <w:rFonts w:ascii="Arial" w:cs="Arial" w:eastAsia="Arial" w:hAnsi="Arial"/>
          <w:sz w:val="20"/>
          <w:szCs w:val="20"/>
          <w:u w:val="single" w:color="auto"/>
          <w:color w:val="auto"/>
        </w:rPr>
        <w:t>Termination for Any Other Reason</w:t>
      </w:r>
      <w:r>
        <w:rPr>
          <w:rFonts w:ascii="Arial" w:cs="Arial" w:eastAsia="Arial" w:hAnsi="Arial"/>
          <w:sz w:val="20"/>
          <w:szCs w:val="20"/>
          <w:color w:val="auto"/>
        </w:rPr>
        <w:t>. If a Participant’s employment is terminated for any reason other than death, Disability, in a Company Approved Departure or by the Company for Cause, all unvested Restricted Stock Units shall immediately be forfeited.</w:t>
      </w:r>
    </w:p>
    <w:p>
      <w:pPr>
        <w:spacing w:after="0" w:line="356" w:lineRule="exact"/>
        <w:rPr>
          <w:rFonts w:ascii="Arial" w:cs="Arial" w:eastAsia="Arial" w:hAnsi="Arial"/>
          <w:sz w:val="20"/>
          <w:szCs w:val="20"/>
          <w:color w:val="auto"/>
        </w:rPr>
      </w:pPr>
    </w:p>
    <w:p>
      <w:pPr>
        <w:ind w:firstLine="601"/>
        <w:spacing w:after="0" w:line="288" w:lineRule="auto"/>
        <w:tabs>
          <w:tab w:leader="none" w:pos="99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then the Restricted Stock Units shall vest or continue and shall have such treatment, as set forth in the Plan.</w:t>
      </w:r>
    </w:p>
    <w:p>
      <w:pPr>
        <w:spacing w:after="0" w:line="336" w:lineRule="exact"/>
        <w:rPr>
          <w:rFonts w:ascii="Arial" w:cs="Arial" w:eastAsia="Arial" w:hAnsi="Arial"/>
          <w:sz w:val="20"/>
          <w:szCs w:val="20"/>
          <w:color w:val="auto"/>
        </w:rPr>
      </w:pPr>
    </w:p>
    <w:p>
      <w:pPr>
        <w:ind w:right="160" w:firstLine="601"/>
        <w:spacing w:after="0" w:line="293" w:lineRule="auto"/>
        <w:tabs>
          <w:tab w:leader="none" w:pos="100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Other Forfeiture Provisions</w:t>
      </w:r>
      <w:r>
        <w:rPr>
          <w:rFonts w:ascii="Arial" w:cs="Arial" w:eastAsia="Arial" w:hAnsi="Arial"/>
          <w:sz w:val="18"/>
          <w:szCs w:val="18"/>
          <w:color w:val="auto"/>
        </w:rPr>
        <w:t>. The Restricted Stock Units shall also be forfeited and subject to disgorgement and/or repayment to the Company in the event the Participant (</w:t>
      </w:r>
      <w:r>
        <w:rPr>
          <w:rFonts w:ascii="Arial" w:cs="Arial" w:eastAsia="Arial" w:hAnsi="Arial"/>
          <w:sz w:val="18"/>
          <w:szCs w:val="18"/>
          <w:u w:val="single" w:color="auto"/>
          <w:color w:val="auto"/>
        </w:rPr>
        <w:t>i</w:t>
      </w:r>
      <w:r>
        <w:rPr>
          <w:rFonts w:ascii="Arial" w:cs="Arial" w:eastAsia="Arial" w:hAnsi="Arial"/>
          <w:sz w:val="18"/>
          <w:szCs w:val="18"/>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18"/>
          <w:szCs w:val="18"/>
          <w:u w:val="single" w:color="auto"/>
          <w:color w:val="auto"/>
        </w:rPr>
        <w:t>ii</w:t>
      </w:r>
      <w:r>
        <w:rPr>
          <w:rFonts w:ascii="Arial" w:cs="Arial" w:eastAsia="Arial" w:hAnsi="Arial"/>
          <w:sz w:val="18"/>
          <w:szCs w:val="18"/>
          <w:color w:val="auto"/>
        </w:rPr>
        <w:t>) materially violates any restrictive covenant agreement (or any other agreement containing restrictive covenants) that the Participant has entered into with the Company.</w:t>
      </w:r>
    </w:p>
    <w:p>
      <w:pPr>
        <w:spacing w:after="0" w:line="338" w:lineRule="exact"/>
        <w:rPr>
          <w:rFonts w:ascii="Arial" w:cs="Arial" w:eastAsia="Arial" w:hAnsi="Arial"/>
          <w:sz w:val="18"/>
          <w:szCs w:val="18"/>
          <w:color w:val="auto"/>
        </w:rPr>
      </w:pPr>
    </w:p>
    <w:p>
      <w:pPr>
        <w:ind w:right="100" w:firstLine="601"/>
        <w:spacing w:after="0" w:line="256" w:lineRule="auto"/>
        <w:tabs>
          <w:tab w:leader="none" w:pos="99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Administrator Discretion</w:t>
      </w:r>
      <w:r>
        <w:rPr>
          <w:rFonts w:ascii="Arial" w:cs="Arial" w:eastAsia="Arial" w:hAnsi="Arial"/>
          <w:sz w:val="20"/>
          <w:szCs w:val="20"/>
          <w:color w:val="auto"/>
        </w:rPr>
        <w:t>.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provided, however, that such waiver or acceleration of vesting shall not change the settlement date of the Restricted Stock Units provided in Section 3 of this Agreement; and provided, further, that the Administrator shall not waive satisfaction of the Performance Goals with respect to a Participant who is a “covered employee” as defined in Section 162(m)(3) of the Code.</w:t>
      </w:r>
    </w:p>
    <w:p>
      <w:pPr>
        <w:spacing w:after="0" w:line="368" w:lineRule="exact"/>
        <w:rPr>
          <w:rFonts w:ascii="Arial" w:cs="Arial" w:eastAsia="Arial" w:hAnsi="Arial"/>
          <w:sz w:val="20"/>
          <w:szCs w:val="20"/>
          <w:color w:val="auto"/>
        </w:rPr>
      </w:pPr>
    </w:p>
    <w:p>
      <w:pPr>
        <w:ind w:firstLine="601"/>
        <w:spacing w:after="0" w:line="284" w:lineRule="auto"/>
        <w:tabs>
          <w:tab w:leader="none" w:pos="96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Post-Termination Informational Requirements</w:t>
      </w:r>
      <w:r>
        <w:rPr>
          <w:rFonts w:ascii="Arial" w:cs="Arial" w:eastAsia="Arial" w:hAnsi="Arial"/>
          <w:sz w:val="18"/>
          <w:szCs w:val="18"/>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2(b)(iv) or 2(d) apply. Such representations and documents may include tax returns and all other relevant information and records from which the Company can determine the current or former employment status of the Participant during the vesting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(i) ninety (90) calendar days after the issue of a request from the Company for such information and (ii) December 31 of the calendar year in which the applicable Vesting Date occurs.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60"/>
          </w:cols>
          <w:pgMar w:left="240" w:top="556" w:right="299" w:bottom="1440" w:gutter="0" w:footer="0" w:header="0"/>
        </w:sectPr>
      </w:pPr>
    </w:p>
    <w:bookmarkStart w:id="148" w:name="page149"/>
    <w:bookmarkEnd w:id="148"/>
    <w:p>
      <w:pPr>
        <w:ind w:left="920" w:hanging="319"/>
        <w:spacing w:after="0"/>
        <w:tabs>
          <w:tab w:leader="none" w:pos="92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Administrator Certification; Settlement of Restricted Stock Units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100" w:firstLine="601"/>
        <w:spacing w:after="0" w:line="261" w:lineRule="auto"/>
        <w:tabs>
          <w:tab w:leader="none" w:pos="99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Certification</w:t>
      </w:r>
      <w:r>
        <w:rPr>
          <w:rFonts w:ascii="Arial" w:cs="Arial" w:eastAsia="Arial" w:hAnsi="Arial"/>
          <w:sz w:val="20"/>
          <w:szCs w:val="20"/>
          <w:color w:val="auto"/>
        </w:rPr>
        <w:t>. As soon as practicable following the Vesting Date, the Administrator will review and certify in writing whether the Performance Goal has been achieved for the applicable Fiscal Year (the “</w:t>
      </w:r>
      <w:r>
        <w:rPr>
          <w:rFonts w:ascii="Arial" w:cs="Arial" w:eastAsia="Arial" w:hAnsi="Arial"/>
          <w:sz w:val="20"/>
          <w:szCs w:val="20"/>
          <w:u w:val="single" w:color="auto"/>
          <w:color w:val="auto"/>
        </w:rPr>
        <w:t>Administrator Certification</w:t>
      </w:r>
      <w:r>
        <w:rPr>
          <w:rFonts w:ascii="Arial" w:cs="Arial" w:eastAsia="Arial" w:hAnsi="Arial"/>
          <w:sz w:val="20"/>
          <w:szCs w:val="20"/>
          <w:color w:val="auto"/>
        </w:rPr>
        <w:t>”). All determinations of whether the Performance Goals have been achieved and all other matters related to this Section 3(a) shall be made by the Administrator in its sole discretion and shall be final, conclusive and binding on the Participant.</w:t>
      </w:r>
    </w:p>
    <w:p>
      <w:pPr>
        <w:spacing w:after="0" w:line="363" w:lineRule="exact"/>
        <w:rPr>
          <w:rFonts w:ascii="Arial" w:cs="Arial" w:eastAsia="Arial" w:hAnsi="Arial"/>
          <w:sz w:val="20"/>
          <w:szCs w:val="20"/>
          <w:color w:val="auto"/>
        </w:rPr>
      </w:pPr>
    </w:p>
    <w:p>
      <w:pPr>
        <w:ind w:firstLine="601"/>
        <w:spacing w:after="0" w:line="266" w:lineRule="auto"/>
        <w:tabs>
          <w:tab w:leader="none" w:pos="1001"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Settlement of Restricted Stock Units</w:t>
      </w:r>
      <w:r>
        <w:rPr>
          <w:rFonts w:ascii="Arial" w:cs="Arial" w:eastAsia="Arial" w:hAnsi="Arial"/>
          <w:sz w:val="19"/>
          <w:szCs w:val="19"/>
          <w:color w:val="auto"/>
        </w:rPr>
        <w:t>. Subject to Section 8(d), 2(f) and 3(a), the Company shall deliver to the Participant one share of Company Common Stock (or the value thereof) in settlement of each outstanding Restricted Stock Unit that has vested as provided in Section 2 on the first to occur of the following: (</w:t>
      </w:r>
      <w:r>
        <w:rPr>
          <w:rFonts w:ascii="Arial" w:cs="Arial" w:eastAsia="Arial" w:hAnsi="Arial"/>
          <w:sz w:val="19"/>
          <w:szCs w:val="19"/>
          <w:u w:val="single" w:color="auto"/>
          <w:color w:val="auto"/>
        </w:rPr>
        <w:t>i</w:t>
      </w:r>
      <w:r>
        <w:rPr>
          <w:rFonts w:ascii="Arial" w:cs="Arial" w:eastAsia="Arial" w:hAnsi="Arial"/>
          <w:sz w:val="19"/>
          <w:szCs w:val="19"/>
          <w:color w:val="auto"/>
        </w:rPr>
        <w:t>) on or as soon as practicable following the date of the Administrator Certification (but in no event later than 2 ½ months after the Vesting Date); (</w:t>
      </w:r>
      <w:r>
        <w:rPr>
          <w:rFonts w:ascii="Arial" w:cs="Arial" w:eastAsia="Arial" w:hAnsi="Arial"/>
          <w:sz w:val="19"/>
          <w:szCs w:val="19"/>
          <w:u w:val="single" w:color="auto"/>
          <w:color w:val="auto"/>
        </w:rPr>
        <w:t>ii</w:t>
      </w:r>
      <w:r>
        <w:rPr>
          <w:rFonts w:ascii="Arial" w:cs="Arial" w:eastAsia="Arial" w:hAnsi="Arial"/>
          <w:sz w:val="19"/>
          <w:szCs w:val="19"/>
          <w:color w:val="auto"/>
        </w:rPr>
        <w:t>) in the event of a termination of employment or service due to death, as soon as practicable following the Participant’s termination of employment or service by reason of death; or (</w:t>
      </w:r>
      <w:r>
        <w:rPr>
          <w:rFonts w:ascii="Arial" w:cs="Arial" w:eastAsia="Arial" w:hAnsi="Arial"/>
          <w:sz w:val="19"/>
          <w:szCs w:val="19"/>
          <w:u w:val="single" w:color="auto"/>
          <w:color w:val="auto"/>
        </w:rPr>
        <w:t>iii</w:t>
      </w:r>
      <w:r>
        <w:rPr>
          <w:rFonts w:ascii="Arial" w:cs="Arial" w:eastAsia="Arial" w:hAnsi="Arial"/>
          <w:sz w:val="19"/>
          <w:szCs w:val="19"/>
          <w:color w:val="auto"/>
        </w:rPr>
        <w:t>) in the event of a Change in Control in which the Restricted Stock Units do not continue, within thirty (30) days following the effective date of the Change in Control, in each case (</w:t>
      </w:r>
      <w:r>
        <w:rPr>
          <w:rFonts w:ascii="Arial" w:cs="Arial" w:eastAsia="Arial" w:hAnsi="Arial"/>
          <w:sz w:val="19"/>
          <w:szCs w:val="19"/>
          <w:u w:val="single" w:color="auto"/>
          <w:color w:val="auto"/>
        </w:rPr>
        <w:t>A</w:t>
      </w:r>
      <w:r>
        <w:rPr>
          <w:rFonts w:ascii="Arial" w:cs="Arial" w:eastAsia="Arial" w:hAnsi="Arial"/>
          <w:sz w:val="19"/>
          <w:szCs w:val="19"/>
          <w:color w:val="auto"/>
        </w:rPr>
        <w:t>) in Company Common Stock by either, (</w:t>
      </w:r>
      <w:r>
        <w:rPr>
          <w:rFonts w:ascii="Arial" w:cs="Arial" w:eastAsia="Arial" w:hAnsi="Arial"/>
          <w:sz w:val="19"/>
          <w:szCs w:val="19"/>
          <w:u w:val="single" w:color="auto"/>
          <w:color w:val="auto"/>
        </w:rPr>
        <w:t>x</w:t>
      </w:r>
      <w:r>
        <w:rPr>
          <w:rFonts w:ascii="Arial" w:cs="Arial" w:eastAsia="Arial" w:hAnsi="Arial"/>
          <w:sz w:val="19"/>
          <w:szCs w:val="19"/>
          <w:color w:val="auto"/>
        </w:rPr>
        <w:t>) issuing one or more certificates evidencing the Stock to the Participant or (</w:t>
      </w:r>
      <w:r>
        <w:rPr>
          <w:rFonts w:ascii="Arial" w:cs="Arial" w:eastAsia="Arial" w:hAnsi="Arial"/>
          <w:sz w:val="19"/>
          <w:szCs w:val="19"/>
          <w:u w:val="single" w:color="auto"/>
          <w:color w:val="auto"/>
        </w:rPr>
        <w:t>y</w:t>
      </w:r>
      <w:r>
        <w:rPr>
          <w:rFonts w:ascii="Arial" w:cs="Arial" w:eastAsia="Arial" w:hAnsi="Arial"/>
          <w:sz w:val="19"/>
          <w:szCs w:val="19"/>
          <w:color w:val="auto"/>
        </w:rPr>
        <w:t>) registering the issuance of the Company Common Stock in the name of the Participant through a book entry credit in the records of the Company’s transfer agent, or (</w:t>
      </w:r>
      <w:r>
        <w:rPr>
          <w:rFonts w:ascii="Arial" w:cs="Arial" w:eastAsia="Arial" w:hAnsi="Arial"/>
          <w:sz w:val="19"/>
          <w:szCs w:val="19"/>
          <w:u w:val="single" w:color="auto"/>
          <w:color w:val="auto"/>
        </w:rPr>
        <w:t>B</w:t>
      </w:r>
      <w:r>
        <w:rPr>
          <w:rFonts w:ascii="Arial" w:cs="Arial" w:eastAsia="Arial" w:hAnsi="Arial"/>
          <w:sz w:val="19"/>
          <w:szCs w:val="19"/>
          <w:color w:val="auto"/>
        </w:rPr>
        <w:t>) in the event of settlement upon a Change in Control, a cash payment equal to the Change in Control Price, multiplied by the number of vested Restricted Stock Units). No fractional shares of Company Common Stock shall be issued in settlement of Restricted Stock Units. Fractional Restricted Stock Units shall be settled through a cash payment equal to the Fair Market Value of the Company Common Stock on the settlement date.</w:t>
      </w:r>
    </w:p>
    <w:p>
      <w:pPr>
        <w:spacing w:after="0" w:line="361" w:lineRule="exact"/>
        <w:rPr>
          <w:sz w:val="20"/>
          <w:szCs w:val="20"/>
          <w:color w:val="auto"/>
        </w:rPr>
      </w:pPr>
    </w:p>
    <w:p>
      <w:pPr>
        <w:ind w:right="120" w:firstLine="601"/>
        <w:spacing w:after="0" w:line="256" w:lineRule="auto"/>
        <w:tabs>
          <w:tab w:leader="none" w:pos="918"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Securities Law Compliance</w:t>
      </w:r>
      <w:r>
        <w:rPr>
          <w:rFonts w:ascii="Arial" w:cs="Arial" w:eastAsia="Arial" w:hAnsi="Arial"/>
          <w:sz w:val="20"/>
          <w:szCs w:val="20"/>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368" w:lineRule="exact"/>
        <w:rPr>
          <w:rFonts w:ascii="Arial" w:cs="Arial" w:eastAsia="Arial" w:hAnsi="Arial"/>
          <w:sz w:val="20"/>
          <w:szCs w:val="20"/>
          <w:color w:val="auto"/>
        </w:rPr>
      </w:pPr>
    </w:p>
    <w:p>
      <w:pPr>
        <w:ind w:left="920" w:hanging="319"/>
        <w:spacing w:after="0"/>
        <w:tabs>
          <w:tab w:leader="none" w:pos="92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Participant’s Rights with Respect to the Restricted Stock Units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60" w:firstLine="601"/>
        <w:spacing w:after="0" w:line="272" w:lineRule="auto"/>
        <w:tabs>
          <w:tab w:leader="none" w:pos="99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56" w:right="239" w:bottom="1440" w:gutter="0" w:footer="0" w:header="0"/>
        </w:sectPr>
      </w:pPr>
    </w:p>
    <w:bookmarkStart w:id="149" w:name="page150"/>
    <w:bookmarkEnd w:id="149"/>
    <w:p>
      <w:pPr>
        <w:ind w:firstLine="601"/>
        <w:spacing w:after="0" w:line="288" w:lineRule="auto"/>
        <w:tabs>
          <w:tab w:leader="none" w:pos="1001"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339" w:lineRule="exact"/>
        <w:rPr>
          <w:rFonts w:ascii="Arial" w:cs="Arial" w:eastAsia="Arial" w:hAnsi="Arial"/>
          <w:sz w:val="19"/>
          <w:szCs w:val="19"/>
          <w:color w:val="auto"/>
        </w:rPr>
      </w:pPr>
    </w:p>
    <w:p>
      <w:pPr>
        <w:ind w:right="60" w:firstLine="601"/>
        <w:spacing w:after="0" w:line="258" w:lineRule="auto"/>
        <w:tabs>
          <w:tab w:leader="none" w:pos="99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Participant shall be credited with Dividend Equivalents in the form of a right to a cash payment when cash dividends are paid on the Company Common Stock. Such cash payment shall equal the amount obtained by multiplying the amount of the dividend declared and paid for each share of Company Common Stock by the number of Restricted Stock Units held by the Participant on the record date. Any cash amounts credited to the Participant’s account shall be paid to the Participant on the applicable Payment Date for the related cash dividends.</w:t>
      </w:r>
    </w:p>
    <w:p>
      <w:pPr>
        <w:spacing w:after="0" w:line="366" w:lineRule="exact"/>
        <w:rPr>
          <w:sz w:val="20"/>
          <w:szCs w:val="20"/>
          <w:color w:val="auto"/>
        </w:rPr>
      </w:pPr>
    </w:p>
    <w:p>
      <w:pPr>
        <w:ind w:left="920" w:hanging="319"/>
        <w:spacing w:after="0"/>
        <w:tabs>
          <w:tab w:leader="none" w:pos="920"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Participant’s Representations, Warranties and Covenants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60" w:firstLine="601"/>
        <w:spacing w:after="0" w:line="254" w:lineRule="auto"/>
        <w:tabs>
          <w:tab w:leader="none" w:pos="990" w:val="left"/>
        </w:tabs>
        <w:numPr>
          <w:ilvl w:val="1"/>
          <w:numId w:val="124"/>
        </w:numPr>
        <w:rPr>
          <w:rFonts w:ascii="Arial" w:cs="Arial" w:eastAsia="Arial" w:hAnsi="Arial"/>
          <w:sz w:val="20"/>
          <w:szCs w:val="20"/>
          <w:color w:val="auto"/>
        </w:rPr>
      </w:pPr>
      <w:r>
        <w:rPr>
          <w:rFonts w:ascii="Arial" w:cs="Arial" w:eastAsia="Arial" w:hAnsi="Arial"/>
          <w:sz w:val="20"/>
          <w:szCs w:val="20"/>
          <w:u w:val="single" w:color="auto"/>
          <w:color w:val="auto"/>
        </w:rPr>
        <w:t>No Conflicts; No Consents</w:t>
      </w:r>
      <w:r>
        <w:rPr>
          <w:rFonts w:ascii="Arial" w:cs="Arial" w:eastAsia="Arial" w:hAnsi="Arial"/>
          <w:sz w:val="20"/>
          <w:szCs w:val="20"/>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20"/>
          <w:szCs w:val="20"/>
          <w:u w:val="single" w:color="auto"/>
          <w:color w:val="auto"/>
        </w:rPr>
        <w:t>i</w:t>
      </w:r>
      <w:r>
        <w:rPr>
          <w:rFonts w:ascii="Arial" w:cs="Arial" w:eastAsia="Arial" w:hAnsi="Arial"/>
          <w:sz w:val="20"/>
          <w:szCs w:val="20"/>
          <w:color w:val="auto"/>
        </w:rPr>
        <w:t>) materially conflict with or result in a material violation or breach of any term or provision of any Law applicable to either Participant or the Restricted Stock Units or (</w:t>
      </w:r>
      <w:r>
        <w:rPr>
          <w:rFonts w:ascii="Arial" w:cs="Arial" w:eastAsia="Arial" w:hAnsi="Arial"/>
          <w:sz w:val="20"/>
          <w:szCs w:val="20"/>
          <w:u w:val="single" w:color="auto"/>
          <w:color w:val="auto"/>
        </w:rPr>
        <w:t>ii</w:t>
      </w:r>
      <w:r>
        <w:rPr>
          <w:rFonts w:ascii="Arial" w:cs="Arial" w:eastAsia="Arial" w:hAnsi="Arial"/>
          <w:sz w:val="20"/>
          <w:szCs w:val="20"/>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374" w:lineRule="exact"/>
        <w:rPr>
          <w:rFonts w:ascii="Arial" w:cs="Arial" w:eastAsia="Arial" w:hAnsi="Arial"/>
          <w:sz w:val="20"/>
          <w:szCs w:val="20"/>
          <w:color w:val="auto"/>
        </w:rPr>
      </w:pPr>
    </w:p>
    <w:p>
      <w:pPr>
        <w:jc w:val="both"/>
        <w:ind w:right="300" w:firstLine="601"/>
        <w:spacing w:after="0" w:line="293" w:lineRule="auto"/>
        <w:tabs>
          <w:tab w:leader="none" w:pos="1001"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Compliance with Rule 144</w:t>
      </w:r>
      <w:r>
        <w:rPr>
          <w:rFonts w:ascii="Arial" w:cs="Arial" w:eastAsia="Arial" w:hAnsi="Arial"/>
          <w:sz w:val="18"/>
          <w:szCs w:val="18"/>
          <w:color w:val="auto"/>
        </w:rPr>
        <w:t>. If any shares of Company Common Stock issued in respect of the Restricted Stock Units are to be disposed of in accordance with Rule 144, the Participant shall transmit to the Company an executed copy of Form 144 (if required by Rule</w:t>
      </w:r>
    </w:p>
    <w:p>
      <w:pPr>
        <w:ind w:right="20"/>
        <w:spacing w:after="0" w:line="257" w:lineRule="auto"/>
        <w:tabs>
          <w:tab w:leader="none" w:pos="417" w:val="left"/>
        </w:tabs>
        <w:numPr>
          <w:ilvl w:val="0"/>
          <w:numId w:val="125"/>
        </w:numPr>
        <w:rPr>
          <w:rFonts w:ascii="Arial" w:cs="Arial" w:eastAsia="Arial" w:hAnsi="Arial"/>
          <w:sz w:val="20"/>
          <w:szCs w:val="20"/>
          <w:color w:val="auto"/>
        </w:rPr>
      </w:pPr>
      <w:r>
        <w:rPr>
          <w:rFonts w:ascii="Arial" w:cs="Arial" w:eastAsia="Arial" w:hAnsi="Arial"/>
          <w:sz w:val="20"/>
          <w:szCs w:val="20"/>
          <w:color w:val="auto"/>
        </w:rPr>
        <w:t>no later than the time such form is required to be transmitted to the Commission for filing and such other documentation as the Company may reasonably require to assure compliance with Rule 144 in connection with such disposition.</w:t>
      </w:r>
    </w:p>
    <w:p>
      <w:pPr>
        <w:spacing w:after="0" w:line="365" w:lineRule="exact"/>
        <w:rPr>
          <w:rFonts w:ascii="Arial" w:cs="Arial" w:eastAsia="Arial" w:hAnsi="Arial"/>
          <w:sz w:val="20"/>
          <w:szCs w:val="20"/>
          <w:color w:val="auto"/>
        </w:rPr>
      </w:pPr>
    </w:p>
    <w:p>
      <w:pPr>
        <w:ind w:right="500" w:firstLine="601"/>
        <w:spacing w:after="0" w:line="288" w:lineRule="auto"/>
        <w:tabs>
          <w:tab w:leader="none" w:pos="990"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Participant Status</w:t>
      </w:r>
      <w:r>
        <w:rPr>
          <w:rFonts w:ascii="Arial" w:cs="Arial" w:eastAsia="Arial" w:hAnsi="Arial"/>
          <w:sz w:val="20"/>
          <w:szCs w:val="20"/>
          <w:color w:val="auto"/>
        </w:rPr>
        <w:t>. The Participant represents and warrants that, as of the date hereof, the Participant is an officer, employee, director or Consultant of the Company or a Subsidiary.</w:t>
      </w:r>
    </w:p>
    <w:p>
      <w:pPr>
        <w:spacing w:after="0" w:line="337" w:lineRule="exact"/>
        <w:rPr>
          <w:sz w:val="20"/>
          <w:szCs w:val="20"/>
          <w:color w:val="auto"/>
        </w:rPr>
      </w:pPr>
    </w:p>
    <w:p>
      <w:pPr>
        <w:ind w:right="140" w:firstLine="601"/>
        <w:spacing w:after="0" w:line="261" w:lineRule="auto"/>
        <w:tabs>
          <w:tab w:leader="none" w:pos="918"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Adjustment in Capitalization</w:t>
      </w:r>
      <w:r>
        <w:rPr>
          <w:rFonts w:ascii="Arial" w:cs="Arial" w:eastAsia="Arial" w:hAnsi="Arial"/>
          <w:sz w:val="20"/>
          <w:szCs w:val="20"/>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363" w:lineRule="exact"/>
        <w:rPr>
          <w:rFonts w:ascii="Arial" w:cs="Arial" w:eastAsia="Arial" w:hAnsi="Arial"/>
          <w:sz w:val="20"/>
          <w:szCs w:val="20"/>
          <w:color w:val="auto"/>
        </w:rPr>
      </w:pPr>
    </w:p>
    <w:p>
      <w:pPr>
        <w:ind w:left="920" w:hanging="319"/>
        <w:spacing w:after="0"/>
        <w:tabs>
          <w:tab w:leader="none" w:pos="92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56" w:right="239" w:bottom="1440" w:gutter="0" w:footer="0" w:header="0"/>
        </w:sectPr>
      </w:pPr>
    </w:p>
    <w:bookmarkStart w:id="150" w:name="page151"/>
    <w:bookmarkEnd w:id="150"/>
    <w:p>
      <w:pPr>
        <w:ind w:left="-40" w:right="20" w:firstLine="601"/>
        <w:spacing w:after="0" w:line="261" w:lineRule="auto"/>
        <w:tabs>
          <w:tab w:leader="none" w:pos="95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Binding Effect; Benefits</w:t>
      </w:r>
      <w:r>
        <w:rPr>
          <w:rFonts w:ascii="Arial" w:cs="Arial" w:eastAsia="Arial" w:hAnsi="Arial"/>
          <w:sz w:val="20"/>
          <w:szCs w:val="20"/>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363" w:lineRule="exact"/>
        <w:rPr>
          <w:rFonts w:ascii="Arial" w:cs="Arial" w:eastAsia="Arial" w:hAnsi="Arial"/>
          <w:sz w:val="20"/>
          <w:szCs w:val="20"/>
          <w:color w:val="auto"/>
        </w:rPr>
      </w:pPr>
    </w:p>
    <w:p>
      <w:pPr>
        <w:ind w:left="-40" w:right="220" w:firstLine="601"/>
        <w:spacing w:after="0" w:line="268" w:lineRule="auto"/>
        <w:tabs>
          <w:tab w:leader="none" w:pos="961"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No Right to Continued Employment</w:t>
      </w:r>
      <w:r>
        <w:rPr>
          <w:rFonts w:ascii="Arial" w:cs="Arial" w:eastAsia="Arial" w:hAnsi="Arial"/>
          <w:sz w:val="20"/>
          <w:szCs w:val="20"/>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pacing w:after="0" w:line="356" w:lineRule="exact"/>
        <w:rPr>
          <w:rFonts w:ascii="Arial" w:cs="Arial" w:eastAsia="Arial" w:hAnsi="Arial"/>
          <w:sz w:val="20"/>
          <w:szCs w:val="20"/>
          <w:color w:val="auto"/>
        </w:rPr>
      </w:pPr>
    </w:p>
    <w:p>
      <w:pPr>
        <w:ind w:left="-40" w:right="40" w:firstLine="601"/>
        <w:spacing w:after="0" w:line="268" w:lineRule="auto"/>
        <w:tabs>
          <w:tab w:leader="none" w:pos="95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357" w:lineRule="exact"/>
        <w:rPr>
          <w:rFonts w:ascii="Arial" w:cs="Arial" w:eastAsia="Arial" w:hAnsi="Arial"/>
          <w:sz w:val="19"/>
          <w:szCs w:val="19"/>
          <w:color w:val="auto"/>
        </w:rPr>
      </w:pPr>
    </w:p>
    <w:p>
      <w:pPr>
        <w:ind w:left="-40" w:firstLine="601"/>
        <w:spacing w:after="0" w:line="265" w:lineRule="auto"/>
        <w:tabs>
          <w:tab w:leader="none" w:pos="961"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Whenever any cash or other payment is to be made hereunder or with respect to the Restricted Stock Units, the Company or any Subsidiary shall have the power to withhold an amount (in cash, Restricted Stock Units or in Company Common Stock issuable upon settlement of Restricted Stock Units or from other amounts paid to the Participant in cash (whether under the Plan or otherwise)) sufficient to satisfy federal, state, and local withholding tax requirements relating to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Company withholds shares issuable to the Participant (or any portion thereof) to satisfy any applicable withholding taxes, the Company shall only withhold a number of whole shares having a Fair Market Value, determined as of the date of vesting, not in excess of the minimum of tax required to be withheld by law (or such lower amount as may be necessary to avoid liability award accounting). The Company may require the recipient of shares of Company Common Stock to remit to the Company an amount in cash sufficient to satisfy the amount of taxes required to be withheld as a condition to the issuance of shares in settlement of the Restricted Stock Units. The Committee may, in its discretion, require the Participant, or permit the Participant to elect, subject to such conditions as the Committee shall impose, to meet such obligations by having the Company withhold or sell the least number of whole shares of Company Common Stock having a Fair Market Value sufficient to satisfy all or part of the amount required to be withheld. The Company or such Subsidiary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40"/>
          </w:cols>
          <w:pgMar w:left="280" w:top="556" w:right="27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The Participant shall be responsible for all withholding taxes and other tax consequences of this award of Restricted Stock Units.</w:t>
      </w:r>
    </w:p>
    <w:p>
      <w:pPr>
        <w:spacing w:after="0" w:line="200" w:lineRule="exact"/>
        <w:rPr>
          <w:sz w:val="20"/>
          <w:szCs w:val="20"/>
          <w:color w:val="auto"/>
        </w:rPr>
      </w:pPr>
    </w:p>
    <w:p>
      <w:pPr>
        <w:spacing w:after="0" w:line="208" w:lineRule="exact"/>
        <w:rPr>
          <w:sz w:val="20"/>
          <w:szCs w:val="20"/>
          <w:color w:val="auto"/>
        </w:rPr>
      </w:pPr>
    </w:p>
    <w:p>
      <w:pPr>
        <w:jc w:val="both"/>
        <w:ind w:right="500" w:firstLine="601"/>
        <w:spacing w:after="0" w:line="347" w:lineRule="auto"/>
        <w:tabs>
          <w:tab w:leader="none" w:pos="99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in accordance with and governed by the laws of the State of Delaware, without reference to principles of conflict of laws which would give rise to the application of the substantive law of another jurisdiction.</w:t>
      </w:r>
    </w:p>
    <w:p>
      <w:pPr>
        <w:spacing w:after="0" w:line="290" w:lineRule="exact"/>
        <w:rPr>
          <w:rFonts w:ascii="Arial" w:cs="Arial" w:eastAsia="Arial" w:hAnsi="Arial"/>
          <w:sz w:val="18"/>
          <w:szCs w:val="18"/>
          <w:color w:val="auto"/>
        </w:rPr>
      </w:pPr>
    </w:p>
    <w:p>
      <w:pPr>
        <w:ind w:right="200" w:firstLine="601"/>
        <w:spacing w:after="0" w:line="288" w:lineRule="auto"/>
        <w:tabs>
          <w:tab w:leader="none" w:pos="968"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not be amended, modified or supplemented orally, but only by a written instrument executed by the Participant and the Company.</w:t>
      </w:r>
    </w:p>
    <w:p>
      <w:pPr>
        <w:spacing w:after="0" w:line="336" w:lineRule="exact"/>
        <w:rPr>
          <w:rFonts w:ascii="Arial" w:cs="Arial" w:eastAsia="Arial" w:hAnsi="Arial"/>
          <w:sz w:val="20"/>
          <w:szCs w:val="20"/>
          <w:color w:val="auto"/>
        </w:rPr>
      </w:pPr>
    </w:p>
    <w:p>
      <w:pPr>
        <w:ind w:right="80" w:firstLine="601"/>
        <w:spacing w:after="0" w:line="288" w:lineRule="auto"/>
        <w:tabs>
          <w:tab w:leader="none" w:pos="1001"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Assignability</w:t>
      </w:r>
      <w:r>
        <w:rPr>
          <w:rFonts w:ascii="Arial" w:cs="Arial" w:eastAsia="Arial" w:hAnsi="Arial"/>
          <w:sz w:val="19"/>
          <w:szCs w:val="19"/>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assign all or any portion of its rights or obligations under this Agreement to one or more persons or other entities designated by it.</w:t>
      </w:r>
    </w:p>
    <w:p>
      <w:pPr>
        <w:spacing w:after="0" w:line="339" w:lineRule="exact"/>
        <w:rPr>
          <w:rFonts w:ascii="Arial" w:cs="Arial" w:eastAsia="Arial" w:hAnsi="Arial"/>
          <w:sz w:val="19"/>
          <w:szCs w:val="19"/>
          <w:color w:val="auto"/>
        </w:rPr>
      </w:pPr>
    </w:p>
    <w:p>
      <w:pPr>
        <w:ind w:firstLine="601"/>
        <w:spacing w:after="0" w:line="268" w:lineRule="auto"/>
        <w:tabs>
          <w:tab w:leader="none" w:pos="1001"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Severability; Blue Pencil</w:t>
      </w:r>
      <w:r>
        <w:rPr>
          <w:rFonts w:ascii="Arial" w:cs="Arial" w:eastAsia="Arial" w:hAnsi="Arial"/>
          <w:sz w:val="20"/>
          <w:szCs w:val="20"/>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356" w:lineRule="exact"/>
        <w:rPr>
          <w:rFonts w:ascii="Arial" w:cs="Arial" w:eastAsia="Arial" w:hAnsi="Arial"/>
          <w:sz w:val="20"/>
          <w:szCs w:val="20"/>
          <w:color w:val="auto"/>
        </w:rPr>
      </w:pPr>
    </w:p>
    <w:p>
      <w:pPr>
        <w:ind w:right="40" w:firstLine="601"/>
        <w:spacing w:after="0" w:line="254" w:lineRule="auto"/>
        <w:tabs>
          <w:tab w:leader="none" w:pos="956"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Limitation on Rights; No Right to Future Grants; Extraordinary Item of Compensation</w:t>
      </w:r>
      <w:r>
        <w:rPr>
          <w:rFonts w:ascii="Arial" w:cs="Arial" w:eastAsia="Arial" w:hAnsi="Arial"/>
          <w:sz w:val="20"/>
          <w:szCs w:val="20"/>
          <w:color w:val="auto"/>
        </w:rPr>
        <w:t>. By entering into this Agreement and accepting the Restricted Stock Units evidenced hereby, the Participant acknowledges: (</w:t>
      </w:r>
      <w:r>
        <w:rPr>
          <w:rFonts w:ascii="Arial" w:cs="Arial" w:eastAsia="Arial" w:hAnsi="Arial"/>
          <w:sz w:val="20"/>
          <w:szCs w:val="20"/>
          <w:u w:val="single" w:color="auto"/>
          <w:color w:val="auto"/>
        </w:rPr>
        <w:t>a</w:t>
      </w:r>
      <w:r>
        <w:rPr>
          <w:rFonts w:ascii="Arial" w:cs="Arial" w:eastAsia="Arial" w:hAnsi="Arial"/>
          <w:sz w:val="20"/>
          <w:szCs w:val="20"/>
          <w:color w:val="auto"/>
        </w:rPr>
        <w:t>) that the Plan is discretionary in nature and may be suspended or terminated by the Company at any time; (</w:t>
      </w:r>
      <w:r>
        <w:rPr>
          <w:rFonts w:ascii="Arial" w:cs="Arial" w:eastAsia="Arial" w:hAnsi="Arial"/>
          <w:sz w:val="20"/>
          <w:szCs w:val="20"/>
          <w:u w:val="single" w:color="auto"/>
          <w:color w:val="auto"/>
        </w:rPr>
        <w:t>b</w:t>
      </w:r>
      <w:r>
        <w:rPr>
          <w:rFonts w:ascii="Arial" w:cs="Arial" w:eastAsia="Arial" w:hAnsi="Arial"/>
          <w:sz w:val="20"/>
          <w:szCs w:val="20"/>
          <w:color w:val="auto"/>
        </w:rPr>
        <w:t>) that the Award does not create any contractual or other right to receive future grants of Awards; (</w:t>
      </w:r>
      <w:r>
        <w:rPr>
          <w:rFonts w:ascii="Arial" w:cs="Arial" w:eastAsia="Arial" w:hAnsi="Arial"/>
          <w:sz w:val="20"/>
          <w:szCs w:val="20"/>
          <w:u w:val="single" w:color="auto"/>
          <w:color w:val="auto"/>
        </w:rPr>
        <w:t>c</w:t>
      </w:r>
      <w:r>
        <w:rPr>
          <w:rFonts w:ascii="Arial" w:cs="Arial" w:eastAsia="Arial" w:hAnsi="Arial"/>
          <w:sz w:val="20"/>
          <w:szCs w:val="20"/>
          <w:color w:val="auto"/>
        </w:rPr>
        <w:t>) that participation in the Plan is voluntary; (</w:t>
      </w:r>
      <w:r>
        <w:rPr>
          <w:rFonts w:ascii="Arial" w:cs="Arial" w:eastAsia="Arial" w:hAnsi="Arial"/>
          <w:sz w:val="20"/>
          <w:szCs w:val="20"/>
          <w:u w:val="single" w:color="auto"/>
          <w:color w:val="auto"/>
        </w:rPr>
        <w:t>d</w:t>
      </w:r>
      <w:r>
        <w:rPr>
          <w:rFonts w:ascii="Arial" w:cs="Arial" w:eastAsia="Arial" w:hAnsi="Arial"/>
          <w:sz w:val="20"/>
          <w:szCs w:val="20"/>
          <w:color w:val="auto"/>
        </w:rPr>
        <w:t>) that the value of the Restricted Stock Units is not part of normal or expected compensation for purposes of calculating any severance, resignation, redundancy, end of service payments, bonuses, long-service awards, pension or retirement benefits or similar payments; and (</w:t>
      </w:r>
      <w:r>
        <w:rPr>
          <w:rFonts w:ascii="Arial" w:cs="Arial" w:eastAsia="Arial" w:hAnsi="Arial"/>
          <w:sz w:val="20"/>
          <w:szCs w:val="20"/>
          <w:u w:val="single" w:color="auto"/>
          <w:color w:val="auto"/>
        </w:rPr>
        <w:t>e</w:t>
      </w:r>
      <w:r>
        <w:rPr>
          <w:rFonts w:ascii="Arial" w:cs="Arial" w:eastAsia="Arial" w:hAnsi="Arial"/>
          <w:sz w:val="20"/>
          <w:szCs w:val="20"/>
          <w:color w:val="auto"/>
        </w:rPr>
        <w:t>) that the future value of the Company Common Stock is unknown and cannot be predicted with certainty.</w:t>
      </w:r>
    </w:p>
    <w:p>
      <w:pPr>
        <w:spacing w:after="0" w:line="374" w:lineRule="exact"/>
        <w:rPr>
          <w:rFonts w:ascii="Arial" w:cs="Arial" w:eastAsia="Arial" w:hAnsi="Arial"/>
          <w:sz w:val="20"/>
          <w:szCs w:val="20"/>
          <w:color w:val="auto"/>
        </w:rPr>
      </w:pPr>
    </w:p>
    <w:p>
      <w:pPr>
        <w:ind w:firstLine="601"/>
        <w:spacing w:after="0" w:line="275" w:lineRule="auto"/>
        <w:tabs>
          <w:tab w:leader="none" w:pos="956"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By accepting the grant evidenced hereby, the Participant: (</w:t>
      </w:r>
      <w:r>
        <w:rPr>
          <w:rFonts w:ascii="Arial" w:cs="Arial" w:eastAsia="Arial" w:hAnsi="Arial"/>
          <w:sz w:val="19"/>
          <w:szCs w:val="19"/>
          <w:u w:val="single" w:color="auto"/>
          <w:color w:val="auto"/>
        </w:rPr>
        <w:t>a</w:t>
      </w:r>
      <w:r>
        <w:rPr>
          <w:rFonts w:ascii="Arial" w:cs="Arial" w:eastAsia="Arial" w:hAnsi="Arial"/>
          <w:sz w:val="19"/>
          <w:szCs w:val="19"/>
          <w:color w:val="auto"/>
        </w:rPr>
        <w:t>) authorizes the Company and the Participant’s employer, if different, any agent of the Company administering the Plan or providing Plan recordkeeping services, to disclose to the Company or any of its affiliates any information and data the Company requests in order to facilitate the grant of the Award and the administration of the Plan; (</w:t>
      </w:r>
      <w:r>
        <w:rPr>
          <w:rFonts w:ascii="Arial" w:cs="Arial" w:eastAsia="Arial" w:hAnsi="Arial"/>
          <w:sz w:val="19"/>
          <w:szCs w:val="19"/>
          <w:u w:val="single" w:color="auto"/>
          <w:color w:val="auto"/>
        </w:rPr>
        <w:t>b</w:t>
      </w:r>
      <w:r>
        <w:rPr>
          <w:rFonts w:ascii="Arial" w:cs="Arial" w:eastAsia="Arial" w:hAnsi="Arial"/>
          <w:sz w:val="19"/>
          <w:szCs w:val="19"/>
          <w:color w:val="auto"/>
        </w:rPr>
        <w:t>) waives any data privacy rights the Participant may have with respect to such information; and (</w:t>
      </w:r>
      <w:r>
        <w:rPr>
          <w:rFonts w:ascii="Arial" w:cs="Arial" w:eastAsia="Arial" w:hAnsi="Arial"/>
          <w:sz w:val="19"/>
          <w:szCs w:val="19"/>
          <w:u w:val="single" w:color="auto"/>
          <w:color w:val="auto"/>
        </w:rPr>
        <w:t>c</w:t>
      </w:r>
      <w:r>
        <w:rPr>
          <w:rFonts w:ascii="Arial" w:cs="Arial" w:eastAsia="Arial" w:hAnsi="Arial"/>
          <w:sz w:val="19"/>
          <w:szCs w:val="19"/>
          <w:color w:val="auto"/>
        </w:rPr>
        <w:t>) authorizes the Company and its agents to store and transmit such information in electronic form.</w:t>
      </w:r>
    </w:p>
    <w:p>
      <w:pPr>
        <w:spacing w:after="0" w:line="350" w:lineRule="exact"/>
        <w:rPr>
          <w:rFonts w:ascii="Arial" w:cs="Arial" w:eastAsia="Arial" w:hAnsi="Arial"/>
          <w:sz w:val="19"/>
          <w:szCs w:val="19"/>
          <w:color w:val="auto"/>
        </w:rPr>
      </w:pPr>
    </w:p>
    <w:p>
      <w:pPr>
        <w:ind w:right="260" w:firstLine="601"/>
        <w:spacing w:after="0" w:line="258" w:lineRule="auto"/>
        <w:tabs>
          <w:tab w:leader="none" w:pos="1001"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Consent to Electronic Delivery</w:t>
      </w:r>
      <w:r>
        <w:rPr>
          <w:rFonts w:ascii="Arial" w:cs="Arial" w:eastAsia="Arial" w:hAnsi="Arial"/>
          <w:sz w:val="20"/>
          <w:szCs w:val="20"/>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57" w:right="239" w:bottom="1440" w:gutter="0" w:footer="0" w:header="0"/>
        </w:sectPr>
      </w:pPr>
    </w:p>
    <w:bookmarkStart w:id="152" w:name="page153"/>
    <w:bookmarkEnd w:id="152"/>
    <w:p>
      <w:pPr>
        <w:ind w:left="-20" w:right="20" w:firstLine="601"/>
        <w:spacing w:after="0" w:line="270" w:lineRule="auto"/>
        <w:tabs>
          <w:tab w:leader="none" w:pos="936"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357" w:lineRule="exact"/>
        <w:rPr>
          <w:rFonts w:ascii="Arial" w:cs="Arial" w:eastAsia="Arial" w:hAnsi="Arial"/>
          <w:sz w:val="19"/>
          <w:szCs w:val="19"/>
          <w:color w:val="auto"/>
        </w:rPr>
      </w:pPr>
    </w:p>
    <w:p>
      <w:pPr>
        <w:ind w:left="-20" w:firstLine="601"/>
        <w:spacing w:after="0" w:line="268" w:lineRule="auto"/>
        <w:tabs>
          <w:tab w:leader="none" w:pos="1037"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Specified Employee Delay</w:t>
      </w:r>
      <w:r>
        <w:rPr>
          <w:rFonts w:ascii="Arial" w:cs="Arial" w:eastAsia="Arial" w:hAnsi="Arial"/>
          <w:sz w:val="19"/>
          <w:szCs w:val="19"/>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9"/>
          <w:szCs w:val="19"/>
          <w:u w:val="single" w:color="auto"/>
          <w:color w:val="auto"/>
        </w:rPr>
        <w:t>a</w:t>
      </w:r>
      <w:r>
        <w:rPr>
          <w:rFonts w:ascii="Arial" w:cs="Arial" w:eastAsia="Arial" w:hAnsi="Arial"/>
          <w:sz w:val="19"/>
          <w:szCs w:val="19"/>
          <w:color w:val="auto"/>
        </w:rPr>
        <w:t>) the date that is six months following the Participant’s termination of service and (</w:t>
      </w:r>
      <w:r>
        <w:rPr>
          <w:rFonts w:ascii="Arial" w:cs="Arial" w:eastAsia="Arial" w:hAnsi="Arial"/>
          <w:sz w:val="19"/>
          <w:szCs w:val="19"/>
          <w:u w:val="single" w:color="auto"/>
          <w:color w:val="auto"/>
        </w:rPr>
        <w:t>b</w:t>
      </w:r>
      <w:r>
        <w:rPr>
          <w:rFonts w:ascii="Arial" w:cs="Arial" w:eastAsia="Arial" w:hAnsi="Arial"/>
          <w:sz w:val="19"/>
          <w:szCs w:val="19"/>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357" w:lineRule="exact"/>
        <w:rPr>
          <w:rFonts w:ascii="Arial" w:cs="Arial" w:eastAsia="Arial" w:hAnsi="Arial"/>
          <w:sz w:val="19"/>
          <w:szCs w:val="19"/>
          <w:color w:val="auto"/>
        </w:rPr>
      </w:pPr>
    </w:p>
    <w:p>
      <w:pPr>
        <w:ind w:left="-20" w:right="20" w:firstLine="601"/>
        <w:spacing w:after="0" w:line="288" w:lineRule="auto"/>
        <w:tabs>
          <w:tab w:leader="none" w:pos="981"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Headings and Captions</w:t>
      </w:r>
      <w:r>
        <w:rPr>
          <w:rFonts w:ascii="Arial" w:cs="Arial" w:eastAsia="Arial" w:hAnsi="Arial"/>
          <w:sz w:val="20"/>
          <w:szCs w:val="20"/>
          <w:color w:val="auto"/>
        </w:rPr>
        <w:t>. The section and other headings contained in this Agreement are for reference purposes only and shall not affect the meaning or interpretation of this Agreement.</w:t>
      </w:r>
    </w:p>
    <w:p>
      <w:pPr>
        <w:spacing w:after="0" w:line="336" w:lineRule="exact"/>
        <w:rPr>
          <w:rFonts w:ascii="Arial" w:cs="Arial" w:eastAsia="Arial" w:hAnsi="Arial"/>
          <w:sz w:val="20"/>
          <w:szCs w:val="20"/>
          <w:color w:val="auto"/>
        </w:rPr>
      </w:pPr>
    </w:p>
    <w:p>
      <w:pPr>
        <w:ind w:left="-20" w:firstLine="601"/>
        <w:spacing w:after="0" w:line="258" w:lineRule="auto"/>
        <w:tabs>
          <w:tab w:leader="none" w:pos="981"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under this Agreement shall be (</w:t>
      </w:r>
      <w:r>
        <w:rPr>
          <w:rFonts w:ascii="Arial" w:cs="Arial" w:eastAsia="Arial" w:hAnsi="Arial"/>
          <w:sz w:val="20"/>
          <w:szCs w:val="20"/>
          <w:u w:val="single" w:color="auto"/>
          <w:color w:val="auto"/>
        </w:rPr>
        <w:t>i</w:t>
      </w:r>
      <w:r>
        <w:rPr>
          <w:rFonts w:ascii="Arial" w:cs="Arial" w:eastAsia="Arial" w:hAnsi="Arial"/>
          <w:sz w:val="20"/>
          <w:szCs w:val="20"/>
          <w:color w:val="auto"/>
        </w:rPr>
        <w:t>) delivered by hand, (</w:t>
      </w:r>
      <w:r>
        <w:rPr>
          <w:rFonts w:ascii="Arial" w:cs="Arial" w:eastAsia="Arial" w:hAnsi="Arial"/>
          <w:sz w:val="20"/>
          <w:szCs w:val="20"/>
          <w:u w:val="single" w:color="auto"/>
          <w:color w:val="auto"/>
        </w:rPr>
        <w:t>ii</w:t>
      </w:r>
      <w:r>
        <w:rPr>
          <w:rFonts w:ascii="Arial" w:cs="Arial" w:eastAsia="Arial" w:hAnsi="Arial"/>
          <w:sz w:val="20"/>
          <w:szCs w:val="20"/>
          <w:color w:val="auto"/>
        </w:rPr>
        <w:t>) sent by commercial overnight courier service, (</w:t>
      </w:r>
      <w:r>
        <w:rPr>
          <w:rFonts w:ascii="Arial" w:cs="Arial" w:eastAsia="Arial" w:hAnsi="Arial"/>
          <w:sz w:val="20"/>
          <w:szCs w:val="20"/>
          <w:u w:val="single" w:color="auto"/>
          <w:color w:val="auto"/>
        </w:rPr>
        <w:t>iii</w:t>
      </w:r>
      <w:r>
        <w:rPr>
          <w:rFonts w:ascii="Arial" w:cs="Arial" w:eastAsia="Arial" w:hAnsi="Arial"/>
          <w:sz w:val="20"/>
          <w:szCs w:val="20"/>
          <w:color w:val="auto"/>
        </w:rPr>
        <w:t>) sent by registered or certified mail, return receipt requested, and first-class postage prepaid, (</w:t>
      </w:r>
      <w:r>
        <w:rPr>
          <w:rFonts w:ascii="Arial" w:cs="Arial" w:eastAsia="Arial" w:hAnsi="Arial"/>
          <w:sz w:val="20"/>
          <w:szCs w:val="20"/>
          <w:u w:val="single" w:color="auto"/>
          <w:color w:val="auto"/>
        </w:rPr>
        <w:t>iv</w:t>
      </w:r>
      <w:r>
        <w:rPr>
          <w:rFonts w:ascii="Arial" w:cs="Arial" w:eastAsia="Arial" w:hAnsi="Arial"/>
          <w:sz w:val="20"/>
          <w:szCs w:val="20"/>
          <w:color w:val="auto"/>
        </w:rPr>
        <w:t>) sent by e-mail or any other form of electronic transfer or delivery approved by the Administrator, or (</w:t>
      </w:r>
      <w:r>
        <w:rPr>
          <w:rFonts w:ascii="Arial" w:cs="Arial" w:eastAsia="Arial" w:hAnsi="Arial"/>
          <w:sz w:val="20"/>
          <w:szCs w:val="20"/>
          <w:u w:val="single" w:color="auto"/>
          <w:color w:val="auto"/>
        </w:rPr>
        <w:t>v</w:t>
      </w:r>
      <w:r>
        <w:rPr>
          <w:rFonts w:ascii="Arial" w:cs="Arial" w:eastAsia="Arial" w:hAnsi="Arial"/>
          <w:sz w:val="20"/>
          <w:szCs w:val="20"/>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366" w:lineRule="exact"/>
        <w:rPr>
          <w:rFonts w:ascii="Arial" w:cs="Arial" w:eastAsia="Arial" w:hAnsi="Arial"/>
          <w:sz w:val="20"/>
          <w:szCs w:val="20"/>
          <w:color w:val="auto"/>
        </w:rPr>
      </w:pPr>
    </w:p>
    <w:p>
      <w:pPr>
        <w:ind w:left="-20" w:right="180" w:firstLine="601"/>
        <w:spacing w:after="0" w:line="288" w:lineRule="auto"/>
        <w:tabs>
          <w:tab w:leader="none" w:pos="981"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80"/>
          </w:cols>
          <w:pgMar w:left="260" w:top="557" w:right="2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EQUITY INCENTIVE PLAN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BOOZ ALLEN HAMILTON HOLDING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NOTICE</w:t>
      </w:r>
    </w:p>
    <w:p>
      <w:pPr>
        <w:spacing w:after="0" w:line="200" w:lineRule="exact"/>
        <w:rPr>
          <w:sz w:val="20"/>
          <w:szCs w:val="20"/>
          <w:color w:val="auto"/>
        </w:rPr>
      </w:pPr>
    </w:p>
    <w:p>
      <w:pPr>
        <w:spacing w:after="0" w:line="212" w:lineRule="exact"/>
        <w:rPr>
          <w:sz w:val="20"/>
          <w:szCs w:val="20"/>
          <w:color w:val="auto"/>
        </w:rPr>
      </w:pPr>
    </w:p>
    <w:p>
      <w:pPr>
        <w:ind w:right="20" w:firstLine="601"/>
        <w:spacing w:after="0" w:line="261" w:lineRule="auto"/>
        <w:rPr>
          <w:sz w:val="20"/>
          <w:szCs w:val="20"/>
          <w:color w:val="auto"/>
        </w:rPr>
      </w:pPr>
      <w:r>
        <w:rPr>
          <w:rFonts w:ascii="Arial" w:cs="Arial" w:eastAsia="Arial" w:hAnsi="Arial"/>
          <w:sz w:val="20"/>
          <w:szCs w:val="20"/>
          <w:color w:val="auto"/>
        </w:rPr>
        <w:t>Unless otherwise defined herein, the terms defined in the Second Amended and Restated Equity Incentive Plan of Booz Allen Holding Corporation (the “</w:t>
      </w:r>
      <w:r>
        <w:rPr>
          <w:rFonts w:ascii="Arial" w:cs="Arial" w:eastAsia="Arial" w:hAnsi="Arial"/>
          <w:sz w:val="20"/>
          <w:szCs w:val="20"/>
          <w:u w:val="single" w:color="auto"/>
          <w:color w:val="auto"/>
        </w:rPr>
        <w:t>Plan</w:t>
      </w:r>
      <w:r>
        <w:rPr>
          <w:rFonts w:ascii="Arial" w:cs="Arial" w:eastAsia="Arial" w:hAnsi="Arial"/>
          <w:sz w:val="20"/>
          <w:szCs w:val="20"/>
          <w:color w:val="auto"/>
        </w:rPr>
        <w:t>”) shall have the same defined meanings in this Restricted Stock Unit Agreement, which includes the terms in this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attached hereto (collectively, the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364" w:lineRule="exact"/>
        <w:rPr>
          <w:sz w:val="20"/>
          <w:szCs w:val="20"/>
          <w:color w:val="auto"/>
        </w:rPr>
      </w:pPr>
    </w:p>
    <w:p>
      <w:pPr>
        <w:ind w:right="240" w:firstLine="601"/>
        <w:spacing w:after="0" w:line="261" w:lineRule="auto"/>
        <w:rPr>
          <w:sz w:val="20"/>
          <w:szCs w:val="20"/>
          <w:color w:val="auto"/>
        </w:rPr>
      </w:pPr>
      <w:r>
        <w:rPr>
          <w:rFonts w:ascii="Arial" w:cs="Arial" w:eastAsia="Arial" w:hAnsi="Arial"/>
          <w:sz w:val="20"/>
          <w:szCs w:val="20"/>
          <w:color w:val="auto"/>
        </w:rPr>
        <w:t>You have been granted restricted stock units, subject to the terms and conditions of the Plan and this Agreement in an amount and vesting schedule as delivered and made available to you by the Company, which shall be deemed part of and incorporated by reference into this Grant Notice.</w:t>
      </w:r>
    </w:p>
    <w:p>
      <w:pPr>
        <w:spacing w:after="0" w:line="364" w:lineRule="exact"/>
        <w:rPr>
          <w:sz w:val="20"/>
          <w:szCs w:val="20"/>
          <w:color w:val="auto"/>
        </w:rPr>
      </w:pPr>
    </w:p>
    <w:p>
      <w:pPr>
        <w:ind w:right="80" w:firstLine="601"/>
        <w:spacing w:after="0" w:line="286" w:lineRule="auto"/>
        <w:rPr>
          <w:sz w:val="20"/>
          <w:szCs w:val="20"/>
          <w:color w:val="auto"/>
        </w:rPr>
      </w:pPr>
      <w:r>
        <w:rPr>
          <w:rFonts w:ascii="Arial" w:cs="Arial" w:eastAsia="Arial" w:hAnsi="Arial"/>
          <w:sz w:val="18"/>
          <w:szCs w:val="18"/>
          <w:color w:val="auto"/>
        </w:rPr>
        <w:t xml:space="preserve">Your acceptance of this grant indicates your agreement and understanding that the Restricted Stock Units granted herein are subject to all of the terms and conditions contained in the Agreement and the Plan. </w:t>
      </w:r>
      <w:r>
        <w:rPr>
          <w:rFonts w:ascii="Arial" w:cs="Arial" w:eastAsia="Arial" w:hAnsi="Arial"/>
          <w:sz w:val="18"/>
          <w:szCs w:val="18"/>
          <w:b w:val="1"/>
          <w:bCs w:val="1"/>
          <w:color w:val="auto"/>
        </w:rPr>
        <w:t>ACCORDINGLY, PLEASE BE SURE TO READ ALL OF THE</w:t>
      </w:r>
    </w:p>
    <w:p>
      <w:pPr>
        <w:ind w:right="340"/>
        <w:spacing w:after="0" w:line="257" w:lineRule="auto"/>
        <w:rPr>
          <w:sz w:val="20"/>
          <w:szCs w:val="20"/>
          <w:color w:val="auto"/>
        </w:rPr>
      </w:pPr>
      <w:r>
        <w:rPr>
          <w:rFonts w:ascii="Arial" w:cs="Arial" w:eastAsia="Arial" w:hAnsi="Arial"/>
          <w:sz w:val="20"/>
          <w:szCs w:val="20"/>
          <w:b w:val="1"/>
          <w:bCs w:val="1"/>
          <w:color w:val="auto"/>
        </w:rPr>
        <w:t>PLAN AND APPENDIX A, WHICH CONTAIN THE SPECIFIC TERMS AND CONDITIONS OF THE RESTRICTED STOCK UNITS.</w:t>
      </w:r>
    </w:p>
    <w:p>
      <w:pPr>
        <w:spacing w:after="0" w:line="3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order to accept this grant, please go to Fidelity NetBenefits at www.netbenefits.com and follow the instructions regarding this grant.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57"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0"/>
          <w:szCs w:val="20"/>
          <w:b w:val="1"/>
          <w:bCs w:val="1"/>
          <w:color w:val="auto"/>
        </w:rPr>
        <w:t>APPENDIX A TO RESTRICTED STOCK UNIT AGREEMENT</w:t>
      </w:r>
    </w:p>
    <w:p>
      <w:pPr>
        <w:spacing w:after="0" w:line="200" w:lineRule="exact"/>
        <w:rPr>
          <w:sz w:val="20"/>
          <w:szCs w:val="20"/>
          <w:color w:val="auto"/>
        </w:rPr>
      </w:pPr>
    </w:p>
    <w:p>
      <w:pPr>
        <w:spacing w:after="0" w:line="212" w:lineRule="exact"/>
        <w:rPr>
          <w:sz w:val="20"/>
          <w:szCs w:val="20"/>
          <w:color w:val="auto"/>
        </w:rPr>
      </w:pPr>
    </w:p>
    <w:p>
      <w:pPr>
        <w:ind w:left="-40" w:right="40" w:firstLine="601"/>
        <w:spacing w:after="0" w:line="256" w:lineRule="auto"/>
        <w:tabs>
          <w:tab w:leader="none" w:pos="878"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Subject to the terms, conditions, and restrictions set forth in this Agreement (including the Grant Notice made available to you by the Company) and in the Plan, the Company hereby evidences and confirms its grant to the Participant, effective as of the Grant Date, of the number of restricted stock units specified in the Grant Notice (the “</w:t>
      </w:r>
      <w:r>
        <w:rPr>
          <w:rFonts w:ascii="Arial" w:cs="Arial" w:eastAsia="Arial" w:hAnsi="Arial"/>
          <w:sz w:val="20"/>
          <w:szCs w:val="20"/>
          <w:u w:val="single" w:color="auto"/>
          <w:color w:val="auto"/>
        </w:rPr>
        <w:t>Restricted Stock Units</w:t>
      </w:r>
      <w:r>
        <w:rPr>
          <w:rFonts w:ascii="Arial" w:cs="Arial" w:eastAsia="Arial" w:hAnsi="Arial"/>
          <w:sz w:val="20"/>
          <w:szCs w:val="20"/>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368" w:lineRule="exact"/>
        <w:rPr>
          <w:rFonts w:ascii="Arial" w:cs="Arial" w:eastAsia="Arial" w:hAnsi="Arial"/>
          <w:sz w:val="20"/>
          <w:szCs w:val="20"/>
          <w:color w:val="auto"/>
        </w:rPr>
      </w:pPr>
    </w:p>
    <w:p>
      <w:pPr>
        <w:ind w:left="880" w:hanging="319"/>
        <w:spacing w:after="0"/>
        <w:tabs>
          <w:tab w:leader="none" w:pos="88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left="-40" w:right="80" w:firstLine="601"/>
        <w:spacing w:after="0" w:line="268" w:lineRule="auto"/>
        <w:tabs>
          <w:tab w:leader="none" w:pos="95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provided in this Section 2, the Restricted Stock Units shall become vested, in the amount(s), and on the vesting date(s) set forth in the Grant Notice (each, a “</w:t>
      </w:r>
      <w:r>
        <w:rPr>
          <w:rFonts w:ascii="Arial" w:cs="Arial" w:eastAsia="Arial" w:hAnsi="Arial"/>
          <w:sz w:val="20"/>
          <w:szCs w:val="20"/>
          <w:u w:val="single" w:color="auto"/>
          <w:color w:val="auto"/>
        </w:rPr>
        <w:t>Vesting Date</w:t>
      </w:r>
      <w:r>
        <w:rPr>
          <w:rFonts w:ascii="Arial" w:cs="Arial" w:eastAsia="Arial" w:hAnsi="Arial"/>
          <w:sz w:val="20"/>
          <w:szCs w:val="20"/>
          <w:color w:val="auto"/>
        </w:rPr>
        <w:t>”), subject to the continued employment of the Participant by the Company or any Subsidiary thereof through such date.</w:t>
      </w:r>
    </w:p>
    <w:p>
      <w:pPr>
        <w:spacing w:after="0" w:line="356" w:lineRule="exact"/>
        <w:rPr>
          <w:rFonts w:ascii="Arial" w:cs="Arial" w:eastAsia="Arial" w:hAnsi="Arial"/>
          <w:sz w:val="20"/>
          <w:szCs w:val="20"/>
          <w:color w:val="auto"/>
        </w:rPr>
      </w:pPr>
    </w:p>
    <w:p>
      <w:pPr>
        <w:ind w:left="960" w:hanging="399"/>
        <w:spacing w:after="0"/>
        <w:tabs>
          <w:tab w:leader="none" w:pos="96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ind w:left="-40" w:right="120" w:firstLine="1202"/>
        <w:spacing w:after="0" w:line="288" w:lineRule="auto"/>
        <w:tabs>
          <w:tab w:leader="none" w:pos="1517"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Termination Due to Death</w:t>
      </w:r>
      <w:r>
        <w:rPr>
          <w:rFonts w:ascii="Arial" w:cs="Arial" w:eastAsia="Arial" w:hAnsi="Arial"/>
          <w:sz w:val="20"/>
          <w:szCs w:val="20"/>
          <w:color w:val="auto"/>
        </w:rPr>
        <w:t>. If a Participant’s employment or service terminates due to the Participant’s death, all unvested Restricted Stock Units shall immediately vest.</w:t>
      </w:r>
    </w:p>
    <w:p>
      <w:pPr>
        <w:spacing w:after="0" w:line="336" w:lineRule="exact"/>
        <w:rPr>
          <w:rFonts w:ascii="Arial" w:cs="Arial" w:eastAsia="Arial" w:hAnsi="Arial"/>
          <w:sz w:val="20"/>
          <w:szCs w:val="20"/>
          <w:color w:val="auto"/>
        </w:rPr>
      </w:pPr>
    </w:p>
    <w:p>
      <w:pPr>
        <w:ind w:left="-40" w:right="380" w:firstLine="1202"/>
        <w:spacing w:after="0" w:line="268" w:lineRule="auto"/>
        <w:tabs>
          <w:tab w:leader="none" w:pos="1573"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Termination Due to Disability</w:t>
      </w:r>
      <w:r>
        <w:rPr>
          <w:rFonts w:ascii="Arial" w:cs="Arial" w:eastAsia="Arial" w:hAnsi="Arial"/>
          <w:sz w:val="20"/>
          <w:szCs w:val="20"/>
          <w:color w:val="auto"/>
        </w:rPr>
        <w:t>. If a Participant’s employment or service terminates due to Disability, all unvested Restricted Stock Units shall not be forfeited upon such termination and shall continue to vest in accordance with the schedule provided in Section 2(a).</w:t>
      </w:r>
    </w:p>
    <w:p>
      <w:pPr>
        <w:spacing w:after="0" w:line="356" w:lineRule="exact"/>
        <w:rPr>
          <w:rFonts w:ascii="Arial" w:cs="Arial" w:eastAsia="Arial" w:hAnsi="Arial"/>
          <w:sz w:val="20"/>
          <w:szCs w:val="20"/>
          <w:color w:val="auto"/>
        </w:rPr>
      </w:pPr>
    </w:p>
    <w:p>
      <w:pPr>
        <w:ind w:left="-40" w:firstLine="1202"/>
        <w:spacing w:after="0" w:line="256" w:lineRule="auto"/>
        <w:tabs>
          <w:tab w:leader="none" w:pos="1629"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Termination by Reason of a Company Approved Departure</w:t>
      </w:r>
      <w:r>
        <w:rPr>
          <w:rFonts w:ascii="Arial" w:cs="Arial" w:eastAsia="Arial" w:hAnsi="Arial"/>
          <w:sz w:val="20"/>
          <w:szCs w:val="20"/>
          <w:color w:val="auto"/>
        </w:rPr>
        <w:t>. If a Participant’s employment or service terminates in a Company Approved Departure (as defined below), all unvested Restricted Stock Units shall not be forfeited upon such termination and shall continue to vest in accordance with the schedule as set forth in the Grant Notice. “</w:t>
      </w:r>
      <w:r>
        <w:rPr>
          <w:rFonts w:ascii="Arial" w:cs="Arial" w:eastAsia="Arial" w:hAnsi="Arial"/>
          <w:sz w:val="20"/>
          <w:szCs w:val="20"/>
          <w:u w:val="single" w:color="auto"/>
          <w:color w:val="auto"/>
        </w:rPr>
        <w:t>Company Approved Departure</w:t>
      </w:r>
      <w:r>
        <w:rPr>
          <w:rFonts w:ascii="Arial" w:cs="Arial" w:eastAsia="Arial" w:hAnsi="Arial"/>
          <w:sz w:val="20"/>
          <w:szCs w:val="20"/>
          <w:color w:val="auto"/>
        </w:rPr>
        <w:t>”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368" w:lineRule="exact"/>
        <w:rPr>
          <w:rFonts w:ascii="Arial" w:cs="Arial" w:eastAsia="Arial" w:hAnsi="Arial"/>
          <w:sz w:val="20"/>
          <w:szCs w:val="20"/>
          <w:color w:val="auto"/>
        </w:rPr>
      </w:pPr>
    </w:p>
    <w:p>
      <w:pPr>
        <w:ind w:left="-40" w:right="20" w:firstLine="1202"/>
        <w:spacing w:after="0" w:line="256" w:lineRule="auto"/>
        <w:tabs>
          <w:tab w:leader="none" w:pos="1617"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80" w:top="790" w:right="259" w:bottom="1440" w:gutter="0" w:footer="0" w:header="0"/>
        </w:sectPr>
      </w:pPr>
    </w:p>
    <w:bookmarkStart w:id="155" w:name="page156"/>
    <w:bookmarkEnd w:id="155"/>
    <w:p>
      <w:pPr>
        <w:ind w:left="-20" w:right="640" w:firstLine="1202"/>
        <w:spacing w:after="0" w:line="268" w:lineRule="auto"/>
        <w:tabs>
          <w:tab w:leader="none" w:pos="1582" w:val="left"/>
        </w:tabs>
        <w:numPr>
          <w:ilvl w:val="1"/>
          <w:numId w:val="132"/>
        </w:numPr>
        <w:rPr>
          <w:rFonts w:ascii="Arial" w:cs="Arial" w:eastAsia="Arial" w:hAnsi="Arial"/>
          <w:sz w:val="20"/>
          <w:szCs w:val="20"/>
          <w:color w:val="auto"/>
        </w:rPr>
      </w:pPr>
      <w:r>
        <w:rPr>
          <w:rFonts w:ascii="Arial" w:cs="Arial" w:eastAsia="Arial" w:hAnsi="Arial"/>
          <w:sz w:val="20"/>
          <w:szCs w:val="20"/>
          <w:u w:val="single" w:color="auto"/>
          <w:color w:val="auto"/>
        </w:rPr>
        <w:t>Termination for Any Other Reason</w:t>
      </w:r>
      <w:r>
        <w:rPr>
          <w:rFonts w:ascii="Arial" w:cs="Arial" w:eastAsia="Arial" w:hAnsi="Arial"/>
          <w:sz w:val="20"/>
          <w:szCs w:val="20"/>
          <w:color w:val="auto"/>
        </w:rPr>
        <w:t>. If a Participant’s employment is terminated for any reason other than death, Disability, in a Company Approved Departure or by the Company for Cause, all unvested Restricted Stock Units shall immediately be forfeited.</w:t>
      </w:r>
    </w:p>
    <w:p>
      <w:pPr>
        <w:spacing w:after="0" w:line="356" w:lineRule="exact"/>
        <w:rPr>
          <w:rFonts w:ascii="Arial" w:cs="Arial" w:eastAsia="Arial" w:hAnsi="Arial"/>
          <w:sz w:val="20"/>
          <w:szCs w:val="20"/>
          <w:color w:val="auto"/>
        </w:rPr>
      </w:pPr>
    </w:p>
    <w:p>
      <w:pPr>
        <w:ind w:left="-20" w:right="40" w:firstLine="601"/>
        <w:spacing w:after="0" w:line="288" w:lineRule="auto"/>
        <w:tabs>
          <w:tab w:leader="none" w:pos="970"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then the Restricted Stock Units shall vest or continue and shall have such treatment, as set forth in the Plan.</w:t>
      </w:r>
    </w:p>
    <w:p>
      <w:pPr>
        <w:spacing w:after="0" w:line="336" w:lineRule="exact"/>
        <w:rPr>
          <w:rFonts w:ascii="Arial" w:cs="Arial" w:eastAsia="Arial" w:hAnsi="Arial"/>
          <w:sz w:val="20"/>
          <w:szCs w:val="20"/>
          <w:color w:val="auto"/>
        </w:rPr>
      </w:pPr>
    </w:p>
    <w:p>
      <w:pPr>
        <w:ind w:left="-20" w:right="200" w:firstLine="601"/>
        <w:spacing w:after="0" w:line="293" w:lineRule="auto"/>
        <w:tabs>
          <w:tab w:leader="none" w:pos="98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Other Forfeiture Provisions</w:t>
      </w:r>
      <w:r>
        <w:rPr>
          <w:rFonts w:ascii="Arial" w:cs="Arial" w:eastAsia="Arial" w:hAnsi="Arial"/>
          <w:sz w:val="18"/>
          <w:szCs w:val="18"/>
          <w:color w:val="auto"/>
        </w:rPr>
        <w:t>. The Restricted Stock Units shall also be forfeited and subject to disgorgement and/or repayment to the Company in the event the Participant (</w:t>
      </w:r>
      <w:r>
        <w:rPr>
          <w:rFonts w:ascii="Arial" w:cs="Arial" w:eastAsia="Arial" w:hAnsi="Arial"/>
          <w:sz w:val="18"/>
          <w:szCs w:val="18"/>
          <w:u w:val="single" w:color="auto"/>
          <w:color w:val="auto"/>
        </w:rPr>
        <w:t>i</w:t>
      </w:r>
      <w:r>
        <w:rPr>
          <w:rFonts w:ascii="Arial" w:cs="Arial" w:eastAsia="Arial" w:hAnsi="Arial"/>
          <w:sz w:val="18"/>
          <w:szCs w:val="18"/>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18"/>
          <w:szCs w:val="18"/>
          <w:u w:val="single" w:color="auto"/>
          <w:color w:val="auto"/>
        </w:rPr>
        <w:t>ii</w:t>
      </w:r>
      <w:r>
        <w:rPr>
          <w:rFonts w:ascii="Arial" w:cs="Arial" w:eastAsia="Arial" w:hAnsi="Arial"/>
          <w:sz w:val="18"/>
          <w:szCs w:val="18"/>
          <w:color w:val="auto"/>
        </w:rPr>
        <w:t>) materially violates any restrictive covenant agreement (or any other agreement containing restrictive covenants) that the Participant has entered into with the Company.</w:t>
      </w:r>
    </w:p>
    <w:p>
      <w:pPr>
        <w:spacing w:after="0" w:line="338" w:lineRule="exact"/>
        <w:rPr>
          <w:rFonts w:ascii="Arial" w:cs="Arial" w:eastAsia="Arial" w:hAnsi="Arial"/>
          <w:sz w:val="18"/>
          <w:szCs w:val="18"/>
          <w:color w:val="auto"/>
        </w:rPr>
      </w:pPr>
    </w:p>
    <w:p>
      <w:pPr>
        <w:ind w:left="-20" w:right="140" w:firstLine="601"/>
        <w:spacing w:after="0" w:line="258" w:lineRule="auto"/>
        <w:tabs>
          <w:tab w:leader="none" w:pos="970"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Administrator Discretion</w:t>
      </w:r>
      <w:r>
        <w:rPr>
          <w:rFonts w:ascii="Arial" w:cs="Arial" w:eastAsia="Arial" w:hAnsi="Arial"/>
          <w:sz w:val="20"/>
          <w:szCs w:val="20"/>
          <w:color w:val="auto"/>
        </w:rPr>
        <w:t>.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provided, however, that such waiver or acceleration of vesting shall not change the settlement date of the Restricted Stock Units provided in Section 3 of this Agreement.</w:t>
      </w:r>
    </w:p>
    <w:p>
      <w:pPr>
        <w:spacing w:after="0" w:line="366" w:lineRule="exact"/>
        <w:rPr>
          <w:rFonts w:ascii="Arial" w:cs="Arial" w:eastAsia="Arial" w:hAnsi="Arial"/>
          <w:sz w:val="20"/>
          <w:szCs w:val="20"/>
          <w:color w:val="auto"/>
        </w:rPr>
      </w:pPr>
    </w:p>
    <w:p>
      <w:pPr>
        <w:ind w:left="-20" w:right="40" w:firstLine="601"/>
        <w:spacing w:after="0" w:line="284" w:lineRule="auto"/>
        <w:tabs>
          <w:tab w:leader="none" w:pos="94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Post-Termination Informational Requirements</w:t>
      </w:r>
      <w:r>
        <w:rPr>
          <w:rFonts w:ascii="Arial" w:cs="Arial" w:eastAsia="Arial" w:hAnsi="Arial"/>
          <w:sz w:val="18"/>
          <w:szCs w:val="18"/>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2(b)(iv) or 2(d) apply. Such representations and documents may include tax returns and all other relevant information and records from which the Company can determine the current or former employment status of the Participant during the vesting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8"/>
          <w:szCs w:val="18"/>
          <w:u w:val="single" w:color="auto"/>
          <w:color w:val="auto"/>
        </w:rPr>
        <w:t>i</w:t>
      </w:r>
      <w:r>
        <w:rPr>
          <w:rFonts w:ascii="Arial" w:cs="Arial" w:eastAsia="Arial" w:hAnsi="Arial"/>
          <w:sz w:val="18"/>
          <w:szCs w:val="18"/>
          <w:color w:val="auto"/>
        </w:rPr>
        <w:t>) ninety (90) calendar days after the issue of a request from the Company for such information and (</w:t>
      </w:r>
      <w:r>
        <w:rPr>
          <w:rFonts w:ascii="Arial" w:cs="Arial" w:eastAsia="Arial" w:hAnsi="Arial"/>
          <w:sz w:val="18"/>
          <w:szCs w:val="18"/>
          <w:u w:val="single" w:color="auto"/>
          <w:color w:val="auto"/>
        </w:rPr>
        <w:t>ii</w:t>
      </w:r>
      <w:r>
        <w:rPr>
          <w:rFonts w:ascii="Arial" w:cs="Arial" w:eastAsia="Arial" w:hAnsi="Arial"/>
          <w:sz w:val="18"/>
          <w:szCs w:val="18"/>
          <w:color w:val="auto"/>
        </w:rPr>
        <w:t>) December 31 of the calendar year in which the applicable Vesting Date occurs.</w:t>
      </w:r>
    </w:p>
    <w:p>
      <w:pPr>
        <w:spacing w:after="0" w:line="349" w:lineRule="exact"/>
        <w:rPr>
          <w:sz w:val="20"/>
          <w:szCs w:val="20"/>
          <w:color w:val="auto"/>
        </w:rPr>
      </w:pPr>
    </w:p>
    <w:p>
      <w:pPr>
        <w:ind w:left="-20" w:firstLine="601"/>
        <w:spacing w:after="0" w:line="270" w:lineRule="auto"/>
        <w:tabs>
          <w:tab w:leader="none" w:pos="898"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Settlement of Restricted Stock Units</w:t>
      </w:r>
      <w:r>
        <w:rPr>
          <w:rFonts w:ascii="Arial" w:cs="Arial" w:eastAsia="Arial" w:hAnsi="Arial"/>
          <w:sz w:val="19"/>
          <w:szCs w:val="19"/>
          <w:color w:val="auto"/>
        </w:rPr>
        <w:t>. Subject to Section 8(d) and Section 2(f), the Company shall deliver to the Participant one share of Company Common Stock (or the value thereof) in settlement of each outstanding Restricted Stock Unit that has vested as provided in Section 2(a) on the first to occur of (</w:t>
      </w:r>
      <w:r>
        <w:rPr>
          <w:rFonts w:ascii="Arial" w:cs="Arial" w:eastAsia="Arial" w:hAnsi="Arial"/>
          <w:sz w:val="19"/>
          <w:szCs w:val="19"/>
          <w:u w:val="single" w:color="auto"/>
          <w:color w:val="auto"/>
        </w:rPr>
        <w:t>i</w:t>
      </w:r>
      <w:r>
        <w:rPr>
          <w:rFonts w:ascii="Arial" w:cs="Arial" w:eastAsia="Arial" w:hAnsi="Arial"/>
          <w:sz w:val="19"/>
          <w:szCs w:val="19"/>
          <w:color w:val="auto"/>
        </w:rPr>
        <w:t>) the Vesting Date (or within 30 days thereafter), (</w:t>
      </w:r>
      <w:r>
        <w:rPr>
          <w:rFonts w:ascii="Arial" w:cs="Arial" w:eastAsia="Arial" w:hAnsi="Arial"/>
          <w:sz w:val="19"/>
          <w:szCs w:val="19"/>
          <w:u w:val="single" w:color="auto"/>
          <w:color w:val="auto"/>
        </w:rPr>
        <w:t>iii</w:t>
      </w:r>
      <w:r>
        <w:rPr>
          <w:rFonts w:ascii="Arial" w:cs="Arial" w:eastAsia="Arial" w:hAnsi="Arial"/>
          <w:sz w:val="19"/>
          <w:szCs w:val="19"/>
          <w:color w:val="auto"/>
        </w:rPr>
        <w:t>) in the event of a termination of employment or service due to death, as soon as practicable following the Participant’s termination of employment or service by reason of death or (i</w:t>
      </w:r>
      <w:r>
        <w:rPr>
          <w:rFonts w:ascii="Arial" w:cs="Arial" w:eastAsia="Arial" w:hAnsi="Arial"/>
          <w:sz w:val="19"/>
          <w:szCs w:val="19"/>
          <w:u w:val="single" w:color="auto"/>
          <w:color w:val="auto"/>
        </w:rPr>
        <w:t>ii</w:t>
      </w:r>
      <w:r>
        <w:rPr>
          <w:rFonts w:ascii="Arial" w:cs="Arial" w:eastAsia="Arial" w:hAnsi="Arial"/>
          <w:sz w:val="19"/>
          <w:szCs w:val="19"/>
          <w:color w:val="auto"/>
        </w:rPr>
        <w:t>) a Change in Control in which the Restricted Stock Units do not continue, in each case (</w:t>
      </w:r>
      <w:r>
        <w:rPr>
          <w:rFonts w:ascii="Arial" w:cs="Arial" w:eastAsia="Arial" w:hAnsi="Arial"/>
          <w:sz w:val="19"/>
          <w:szCs w:val="19"/>
          <w:u w:val="single" w:color="auto"/>
          <w:color w:val="auto"/>
        </w:rPr>
        <w:t>A</w:t>
      </w:r>
      <w:r>
        <w:rPr>
          <w:rFonts w:ascii="Arial" w:cs="Arial" w:eastAsia="Arial" w:hAnsi="Arial"/>
          <w:sz w:val="19"/>
          <w:szCs w:val="19"/>
          <w:color w:val="auto"/>
        </w:rPr>
        <w:t>) in Company Common Stock by either, (</w:t>
      </w:r>
      <w:r>
        <w:rPr>
          <w:rFonts w:ascii="Arial" w:cs="Arial" w:eastAsia="Arial" w:hAnsi="Arial"/>
          <w:sz w:val="19"/>
          <w:szCs w:val="19"/>
          <w:u w:val="single" w:color="auto"/>
          <w:color w:val="auto"/>
        </w:rPr>
        <w:t>x</w:t>
      </w:r>
      <w:r>
        <w:rPr>
          <w:rFonts w:ascii="Arial" w:cs="Arial" w:eastAsia="Arial" w:hAnsi="Arial"/>
          <w:sz w:val="19"/>
          <w:szCs w:val="19"/>
          <w:color w:val="auto"/>
        </w:rPr>
        <w:t>) issuing one or more certificates evidencing the Company Common Stock to the Participant or (</w:t>
      </w:r>
      <w:r>
        <w:rPr>
          <w:rFonts w:ascii="Arial" w:cs="Arial" w:eastAsia="Arial" w:hAnsi="Arial"/>
          <w:sz w:val="19"/>
          <w:szCs w:val="19"/>
          <w:u w:val="single" w:color="auto"/>
          <w:color w:val="auto"/>
        </w:rPr>
        <w:t>y</w:t>
      </w:r>
      <w:r>
        <w:rPr>
          <w:rFonts w:ascii="Arial" w:cs="Arial" w:eastAsia="Arial" w:hAnsi="Arial"/>
          <w:sz w:val="19"/>
          <w:szCs w:val="19"/>
          <w:color w:val="auto"/>
        </w:rPr>
        <w:t>) registering the issuance of the Company Common Stock in the name of the Participant through a book entry credit in the records of the Company’s transfer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80"/>
          </w:cols>
          <w:pgMar w:left="260" w:top="557" w:right="259" w:bottom="1440" w:gutter="0" w:footer="0" w:header="0"/>
        </w:sectPr>
      </w:pPr>
    </w:p>
    <w:bookmarkStart w:id="156" w:name="page157"/>
    <w:bookmarkEnd w:id="156"/>
    <w:p>
      <w:pPr>
        <w:ind w:right="160"/>
        <w:spacing w:after="0" w:line="257" w:lineRule="auto"/>
        <w:rPr>
          <w:sz w:val="20"/>
          <w:szCs w:val="20"/>
          <w:color w:val="auto"/>
        </w:rPr>
      </w:pPr>
      <w:r>
        <w:rPr>
          <w:rFonts w:ascii="Arial" w:cs="Arial" w:eastAsia="Arial" w:hAnsi="Arial"/>
          <w:sz w:val="20"/>
          <w:szCs w:val="20"/>
          <w:color w:val="auto"/>
        </w:rPr>
        <w:t>agent, or (</w:t>
      </w:r>
      <w:r>
        <w:rPr>
          <w:rFonts w:ascii="Arial" w:cs="Arial" w:eastAsia="Arial" w:hAnsi="Arial"/>
          <w:sz w:val="20"/>
          <w:szCs w:val="20"/>
          <w:u w:val="single" w:color="auto"/>
          <w:color w:val="auto"/>
        </w:rPr>
        <w:t>B</w:t>
      </w:r>
      <w:r>
        <w:rPr>
          <w:rFonts w:ascii="Arial" w:cs="Arial" w:eastAsia="Arial" w:hAnsi="Arial"/>
          <w:sz w:val="20"/>
          <w:szCs w:val="20"/>
          <w:color w:val="auto"/>
        </w:rPr>
        <w:t>) in the event of settlement upon a Change in Control, a cash payment equal to the Change in Control Price, multiplied by the number of vested Restricted Stock Units). No fractional shares of Company Common Stock shall be issued in settlement of Restricted Stock Units. Fractional Restricted Stock Units shall be settled through a cash payment equal to the Fair Market Value of the Company Common Stock on the settlement date.</w:t>
      </w:r>
    </w:p>
    <w:p>
      <w:pPr>
        <w:spacing w:after="0" w:line="367" w:lineRule="exact"/>
        <w:rPr>
          <w:sz w:val="20"/>
          <w:szCs w:val="20"/>
          <w:color w:val="auto"/>
        </w:rPr>
      </w:pPr>
    </w:p>
    <w:p>
      <w:pPr>
        <w:ind w:right="120" w:firstLine="601"/>
        <w:spacing w:after="0" w:line="256" w:lineRule="auto"/>
        <w:tabs>
          <w:tab w:leader="none" w:pos="918"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Securities Law Compliance</w:t>
      </w:r>
      <w:r>
        <w:rPr>
          <w:rFonts w:ascii="Arial" w:cs="Arial" w:eastAsia="Arial" w:hAnsi="Arial"/>
          <w:sz w:val="20"/>
          <w:szCs w:val="20"/>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368" w:lineRule="exact"/>
        <w:rPr>
          <w:rFonts w:ascii="Arial" w:cs="Arial" w:eastAsia="Arial" w:hAnsi="Arial"/>
          <w:sz w:val="20"/>
          <w:szCs w:val="20"/>
          <w:color w:val="auto"/>
        </w:rPr>
      </w:pPr>
    </w:p>
    <w:p>
      <w:pPr>
        <w:ind w:left="920" w:hanging="319"/>
        <w:spacing w:after="0"/>
        <w:tabs>
          <w:tab w:leader="none" w:pos="920"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Participant’s Rights with Respect to the Restricted Stock Units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60" w:firstLine="601"/>
        <w:spacing w:after="0" w:line="272" w:lineRule="auto"/>
        <w:tabs>
          <w:tab w:leader="none" w:pos="990"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354" w:lineRule="exact"/>
        <w:rPr>
          <w:rFonts w:ascii="Arial" w:cs="Arial" w:eastAsia="Arial" w:hAnsi="Arial"/>
          <w:sz w:val="19"/>
          <w:szCs w:val="19"/>
          <w:color w:val="auto"/>
        </w:rPr>
      </w:pPr>
    </w:p>
    <w:p>
      <w:pPr>
        <w:ind w:firstLine="601"/>
        <w:spacing w:after="0" w:line="288" w:lineRule="auto"/>
        <w:tabs>
          <w:tab w:leader="none" w:pos="1001"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339" w:lineRule="exact"/>
        <w:rPr>
          <w:rFonts w:ascii="Arial" w:cs="Arial" w:eastAsia="Arial" w:hAnsi="Arial"/>
          <w:sz w:val="19"/>
          <w:szCs w:val="19"/>
          <w:color w:val="auto"/>
        </w:rPr>
      </w:pPr>
    </w:p>
    <w:p>
      <w:pPr>
        <w:ind w:right="60" w:firstLine="601"/>
        <w:spacing w:after="0" w:line="258" w:lineRule="auto"/>
        <w:tabs>
          <w:tab w:leader="none" w:pos="99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Participant shall be credited with Dividend Equivalents in the form of a right to a cash payment when cash dividends are paid on the Company Common Stock. Such cash payment shall equal the amount obtained by multiplying the amount of the dividend declared and paid for each share of Company Common Stock by the number of Restricted Stock Units held by the Participant on the record date. Any cash amounts credited to the Participant’s account shall be paid to the Participant on the applicable Payment Date for the related cash dividends.</w:t>
      </w:r>
    </w:p>
    <w:p>
      <w:pPr>
        <w:spacing w:after="0" w:line="366" w:lineRule="exact"/>
        <w:rPr>
          <w:sz w:val="20"/>
          <w:szCs w:val="20"/>
          <w:color w:val="auto"/>
        </w:rPr>
      </w:pPr>
    </w:p>
    <w:p>
      <w:pPr>
        <w:ind w:left="920" w:hanging="319"/>
        <w:spacing w:after="0"/>
        <w:tabs>
          <w:tab w:leader="none" w:pos="92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Participant’s Representations, Warranties and Covenants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jc w:val="both"/>
        <w:ind w:right="200" w:firstLine="601"/>
        <w:spacing w:after="0" w:line="268" w:lineRule="auto"/>
        <w:tabs>
          <w:tab w:leader="none" w:pos="99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No Conflicts; No Consents</w:t>
      </w:r>
      <w:r>
        <w:rPr>
          <w:rFonts w:ascii="Arial" w:cs="Arial" w:eastAsia="Arial" w:hAnsi="Arial"/>
          <w:sz w:val="20"/>
          <w:szCs w:val="20"/>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20"/>
          <w:szCs w:val="20"/>
          <w:u w:val="single" w:color="auto"/>
          <w:color w:val="auto"/>
        </w:rPr>
        <w:t>i</w:t>
      </w:r>
      <w:r>
        <w:rPr>
          <w:rFonts w:ascii="Arial" w:cs="Arial" w:eastAsia="Arial" w:hAnsi="Arial"/>
          <w:sz w:val="20"/>
          <w:szCs w:val="20"/>
          <w:color w:val="auto"/>
        </w:rPr>
        <w:t>) materially conflict with or result in a material violation or breach of any term or provision of any Law applicable to either Participant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57" w:right="239" w:bottom="1440" w:gutter="0" w:footer="0" w:header="0"/>
        </w:sectPr>
      </w:pPr>
    </w:p>
    <w:bookmarkStart w:id="157" w:name="page158"/>
    <w:bookmarkEnd w:id="157"/>
    <w:p>
      <w:pPr>
        <w:ind w:right="100"/>
        <w:spacing w:after="0" w:line="257" w:lineRule="auto"/>
        <w:rPr>
          <w:sz w:val="20"/>
          <w:szCs w:val="20"/>
          <w:color w:val="auto"/>
        </w:rPr>
      </w:pPr>
      <w:r>
        <w:rPr>
          <w:rFonts w:ascii="Arial" w:cs="Arial" w:eastAsia="Arial" w:hAnsi="Arial"/>
          <w:sz w:val="20"/>
          <w:szCs w:val="20"/>
          <w:color w:val="auto"/>
        </w:rPr>
        <w:t>or the Restricted Stock Units or (</w:t>
      </w:r>
      <w:r>
        <w:rPr>
          <w:rFonts w:ascii="Arial" w:cs="Arial" w:eastAsia="Arial" w:hAnsi="Arial"/>
          <w:sz w:val="20"/>
          <w:szCs w:val="20"/>
          <w:u w:val="single" w:color="auto"/>
          <w:color w:val="auto"/>
        </w:rPr>
        <w:t>ii</w:t>
      </w:r>
      <w:r>
        <w:rPr>
          <w:rFonts w:ascii="Arial" w:cs="Arial" w:eastAsia="Arial" w:hAnsi="Arial"/>
          <w:sz w:val="20"/>
          <w:szCs w:val="20"/>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367" w:lineRule="exact"/>
        <w:rPr>
          <w:sz w:val="20"/>
          <w:szCs w:val="20"/>
          <w:color w:val="auto"/>
        </w:rPr>
      </w:pPr>
    </w:p>
    <w:p>
      <w:pPr>
        <w:jc w:val="both"/>
        <w:ind w:right="280" w:firstLine="601"/>
        <w:spacing w:after="0" w:line="293" w:lineRule="auto"/>
        <w:tabs>
          <w:tab w:leader="none" w:pos="1001"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Compliance with Rule 144</w:t>
      </w:r>
      <w:r>
        <w:rPr>
          <w:rFonts w:ascii="Arial" w:cs="Arial" w:eastAsia="Arial" w:hAnsi="Arial"/>
          <w:sz w:val="18"/>
          <w:szCs w:val="18"/>
          <w:color w:val="auto"/>
        </w:rPr>
        <w:t>. If any shares of Company Common Stock issued in respect of the Restricted Stock Units are to be disposed of in accordance with Rule 144, the Participant shall transmit to the Company an executed copy of Form 144 (if required by Rule</w:t>
      </w:r>
    </w:p>
    <w:p>
      <w:pPr>
        <w:spacing w:after="0" w:line="257" w:lineRule="auto"/>
        <w:tabs>
          <w:tab w:leader="none" w:pos="41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no later than the time such form is required to be transmitted to the Commission for filing and such other documentation as the Company may reasonably require to assure compliance with Rule 144 in connection with such disposition.</w:t>
      </w:r>
    </w:p>
    <w:p>
      <w:pPr>
        <w:spacing w:after="0" w:line="365" w:lineRule="exact"/>
        <w:rPr>
          <w:rFonts w:ascii="Arial" w:cs="Arial" w:eastAsia="Arial" w:hAnsi="Arial"/>
          <w:sz w:val="20"/>
          <w:szCs w:val="20"/>
          <w:color w:val="auto"/>
        </w:rPr>
      </w:pPr>
    </w:p>
    <w:p>
      <w:pPr>
        <w:ind w:right="480" w:firstLine="601"/>
        <w:spacing w:after="0" w:line="288" w:lineRule="auto"/>
        <w:tabs>
          <w:tab w:leader="none" w:pos="990"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Participant Status</w:t>
      </w:r>
      <w:r>
        <w:rPr>
          <w:rFonts w:ascii="Arial" w:cs="Arial" w:eastAsia="Arial" w:hAnsi="Arial"/>
          <w:sz w:val="20"/>
          <w:szCs w:val="20"/>
          <w:color w:val="auto"/>
        </w:rPr>
        <w:t>. The Participant represents and warrants that, as of the date hereof, the Participant is an officer, employee, director or Consultant of the Company or a Subsidiary.</w:t>
      </w:r>
    </w:p>
    <w:p>
      <w:pPr>
        <w:spacing w:after="0" w:line="337" w:lineRule="exact"/>
        <w:rPr>
          <w:sz w:val="20"/>
          <w:szCs w:val="20"/>
          <w:color w:val="auto"/>
        </w:rPr>
      </w:pPr>
    </w:p>
    <w:p>
      <w:pPr>
        <w:ind w:right="120" w:firstLine="601"/>
        <w:spacing w:after="0" w:line="261" w:lineRule="auto"/>
        <w:tabs>
          <w:tab w:leader="none" w:pos="918"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Adjustment in Capitalization</w:t>
      </w:r>
      <w:r>
        <w:rPr>
          <w:rFonts w:ascii="Arial" w:cs="Arial" w:eastAsia="Arial" w:hAnsi="Arial"/>
          <w:sz w:val="20"/>
          <w:szCs w:val="20"/>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363" w:lineRule="exact"/>
        <w:rPr>
          <w:rFonts w:ascii="Arial" w:cs="Arial" w:eastAsia="Arial" w:hAnsi="Arial"/>
          <w:sz w:val="20"/>
          <w:szCs w:val="20"/>
          <w:color w:val="auto"/>
        </w:rPr>
      </w:pPr>
    </w:p>
    <w:p>
      <w:pPr>
        <w:ind w:left="920" w:hanging="319"/>
        <w:spacing w:after="0"/>
        <w:tabs>
          <w:tab w:leader="none" w:pos="92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ind w:right="40" w:firstLine="601"/>
        <w:spacing w:after="0" w:line="261" w:lineRule="auto"/>
        <w:tabs>
          <w:tab w:leader="none" w:pos="99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Binding Effect; Benefits</w:t>
      </w:r>
      <w:r>
        <w:rPr>
          <w:rFonts w:ascii="Arial" w:cs="Arial" w:eastAsia="Arial" w:hAnsi="Arial"/>
          <w:sz w:val="20"/>
          <w:szCs w:val="20"/>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363" w:lineRule="exact"/>
        <w:rPr>
          <w:rFonts w:ascii="Arial" w:cs="Arial" w:eastAsia="Arial" w:hAnsi="Arial"/>
          <w:sz w:val="20"/>
          <w:szCs w:val="20"/>
          <w:color w:val="auto"/>
        </w:rPr>
      </w:pPr>
    </w:p>
    <w:p>
      <w:pPr>
        <w:ind w:right="240" w:firstLine="601"/>
        <w:spacing w:after="0" w:line="268" w:lineRule="auto"/>
        <w:tabs>
          <w:tab w:leader="none" w:pos="1001"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No Right to Continued Employment</w:t>
      </w:r>
      <w:r>
        <w:rPr>
          <w:rFonts w:ascii="Arial" w:cs="Arial" w:eastAsia="Arial" w:hAnsi="Arial"/>
          <w:sz w:val="20"/>
          <w:szCs w:val="20"/>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pacing w:after="0" w:line="356" w:lineRule="exact"/>
        <w:rPr>
          <w:rFonts w:ascii="Arial" w:cs="Arial" w:eastAsia="Arial" w:hAnsi="Arial"/>
          <w:sz w:val="20"/>
          <w:szCs w:val="20"/>
          <w:color w:val="auto"/>
        </w:rPr>
      </w:pPr>
    </w:p>
    <w:p>
      <w:pPr>
        <w:ind w:right="60" w:firstLine="601"/>
        <w:spacing w:after="0" w:line="290" w:lineRule="auto"/>
        <w:tabs>
          <w:tab w:leader="none" w:pos="99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557" w:right="259" w:bottom="1440" w:gutter="0" w:footer="0" w:header="0"/>
        </w:sectPr>
      </w:pPr>
    </w:p>
    <w:bookmarkStart w:id="158" w:name="page159"/>
    <w:bookmarkEnd w:id="158"/>
    <w:p>
      <w:pPr>
        <w:ind w:right="260"/>
        <w:spacing w:after="0" w:line="261" w:lineRule="auto"/>
        <w:rPr>
          <w:sz w:val="20"/>
          <w:szCs w:val="20"/>
          <w:color w:val="auto"/>
        </w:rPr>
      </w:pPr>
      <w:r>
        <w:rPr>
          <w:rFonts w:ascii="Arial" w:cs="Arial" w:eastAsia="Arial" w:hAnsi="Arial"/>
          <w:sz w:val="20"/>
          <w:szCs w:val="20"/>
          <w:color w:val="auto"/>
        </w:rPr>
        <w:t>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364" w:lineRule="exact"/>
        <w:rPr>
          <w:sz w:val="20"/>
          <w:szCs w:val="20"/>
          <w:color w:val="auto"/>
        </w:rPr>
      </w:pPr>
    </w:p>
    <w:p>
      <w:pPr>
        <w:ind w:right="40" w:firstLine="601"/>
        <w:spacing w:after="0" w:line="280" w:lineRule="auto"/>
        <w:tabs>
          <w:tab w:leader="none" w:pos="100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xml:space="preserve">. Whenever any cash or other payment is to be made hereunder or with respect to the Restricted Stock Units, the Company or any Subsidiary shall have the power to withhold an amount (in cash, Restricted Stock Units or in Company Common Stock issuable upon settlement of Restricted Stock Units or from other amounts paid to the Participant in cash (whether under the Plan or otherwise)) sufficient to satisfy federal, state, and local withholding tax requirements relating to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Company withholds shares issuable to the Participant (or any portion thereof) to satisfy any applicable withholding taxes, the Company shall only withhold a number of whole shares having a Fair Market Value, determined as of the date of vesting, not in excess of the minimum of tax required to be withheld by law (or such lower amount as may be necessary to avoid liability award accounting). The Company may require the recipient of shares of Company Common Stock to remit to the Company an amount in cash sufficient to satisfy the amount of taxes required to be withheld as a condition to the issuance of shares in settlement of the Restricted Stock Units. The Committee may, in its discretion, require the Participant, or permit the Participant to elect, subject to such conditions as the Committee shall impose, to meet such obligations by having the Company withhold or sell the least number of whole shares of Company Common Stock having a Fair Market Value sufficient to satisfy all or part of the amount required to be withheld. The Company or such Subsidiary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 The Participant shall be responsible for all withholding taxes and other tax consequences of this award of Restricted Stock Units.</w:t>
      </w:r>
    </w:p>
    <w:p>
      <w:pPr>
        <w:spacing w:after="0" w:line="358" w:lineRule="exact"/>
        <w:rPr>
          <w:rFonts w:ascii="Arial" w:cs="Arial" w:eastAsia="Arial" w:hAnsi="Arial"/>
          <w:sz w:val="18"/>
          <w:szCs w:val="18"/>
          <w:color w:val="auto"/>
        </w:rPr>
      </w:pPr>
    </w:p>
    <w:p>
      <w:pPr>
        <w:jc w:val="both"/>
        <w:ind w:right="500" w:firstLine="601"/>
        <w:spacing w:after="0" w:line="347" w:lineRule="auto"/>
        <w:tabs>
          <w:tab w:leader="none" w:pos="99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in accordance with and governed by the laws of the State of Delaware, without reference to principles of conflict of laws which would give rise to the application of the substantive law of another jurisdiction.</w:t>
      </w:r>
    </w:p>
    <w:p>
      <w:pPr>
        <w:spacing w:after="0" w:line="290" w:lineRule="exact"/>
        <w:rPr>
          <w:rFonts w:ascii="Arial" w:cs="Arial" w:eastAsia="Arial" w:hAnsi="Arial"/>
          <w:sz w:val="18"/>
          <w:szCs w:val="18"/>
          <w:color w:val="auto"/>
        </w:rPr>
      </w:pPr>
    </w:p>
    <w:p>
      <w:pPr>
        <w:ind w:right="200" w:firstLine="601"/>
        <w:spacing w:after="0" w:line="288" w:lineRule="auto"/>
        <w:tabs>
          <w:tab w:leader="none" w:pos="968"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not be amended, modified or supplemented orally, but only by a written instrument executed by the Participant and the Company.</w:t>
      </w:r>
    </w:p>
    <w:p>
      <w:pPr>
        <w:spacing w:after="0" w:line="336" w:lineRule="exact"/>
        <w:rPr>
          <w:rFonts w:ascii="Arial" w:cs="Arial" w:eastAsia="Arial" w:hAnsi="Arial"/>
          <w:sz w:val="20"/>
          <w:szCs w:val="20"/>
          <w:color w:val="auto"/>
        </w:rPr>
      </w:pPr>
    </w:p>
    <w:p>
      <w:pPr>
        <w:ind w:right="80" w:firstLine="601"/>
        <w:spacing w:after="0" w:line="288" w:lineRule="auto"/>
        <w:tabs>
          <w:tab w:leader="none" w:pos="100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Assignability</w:t>
      </w:r>
      <w:r>
        <w:rPr>
          <w:rFonts w:ascii="Arial" w:cs="Arial" w:eastAsia="Arial" w:hAnsi="Arial"/>
          <w:sz w:val="19"/>
          <w:szCs w:val="19"/>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assign all or any portion of its rights or obligations under this Agreement to one or more persons or other entities designated by it.</w:t>
      </w:r>
    </w:p>
    <w:p>
      <w:pPr>
        <w:spacing w:after="0" w:line="339" w:lineRule="exact"/>
        <w:rPr>
          <w:rFonts w:ascii="Arial" w:cs="Arial" w:eastAsia="Arial" w:hAnsi="Arial"/>
          <w:sz w:val="19"/>
          <w:szCs w:val="19"/>
          <w:color w:val="auto"/>
        </w:rPr>
      </w:pPr>
    </w:p>
    <w:p>
      <w:pPr>
        <w:ind w:firstLine="601"/>
        <w:spacing w:after="0" w:line="268" w:lineRule="auto"/>
        <w:tabs>
          <w:tab w:leader="none" w:pos="1001"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Severability; Blue Pencil</w:t>
      </w:r>
      <w:r>
        <w:rPr>
          <w:rFonts w:ascii="Arial" w:cs="Arial" w:eastAsia="Arial" w:hAnsi="Arial"/>
          <w:sz w:val="20"/>
          <w:szCs w:val="20"/>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57" w:right="239" w:bottom="1440" w:gutter="0" w:footer="0" w:header="0"/>
        </w:sectPr>
      </w:pPr>
    </w:p>
    <w:bookmarkStart w:id="159" w:name="page160"/>
    <w:bookmarkEnd w:id="159"/>
    <w:p>
      <w:pPr>
        <w:ind w:left="-20" w:right="40" w:firstLine="601"/>
        <w:spacing w:after="0" w:line="254" w:lineRule="auto"/>
        <w:tabs>
          <w:tab w:leader="none" w:pos="936"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Limitation on Rights; No Right to Future Grants; Extraordinary Item of Compensation</w:t>
      </w:r>
      <w:r>
        <w:rPr>
          <w:rFonts w:ascii="Arial" w:cs="Arial" w:eastAsia="Arial" w:hAnsi="Arial"/>
          <w:sz w:val="20"/>
          <w:szCs w:val="20"/>
          <w:color w:val="auto"/>
        </w:rPr>
        <w:t>. By entering into this Agreement and accepting the Restricted Stock Units evidenced hereby, the Participant acknowledges: (</w:t>
      </w:r>
      <w:r>
        <w:rPr>
          <w:rFonts w:ascii="Arial" w:cs="Arial" w:eastAsia="Arial" w:hAnsi="Arial"/>
          <w:sz w:val="20"/>
          <w:szCs w:val="20"/>
          <w:u w:val="single" w:color="auto"/>
          <w:color w:val="auto"/>
        </w:rPr>
        <w:t>a</w:t>
      </w:r>
      <w:r>
        <w:rPr>
          <w:rFonts w:ascii="Arial" w:cs="Arial" w:eastAsia="Arial" w:hAnsi="Arial"/>
          <w:sz w:val="20"/>
          <w:szCs w:val="20"/>
          <w:color w:val="auto"/>
        </w:rPr>
        <w:t>) that the Plan is discretionary in nature and may be suspended or terminated by the Company at any time; (</w:t>
      </w:r>
      <w:r>
        <w:rPr>
          <w:rFonts w:ascii="Arial" w:cs="Arial" w:eastAsia="Arial" w:hAnsi="Arial"/>
          <w:sz w:val="20"/>
          <w:szCs w:val="20"/>
          <w:u w:val="single" w:color="auto"/>
          <w:color w:val="auto"/>
        </w:rPr>
        <w:t>b</w:t>
      </w:r>
      <w:r>
        <w:rPr>
          <w:rFonts w:ascii="Arial" w:cs="Arial" w:eastAsia="Arial" w:hAnsi="Arial"/>
          <w:sz w:val="20"/>
          <w:szCs w:val="20"/>
          <w:color w:val="auto"/>
        </w:rPr>
        <w:t>) that the Award does not create any contractual or other right to receive future grants of Awards; (</w:t>
      </w:r>
      <w:r>
        <w:rPr>
          <w:rFonts w:ascii="Arial" w:cs="Arial" w:eastAsia="Arial" w:hAnsi="Arial"/>
          <w:sz w:val="20"/>
          <w:szCs w:val="20"/>
          <w:u w:val="single" w:color="auto"/>
          <w:color w:val="auto"/>
        </w:rPr>
        <w:t>c</w:t>
      </w:r>
      <w:r>
        <w:rPr>
          <w:rFonts w:ascii="Arial" w:cs="Arial" w:eastAsia="Arial" w:hAnsi="Arial"/>
          <w:sz w:val="20"/>
          <w:szCs w:val="20"/>
          <w:color w:val="auto"/>
        </w:rPr>
        <w:t>) that participation in the Plan is voluntary; (</w:t>
      </w:r>
      <w:r>
        <w:rPr>
          <w:rFonts w:ascii="Arial" w:cs="Arial" w:eastAsia="Arial" w:hAnsi="Arial"/>
          <w:sz w:val="20"/>
          <w:szCs w:val="20"/>
          <w:u w:val="single" w:color="auto"/>
          <w:color w:val="auto"/>
        </w:rPr>
        <w:t>d</w:t>
      </w:r>
      <w:r>
        <w:rPr>
          <w:rFonts w:ascii="Arial" w:cs="Arial" w:eastAsia="Arial" w:hAnsi="Arial"/>
          <w:sz w:val="20"/>
          <w:szCs w:val="20"/>
          <w:color w:val="auto"/>
        </w:rPr>
        <w:t>) that the value of the Restricted Stock Units is not part of normal or expected compensation for purposes of calculating any severance, resignation, redundancy, end of service payments, bonuses, long-service awards, pension or retirement benefits or similar payments; and (</w:t>
      </w:r>
      <w:r>
        <w:rPr>
          <w:rFonts w:ascii="Arial" w:cs="Arial" w:eastAsia="Arial" w:hAnsi="Arial"/>
          <w:sz w:val="20"/>
          <w:szCs w:val="20"/>
          <w:u w:val="single" w:color="auto"/>
          <w:color w:val="auto"/>
        </w:rPr>
        <w:t>e</w:t>
      </w:r>
      <w:r>
        <w:rPr>
          <w:rFonts w:ascii="Arial" w:cs="Arial" w:eastAsia="Arial" w:hAnsi="Arial"/>
          <w:sz w:val="20"/>
          <w:szCs w:val="20"/>
          <w:color w:val="auto"/>
        </w:rPr>
        <w:t>) that the future value of the Company Common Stock is unknown and cannot be predicted with certainty.</w:t>
      </w:r>
    </w:p>
    <w:p>
      <w:pPr>
        <w:spacing w:after="0" w:line="374" w:lineRule="exact"/>
        <w:rPr>
          <w:rFonts w:ascii="Arial" w:cs="Arial" w:eastAsia="Arial" w:hAnsi="Arial"/>
          <w:sz w:val="20"/>
          <w:szCs w:val="20"/>
          <w:color w:val="auto"/>
        </w:rPr>
      </w:pPr>
    </w:p>
    <w:p>
      <w:pPr>
        <w:ind w:left="-20" w:firstLine="601"/>
        <w:spacing w:after="0" w:line="275" w:lineRule="auto"/>
        <w:tabs>
          <w:tab w:leader="none" w:pos="936"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By accepting the grant evidenced hereby, the Participant: (</w:t>
      </w:r>
      <w:r>
        <w:rPr>
          <w:rFonts w:ascii="Arial" w:cs="Arial" w:eastAsia="Arial" w:hAnsi="Arial"/>
          <w:sz w:val="19"/>
          <w:szCs w:val="19"/>
          <w:u w:val="single" w:color="auto"/>
          <w:color w:val="auto"/>
        </w:rPr>
        <w:t>a</w:t>
      </w:r>
      <w:r>
        <w:rPr>
          <w:rFonts w:ascii="Arial" w:cs="Arial" w:eastAsia="Arial" w:hAnsi="Arial"/>
          <w:sz w:val="19"/>
          <w:szCs w:val="19"/>
          <w:color w:val="auto"/>
        </w:rPr>
        <w:t>) authorizes the Company and the Participant’s employer, if different, any agent of the Company administering the Plan or providing Plan recordkeeping services, to disclose to the Company or any of its affiliates any information and data the Company requests in order to facilitate the grant of the Award and the administration of the Plan; (</w:t>
      </w:r>
      <w:r>
        <w:rPr>
          <w:rFonts w:ascii="Arial" w:cs="Arial" w:eastAsia="Arial" w:hAnsi="Arial"/>
          <w:sz w:val="19"/>
          <w:szCs w:val="19"/>
          <w:u w:val="single" w:color="auto"/>
          <w:color w:val="auto"/>
        </w:rPr>
        <w:t>b</w:t>
      </w:r>
      <w:r>
        <w:rPr>
          <w:rFonts w:ascii="Arial" w:cs="Arial" w:eastAsia="Arial" w:hAnsi="Arial"/>
          <w:sz w:val="19"/>
          <w:szCs w:val="19"/>
          <w:color w:val="auto"/>
        </w:rPr>
        <w:t>) waives any data privacy rights the Participant may have with respect to such information; and (</w:t>
      </w:r>
      <w:r>
        <w:rPr>
          <w:rFonts w:ascii="Arial" w:cs="Arial" w:eastAsia="Arial" w:hAnsi="Arial"/>
          <w:sz w:val="19"/>
          <w:szCs w:val="19"/>
          <w:u w:val="single" w:color="auto"/>
          <w:color w:val="auto"/>
        </w:rPr>
        <w:t>c</w:t>
      </w:r>
      <w:r>
        <w:rPr>
          <w:rFonts w:ascii="Arial" w:cs="Arial" w:eastAsia="Arial" w:hAnsi="Arial"/>
          <w:sz w:val="19"/>
          <w:szCs w:val="19"/>
          <w:color w:val="auto"/>
        </w:rPr>
        <w:t>) authorizes the Company and its agents to store and transmit such information in electronic form.</w:t>
      </w:r>
    </w:p>
    <w:p>
      <w:pPr>
        <w:spacing w:after="0" w:line="350" w:lineRule="exact"/>
        <w:rPr>
          <w:rFonts w:ascii="Arial" w:cs="Arial" w:eastAsia="Arial" w:hAnsi="Arial"/>
          <w:sz w:val="19"/>
          <w:szCs w:val="19"/>
          <w:color w:val="auto"/>
        </w:rPr>
      </w:pPr>
    </w:p>
    <w:p>
      <w:pPr>
        <w:ind w:left="-20" w:right="260" w:firstLine="601"/>
        <w:spacing w:after="0" w:line="258" w:lineRule="auto"/>
        <w:tabs>
          <w:tab w:leader="none" w:pos="981"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Consent to Electronic Delivery</w:t>
      </w:r>
      <w:r>
        <w:rPr>
          <w:rFonts w:ascii="Arial" w:cs="Arial" w:eastAsia="Arial" w:hAnsi="Arial"/>
          <w:sz w:val="20"/>
          <w:szCs w:val="20"/>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366" w:lineRule="exact"/>
        <w:rPr>
          <w:rFonts w:ascii="Arial" w:cs="Arial" w:eastAsia="Arial" w:hAnsi="Arial"/>
          <w:sz w:val="20"/>
          <w:szCs w:val="20"/>
          <w:color w:val="auto"/>
        </w:rPr>
      </w:pPr>
    </w:p>
    <w:p>
      <w:pPr>
        <w:ind w:left="-20" w:right="40" w:firstLine="601"/>
        <w:spacing w:after="0" w:line="270" w:lineRule="auto"/>
        <w:tabs>
          <w:tab w:leader="none" w:pos="936"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357" w:lineRule="exact"/>
        <w:rPr>
          <w:rFonts w:ascii="Arial" w:cs="Arial" w:eastAsia="Arial" w:hAnsi="Arial"/>
          <w:sz w:val="19"/>
          <w:szCs w:val="19"/>
          <w:color w:val="auto"/>
        </w:rPr>
      </w:pPr>
    </w:p>
    <w:p>
      <w:pPr>
        <w:ind w:left="-20" w:right="20" w:firstLine="601"/>
        <w:spacing w:after="0" w:line="290" w:lineRule="auto"/>
        <w:tabs>
          <w:tab w:leader="none" w:pos="103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Specified Employee Delay</w:t>
      </w:r>
      <w:r>
        <w:rPr>
          <w:rFonts w:ascii="Arial" w:cs="Arial" w:eastAsia="Arial" w:hAnsi="Arial"/>
          <w:sz w:val="18"/>
          <w:szCs w:val="18"/>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8"/>
          <w:szCs w:val="18"/>
          <w:u w:val="single" w:color="auto"/>
          <w:color w:val="auto"/>
        </w:rPr>
        <w:t>a</w:t>
      </w:r>
      <w:r>
        <w:rPr>
          <w:rFonts w:ascii="Arial" w:cs="Arial" w:eastAsia="Arial" w:hAnsi="Arial"/>
          <w:sz w:val="18"/>
          <w:szCs w:val="18"/>
          <w:color w:val="auto"/>
        </w:rPr>
        <w:t>) the date that is six months following the Participant’s termination of service and (</w:t>
      </w:r>
      <w:r>
        <w:rPr>
          <w:rFonts w:ascii="Arial" w:cs="Arial" w:eastAsia="Arial" w:hAnsi="Arial"/>
          <w:sz w:val="18"/>
          <w:szCs w:val="18"/>
          <w:u w:val="single" w:color="auto"/>
          <w:color w:val="auto"/>
        </w:rPr>
        <w:t>b</w:t>
      </w:r>
      <w:r>
        <w:rPr>
          <w:rFonts w:ascii="Arial" w:cs="Arial" w:eastAsia="Arial" w:hAnsi="Arial"/>
          <w:sz w:val="18"/>
          <w:szCs w:val="18"/>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60" w:top="557" w:right="239" w:bottom="1440" w:gutter="0" w:footer="0" w:header="0"/>
        </w:sectPr>
      </w:pPr>
    </w:p>
    <w:bookmarkStart w:id="160" w:name="page161"/>
    <w:bookmarkEnd w:id="160"/>
    <w:p>
      <w:pPr>
        <w:jc w:val="both"/>
        <w:ind w:right="180"/>
        <w:spacing w:after="0" w:line="261" w:lineRule="auto"/>
        <w:rPr>
          <w:sz w:val="20"/>
          <w:szCs w:val="20"/>
          <w:color w:val="auto"/>
        </w:rPr>
      </w:pPr>
      <w:r>
        <w:rPr>
          <w:rFonts w:ascii="Arial" w:cs="Arial" w:eastAsia="Arial" w:hAnsi="Arial"/>
          <w:sz w:val="20"/>
          <w:szCs w:val="20"/>
          <w:color w:val="auto"/>
        </w:rPr>
        <w:t>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364" w:lineRule="exact"/>
        <w:rPr>
          <w:sz w:val="20"/>
          <w:szCs w:val="20"/>
          <w:color w:val="auto"/>
        </w:rPr>
      </w:pPr>
    </w:p>
    <w:p>
      <w:pPr>
        <w:ind w:right="20" w:firstLine="601"/>
        <w:spacing w:after="0" w:line="288" w:lineRule="auto"/>
        <w:tabs>
          <w:tab w:leader="none" w:pos="1001"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Headings and Captions</w:t>
      </w:r>
      <w:r>
        <w:rPr>
          <w:rFonts w:ascii="Arial" w:cs="Arial" w:eastAsia="Arial" w:hAnsi="Arial"/>
          <w:sz w:val="20"/>
          <w:szCs w:val="20"/>
          <w:color w:val="auto"/>
        </w:rPr>
        <w:t>. The section and other headings contained in this Agreement are for reference purposes only and shall not affect the meaning or interpretation of this Agreement.</w:t>
      </w:r>
    </w:p>
    <w:p>
      <w:pPr>
        <w:spacing w:after="0" w:line="336" w:lineRule="exact"/>
        <w:rPr>
          <w:rFonts w:ascii="Arial" w:cs="Arial" w:eastAsia="Arial" w:hAnsi="Arial"/>
          <w:sz w:val="20"/>
          <w:szCs w:val="20"/>
          <w:color w:val="auto"/>
        </w:rPr>
      </w:pPr>
    </w:p>
    <w:p>
      <w:pPr>
        <w:ind w:firstLine="601"/>
        <w:spacing w:after="0" w:line="258" w:lineRule="auto"/>
        <w:tabs>
          <w:tab w:leader="none" w:pos="1001"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under this Agreement shall be (</w:t>
      </w:r>
      <w:r>
        <w:rPr>
          <w:rFonts w:ascii="Arial" w:cs="Arial" w:eastAsia="Arial" w:hAnsi="Arial"/>
          <w:sz w:val="20"/>
          <w:szCs w:val="20"/>
          <w:u w:val="single" w:color="auto"/>
          <w:color w:val="auto"/>
        </w:rPr>
        <w:t>i</w:t>
      </w:r>
      <w:r>
        <w:rPr>
          <w:rFonts w:ascii="Arial" w:cs="Arial" w:eastAsia="Arial" w:hAnsi="Arial"/>
          <w:sz w:val="20"/>
          <w:szCs w:val="20"/>
          <w:color w:val="auto"/>
        </w:rPr>
        <w:t>) delivered by hand, (</w:t>
      </w:r>
      <w:r>
        <w:rPr>
          <w:rFonts w:ascii="Arial" w:cs="Arial" w:eastAsia="Arial" w:hAnsi="Arial"/>
          <w:sz w:val="20"/>
          <w:szCs w:val="20"/>
          <w:u w:val="single" w:color="auto"/>
          <w:color w:val="auto"/>
        </w:rPr>
        <w:t>ii</w:t>
      </w:r>
      <w:r>
        <w:rPr>
          <w:rFonts w:ascii="Arial" w:cs="Arial" w:eastAsia="Arial" w:hAnsi="Arial"/>
          <w:sz w:val="20"/>
          <w:szCs w:val="20"/>
          <w:color w:val="auto"/>
        </w:rPr>
        <w:t>) sent by commercial overnight courier service, (</w:t>
      </w:r>
      <w:r>
        <w:rPr>
          <w:rFonts w:ascii="Arial" w:cs="Arial" w:eastAsia="Arial" w:hAnsi="Arial"/>
          <w:sz w:val="20"/>
          <w:szCs w:val="20"/>
          <w:u w:val="single" w:color="auto"/>
          <w:color w:val="auto"/>
        </w:rPr>
        <w:t>iii</w:t>
      </w:r>
      <w:r>
        <w:rPr>
          <w:rFonts w:ascii="Arial" w:cs="Arial" w:eastAsia="Arial" w:hAnsi="Arial"/>
          <w:sz w:val="20"/>
          <w:szCs w:val="20"/>
          <w:color w:val="auto"/>
        </w:rPr>
        <w:t>) sent by registered or certified mail, return receipt requested, and first-class postage prepaid, (</w:t>
      </w:r>
      <w:r>
        <w:rPr>
          <w:rFonts w:ascii="Arial" w:cs="Arial" w:eastAsia="Arial" w:hAnsi="Arial"/>
          <w:sz w:val="20"/>
          <w:szCs w:val="20"/>
          <w:u w:val="single" w:color="auto"/>
          <w:color w:val="auto"/>
        </w:rPr>
        <w:t>iv</w:t>
      </w:r>
      <w:r>
        <w:rPr>
          <w:rFonts w:ascii="Arial" w:cs="Arial" w:eastAsia="Arial" w:hAnsi="Arial"/>
          <w:sz w:val="20"/>
          <w:szCs w:val="20"/>
          <w:color w:val="auto"/>
        </w:rPr>
        <w:t>) sent by e-mail or any other form of electronic transfer or delivery approved by the Administrator, or (</w:t>
      </w:r>
      <w:r>
        <w:rPr>
          <w:rFonts w:ascii="Arial" w:cs="Arial" w:eastAsia="Arial" w:hAnsi="Arial"/>
          <w:sz w:val="20"/>
          <w:szCs w:val="20"/>
          <w:u w:val="single" w:color="auto"/>
          <w:color w:val="auto"/>
        </w:rPr>
        <w:t>v</w:t>
      </w:r>
      <w:r>
        <w:rPr>
          <w:rFonts w:ascii="Arial" w:cs="Arial" w:eastAsia="Arial" w:hAnsi="Arial"/>
          <w:sz w:val="20"/>
          <w:szCs w:val="20"/>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366" w:lineRule="exact"/>
        <w:rPr>
          <w:rFonts w:ascii="Arial" w:cs="Arial" w:eastAsia="Arial" w:hAnsi="Arial"/>
          <w:sz w:val="20"/>
          <w:szCs w:val="20"/>
          <w:color w:val="auto"/>
        </w:rPr>
      </w:pPr>
    </w:p>
    <w:p>
      <w:pPr>
        <w:ind w:right="180" w:firstLine="601"/>
        <w:spacing w:after="0" w:line="288" w:lineRule="auto"/>
        <w:tabs>
          <w:tab w:leader="none" w:pos="1001"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each of which shall be deemed to be an original and all of which together shall constitute one and the same instrument.</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557" w:right="25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Subsidiaries of Booz Allen Hamilton Holding Corporation</w:t>
      </w:r>
    </w:p>
    <w:p>
      <w:pPr>
        <w:sectPr>
          <w:pgSz w:w="11900" w:h="16838" w:orient="portrait"/>
          <w:cols w:equalWidth="0" w:num="1">
            <w:col w:w="11420"/>
          </w:cols>
          <w:pgMar w:left="240" w:top="557" w:right="239" w:bottom="1440" w:gutter="0" w:footer="0" w:header="0"/>
        </w:sect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Name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Jurisdiction of Organization</w:t>
      </w:r>
    </w:p>
    <w:p>
      <w:pPr>
        <w:spacing w:after="0" w:line="157" w:lineRule="exact"/>
        <w:rPr>
          <w:sz w:val="20"/>
          <w:szCs w:val="20"/>
          <w:color w:val="auto"/>
        </w:rPr>
      </w:pPr>
    </w:p>
    <w:p>
      <w:pPr>
        <w:sectPr>
          <w:pgSz w:w="11900" w:h="16838" w:orient="portrait"/>
          <w:cols w:equalWidth="0" w:num="2">
            <w:col w:w="6720" w:space="720"/>
            <w:col w:w="3980"/>
          </w:cols>
          <w:pgMar w:left="240" w:top="557" w:right="2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Booz Allen Cyber Solutions, LLC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Consulting Pte. Ltd.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(Dubai) Limited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Egypt, LLC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Engineering Holding Co., LLC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Engineering Services, LLC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Lebanon S.a.r.l.</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Inc.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Booz Allen Hamilton Intellectual Property Holding, LLC</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International, Inc.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International Pte. Ltd.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International (U.K.) Ltd.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Investor Corporation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Saudi Arabia, LLC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Booz Allen Hamilton Singapore Holding Company Pte. Ltd.</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Singapore LLP</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Booz Allen Hamilton Tanzania Limited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Epidemico, Inc.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Epidemico Limited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PT Booz Allen Hamilton Indonesia</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SDI Technology Corporation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eGov Holdings, Inc.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Aquilent, Inc.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Cloud Solutions Group, Inc.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Epic Acquisition Software, Inc.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Middle Bay Solutions, LLC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Middle Bay Solutions II, LLC</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Riverside Engineering,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Dubai, UAE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Egypt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Lebanon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Saudi Arabia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Tanzania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Indonesia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Virginia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6720" w:space="720"/>
            <w:col w:w="3980"/>
          </w:cols>
          <w:pgMar w:left="240" w:top="557" w:right="2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23</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94" w:lineRule="exact"/>
        <w:rPr>
          <w:sz w:val="20"/>
          <w:szCs w:val="20"/>
          <w:color w:val="auto"/>
        </w:rPr>
      </w:pPr>
    </w:p>
    <w:p>
      <w:pPr>
        <w:ind w:left="600" w:hanging="299"/>
        <w:spacing w:after="0"/>
        <w:tabs>
          <w:tab w:leader="none" w:pos="6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Form S-8 (No 333-205956) pertaining to the Second Amended and Restated Equity Incentive Plan of Booz Allen Hamilton Holding Corporation</w:t>
      </w:r>
    </w:p>
    <w:p>
      <w:pPr>
        <w:spacing w:after="0" w:line="54" w:lineRule="exact"/>
        <w:rPr>
          <w:rFonts w:ascii="Arial" w:cs="Arial" w:eastAsia="Arial" w:hAnsi="Arial"/>
          <w:sz w:val="17"/>
          <w:szCs w:val="17"/>
          <w:color w:val="auto"/>
        </w:rPr>
      </w:pPr>
    </w:p>
    <w:p>
      <w:pPr>
        <w:jc w:val="both"/>
        <w:ind w:left="600" w:right="280" w:hanging="299"/>
        <w:spacing w:after="0" w:line="288" w:lineRule="auto"/>
        <w:tabs>
          <w:tab w:leader="none" w:pos="6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Form S-8 (No 333-171288) pertaining to the Amended and Restated Equity Incentive Plan of Booz Allen Hamilton Holding Corporation, Booz Allen Hamilton Holding Corporation Officers’ Rollover Stock Plan, and Booz Allen Hamilton Holding Corporation Employee Stock Purchase Plan</w:t>
      </w:r>
    </w:p>
    <w:p>
      <w:pPr>
        <w:spacing w:after="0" w:line="1" w:lineRule="exact"/>
        <w:rPr>
          <w:rFonts w:ascii="Arial" w:cs="Arial" w:eastAsia="Arial" w:hAnsi="Arial"/>
          <w:sz w:val="18"/>
          <w:szCs w:val="18"/>
          <w:color w:val="auto"/>
        </w:rPr>
      </w:pPr>
    </w:p>
    <w:p>
      <w:pPr>
        <w:ind w:left="600" w:hanging="299"/>
        <w:spacing w:after="0"/>
        <w:tabs>
          <w:tab w:leader="none" w:pos="6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Form S-3 (No </w:t>
      </w:r>
      <w:r>
        <w:rPr>
          <w:rFonts w:ascii="Arial" w:cs="Arial" w:eastAsia="Arial" w:hAnsi="Arial"/>
          <w:sz w:val="19"/>
          <w:szCs w:val="19"/>
          <w:color w:val="auto"/>
        </w:rPr>
        <w:t>333-214855</w:t>
      </w:r>
      <w:r>
        <w:rPr>
          <w:rFonts w:ascii="Arial" w:cs="Arial" w:eastAsia="Arial" w:hAnsi="Arial"/>
          <w:sz w:val="17"/>
          <w:szCs w:val="17"/>
          <w:color w:val="auto"/>
        </w:rPr>
        <w:t>) pertaining to the registration of shares of Class A Common Stock of Booz Allen Hamilton Holding Corporation</w:t>
      </w:r>
    </w:p>
    <w:p>
      <w:pPr>
        <w:spacing w:after="0" w:line="312"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of our reports dated May 22, 2017,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May 22, 2017</w:t>
      </w:r>
    </w:p>
    <w:p>
      <w:pPr>
        <w:sectPr>
          <w:pgSz w:w="11900" w:h="16838" w:orient="portrait"/>
          <w:cols w:equalWidth="0" w:num="1">
            <w:col w:w="11420"/>
          </w:cols>
          <w:pgMar w:left="240" w:top="99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b w:val="1"/>
          <w:bCs w:val="1"/>
          <w:color w:val="auto"/>
        </w:rPr>
        <w:t>Exhibit 31.1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 RULE 13A-14(A)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 Horacio Rozanski, certify that:</w:t>
      </w:r>
    </w:p>
    <w:p>
      <w:pPr>
        <w:spacing w:after="0" w:line="155" w:lineRule="exact"/>
        <w:rPr>
          <w:sz w:val="20"/>
          <w:szCs w:val="20"/>
          <w:color w:val="auto"/>
        </w:rPr>
      </w:pPr>
    </w:p>
    <w:p>
      <w:pPr>
        <w:ind w:left="160" w:hanging="160"/>
        <w:spacing w:after="0"/>
        <w:tabs>
          <w:tab w:leader="none" w:pos="1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Booz Allen Hamilton Holding Corporation.</w:t>
      </w:r>
    </w:p>
    <w:p>
      <w:pPr>
        <w:spacing w:after="0" w:line="154" w:lineRule="exact"/>
        <w:rPr>
          <w:rFonts w:ascii="Arial" w:cs="Arial" w:eastAsia="Arial" w:hAnsi="Arial"/>
          <w:sz w:val="17"/>
          <w:szCs w:val="17"/>
          <w:color w:val="auto"/>
        </w:rPr>
      </w:pPr>
    </w:p>
    <w:p>
      <w:pPr>
        <w:ind w:right="180"/>
        <w:spacing w:after="0" w:line="298" w:lineRule="auto"/>
        <w:tabs>
          <w:tab w:leader="none" w:pos="16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180"/>
        <w:spacing w:after="0" w:line="266" w:lineRule="auto"/>
        <w:tabs>
          <w:tab w:leader="none" w:pos="16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7"/>
          <w:szCs w:val="17"/>
          <w:color w:val="auto"/>
        </w:rPr>
      </w:pPr>
    </w:p>
    <w:p>
      <w:pPr>
        <w:ind w:left="160" w:hanging="160"/>
        <w:spacing w:after="0"/>
        <w:tabs>
          <w:tab w:leader="none" w:pos="1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154" w:lineRule="exact"/>
        <w:rPr>
          <w:sz w:val="20"/>
          <w:szCs w:val="20"/>
          <w:color w:val="auto"/>
        </w:rPr>
      </w:pPr>
    </w:p>
    <w:p>
      <w:pPr>
        <w:ind w:right="200"/>
        <w:spacing w:after="0" w:line="256" w:lineRule="auto"/>
        <w:tabs>
          <w:tab w:leader="none" w:pos="22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right="20"/>
        <w:spacing w:after="0" w:line="256" w:lineRule="auto"/>
        <w:tabs>
          <w:tab w:leader="none" w:pos="23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160"/>
        <w:spacing w:after="0" w:line="266" w:lineRule="auto"/>
        <w:tabs>
          <w:tab w:leader="none" w:pos="22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7"/>
          <w:szCs w:val="17"/>
          <w:color w:val="auto"/>
        </w:rPr>
      </w:pPr>
    </w:p>
    <w:p>
      <w:pPr>
        <w:ind w:right="40"/>
        <w:spacing w:after="0" w:line="256" w:lineRule="auto"/>
        <w:tabs>
          <w:tab w:leader="none" w:pos="23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5" w:lineRule="exact"/>
        <w:rPr>
          <w:sz w:val="20"/>
          <w:szCs w:val="20"/>
          <w:color w:val="auto"/>
        </w:rPr>
      </w:pPr>
    </w:p>
    <w:p>
      <w:pPr>
        <w:ind w:right="120"/>
        <w:spacing w:after="0" w:line="266" w:lineRule="auto"/>
        <w:tabs>
          <w:tab w:leader="none" w:pos="16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7" w:lineRule="exact"/>
        <w:rPr>
          <w:sz w:val="20"/>
          <w:szCs w:val="20"/>
          <w:color w:val="auto"/>
        </w:rPr>
      </w:pPr>
    </w:p>
    <w:p>
      <w:pPr>
        <w:ind w:right="360"/>
        <w:spacing w:after="0" w:line="266" w:lineRule="auto"/>
        <w:tabs>
          <w:tab w:leader="none" w:pos="22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7"/>
          <w:szCs w:val="17"/>
          <w:color w:val="auto"/>
        </w:rPr>
      </w:pPr>
    </w:p>
    <w:p>
      <w:pPr>
        <w:ind w:right="640"/>
        <w:spacing w:after="0" w:line="266" w:lineRule="auto"/>
        <w:tabs>
          <w:tab w:leader="none" w:pos="23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7100" w:val="left"/>
          <w:tab w:leader="none" w:pos="7560" w:val="left"/>
        </w:tabs>
        <w:rPr>
          <w:sz w:val="20"/>
          <w:szCs w:val="20"/>
          <w:color w:val="auto"/>
        </w:rPr>
      </w:pPr>
      <w:r>
        <w:rPr>
          <w:rFonts w:ascii="Arial" w:cs="Arial" w:eastAsia="Arial" w:hAnsi="Arial"/>
          <w:sz w:val="17"/>
          <w:szCs w:val="17"/>
          <w:color w:val="auto"/>
        </w:rPr>
        <w:t>Date: May 22, 2017</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26670</wp:posOffset>
            </wp:positionV>
            <wp:extent cx="24638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47"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Horacio Rozanski</w:t>
      </w:r>
    </w:p>
    <w:p>
      <w:pPr>
        <w:spacing w:after="0" w:line="17"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President and Chief Executive Officer</w:t>
      </w:r>
    </w:p>
    <w:p>
      <w:pPr>
        <w:spacing w:after="0" w:line="5"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549"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color w:val="auto"/>
        </w:rPr>
        <w:t>Exhibit 31.2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PURSUANT TO RULE 13A-14(A)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 Lloyd W. Howell, Jr., certify that:</w:t>
      </w:r>
    </w:p>
    <w:p>
      <w:pPr>
        <w:spacing w:after="0" w:line="155" w:lineRule="exact"/>
        <w:rPr>
          <w:sz w:val="20"/>
          <w:szCs w:val="20"/>
          <w:color w:val="auto"/>
        </w:rPr>
      </w:pPr>
    </w:p>
    <w:p>
      <w:pPr>
        <w:ind w:left="160" w:hanging="160"/>
        <w:spacing w:after="0"/>
        <w:tabs>
          <w:tab w:leader="none" w:pos="1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Booz Allen Hamilton Holding Corporation.</w:t>
      </w:r>
    </w:p>
    <w:p>
      <w:pPr>
        <w:spacing w:after="0" w:line="154" w:lineRule="exact"/>
        <w:rPr>
          <w:rFonts w:ascii="Arial" w:cs="Arial" w:eastAsia="Arial" w:hAnsi="Arial"/>
          <w:sz w:val="17"/>
          <w:szCs w:val="17"/>
          <w:color w:val="auto"/>
        </w:rPr>
      </w:pPr>
    </w:p>
    <w:p>
      <w:pPr>
        <w:ind w:right="180"/>
        <w:spacing w:after="0" w:line="298" w:lineRule="auto"/>
        <w:tabs>
          <w:tab w:leader="none" w:pos="16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180"/>
        <w:spacing w:after="0" w:line="266" w:lineRule="auto"/>
        <w:tabs>
          <w:tab w:leader="none" w:pos="16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7"/>
          <w:szCs w:val="17"/>
          <w:color w:val="auto"/>
        </w:rPr>
      </w:pPr>
    </w:p>
    <w:p>
      <w:pPr>
        <w:ind w:left="160" w:hanging="160"/>
        <w:spacing w:after="0"/>
        <w:tabs>
          <w:tab w:leader="none" w:pos="1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154" w:lineRule="exact"/>
        <w:rPr>
          <w:sz w:val="20"/>
          <w:szCs w:val="20"/>
          <w:color w:val="auto"/>
        </w:rPr>
      </w:pPr>
    </w:p>
    <w:p>
      <w:pPr>
        <w:ind w:right="200"/>
        <w:spacing w:after="0" w:line="256" w:lineRule="auto"/>
        <w:tabs>
          <w:tab w:leader="none" w:pos="22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right="20"/>
        <w:spacing w:after="0" w:line="256" w:lineRule="auto"/>
        <w:tabs>
          <w:tab w:leader="none" w:pos="23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160"/>
        <w:spacing w:after="0" w:line="266" w:lineRule="auto"/>
        <w:tabs>
          <w:tab w:leader="none" w:pos="22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7"/>
          <w:szCs w:val="17"/>
          <w:color w:val="auto"/>
        </w:rPr>
      </w:pPr>
    </w:p>
    <w:p>
      <w:pPr>
        <w:ind w:right="40"/>
        <w:spacing w:after="0" w:line="256" w:lineRule="auto"/>
        <w:tabs>
          <w:tab w:leader="none" w:pos="23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5" w:lineRule="exact"/>
        <w:rPr>
          <w:sz w:val="20"/>
          <w:szCs w:val="20"/>
          <w:color w:val="auto"/>
        </w:rPr>
      </w:pPr>
    </w:p>
    <w:p>
      <w:pPr>
        <w:ind w:right="120"/>
        <w:spacing w:after="0" w:line="266" w:lineRule="auto"/>
        <w:tabs>
          <w:tab w:leader="none" w:pos="16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7" w:lineRule="exact"/>
        <w:rPr>
          <w:sz w:val="20"/>
          <w:szCs w:val="20"/>
          <w:color w:val="auto"/>
        </w:rPr>
      </w:pPr>
    </w:p>
    <w:p>
      <w:pPr>
        <w:ind w:right="360"/>
        <w:spacing w:after="0" w:line="266" w:lineRule="auto"/>
        <w:tabs>
          <w:tab w:leader="none" w:pos="22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7"/>
          <w:szCs w:val="17"/>
          <w:color w:val="auto"/>
        </w:rPr>
      </w:pPr>
    </w:p>
    <w:p>
      <w:pPr>
        <w:ind w:right="640"/>
        <w:spacing w:after="0" w:line="266" w:lineRule="auto"/>
        <w:tabs>
          <w:tab w:leader="none" w:pos="23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5720" w:val="left"/>
          <w:tab w:leader="none" w:pos="6180" w:val="left"/>
        </w:tabs>
        <w:rPr>
          <w:sz w:val="20"/>
          <w:szCs w:val="20"/>
          <w:color w:val="auto"/>
        </w:rPr>
      </w:pPr>
      <w:r>
        <w:rPr>
          <w:rFonts w:ascii="Arial" w:cs="Arial" w:eastAsia="Arial" w:hAnsi="Arial"/>
          <w:sz w:val="17"/>
          <w:szCs w:val="17"/>
          <w:color w:val="auto"/>
        </w:rPr>
        <w:t>Date: May 22, 2017</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26670</wp:posOffset>
            </wp:positionV>
            <wp:extent cx="33299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Lloyd W. Howell, Jr.</w:t>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420"/>
          </w:cols>
          <w:pgMar w:left="240" w:top="549"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7"/>
          <w:szCs w:val="17"/>
          <w:b w:val="1"/>
          <w:bCs w:val="1"/>
          <w:color w:val="auto"/>
        </w:rPr>
        <w:t>Exhibit 32.1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connection with the report on Form 10-K of Booz Allen Hamilton Holding Corporation (the “Company”) for the fiscal year ended March 31, 2017,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09" w:lineRule="exact"/>
        <w:rPr>
          <w:sz w:val="20"/>
          <w:szCs w:val="20"/>
          <w:color w:val="auto"/>
        </w:rPr>
      </w:pPr>
    </w:p>
    <w:p>
      <w:pPr>
        <w:ind w:left="240" w:hanging="240"/>
        <w:spacing w:after="0"/>
        <w:tabs>
          <w:tab w:leader="none" w:pos="2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w:t>
      </w:r>
    </w:p>
    <w:p>
      <w:pPr>
        <w:spacing w:after="0" w:line="154" w:lineRule="exact"/>
        <w:rPr>
          <w:rFonts w:ascii="Arial" w:cs="Arial" w:eastAsia="Arial" w:hAnsi="Arial"/>
          <w:sz w:val="17"/>
          <w:szCs w:val="17"/>
          <w:color w:val="auto"/>
        </w:rPr>
      </w:pPr>
    </w:p>
    <w:p>
      <w:pPr>
        <w:ind w:left="240" w:hanging="240"/>
        <w:spacing w:after="0"/>
        <w:tabs>
          <w:tab w:leader="none" w:pos="2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ind w:left="20"/>
        <w:spacing w:after="0"/>
        <w:tabs>
          <w:tab w:leader="none" w:pos="6580" w:val="left"/>
        </w:tabs>
        <w:rPr>
          <w:sz w:val="20"/>
          <w:szCs w:val="20"/>
          <w:color w:val="auto"/>
        </w:rPr>
      </w:pPr>
      <w:r>
        <w:rPr>
          <w:rFonts w:ascii="Arial" w:cs="Arial" w:eastAsia="Arial" w:hAnsi="Arial"/>
          <w:sz w:val="17"/>
          <w:szCs w:val="17"/>
          <w:color w:val="auto"/>
        </w:rPr>
        <w:t>Date: May 22, 2017</w:t>
      </w:r>
      <w:r>
        <w:rPr>
          <w:sz w:val="20"/>
          <w:szCs w:val="20"/>
          <w:color w:val="auto"/>
        </w:rPr>
        <w:tab/>
      </w:r>
      <w:r>
        <w:rPr>
          <w:rFonts w:ascii="Arial" w:cs="Arial" w:eastAsia="Arial" w:hAnsi="Arial"/>
          <w:sz w:val="15"/>
          <w:szCs w:val="15"/>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26670</wp:posOffset>
            </wp:positionV>
            <wp:extent cx="2901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47"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Horacio Rozanski</w:t>
      </w:r>
    </w:p>
    <w:p>
      <w:pPr>
        <w:spacing w:after="0" w:line="17"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President and Chief Executive Officer</w:t>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(Principal Executive Officer)</w:t>
      </w:r>
    </w:p>
    <w:p>
      <w:pPr>
        <w:spacing w:after="0" w:line="16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49"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b w:val="1"/>
          <w:bCs w:val="1"/>
          <w:color w:val="auto"/>
        </w:rPr>
        <w:t>Exhibit 32.2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In connection with the report on Form 10-K of Booz Allen Hamilton Holding Corporation (the “Company”) for the fiscal year ended March 31, 2017,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91" w:lineRule="exact"/>
        <w:rPr>
          <w:sz w:val="20"/>
          <w:szCs w:val="20"/>
          <w:color w:val="auto"/>
        </w:rPr>
      </w:pPr>
    </w:p>
    <w:p>
      <w:pPr>
        <w:ind w:left="240" w:hanging="240"/>
        <w:spacing w:after="0"/>
        <w:tabs>
          <w:tab w:leader="none" w:pos="2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w:t>
      </w:r>
    </w:p>
    <w:p>
      <w:pPr>
        <w:spacing w:after="0" w:line="154" w:lineRule="exact"/>
        <w:rPr>
          <w:rFonts w:ascii="Arial" w:cs="Arial" w:eastAsia="Arial" w:hAnsi="Arial"/>
          <w:sz w:val="17"/>
          <w:szCs w:val="17"/>
          <w:color w:val="auto"/>
        </w:rPr>
      </w:pPr>
    </w:p>
    <w:p>
      <w:pPr>
        <w:ind w:left="240" w:hanging="240"/>
        <w:spacing w:after="0"/>
        <w:tabs>
          <w:tab w:leader="none" w:pos="2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7"/>
          <w:szCs w:val="17"/>
          <w:color w:val="auto"/>
        </w:rPr>
        <w:t>Date: May 22, 2017</w:t>
      </w:r>
      <w:r>
        <w:rPr>
          <w:sz w:val="20"/>
          <w:szCs w:val="20"/>
          <w:color w:val="auto"/>
        </w:rPr>
        <w:tab/>
      </w:r>
      <w:r>
        <w:rPr>
          <w:rFonts w:ascii="Arial" w:cs="Arial" w:eastAsia="Arial" w:hAnsi="Arial"/>
          <w:sz w:val="15"/>
          <w:szCs w:val="15"/>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26670</wp:posOffset>
            </wp:positionV>
            <wp:extent cx="3481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81070" cy="8255"/>
                    </a:xfrm>
                    <a:prstGeom prst="rect">
                      <a:avLst/>
                    </a:prstGeom>
                    <a:noFill/>
                  </pic:spPr>
                </pic:pic>
              </a:graphicData>
            </a:graphic>
          </wp:anchor>
        </w:drawing>
      </w:r>
    </w:p>
    <w:p>
      <w:pPr>
        <w:spacing w:after="0" w:line="4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Lloyd W. Howell, Jr.</w:t>
      </w:r>
    </w:p>
    <w:p>
      <w:pPr>
        <w:spacing w:after="0" w:line="17"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Financial Officer)</w:t>
      </w:r>
    </w:p>
    <w:p>
      <w:pPr>
        <w:spacing w:after="0" w:line="16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lvl w:ilvl="1">
      <w:lvlJc w:val="left"/>
      <w:lvlText w:val="◦"/>
      <w:numFmt w:val="bullet"/>
      <w:start w:val="1"/>
    </w:lvl>
  </w:abstractNum>
  <w:abstractNum w:abstractNumId="8">
    <w:nsid w:val="7FFFCA11"/>
    <w:multiLevelType w:val="hybridMultilevel"/>
    <w:lvl w:ilvl="0">
      <w:lvlJc w:val="left"/>
      <w:lvlText w:val="•"/>
      <w:numFmt w:val="bullet"/>
      <w:start w:val="1"/>
    </w:lvl>
    <w:lvl w:ilvl="1">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1)"/>
      <w:numFmt w:val="decimal"/>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1)"/>
      <w:numFmt w:val="decimal"/>
      <w:start w:val="1"/>
    </w:lvl>
  </w:abstractNum>
  <w:abstractNum w:abstractNumId="42">
    <w:nsid w:val="6FC75AF8"/>
    <w:multiLevelType w:val="hybridMultilevel"/>
    <w:lvl w:ilvl="0">
      <w:lvlJc w:val="left"/>
      <w:lvlText w:val="(%1)"/>
      <w:numFmt w:val="decimal"/>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1)"/>
      <w:numFmt w:val="lowerLetter"/>
      <w:start w:val="1"/>
    </w:lvl>
  </w:abstractNum>
  <w:abstractNum w:abstractNumId="46">
    <w:nsid w:val="73A1821B"/>
    <w:multiLevelType w:val="hybridMultilevel"/>
    <w:lvl w:ilvl="0">
      <w:lvlJc w:val="left"/>
      <w:lvlText w:val="(%1)"/>
      <w:numFmt w:val="lowerLetter"/>
      <w:start w:val="5"/>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1)"/>
      <w:numFmt w:val="decimal"/>
      <w:start w:val="1"/>
    </w:lvl>
  </w:abstractNum>
  <w:abstractNum w:abstractNumId="57">
    <w:nsid w:val="1D545C4D"/>
    <w:multiLevelType w:val="hybridMultilevel"/>
    <w:lvl w:ilvl="0">
      <w:lvlJc w:val="left"/>
      <w:lvlText w:val="(%1)"/>
      <w:numFmt w:val="lowerLetter"/>
      <w:start w:val="2"/>
    </w:lvl>
  </w:abstractNum>
  <w:abstractNum w:abstractNumId="58">
    <w:nsid w:val="59ADEA3D"/>
    <w:multiLevelType w:val="hybridMultilevel"/>
    <w:lvl w:ilvl="0">
      <w:lvlJc w:val="left"/>
      <w:lvlText w:val="(%1)"/>
      <w:numFmt w:val="lowerLetter"/>
      <w:start w:val="4"/>
    </w:lvl>
  </w:abstractNum>
  <w:abstractNum w:abstractNumId="59">
    <w:nsid w:val="288F1A34"/>
    <w:multiLevelType w:val="hybridMultilevel"/>
    <w:lvl w:ilvl="0">
      <w:lvlJc w:val="left"/>
      <w:lvlText w:val="(%1)"/>
      <w:numFmt w:val="lowerLetter"/>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2"/>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1."/>
      <w:numFmt w:val="decimal"/>
      <w:start w:val="5"/>
    </w:lvl>
  </w:abstractNum>
  <w:abstractNum w:abstractNumId="64">
    <w:nsid w:val="1CA0C5FA"/>
    <w:multiLevelType w:val="hybridMultilevel"/>
    <w:lvl w:ilvl="0">
      <w:lvlJc w:val="left"/>
      <w:lvlText w:val="%1."/>
      <w:numFmt w:val="decimal"/>
      <w:start w:val="8"/>
    </w:lvl>
  </w:abstractNum>
  <w:abstractNum w:abstractNumId="65">
    <w:nsid w:val="53584BCB"/>
    <w:multiLevelType w:val="hybridMultilevel"/>
    <w:lvl w:ilvl="0">
      <w:lvlJc w:val="left"/>
      <w:lvlText w:val="(%1)"/>
      <w:numFmt w:val="lowerLetter"/>
      <w:start w:val="2"/>
    </w:lvl>
  </w:abstractNum>
  <w:abstractNum w:abstractNumId="66">
    <w:nsid w:val="415E286C"/>
    <w:multiLevelType w:val="hybridMultilevel"/>
    <w:lvl w:ilvl="0">
      <w:lvlJc w:val="left"/>
      <w:lvlText w:val="(%1)"/>
      <w:numFmt w:val="lowerLetter"/>
      <w:start w:val="4"/>
    </w:lvl>
  </w:abstractNum>
  <w:abstractNum w:abstractNumId="67">
    <w:nsid w:val="7C58FD05"/>
    <w:multiLevelType w:val="hybridMultilevel"/>
    <w:lvl w:ilvl="0">
      <w:lvlJc w:val="left"/>
      <w:lvlText w:val="1"/>
      <w:numFmt w:val="bullet"/>
      <w:start w:val="1"/>
    </w:lvl>
  </w:abstractNum>
  <w:abstractNum w:abstractNumId="68">
    <w:nsid w:val="23D86AAC"/>
    <w:multiLevelType w:val="hybridMultilevel"/>
    <w:lvl w:ilvl="0">
      <w:lvlJc w:val="left"/>
      <w:lvlText w:val="2"/>
      <w:numFmt w:val="bullet"/>
      <w:start w:val="1"/>
    </w:lvl>
  </w:abstractNum>
  <w:abstractNum w:abstractNumId="69">
    <w:nsid w:val="45E6D486"/>
    <w:multiLevelType w:val="hybridMultilevel"/>
    <w:lvl w:ilvl="0">
      <w:lvlJc w:val="left"/>
      <w:lvlText w:val="%1."/>
      <w:numFmt w:val="decimal"/>
      <w:start w:val="13"/>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1)"/>
      <w:numFmt w:val="decimal"/>
      <w:start w:val="1"/>
    </w:lvl>
  </w:abstractNum>
  <w:abstractNum w:abstractNumId="74">
    <w:nsid w:val="78DF6A55"/>
    <w:multiLevelType w:val="hybridMultilevel"/>
    <w:lvl w:ilvl="0">
      <w:lvlJc w:val="left"/>
      <w:lvlText w:val="(%1)"/>
      <w:numFmt w:val="decimal"/>
      <w:start w:val="1"/>
    </w:lvl>
  </w:abstractNum>
  <w:abstractNum w:abstractNumId="75">
    <w:nsid w:val="39B7AAA2"/>
    <w:multiLevelType w:val="hybridMultilevel"/>
    <w:lvl w:ilvl="0">
      <w:lvlJc w:val="left"/>
      <w:lvlText w:val="%1"/>
      <w:numFmt w:val="decimal"/>
      <w:start w:val="1"/>
    </w:lvl>
    <w:lvl w:ilvl="1">
      <w:lvlJc w:val="left"/>
      <w:lvlText w:val="(%2)"/>
      <w:numFmt w:val="decimal"/>
      <w:start w:val="1"/>
    </w:lvl>
  </w:abstractNum>
  <w:abstractNum w:abstractNumId="76">
    <w:nsid w:val="2B0D8DBE"/>
    <w:multiLevelType w:val="hybridMultilevel"/>
    <w:lvl w:ilvl="0">
      <w:lvlJc w:val="left"/>
      <w:lvlText w:val="%1."/>
      <w:numFmt w:val="decimal"/>
      <w:start w:val="23"/>
    </w:lvl>
    <w:lvl w:ilvl="1">
      <w:lvlJc w:val="left"/>
      <w:lvlText w:val="%2"/>
      <w:numFmt w:val="decimal"/>
      <w:start w:val="1"/>
    </w:lvl>
  </w:abstractNum>
  <w:abstractNum w:abstractNumId="77">
    <w:nsid w:val="6C80EC70"/>
    <w:multiLevelType w:val="hybridMultilevel"/>
    <w:lvl w:ilvl="0">
      <w:lvlJc w:val="left"/>
      <w:lvlText w:val="(%1)"/>
      <w:numFmt w:val="decimal"/>
      <w:start w:val="1"/>
    </w:lvl>
  </w:abstractNum>
  <w:abstractNum w:abstractNumId="78">
    <w:nsid w:val="379E21B5"/>
    <w:multiLevelType w:val="hybridMultilevel"/>
    <w:lvl w:ilvl="0">
      <w:lvlJc w:val="left"/>
      <w:lvlText w:val="(%1)"/>
      <w:numFmt w:val="lowerLetter"/>
      <w:start w:val="1"/>
    </w:lvl>
    <w:lvl w:ilvl="1">
      <w:lvlJc w:val="left"/>
      <w:lvlText w:val="(%2)"/>
      <w:numFmt w:val="decimal"/>
      <w:start w:val="1"/>
    </w:lvl>
  </w:abstractNum>
  <w:abstractNum w:abstractNumId="79">
    <w:nsid w:val="69E373"/>
    <w:multiLevelType w:val="hybridMultilevel"/>
    <w:lvl w:ilvl="0">
      <w:lvlJc w:val="left"/>
      <w:lvlText w:val="%1"/>
      <w:numFmt w:val="decimal"/>
      <w:start w:val="10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1)"/>
      <w:numFmt w:val="lowerLetter"/>
      <w:start w:val="1"/>
    </w:lvl>
  </w:abstractNum>
  <w:abstractNum w:abstractNumId="82">
    <w:nsid w:val="6AA7B75C"/>
    <w:multiLevelType w:val="hybridMultilevel"/>
    <w:lvl w:ilvl="0">
      <w:lvlJc w:val="left"/>
      <w:lvlText w:val="(%1)"/>
      <w:numFmt w:val="lowerLetter"/>
      <w:start w:val="1"/>
    </w:lvl>
  </w:abstractNum>
  <w:abstractNum w:abstractNumId="83">
    <w:nsid w:val="1DF029D3"/>
    <w:multiLevelType w:val="hybridMultilevel"/>
    <w:lvl w:ilvl="0">
      <w:lvlJc w:val="left"/>
      <w:lvlText w:val="(%1)"/>
      <w:numFmt w:val="lowerLetter"/>
      <w:start w:val="1"/>
    </w:lvl>
  </w:abstractNum>
  <w:abstractNum w:abstractNumId="84">
    <w:nsid w:val="5675FF36"/>
    <w:multiLevelType w:val="hybridMultilevel"/>
    <w:lvl w:ilvl="0">
      <w:lvlJc w:val="left"/>
      <w:lvlText w:val="(%1)"/>
      <w:numFmt w:val="lowerLetter"/>
      <w:start w:val="1"/>
    </w:lvl>
  </w:abstractNum>
  <w:abstractNum w:abstractNumId="85">
    <w:nsid w:val="3DD15094"/>
    <w:multiLevelType w:val="hybridMultilevel"/>
    <w:lvl w:ilvl="0">
      <w:lvlJc w:val="left"/>
      <w:lvlText w:val="(%1)"/>
      <w:numFmt w:val="lowerLetter"/>
      <w:start w:val="1"/>
    </w:lvl>
  </w:abstractNum>
  <w:abstractNum w:abstractNumId="86">
    <w:nsid w:val="3DB012B3"/>
    <w:multiLevelType w:val="hybridMultilevel"/>
    <w:lvl w:ilvl="0">
      <w:lvlJc w:val="left"/>
      <w:lvlText w:val="(%1)"/>
      <w:numFmt w:val="lowerLetter"/>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1)"/>
      <w:numFmt w:val="lowerLetter"/>
      <w:start w:val="1"/>
    </w:lvl>
    <w:lvl w:ilvl="1">
      <w:lvlJc w:val="left"/>
      <w:lvlText w:val="(%2)"/>
      <w:numFmt w:val="lowerRoman"/>
      <w:start w:val="1"/>
    </w:lvl>
  </w:abstractNum>
  <w:abstractNum w:abstractNumId="89">
    <w:nsid w:val="175DFCF0"/>
    <w:multiLevelType w:val="hybridMultilevel"/>
    <w:lvl w:ilvl="0">
      <w:lvlJc w:val="left"/>
      <w:lvlText w:val="(%1)"/>
      <w:numFmt w:val="lowerLetter"/>
      <w:start w:val="1"/>
    </w:lvl>
  </w:abstractNum>
  <w:abstractNum w:abstractNumId="90">
    <w:nsid w:val="4F97E3E4"/>
    <w:multiLevelType w:val="hybridMultilevel"/>
    <w:lvl w:ilvl="0">
      <w:lvlJc w:val="left"/>
      <w:lvlText w:val="(%1)"/>
      <w:numFmt w:val="lowerLetter"/>
      <w:start w:val="1"/>
    </w:lvl>
    <w:lvl w:ilvl="1">
      <w:lvlJc w:val="left"/>
      <w:lvlText w:val="(%2)"/>
      <w:numFmt w:val="lowerRoman"/>
      <w:start w:val="1"/>
    </w:lvl>
  </w:abstractNum>
  <w:abstractNum w:abstractNumId="91">
    <w:nsid w:val="53B0A9E"/>
    <w:multiLevelType w:val="hybridMultilevel"/>
    <w:lvl w:ilvl="0">
      <w:lvlJc w:val="left"/>
      <w:lvlText w:val="%1"/>
      <w:numFmt w:val="lowerLetter"/>
      <w:start w:val="1"/>
    </w:lvl>
    <w:lvl w:ilvl="1">
      <w:lvlJc w:val="left"/>
      <w:lvlText w:val="(%2)"/>
      <w:numFmt w:val="lowerRoman"/>
      <w:start w:val="7"/>
    </w:lvl>
  </w:abstractNum>
  <w:abstractNum w:abstractNumId="92">
    <w:nsid w:val="34FD6B4F"/>
    <w:multiLevelType w:val="hybridMultilevel"/>
    <w:lvl w:ilvl="0">
      <w:lvlJc w:val="left"/>
      <w:lvlText w:val="(%1)"/>
      <w:numFmt w:val="lowerLetter"/>
      <w:start w:val="2"/>
    </w:lvl>
    <w:lvl w:ilvl="1">
      <w:lvlJc w:val="left"/>
      <w:lvlText w:val="%2"/>
      <w:numFmt w:val="lowerRoman"/>
      <w:start w:val="1"/>
    </w:lvl>
  </w:abstractNum>
  <w:abstractNum w:abstractNumId="93">
    <w:nsid w:val="5915FF32"/>
    <w:multiLevelType w:val="hybridMultilevel"/>
    <w:lvl w:ilvl="0">
      <w:lvlJc w:val="left"/>
      <w:lvlText w:val="(%1)"/>
      <w:numFmt w:val="lowerLetter"/>
      <w:start w:val="1"/>
    </w:lvl>
  </w:abstractNum>
  <w:abstractNum w:abstractNumId="94">
    <w:nsid w:val="56438D15"/>
    <w:multiLevelType w:val="hybridMultilevel"/>
    <w:lvl w:ilvl="0">
      <w:lvlJc w:val="left"/>
      <w:lvlText w:val="(%1)"/>
      <w:numFmt w:val="lowerLetter"/>
      <w:start w:val="3"/>
    </w:lvl>
  </w:abstractNum>
  <w:abstractNum w:abstractNumId="95">
    <w:nsid w:val="519E3149"/>
    <w:multiLevelType w:val="hybridMultilevel"/>
    <w:lvl w:ilvl="0">
      <w:lvlJc w:val="left"/>
      <w:lvlText w:val="(%1)"/>
      <w:numFmt w:val="lowerLetter"/>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lowerLetter"/>
      <w:start w:val="1"/>
    </w:lvl>
    <w:lvl w:ilvl="1">
      <w:lvlJc w:val="left"/>
      <w:lvlText w:val="(%2)"/>
      <w:numFmt w:val="lowerRoman"/>
      <w:start w:val="1"/>
    </w:lvl>
  </w:abstractNum>
  <w:abstractNum w:abstractNumId="98">
    <w:nsid w:val="4DF72E4E"/>
    <w:multiLevelType w:val="hybridMultilevel"/>
    <w:lvl w:ilvl="0">
      <w:lvlJc w:val="left"/>
      <w:lvlText w:val="(%1)"/>
      <w:numFmt w:val="lowerRoman"/>
      <w:start w:val="3"/>
    </w:lvl>
  </w:abstractNum>
  <w:abstractNum w:abstractNumId="99">
    <w:nsid w:val="5046B5A9"/>
    <w:multiLevelType w:val="hybridMultilevel"/>
    <w:lvl w:ilvl="0">
      <w:lvlJc w:val="left"/>
      <w:lvlText w:val="(%1)"/>
      <w:numFmt w:val="lowerLetter"/>
      <w:start w:val="3"/>
    </w:lvl>
  </w:abstractNum>
  <w:abstractNum w:abstractNumId="100">
    <w:nsid w:val="5D888A08"/>
    <w:multiLevelType w:val="hybridMultilevel"/>
    <w:lvl w:ilvl="0">
      <w:lvlJc w:val="left"/>
      <w:lvlText w:val="%1."/>
      <w:numFmt w:val="decimal"/>
      <w:start w:val="3"/>
    </w:lvl>
  </w:abstractNum>
  <w:abstractNum w:abstractNumId="101">
    <w:nsid w:val="2A082C70"/>
    <w:multiLevelType w:val="hybridMultilevel"/>
    <w:lvl w:ilvl="0">
      <w:lvlJc w:val="left"/>
      <w:lvlText w:val="(%1)"/>
      <w:numFmt w:val="lowerLetter"/>
      <w:start w:val="1"/>
    </w:lvl>
  </w:abstractNum>
  <w:abstractNum w:abstractNumId="102">
    <w:nsid w:val="5EC6AFD4"/>
    <w:multiLevelType w:val="hybridMultilevel"/>
    <w:lvl w:ilvl="0">
      <w:lvlJc w:val="left"/>
      <w:lvlText w:val="%1."/>
      <w:numFmt w:val="decimal"/>
      <w:start w:val="4"/>
    </w:lvl>
  </w:abstractNum>
  <w:abstractNum w:abstractNumId="103">
    <w:nsid w:val="19E21BB2"/>
    <w:multiLevelType w:val="hybridMultilevel"/>
    <w:lvl w:ilvl="0">
      <w:lvlJc w:val="left"/>
      <w:lvlText w:val="%1."/>
      <w:numFmt w:val="decimal"/>
      <w:start w:val="5"/>
    </w:lvl>
  </w:abstractNum>
  <w:abstractNum w:abstractNumId="104">
    <w:nsid w:val="75E0858A"/>
    <w:multiLevelType w:val="hybridMultilevel"/>
    <w:lvl w:ilvl="0">
      <w:lvlJc w:val="left"/>
      <w:lvlText w:val="(%1)"/>
      <w:numFmt w:val="lowerLetter"/>
      <w:start w:val="1"/>
    </w:lvl>
  </w:abstractNum>
  <w:abstractNum w:abstractNumId="105">
    <w:nsid w:val="57A61A29"/>
    <w:multiLevelType w:val="hybridMultilevel"/>
    <w:lvl w:ilvl="0">
      <w:lvlJc w:val="left"/>
      <w:lvlText w:val="%1."/>
      <w:numFmt w:val="decimal"/>
      <w:start w:val="6"/>
    </w:lvl>
  </w:abstractNum>
  <w:abstractNum w:abstractNumId="106">
    <w:nsid w:val="5399C654"/>
    <w:multiLevelType w:val="hybridMultilevel"/>
    <w:lvl w:ilvl="0">
      <w:lvlJc w:val="left"/>
      <w:lvlText w:val="(%1)"/>
      <w:numFmt w:val="lowerLetter"/>
      <w:start w:val="1"/>
    </w:lvl>
  </w:abstractNum>
  <w:abstractNum w:abstractNumId="107">
    <w:nsid w:val="20EE1348"/>
    <w:multiLevelType w:val="hybridMultilevel"/>
    <w:lvl w:ilvl="0">
      <w:lvlJc w:val="left"/>
      <w:lvlText w:val="(%1)"/>
      <w:numFmt w:val="lowerLetter"/>
      <w:start w:val="3"/>
    </w:lvl>
  </w:abstractNum>
  <w:abstractNum w:abstractNumId="108">
    <w:nsid w:val="4427069A"/>
    <w:multiLevelType w:val="hybridMultilevel"/>
    <w:lvl w:ilvl="0">
      <w:lvlJc w:val="left"/>
      <w:lvlText w:val="%1."/>
      <w:numFmt w:val="decimal"/>
      <w:start w:val="7"/>
    </w:lvl>
  </w:abstractNum>
  <w:abstractNum w:abstractNumId="109">
    <w:nsid w:val="B37E80A"/>
    <w:multiLevelType w:val="hybridMultilevel"/>
    <w:lvl w:ilvl="0">
      <w:lvlJc w:val="left"/>
      <w:lvlText w:val="(%1)"/>
      <w:numFmt w:val="lowerLetter"/>
      <w:start w:val="1"/>
    </w:lvl>
  </w:abstractNum>
  <w:abstractNum w:abstractNumId="110">
    <w:nsid w:val="2157F6BC"/>
    <w:multiLevelType w:val="hybridMultilevel"/>
    <w:lvl w:ilvl="0">
      <w:lvlJc w:val="left"/>
      <w:lvlText w:val="(%1)"/>
      <w:numFmt w:val="lowerLetter"/>
      <w:start w:val="5"/>
    </w:lvl>
  </w:abstractNum>
  <w:abstractNum w:abstractNumId="111">
    <w:nsid w:val="704E1DD5"/>
    <w:multiLevelType w:val="hybridMultilevel"/>
    <w:lvl w:ilvl="0">
      <w:lvlJc w:val="left"/>
      <w:lvlText w:val="(%1)"/>
      <w:numFmt w:val="lowerLetter"/>
      <w:start w:val="10"/>
    </w:lvl>
  </w:abstractNum>
  <w:abstractNum w:abstractNumId="112">
    <w:nsid w:val="57D2F10E"/>
    <w:multiLevelType w:val="hybridMultilevel"/>
    <w:lvl w:ilvl="0">
      <w:lvlJc w:val="left"/>
      <w:lvlText w:val="(%1)"/>
      <w:numFmt w:val="lowerLetter"/>
      <w:start w:val="15"/>
    </w:lvl>
  </w:abstractNum>
  <w:abstractNum w:abstractNumId="113">
    <w:nsid w:val="BFFAE18"/>
    <w:multiLevelType w:val="hybridMultilevel"/>
    <w:lvl w:ilvl="0">
      <w:lvlJc w:val="left"/>
      <w:lvlText w:val="%1."/>
      <w:numFmt w:val="decimal"/>
      <w:start w:val="1"/>
    </w:lvl>
  </w:abstractNum>
  <w:abstractNum w:abstractNumId="114">
    <w:nsid w:val="E3E47A8"/>
    <w:multiLevelType w:val="hybridMultilevel"/>
    <w:lvl w:ilvl="0">
      <w:lvlJc w:val="left"/>
      <w:lvlText w:val="(%1)"/>
      <w:numFmt w:val="lowerLetter"/>
      <w:start w:val="1"/>
    </w:lvl>
    <w:lvl w:ilvl="1">
      <w:lvlJc w:val="left"/>
      <w:lvlText w:val="(%2)"/>
      <w:numFmt w:val="lowerRoman"/>
      <w:start w:val="1"/>
    </w:lvl>
  </w:abstractNum>
  <w:abstractNum w:abstractNumId="115">
    <w:nsid w:val="2E48F044"/>
    <w:multiLevelType w:val="hybridMultilevel"/>
    <w:lvl w:ilvl="0">
      <w:lvlJc w:val="left"/>
      <w:lvlText w:val="%1"/>
      <w:numFmt w:val="lowerLetter"/>
      <w:start w:val="1"/>
    </w:lvl>
    <w:lvl w:ilvl="1">
      <w:lvlJc w:val="left"/>
      <w:lvlText w:val="(%2)"/>
      <w:numFmt w:val="lowerLetter"/>
      <w:start w:val="22"/>
    </w:lvl>
  </w:abstractNum>
  <w:abstractNum w:abstractNumId="116">
    <w:nsid w:val="49D0FEAC"/>
    <w:multiLevelType w:val="hybridMultilevel"/>
    <w:lvl w:ilvl="0">
      <w:lvlJc w:val="left"/>
      <w:lvlText w:val="(%1)"/>
      <w:numFmt w:val="lowerLetter"/>
      <w:start w:val="3"/>
    </w:lvl>
    <w:lvl w:ilvl="1">
      <w:lvlJc w:val="left"/>
      <w:lvlText w:val="%2"/>
      <w:numFmt w:val="lowerLetter"/>
      <w:start w:val="1"/>
    </w:lvl>
  </w:abstractNum>
  <w:abstractNum w:abstractNumId="117">
    <w:nsid w:val="4BEE5A5B"/>
    <w:multiLevelType w:val="hybridMultilevel"/>
    <w:lvl w:ilvl="0">
      <w:lvlJc w:val="left"/>
      <w:lvlText w:val="%1."/>
      <w:numFmt w:val="decimal"/>
      <w:start w:val="3"/>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decimal"/>
      <w:start w:val="4"/>
    </w:lvl>
  </w:abstractNum>
  <w:abstractNum w:abstractNumId="120">
    <w:nsid w:val="634C574C"/>
    <w:multiLevelType w:val="hybridMultilevel"/>
    <w:lvl w:ilvl="0">
      <w:lvlJc w:val="left"/>
      <w:lvlText w:val="(%1)"/>
      <w:numFmt w:val="lowerLetter"/>
      <w:start w:val="1"/>
    </w:lvl>
  </w:abstractNum>
  <w:abstractNum w:abstractNumId="121">
    <w:nsid w:val="24E99DD7"/>
    <w:multiLevelType w:val="hybridMultilevel"/>
    <w:lvl w:ilvl="0">
      <w:lvlJc w:val="left"/>
      <w:lvlText w:val="(%1)"/>
      <w:numFmt w:val="lowerLetter"/>
      <w:start w:val="2"/>
    </w:lvl>
  </w:abstractNum>
  <w:abstractNum w:abstractNumId="122">
    <w:nsid w:val="2A31B62D"/>
    <w:multiLevelType w:val="hybridMultilevel"/>
    <w:lvl w:ilvl="0">
      <w:lvlJc w:val="left"/>
      <w:lvlText w:val="%1."/>
      <w:numFmt w:val="decimal"/>
      <w:start w:val="6"/>
    </w:lvl>
  </w:abstractNum>
  <w:abstractNum w:abstractNumId="123">
    <w:nsid w:val="1849C29B"/>
    <w:multiLevelType w:val="hybridMultilevel"/>
    <w:lvl w:ilvl="0">
      <w:lvlJc w:val="left"/>
      <w:lvlText w:val="%1"/>
      <w:numFmt w:val="decimal"/>
      <w:start w:val="1"/>
    </w:lvl>
    <w:lvl w:ilvl="1">
      <w:lvlJc w:val="left"/>
      <w:lvlText w:val="(%2)"/>
      <w:numFmt w:val="lowerLetter"/>
      <w:start w:val="1"/>
    </w:lvl>
  </w:abstractNum>
  <w:abstractNum w:abstractNumId="124">
    <w:nsid w:val="7DFF9D09"/>
    <w:multiLevelType w:val="hybridMultilevel"/>
    <w:lvl w:ilvl="0">
      <w:lvlJc w:val="left"/>
      <w:lvlText w:val="%1)"/>
      <w:numFmt w:val="decimal"/>
      <w:start w:val="144"/>
    </w:lvl>
    <w:lvl w:ilvl="1">
      <w:lvlJc w:val="left"/>
      <w:lvlText w:val="(%2)"/>
      <w:numFmt w:val="lowerLetter"/>
      <w:start w:val="3"/>
    </w:lvl>
  </w:abstractNum>
  <w:abstractNum w:abstractNumId="125">
    <w:nsid w:val="754342"/>
    <w:multiLevelType w:val="hybridMultilevel"/>
    <w:lvl w:ilvl="0">
      <w:lvlJc w:val="left"/>
      <w:lvlText w:val="%1."/>
      <w:numFmt w:val="decimal"/>
      <w:start w:val="7"/>
    </w:lvl>
  </w:abstractNum>
  <w:abstractNum w:abstractNumId="126">
    <w:nsid w:val="69E7F3E5"/>
    <w:multiLevelType w:val="hybridMultilevel"/>
    <w:lvl w:ilvl="0">
      <w:lvlJc w:val="left"/>
      <w:lvlText w:val="(%1)"/>
      <w:numFmt w:val="lowerLetter"/>
      <w:start w:val="1"/>
    </w:lvl>
  </w:abstractNum>
  <w:abstractNum w:abstractNumId="127">
    <w:nsid w:val="2A6DE806"/>
    <w:multiLevelType w:val="hybridMultilevel"/>
    <w:lvl w:ilvl="0">
      <w:lvlJc w:val="left"/>
      <w:lvlText w:val="(%1)"/>
      <w:numFmt w:val="lowerLetter"/>
      <w:start w:val="5"/>
    </w:lvl>
  </w:abstractNum>
  <w:abstractNum w:abstractNumId="128">
    <w:nsid w:val="1816F8C4"/>
    <w:multiLevelType w:val="hybridMultilevel"/>
    <w:lvl w:ilvl="0">
      <w:lvlJc w:val="left"/>
      <w:lvlText w:val="(%1)"/>
      <w:numFmt w:val="lowerLetter"/>
      <w:start w:val="12"/>
    </w:lvl>
  </w:abstractNum>
  <w:abstractNum w:abstractNumId="129">
    <w:nsid w:val="37DF2233"/>
    <w:multiLevelType w:val="hybridMultilevel"/>
    <w:lvl w:ilvl="0">
      <w:lvlJc w:val="left"/>
      <w:lvlText w:val="%1."/>
      <w:numFmt w:val="decimal"/>
      <w:start w:val="1"/>
    </w:lvl>
  </w:abstractNum>
  <w:abstractNum w:abstractNumId="130">
    <w:nsid w:val="7AB49DAF"/>
    <w:multiLevelType w:val="hybridMultilevel"/>
    <w:lvl w:ilvl="0">
      <w:lvlJc w:val="left"/>
      <w:lvlText w:val="(%1)"/>
      <w:numFmt w:val="lowerLetter"/>
      <w:start w:val="1"/>
    </w:lvl>
    <w:lvl w:ilvl="1">
      <w:lvlJc w:val="left"/>
      <w:lvlText w:val="(%2)"/>
      <w:numFmt w:val="lowerRoman"/>
      <w:start w:val="1"/>
    </w:lvl>
  </w:abstractNum>
  <w:abstractNum w:abstractNumId="131">
    <w:nsid w:val="759F82CD"/>
    <w:multiLevelType w:val="hybridMultilevel"/>
    <w:lvl w:ilvl="0">
      <w:lvlJc w:val="left"/>
      <w:lvlText w:val="%1"/>
      <w:numFmt w:val="lowerLetter"/>
      <w:start w:val="1"/>
    </w:lvl>
    <w:lvl w:ilvl="1">
      <w:lvlJc w:val="left"/>
      <w:lvlText w:val="(%2)"/>
      <w:numFmt w:val="lowerLetter"/>
      <w:start w:val="22"/>
    </w:lvl>
  </w:abstractNum>
  <w:abstractNum w:abstractNumId="132">
    <w:nsid w:val="61E74EA3"/>
    <w:multiLevelType w:val="hybridMultilevel"/>
    <w:lvl w:ilvl="0">
      <w:lvlJc w:val="left"/>
      <w:lvlText w:val="(%1)"/>
      <w:numFmt w:val="lowerLetter"/>
      <w:start w:val="3"/>
    </w:lvl>
    <w:lvl w:ilvl="1">
      <w:lvlJc w:val="left"/>
      <w:lvlText w:val="%2"/>
      <w:numFmt w:val="lowerLetter"/>
      <w:start w:val="1"/>
    </w:lvl>
  </w:abstractNum>
  <w:abstractNum w:abstractNumId="133">
    <w:nsid w:val="597B4D84"/>
    <w:multiLevelType w:val="hybridMultilevel"/>
    <w:lvl w:ilvl="0">
      <w:lvlJc w:val="left"/>
      <w:lvlText w:val="%1."/>
      <w:numFmt w:val="decimal"/>
      <w:start w:val="3"/>
    </w:lvl>
  </w:abstractNum>
  <w:abstractNum w:abstractNumId="134">
    <w:nsid w:val="F819E7F"/>
    <w:multiLevelType w:val="hybridMultilevel"/>
    <w:lvl w:ilvl="0">
      <w:lvlJc w:val="left"/>
      <w:lvlText w:val="%1."/>
      <w:numFmt w:val="decimal"/>
      <w:start w:val="4"/>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1."/>
      <w:numFmt w:val="decimal"/>
      <w:start w:val="6"/>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decimal"/>
      <w:start w:val="1"/>
    </w:lvl>
    <w:lvl w:ilvl="1">
      <w:lvlJc w:val="left"/>
      <w:lvlText w:val="(%2)"/>
      <w:numFmt w:val="lowerLetter"/>
      <w:start w:val="2"/>
    </w:lvl>
  </w:abstractNum>
  <w:abstractNum w:abstractNumId="139">
    <w:nsid w:val="75486E47"/>
    <w:multiLevelType w:val="hybridMultilevel"/>
    <w:lvl w:ilvl="0">
      <w:lvlJc w:val="left"/>
      <w:lvlText w:val="%1)"/>
      <w:numFmt w:val="decimal"/>
      <w:start w:val="144"/>
    </w:lvl>
    <w:lvl w:ilvl="1">
      <w:lvlJc w:val="left"/>
      <w:lvlText w:val="(%2)"/>
      <w:numFmt w:val="lowerLetter"/>
      <w:start w:val="3"/>
    </w:lvl>
  </w:abstractNum>
  <w:abstractNum w:abstractNumId="140">
    <w:nsid w:val="6E534CDE"/>
    <w:multiLevelType w:val="hybridMultilevel"/>
    <w:lvl w:ilvl="0">
      <w:lvlJc w:val="left"/>
      <w:lvlText w:val="%1."/>
      <w:numFmt w:val="decimal"/>
      <w:start w:val="7"/>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1)"/>
      <w:numFmt w:val="lowerLetter"/>
      <w:start w:val="4"/>
    </w:lvl>
  </w:abstractNum>
  <w:abstractNum w:abstractNumId="143">
    <w:nsid w:val="46263DEC"/>
    <w:multiLevelType w:val="hybridMultilevel"/>
    <w:lvl w:ilvl="0">
      <w:lvlJc w:val="left"/>
      <w:lvlText w:val="(%1)"/>
      <w:numFmt w:val="lowerLetter"/>
      <w:start w:val="9"/>
    </w:lvl>
  </w:abstractNum>
  <w:abstractNum w:abstractNumId="144">
    <w:nsid w:val="260D8C4A"/>
    <w:multiLevelType w:val="hybridMultilevel"/>
    <w:lvl w:ilvl="0">
      <w:lvlJc w:val="left"/>
      <w:lvlText w:val="(%1)"/>
      <w:numFmt w:val="lowerLetter"/>
      <w:start w:val="14"/>
    </w:lvl>
  </w:abstractNum>
  <w:abstractNum w:abstractNumId="145">
    <w:nsid w:val="73D4D3C4"/>
    <w:multiLevelType w:val="hybridMultilevel"/>
    <w:lvl w:ilvl="0">
      <w:lvlJc w:val="left"/>
      <w:lvlText w:val="•"/>
      <w:numFmt w:val="bullet"/>
      <w:start w:val="1"/>
    </w:lvl>
  </w:abstractNum>
  <w:abstractNum w:abstractNumId="146">
    <w:nsid w:val="746F2E30"/>
    <w:multiLevelType w:val="hybridMultilevel"/>
    <w:lvl w:ilvl="0">
      <w:lvlJc w:val="left"/>
      <w:lvlText w:val="%1."/>
      <w:numFmt w:val="decimal"/>
      <w:start w:val="1"/>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decimal"/>
      <w:start w:val="5"/>
    </w:lvl>
  </w:abstractNum>
  <w:abstractNum w:abstractNumId="149">
    <w:nsid w:val="49C0E823"/>
    <w:multiLevelType w:val="hybridMultilevel"/>
    <w:lvl w:ilvl="0">
      <w:lvlJc w:val="left"/>
      <w:lvlText w:val="(%1)"/>
      <w:numFmt w:val="lowerLetter"/>
      <w:start w:val="1"/>
    </w:lvl>
  </w:abstractNum>
  <w:abstractNum w:abstractNumId="150">
    <w:nsid w:val="14D53685"/>
    <w:multiLevelType w:val="hybridMultilevel"/>
    <w:lvl w:ilvl="0">
      <w:lvlJc w:val="left"/>
      <w:lvlText w:val="%1."/>
      <w:numFmt w:val="decimal"/>
      <w:start w:val="1"/>
    </w:lvl>
  </w:abstractNum>
  <w:abstractNum w:abstractNumId="151">
    <w:nsid w:val="230F856C"/>
    <w:multiLevelType w:val="hybridMultilevel"/>
    <w:lvl w:ilvl="0">
      <w:lvlJc w:val="left"/>
      <w:lvlText w:val="(%1)"/>
      <w:numFmt w:val="lowerLetter"/>
      <w:start w:val="1"/>
    </w:lvl>
  </w:abstractNum>
  <w:abstractNum w:abstractNumId="152">
    <w:nsid w:val="6EAA85FB"/>
    <w:multiLevelType w:val="hybridMultilevel"/>
    <w:lvl w:ilvl="0">
      <w:lvlJc w:val="left"/>
      <w:lvlText w:val="%1."/>
      <w:numFmt w:val="decimal"/>
      <w:start w:val="5"/>
    </w:lvl>
  </w:abstractNum>
  <w:abstractNum w:abstractNumId="153">
    <w:nsid w:val="3F06ECB2"/>
    <w:multiLevelType w:val="hybridMultilevel"/>
    <w:lvl w:ilvl="0">
      <w:lvlJc w:val="left"/>
      <w:lvlText w:val="(%1)"/>
      <w:numFmt w:val="lowerLetter"/>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2019-12-29T06:07:46Z</dcterms:created>
  <dcterms:modified xsi:type="dcterms:W3CDTF">2019-12-29T06:07:46Z</dcterms:modified>
</cp:coreProperties>
</file>