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205105</wp:posOffset>
            </wp:positionV>
            <wp:extent cx="7249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7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4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91440</wp:posOffset>
            </wp:positionV>
            <wp:extent cx="1530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0" w:lineRule="exact"/>
        <w:rPr>
          <w:sz w:val="24"/>
          <w:szCs w:val="24"/>
          <w:color w:val="auto"/>
        </w:rPr>
      </w:pPr>
    </w:p>
    <w:p>
      <w:pPr>
        <w:ind w:left="460" w:right="680" w:hanging="455"/>
        <w:spacing w:after="0" w:line="249" w:lineRule="auto"/>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 For the fiscal year ended March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ind w:left="460" w:hanging="455"/>
        <w:spacing w:after="0" w:line="188" w:lineRule="auto"/>
        <w:tabs>
          <w:tab w:leader="none" w:pos="460" w:val="left"/>
        </w:tabs>
        <w:numPr>
          <w:ilvl w:val="0"/>
          <w:numId w:val="2"/>
        </w:numPr>
        <w:rPr>
          <w:rFonts w:ascii="MS PGothic" w:cs="MS PGothic" w:eastAsia="MS PGothic" w:hAnsi="MS PGothic"/>
          <w:sz w:val="8"/>
          <w:szCs w:val="8"/>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226" w:lineRule="exact"/>
        <w:rPr>
          <w:sz w:val="24"/>
          <w:szCs w:val="24"/>
          <w:color w:val="auto"/>
        </w:rPr>
      </w:pPr>
    </w:p>
    <w:p>
      <w:pPr>
        <w:ind w:left="460"/>
        <w:spacing w:after="0"/>
        <w:tabs>
          <w:tab w:leader="none" w:pos="4320" w:val="left"/>
        </w:tabs>
        <w:rPr>
          <w:sz w:val="20"/>
          <w:szCs w:val="20"/>
          <w:color w:val="auto"/>
        </w:rPr>
      </w:pPr>
      <w:r>
        <w:rPr>
          <w:rFonts w:ascii="Arial" w:cs="Arial" w:eastAsia="Arial" w:hAnsi="Arial"/>
          <w:sz w:val="21"/>
          <w:szCs w:val="21"/>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001-34972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98425</wp:posOffset>
            </wp:positionV>
            <wp:extent cx="1530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Booz Allen Hamilton Holding Corporation</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780" w:type="dxa"/>
            <w:vAlign w:val="bottom"/>
            <w:gridSpan w:val="4"/>
          </w:tcPr>
          <w:p>
            <w:pPr>
              <w:jc w:val="center"/>
              <w:ind w:right="128"/>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300" w:type="dxa"/>
            <w:vAlign w:val="bottom"/>
          </w:tcPr>
          <w:p>
            <w:pPr>
              <w:spacing w:after="0"/>
              <w:rPr>
                <w:sz w:val="22"/>
                <w:szCs w:val="22"/>
                <w:color w:val="auto"/>
              </w:rPr>
            </w:pPr>
          </w:p>
        </w:tc>
        <w:tc>
          <w:tcPr>
            <w:tcW w:w="5020" w:type="dxa"/>
            <w:vAlign w:val="bottom"/>
            <w:gridSpan w:val="4"/>
          </w:tcPr>
          <w:p>
            <w:pPr>
              <w:jc w:val="center"/>
              <w:ind w:right="3900"/>
              <w:spacing w:after="0"/>
              <w:rPr>
                <w:sz w:val="20"/>
                <w:szCs w:val="20"/>
                <w:color w:val="auto"/>
              </w:rPr>
            </w:pPr>
            <w:r>
              <w:rPr>
                <w:rFonts w:ascii="Arial" w:cs="Arial" w:eastAsia="Arial" w:hAnsi="Arial"/>
                <w:sz w:val="17"/>
                <w:szCs w:val="17"/>
                <w:b w:val="1"/>
                <w:bCs w:val="1"/>
                <w:color w:val="auto"/>
                <w:w w:val="91"/>
              </w:rPr>
              <w:t>Delaware</w:t>
            </w:r>
          </w:p>
        </w:tc>
        <w:tc>
          <w:tcPr>
            <w:tcW w:w="880" w:type="dxa"/>
            <w:vAlign w:val="bottom"/>
          </w:tcPr>
          <w:p>
            <w:pPr>
              <w:spacing w:after="0"/>
              <w:rPr>
                <w:sz w:val="22"/>
                <w:szCs w:val="22"/>
                <w:color w:val="auto"/>
              </w:rPr>
            </w:pPr>
          </w:p>
        </w:tc>
        <w:tc>
          <w:tcPr>
            <w:tcW w:w="1860" w:type="dxa"/>
            <w:vAlign w:val="bottom"/>
            <w:gridSpan w:val="2"/>
          </w:tcPr>
          <w:p>
            <w:pPr>
              <w:jc w:val="right"/>
              <w:ind w:right="874"/>
              <w:spacing w:after="0"/>
              <w:rPr>
                <w:sz w:val="20"/>
                <w:szCs w:val="20"/>
                <w:color w:val="auto"/>
              </w:rPr>
            </w:pPr>
            <w:r>
              <w:rPr>
                <w:rFonts w:ascii="Arial" w:cs="Arial" w:eastAsia="Arial" w:hAnsi="Arial"/>
                <w:sz w:val="17"/>
                <w:szCs w:val="17"/>
                <w:b w:val="1"/>
                <w:bCs w:val="1"/>
                <w:color w:val="auto"/>
                <w:w w:val="96"/>
              </w:rPr>
              <w:t>26-2634160</w:t>
            </w:r>
          </w:p>
        </w:tc>
        <w:tc>
          <w:tcPr>
            <w:tcW w:w="0" w:type="dxa"/>
            <w:vAlign w:val="bottom"/>
          </w:tcPr>
          <w:p>
            <w:pPr>
              <w:spacing w:after="0"/>
              <w:rPr>
                <w:sz w:val="1"/>
                <w:szCs w:val="1"/>
                <w:color w:val="auto"/>
              </w:rPr>
            </w:pPr>
          </w:p>
        </w:tc>
      </w:tr>
      <w:tr>
        <w:trPr>
          <w:trHeight w:val="145"/>
        </w:trPr>
        <w:tc>
          <w:tcPr>
            <w:tcW w:w="7320" w:type="dxa"/>
            <w:vAlign w:val="bottom"/>
            <w:gridSpan w:val="5"/>
          </w:tcPr>
          <w:p>
            <w:pPr>
              <w:jc w:val="center"/>
              <w:ind w:right="1600"/>
              <w:spacing w:after="0" w:line="145" w:lineRule="exact"/>
              <w:rPr>
                <w:sz w:val="20"/>
                <w:szCs w:val="20"/>
                <w:color w:val="auto"/>
              </w:rPr>
            </w:pPr>
            <w:r>
              <w:rPr>
                <w:rFonts w:ascii="Arial" w:cs="Arial" w:eastAsia="Arial" w:hAnsi="Arial"/>
                <w:sz w:val="13"/>
                <w:szCs w:val="13"/>
                <w:b w:val="1"/>
                <w:bCs w:val="1"/>
                <w:color w:val="auto"/>
                <w:w w:val="91"/>
              </w:rPr>
              <w:t>(State or other jurisdiction of</w:t>
            </w:r>
          </w:p>
        </w:tc>
        <w:tc>
          <w:tcPr>
            <w:tcW w:w="880" w:type="dxa"/>
            <w:vAlign w:val="bottom"/>
          </w:tcPr>
          <w:p>
            <w:pPr>
              <w:spacing w:after="0"/>
              <w:rPr>
                <w:sz w:val="12"/>
                <w:szCs w:val="12"/>
                <w:color w:val="auto"/>
              </w:rPr>
            </w:pPr>
          </w:p>
        </w:tc>
        <w:tc>
          <w:tcPr>
            <w:tcW w:w="1860" w:type="dxa"/>
            <w:vAlign w:val="bottom"/>
            <w:gridSpan w:val="2"/>
          </w:tcPr>
          <w:p>
            <w:pPr>
              <w:jc w:val="center"/>
              <w:ind w:right="814"/>
              <w:spacing w:after="0" w:line="145" w:lineRule="exact"/>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9"/>
        </w:trPr>
        <w:tc>
          <w:tcPr>
            <w:tcW w:w="7320" w:type="dxa"/>
            <w:vAlign w:val="bottom"/>
            <w:gridSpan w:val="5"/>
          </w:tcPr>
          <w:p>
            <w:pPr>
              <w:jc w:val="center"/>
              <w:ind w:right="1600"/>
              <w:spacing w:after="0"/>
              <w:rPr>
                <w:sz w:val="20"/>
                <w:szCs w:val="20"/>
                <w:color w:val="auto"/>
              </w:rPr>
            </w:pPr>
            <w:r>
              <w:rPr>
                <w:rFonts w:ascii="Arial" w:cs="Arial" w:eastAsia="Arial" w:hAnsi="Arial"/>
                <w:sz w:val="13"/>
                <w:szCs w:val="13"/>
                <w:b w:val="1"/>
                <w:bCs w:val="1"/>
                <w:color w:val="auto"/>
                <w:w w:val="92"/>
              </w:rPr>
              <w:t>incorporation or organization)</w:t>
            </w:r>
          </w:p>
        </w:tc>
        <w:tc>
          <w:tcPr>
            <w:tcW w:w="27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Identification No.)</w:t>
            </w:r>
          </w:p>
        </w:tc>
        <w:tc>
          <w:tcPr>
            <w:tcW w:w="0" w:type="dxa"/>
            <w:vAlign w:val="bottom"/>
          </w:tcPr>
          <w:p>
            <w:pPr>
              <w:spacing w:after="0"/>
              <w:rPr>
                <w:sz w:val="1"/>
                <w:szCs w:val="1"/>
                <w:color w:val="auto"/>
              </w:rPr>
            </w:pPr>
          </w:p>
        </w:tc>
      </w:tr>
      <w:tr>
        <w:trPr>
          <w:trHeight w:val="265"/>
        </w:trPr>
        <w:tc>
          <w:tcPr>
            <w:tcW w:w="7320" w:type="dxa"/>
            <w:vAlign w:val="bottom"/>
            <w:gridSpan w:val="5"/>
          </w:tcPr>
          <w:p>
            <w:pPr>
              <w:jc w:val="center"/>
              <w:ind w:right="1600"/>
              <w:spacing w:after="0"/>
              <w:rPr>
                <w:sz w:val="20"/>
                <w:szCs w:val="20"/>
                <w:color w:val="auto"/>
              </w:rPr>
            </w:pPr>
            <w:r>
              <w:rPr>
                <w:rFonts w:ascii="Arial" w:cs="Arial" w:eastAsia="Arial" w:hAnsi="Arial"/>
                <w:sz w:val="17"/>
                <w:szCs w:val="17"/>
                <w:b w:val="1"/>
                <w:bCs w:val="1"/>
                <w:color w:val="auto"/>
                <w:w w:val="93"/>
              </w:rPr>
              <w:t>8283 Greensboro Drive, McLean, Virginia</w:t>
            </w:r>
          </w:p>
        </w:tc>
        <w:tc>
          <w:tcPr>
            <w:tcW w:w="880" w:type="dxa"/>
            <w:vAlign w:val="bottom"/>
          </w:tcPr>
          <w:p>
            <w:pPr>
              <w:spacing w:after="0"/>
              <w:rPr>
                <w:sz w:val="23"/>
                <w:szCs w:val="23"/>
                <w:color w:val="auto"/>
              </w:rPr>
            </w:pPr>
          </w:p>
        </w:tc>
        <w:tc>
          <w:tcPr>
            <w:tcW w:w="1860" w:type="dxa"/>
            <w:vAlign w:val="bottom"/>
            <w:gridSpan w:val="2"/>
          </w:tcPr>
          <w:p>
            <w:pPr>
              <w:jc w:val="right"/>
              <w:ind w:right="1074"/>
              <w:spacing w:after="0"/>
              <w:rPr>
                <w:sz w:val="20"/>
                <w:szCs w:val="20"/>
                <w:color w:val="auto"/>
              </w:rPr>
            </w:pPr>
            <w:r>
              <w:rPr>
                <w:rFonts w:ascii="Arial" w:cs="Arial" w:eastAsia="Arial" w:hAnsi="Arial"/>
                <w:sz w:val="17"/>
                <w:szCs w:val="17"/>
                <w:b w:val="1"/>
                <w:bCs w:val="1"/>
                <w:color w:val="auto"/>
              </w:rPr>
              <w:t>22102</w:t>
            </w:r>
          </w:p>
        </w:tc>
        <w:tc>
          <w:tcPr>
            <w:tcW w:w="0" w:type="dxa"/>
            <w:vAlign w:val="bottom"/>
          </w:tcPr>
          <w:p>
            <w:pPr>
              <w:spacing w:after="0"/>
              <w:rPr>
                <w:sz w:val="1"/>
                <w:szCs w:val="1"/>
                <w:color w:val="auto"/>
              </w:rPr>
            </w:pPr>
          </w:p>
        </w:tc>
      </w:tr>
      <w:tr>
        <w:trPr>
          <w:trHeight w:val="169"/>
        </w:trPr>
        <w:tc>
          <w:tcPr>
            <w:tcW w:w="7320" w:type="dxa"/>
            <w:vAlign w:val="bottom"/>
            <w:gridSpan w:val="5"/>
          </w:tcPr>
          <w:p>
            <w:pPr>
              <w:jc w:val="center"/>
              <w:ind w:right="158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880" w:type="dxa"/>
            <w:vAlign w:val="bottom"/>
          </w:tcPr>
          <w:p>
            <w:pPr>
              <w:spacing w:after="0"/>
              <w:rPr>
                <w:sz w:val="14"/>
                <w:szCs w:val="14"/>
                <w:color w:val="auto"/>
              </w:rPr>
            </w:pPr>
          </w:p>
        </w:tc>
        <w:tc>
          <w:tcPr>
            <w:tcW w:w="1860" w:type="dxa"/>
            <w:vAlign w:val="bottom"/>
            <w:gridSpan w:val="2"/>
          </w:tcPr>
          <w:p>
            <w:pPr>
              <w:jc w:val="center"/>
              <w:ind w:right="814"/>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26"/>
        </w:trPr>
        <w:tc>
          <w:tcPr>
            <w:tcW w:w="6920" w:type="dxa"/>
            <w:vAlign w:val="bottom"/>
            <w:gridSpan w:val="4"/>
          </w:tcPr>
          <w:p>
            <w:pPr>
              <w:jc w:val="center"/>
              <w:ind w:left="4422"/>
              <w:spacing w:after="0"/>
              <w:rPr>
                <w:sz w:val="20"/>
                <w:szCs w:val="20"/>
                <w:color w:val="auto"/>
              </w:rPr>
            </w:pPr>
            <w:r>
              <w:rPr>
                <w:rFonts w:ascii="Arial" w:cs="Arial" w:eastAsia="Arial" w:hAnsi="Arial"/>
                <w:sz w:val="17"/>
                <w:szCs w:val="17"/>
                <w:b w:val="1"/>
                <w:bCs w:val="1"/>
                <w:color w:val="auto"/>
                <w:w w:val="91"/>
              </w:rPr>
              <w:t>(703) 902-5000</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00" w:type="dxa"/>
            <w:vAlign w:val="bottom"/>
            <w:gridSpan w:val="3"/>
          </w:tcPr>
          <w:p>
            <w:pPr>
              <w:jc w:val="center"/>
              <w:ind w:left="619"/>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780" w:type="dxa"/>
            <w:vAlign w:val="bottom"/>
            <w:gridSpan w:val="4"/>
          </w:tcPr>
          <w:p>
            <w:pPr>
              <w:jc w:val="center"/>
              <w:ind w:right="128"/>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3900" w:type="dxa"/>
            <w:vAlign w:val="bottom"/>
            <w:gridSpan w:val="3"/>
          </w:tcPr>
          <w:p>
            <w:pPr>
              <w:spacing w:after="0"/>
              <w:rPr>
                <w:sz w:val="17"/>
                <w:szCs w:val="17"/>
                <w:color w:val="auto"/>
              </w:rPr>
            </w:pPr>
          </w:p>
        </w:tc>
        <w:tc>
          <w:tcPr>
            <w:tcW w:w="27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Name of Each Exchange on Which Registered</w:t>
            </w:r>
          </w:p>
        </w:tc>
        <w:tc>
          <w:tcPr>
            <w:tcW w:w="0" w:type="dxa"/>
            <w:vAlign w:val="bottom"/>
          </w:tcPr>
          <w:p>
            <w:pPr>
              <w:spacing w:after="0"/>
              <w:rPr>
                <w:sz w:val="1"/>
                <w:szCs w:val="1"/>
                <w:color w:val="auto"/>
              </w:rPr>
            </w:pPr>
          </w:p>
        </w:tc>
      </w:tr>
      <w:tr>
        <w:trPr>
          <w:trHeight w:val="210"/>
        </w:trPr>
        <w:tc>
          <w:tcPr>
            <w:tcW w:w="7320" w:type="dxa"/>
            <w:vAlign w:val="bottom"/>
            <w:gridSpan w:val="5"/>
          </w:tcPr>
          <w:p>
            <w:pPr>
              <w:jc w:val="center"/>
              <w:ind w:right="1600"/>
              <w:spacing w:after="0"/>
              <w:rPr>
                <w:sz w:val="20"/>
                <w:szCs w:val="20"/>
                <w:color w:val="auto"/>
              </w:rPr>
            </w:pPr>
            <w:r>
              <w:rPr>
                <w:rFonts w:ascii="Arial" w:cs="Arial" w:eastAsia="Arial" w:hAnsi="Arial"/>
                <w:sz w:val="17"/>
                <w:szCs w:val="17"/>
                <w:color w:val="auto"/>
                <w:w w:val="91"/>
              </w:rPr>
              <w:t>Class A Common Stock</w:t>
            </w:r>
          </w:p>
        </w:tc>
        <w:tc>
          <w:tcPr>
            <w:tcW w:w="2740" w:type="dxa"/>
            <w:vAlign w:val="bottom"/>
            <w:gridSpan w:val="3"/>
          </w:tcPr>
          <w:p>
            <w:pPr>
              <w:jc w:val="center"/>
              <w:spacing w:after="0"/>
              <w:rPr>
                <w:sz w:val="20"/>
                <w:szCs w:val="20"/>
                <w:color w:val="auto"/>
              </w:rPr>
            </w:pPr>
            <w:r>
              <w:rPr>
                <w:rFonts w:ascii="Arial" w:cs="Arial" w:eastAsia="Arial" w:hAnsi="Arial"/>
                <w:sz w:val="17"/>
                <w:szCs w:val="17"/>
                <w:color w:val="auto"/>
                <w:w w:val="91"/>
              </w:rPr>
              <w:t>New York Stock Exchange</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780" w:type="dxa"/>
            <w:vAlign w:val="bottom"/>
            <w:gridSpan w:val="4"/>
          </w:tcPr>
          <w:p>
            <w:pPr>
              <w:jc w:val="center"/>
              <w:ind w:right="128"/>
              <w:spacing w:after="0"/>
              <w:rPr>
                <w:sz w:val="20"/>
                <w:szCs w:val="20"/>
                <w:color w:val="auto"/>
              </w:rPr>
            </w:pPr>
            <w:r>
              <w:rPr>
                <w:rFonts w:ascii="Arial" w:cs="Arial" w:eastAsia="Arial" w:hAnsi="Arial"/>
                <w:sz w:val="17"/>
                <w:szCs w:val="17"/>
                <w:b w:val="1"/>
                <w:bCs w:val="1"/>
                <w:color w:val="auto"/>
                <w:w w:val="89"/>
              </w:rPr>
              <w:t>Securities registered pursuant to Section 12(g) of the Act:</w:t>
            </w: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None.</w:t>
            </w: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4500" w:type="dxa"/>
            <w:vAlign w:val="bottom"/>
            <w:gridSpan w:val="3"/>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280" w:type="dxa"/>
            <w:vAlign w:val="bottom"/>
            <w:gridSpan w:val="2"/>
          </w:tcPr>
          <w:p>
            <w:pPr>
              <w:spacing w:after="0"/>
              <w:rPr>
                <w:sz w:val="11"/>
                <w:szCs w:val="11"/>
                <w:color w:val="auto"/>
              </w:rPr>
            </w:pPr>
          </w:p>
        </w:tc>
        <w:tc>
          <w:tcPr>
            <w:tcW w:w="66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20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242"/>
        </w:trPr>
        <w:tc>
          <w:tcPr>
            <w:tcW w:w="8200" w:type="dxa"/>
            <w:vAlign w:val="bottom"/>
            <w:gridSpan w:val="6"/>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6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8200" w:type="dxa"/>
            <w:vAlign w:val="bottom"/>
            <w:gridSpan w:val="6"/>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660" w:type="dxa"/>
            <w:vAlign w:val="bottom"/>
          </w:tcPr>
          <w:p>
            <w:pPr>
              <w:ind w:left="160"/>
              <w:spacing w:after="0" w:line="196" w:lineRule="exact"/>
              <w:rPr>
                <w:sz w:val="20"/>
                <w:szCs w:val="20"/>
                <w:color w:val="auto"/>
              </w:rPr>
            </w:pPr>
            <w:r>
              <w:rPr>
                <w:rFonts w:ascii="Arial" w:cs="Arial" w:eastAsia="Arial" w:hAnsi="Arial"/>
                <w:sz w:val="17"/>
                <w:szCs w:val="17"/>
                <w:color w:val="auto"/>
                <w:w w:val="93"/>
              </w:rPr>
              <w:t xml:space="preserve">Yes </w:t>
            </w:r>
            <w:r>
              <w:rPr>
                <w:rFonts w:ascii="MS PGothic" w:cs="MS PGothic" w:eastAsia="MS PGothic" w:hAnsi="MS PGothic"/>
                <w:sz w:val="17"/>
                <w:szCs w:val="17"/>
                <w:color w:val="auto"/>
                <w:w w:val="93"/>
              </w:rPr>
              <w:t>☐</w:t>
            </w:r>
          </w:p>
        </w:tc>
        <w:tc>
          <w:tcPr>
            <w:tcW w:w="120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4" w:lineRule="exact"/>
        <w:rPr>
          <w:sz w:val="24"/>
          <w:szCs w:val="24"/>
          <w:color w:val="auto"/>
        </w:rPr>
      </w:pPr>
    </w:p>
    <w:p>
      <w:pPr>
        <w:ind w:right="360"/>
        <w:spacing w:after="0" w:line="282" w:lineRule="auto"/>
        <w:rPr>
          <w:sz w:val="20"/>
          <w:szCs w:val="20"/>
          <w:color w:val="auto"/>
        </w:rPr>
      </w:pPr>
      <w:r>
        <w:rPr>
          <w:rFonts w:ascii="Arial" w:cs="Arial" w:eastAsia="Arial" w:hAnsi="Arial"/>
          <w:sz w:val="17"/>
          <w:szCs w:val="17"/>
          <w:color w:val="auto"/>
        </w:rPr>
        <w:t>Note — Checking the box above will not relieve any registrant required to file reports pursuant to Section 13 or 15(d) of the Exchange Act from their obligations under those sections.</w:t>
      </w:r>
    </w:p>
    <w:p>
      <w:pPr>
        <w:spacing w:after="0" w:line="2"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ind w:right="260"/>
        <w:spacing w:after="0" w:line="220"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4" w:lineRule="exact"/>
        <w:rPr>
          <w:sz w:val="24"/>
          <w:szCs w:val="24"/>
          <w:color w:val="auto"/>
        </w:rPr>
      </w:pPr>
    </w:p>
    <w:p>
      <w:pPr>
        <w:ind w:right="68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7"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5" w:lineRule="exact"/>
        <w:rPr>
          <w:sz w:val="24"/>
          <w:szCs w:val="24"/>
          <w:color w:val="auto"/>
        </w:rPr>
      </w:pPr>
    </w:p>
    <w:p>
      <w:pPr>
        <w:sectPr>
          <w:pgSz w:w="11900" w:h="16838" w:orient="portrait"/>
          <w:cols w:equalWidth="0" w:num="4">
            <w:col w:w="1540" w:space="400"/>
            <w:col w:w="6340" w:space="720"/>
            <w:col w:w="1540" w:space="720"/>
            <w:col w:w="160"/>
          </w:cols>
          <w:pgMar w:left="240" w:top="227"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ectPr>
          <w:pgSz w:w="11900" w:h="16838" w:orient="portrait"/>
          <w:cols w:equalWidth="0" w:num="5">
            <w:col w:w="1460" w:space="480"/>
            <w:col w:w="160" w:space="80"/>
            <w:col w:w="6100" w:space="720"/>
            <w:col w:w="1880" w:space="380"/>
            <w:col w:w="160"/>
          </w:cols>
          <w:pgMar w:left="240" w:top="227" w:right="23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ectPr>
          <w:pgSz w:w="11900" w:h="16838" w:orient="portrait"/>
          <w:cols w:equalWidth="0" w:num="5">
            <w:col w:w="7780" w:space="160"/>
            <w:col w:w="240" w:space="100"/>
            <w:col w:w="140" w:space="180"/>
            <w:col w:w="220" w:space="80"/>
            <w:col w:w="2520"/>
          </w:cols>
          <w:pgMar w:left="240" w:top="227" w:right="239" w:bottom="1440" w:gutter="0" w:footer="0" w:header="0"/>
          <w:type w:val="continuous"/>
        </w:sectPr>
      </w:pPr>
    </w:p>
    <w:p>
      <w:pPr>
        <w:ind w:right="700"/>
        <w:spacing w:after="0" w:line="282" w:lineRule="auto"/>
        <w:rPr>
          <w:sz w:val="20"/>
          <w:szCs w:val="20"/>
          <w:color w:val="auto"/>
        </w:rPr>
      </w:pPr>
      <w:r>
        <w:rPr>
          <w:rFonts w:ascii="Arial" w:cs="Arial" w:eastAsia="Arial" w:hAnsi="Arial"/>
          <w:sz w:val="17"/>
          <w:szCs w:val="17"/>
          <w:color w:val="auto"/>
        </w:rPr>
        <w:t>As of September 30, 2011, the market value of the voting and non-voting common equity held by non-affiliates based on the closing price as of that day was $432,268,580.</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95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r>
      <w:tr>
        <w:trPr>
          <w:trHeight w:val="112"/>
        </w:trPr>
        <w:tc>
          <w:tcPr>
            <w:tcW w:w="9500" w:type="dxa"/>
            <w:vAlign w:val="bottom"/>
            <w:tcBorders>
              <w:right w:val="single" w:sz="8" w:color="auto"/>
            </w:tcBorders>
          </w:tcPr>
          <w:p>
            <w:pPr>
              <w:spacing w:after="0"/>
              <w:rPr>
                <w:sz w:val="9"/>
                <w:szCs w:val="9"/>
                <w:color w:val="auto"/>
              </w:rPr>
            </w:pPr>
          </w:p>
        </w:tc>
        <w:tc>
          <w:tcPr>
            <w:tcW w:w="1920" w:type="dxa"/>
            <w:vAlign w:val="bottom"/>
          </w:tcPr>
          <w:p>
            <w:pPr>
              <w:jc w:val="center"/>
              <w:ind w:left="242"/>
              <w:spacing w:after="0" w:line="112" w:lineRule="exact"/>
              <w:rPr>
                <w:sz w:val="20"/>
                <w:szCs w:val="20"/>
                <w:color w:val="auto"/>
              </w:rPr>
            </w:pPr>
            <w:r>
              <w:rPr>
                <w:rFonts w:ascii="Arial" w:cs="Arial" w:eastAsia="Arial" w:hAnsi="Arial"/>
                <w:sz w:val="12"/>
                <w:szCs w:val="12"/>
                <w:b w:val="1"/>
                <w:bCs w:val="1"/>
                <w:color w:val="auto"/>
                <w:w w:val="98"/>
              </w:rPr>
              <w:t>Shares Outstanding</w:t>
            </w:r>
          </w:p>
        </w:tc>
      </w:tr>
      <w:tr>
        <w:trPr>
          <w:trHeight w:val="158"/>
        </w:trPr>
        <w:tc>
          <w:tcPr>
            <w:tcW w:w="9500" w:type="dxa"/>
            <w:vAlign w:val="bottom"/>
            <w:tcBorders>
              <w:bottom w:val="single" w:sz="8" w:color="auto"/>
              <w:right w:val="single" w:sz="8" w:color="auto"/>
            </w:tcBorders>
          </w:tcPr>
          <w:p>
            <w:pPr>
              <w:spacing w:after="0"/>
              <w:rPr>
                <w:sz w:val="13"/>
                <w:szCs w:val="13"/>
                <w:color w:val="auto"/>
              </w:rPr>
            </w:pPr>
          </w:p>
        </w:tc>
        <w:tc>
          <w:tcPr>
            <w:tcW w:w="1920" w:type="dxa"/>
            <w:vAlign w:val="bottom"/>
            <w:tcBorders>
              <w:bottom w:val="single" w:sz="8" w:color="auto"/>
            </w:tcBorders>
          </w:tcPr>
          <w:p>
            <w:pPr>
              <w:jc w:val="center"/>
              <w:ind w:left="242"/>
              <w:spacing w:after="0"/>
              <w:rPr>
                <w:sz w:val="20"/>
                <w:szCs w:val="20"/>
                <w:color w:val="auto"/>
              </w:rPr>
            </w:pPr>
            <w:r>
              <w:rPr>
                <w:rFonts w:ascii="Arial" w:cs="Arial" w:eastAsia="Arial" w:hAnsi="Arial"/>
                <w:sz w:val="13"/>
                <w:szCs w:val="13"/>
                <w:b w:val="1"/>
                <w:bCs w:val="1"/>
                <w:color w:val="auto"/>
                <w:w w:val="91"/>
              </w:rPr>
              <w:t>as of May 18, 2011</w:t>
            </w:r>
          </w:p>
        </w:tc>
      </w:tr>
      <w:tr>
        <w:trPr>
          <w:trHeight w:val="204"/>
        </w:trPr>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Class A Common Stock</w:t>
            </w:r>
          </w:p>
        </w:tc>
        <w:tc>
          <w:tcPr>
            <w:tcW w:w="1920" w:type="dxa"/>
            <w:vAlign w:val="bottom"/>
            <w:tcBorders>
              <w:bottom w:val="single" w:sz="8" w:color="auto"/>
            </w:tcBorders>
          </w:tcPr>
          <w:p>
            <w:pPr>
              <w:jc w:val="center"/>
              <w:ind w:left="262"/>
              <w:spacing w:after="0"/>
              <w:rPr>
                <w:sz w:val="20"/>
                <w:szCs w:val="20"/>
                <w:color w:val="auto"/>
              </w:rPr>
            </w:pPr>
            <w:r>
              <w:rPr>
                <w:rFonts w:ascii="Arial" w:cs="Arial" w:eastAsia="Arial" w:hAnsi="Arial"/>
                <w:sz w:val="17"/>
                <w:szCs w:val="17"/>
                <w:color w:val="auto"/>
                <w:w w:val="90"/>
              </w:rPr>
              <w:t>128,417,006</w:t>
            </w:r>
          </w:p>
        </w:tc>
      </w:tr>
      <w:tr>
        <w:trPr>
          <w:trHeight w:val="204"/>
        </w:trPr>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Class B Non-Voting Common Stock</w:t>
            </w:r>
          </w:p>
        </w:tc>
        <w:tc>
          <w:tcPr>
            <w:tcW w:w="1920" w:type="dxa"/>
            <w:vAlign w:val="bottom"/>
            <w:tcBorders>
              <w:bottom w:val="single" w:sz="8" w:color="auto"/>
            </w:tcBorders>
          </w:tcPr>
          <w:p>
            <w:pPr>
              <w:jc w:val="center"/>
              <w:ind w:left="242"/>
              <w:spacing w:after="0"/>
              <w:rPr>
                <w:sz w:val="20"/>
                <w:szCs w:val="20"/>
                <w:color w:val="auto"/>
              </w:rPr>
            </w:pPr>
            <w:r>
              <w:rPr>
                <w:rFonts w:ascii="Arial" w:cs="Arial" w:eastAsia="Arial" w:hAnsi="Arial"/>
                <w:sz w:val="17"/>
                <w:szCs w:val="17"/>
                <w:color w:val="auto"/>
                <w:w w:val="89"/>
              </w:rPr>
              <w:t>2,470,825</w:t>
            </w:r>
          </w:p>
        </w:tc>
      </w:tr>
      <w:tr>
        <w:trPr>
          <w:trHeight w:val="204"/>
        </w:trPr>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Class C Restricted Common Stock</w:t>
            </w:r>
          </w:p>
        </w:tc>
        <w:tc>
          <w:tcPr>
            <w:tcW w:w="1920" w:type="dxa"/>
            <w:vAlign w:val="bottom"/>
            <w:tcBorders>
              <w:bottom w:val="single" w:sz="8" w:color="auto"/>
            </w:tcBorders>
          </w:tcPr>
          <w:p>
            <w:pPr>
              <w:jc w:val="center"/>
              <w:ind w:left="242"/>
              <w:spacing w:after="0"/>
              <w:rPr>
                <w:sz w:val="20"/>
                <w:szCs w:val="20"/>
                <w:color w:val="auto"/>
              </w:rPr>
            </w:pPr>
            <w:r>
              <w:rPr>
                <w:rFonts w:ascii="Arial" w:cs="Arial" w:eastAsia="Arial" w:hAnsi="Arial"/>
                <w:sz w:val="17"/>
                <w:szCs w:val="17"/>
                <w:color w:val="auto"/>
                <w:w w:val="89"/>
              </w:rPr>
              <w:t>1,533,020</w:t>
            </w:r>
          </w:p>
        </w:tc>
      </w:tr>
      <w:tr>
        <w:trPr>
          <w:trHeight w:val="204"/>
        </w:trPr>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Class E Special Voting Common Stock</w:t>
            </w:r>
          </w:p>
        </w:tc>
        <w:tc>
          <w:tcPr>
            <w:tcW w:w="1920" w:type="dxa"/>
            <w:vAlign w:val="bottom"/>
            <w:tcBorders>
              <w:bottom w:val="single" w:sz="8" w:color="auto"/>
            </w:tcBorders>
          </w:tcPr>
          <w:p>
            <w:pPr>
              <w:jc w:val="center"/>
              <w:ind w:left="262"/>
              <w:spacing w:after="0"/>
              <w:rPr>
                <w:sz w:val="20"/>
                <w:szCs w:val="20"/>
                <w:color w:val="auto"/>
              </w:rPr>
            </w:pPr>
            <w:r>
              <w:rPr>
                <w:rFonts w:ascii="Arial" w:cs="Arial" w:eastAsia="Arial" w:hAnsi="Arial"/>
                <w:sz w:val="17"/>
                <w:szCs w:val="17"/>
                <w:color w:val="auto"/>
                <w:w w:val="91"/>
              </w:rPr>
              <w:t>10,140,067</w:t>
            </w:r>
          </w:p>
        </w:tc>
      </w:tr>
      <w:tr>
        <w:trPr>
          <w:trHeight w:val="20"/>
        </w:trPr>
        <w:tc>
          <w:tcPr>
            <w:tcW w:w="9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100330</wp:posOffset>
            </wp:positionV>
            <wp:extent cx="1530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8255"/>
                    </a:xfrm>
                    <a:prstGeom prst="rect">
                      <a:avLst/>
                    </a:prstGeom>
                    <a:noFill/>
                  </pic:spPr>
                </pic:pic>
              </a:graphicData>
            </a:graphic>
          </wp:anchor>
        </w:drawing>
      </w:r>
    </w:p>
    <w:p>
      <w:pPr>
        <w:spacing w:after="0" w:line="176"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August 2, 2012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497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795" cy="825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60" w:type="dxa"/>
            <w:vAlign w:val="bottom"/>
            <w:gridSpan w:val="8"/>
          </w:tcPr>
          <w:p>
            <w:pPr>
              <w:ind w:left="620"/>
              <w:spacing w:after="0"/>
              <w:rPr>
                <w:sz w:val="20"/>
                <w:szCs w:val="20"/>
                <w:color w:val="auto"/>
              </w:rPr>
            </w:pPr>
            <w:r>
              <w:rPr>
                <w:rFonts w:ascii="Arial" w:cs="Arial" w:eastAsia="Arial" w:hAnsi="Arial"/>
                <w:sz w:val="17"/>
                <w:szCs w:val="17"/>
                <w:b w:val="1"/>
                <w:bCs w:val="1"/>
                <w:color w:val="auto"/>
              </w:rPr>
              <w:t>TABLE OF CONTENTS</w:t>
            </w:r>
          </w:p>
        </w:tc>
        <w:tc>
          <w:tcPr>
            <w:tcW w:w="1400" w:type="dxa"/>
            <w:vAlign w:val="bottom"/>
          </w:tcPr>
          <w:p>
            <w:pPr>
              <w:spacing w:after="0"/>
              <w:rPr>
                <w:sz w:val="19"/>
                <w:szCs w:val="19"/>
                <w:color w:val="auto"/>
              </w:rPr>
            </w:pPr>
          </w:p>
        </w:tc>
      </w:tr>
      <w:tr>
        <w:trPr>
          <w:trHeight w:val="371"/>
        </w:trPr>
        <w:tc>
          <w:tcPr>
            <w:tcW w:w="9940" w:type="dxa"/>
            <w:vAlign w:val="bottom"/>
            <w:gridSpan w:val="24"/>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INTRODUCTORY NOTE</w:t>
              </w:r>
            </w:hyperlink>
          </w:p>
        </w:tc>
        <w:tc>
          <w:tcPr>
            <w:tcW w:w="14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1"/>
        </w:trPr>
        <w:tc>
          <w:tcPr>
            <w:tcW w:w="520" w:type="dxa"/>
            <w:vAlign w:val="bottom"/>
            <w:tcBorders>
              <w:top w:val="single" w:sz="8" w:color="0000EE"/>
              <w:bottom w:val="single" w:sz="8" w:color="0000EE"/>
            </w:tcBorders>
          </w:tcPr>
          <w:p>
            <w:pPr>
              <w:spacing w:after="0" w:line="191" w:lineRule="exact"/>
              <w:rPr>
                <w:rFonts w:ascii="Arial" w:cs="Arial" w:eastAsia="Arial" w:hAnsi="Arial"/>
                <w:sz w:val="17"/>
                <w:szCs w:val="17"/>
                <w:color w:val="0000EE"/>
                <w:w w:val="91"/>
              </w:rPr>
            </w:pPr>
            <w:hyperlink w:anchor="page5">
              <w:r>
                <w:rPr>
                  <w:rFonts w:ascii="Arial" w:cs="Arial" w:eastAsia="Arial" w:hAnsi="Arial"/>
                  <w:sz w:val="17"/>
                  <w:szCs w:val="17"/>
                  <w:color w:val="0000EE"/>
                  <w:w w:val="91"/>
                </w:rPr>
                <w:t>PART I</w:t>
              </w:r>
            </w:hyperlink>
          </w:p>
        </w:tc>
        <w:tc>
          <w:tcPr>
            <w:tcW w:w="500" w:type="dxa"/>
            <w:vAlign w:val="bottom"/>
            <w:tcBorders>
              <w:top w:val="single" w:sz="8" w:color="0000EE"/>
            </w:tcBorders>
            <w:gridSpan w:val="3"/>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3</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w:t>
            </w:r>
          </w:p>
        </w:tc>
        <w:tc>
          <w:tcPr>
            <w:tcW w:w="8920" w:type="dxa"/>
            <w:vAlign w:val="bottom"/>
            <w:gridSpan w:val="20"/>
          </w:tcPr>
          <w:p>
            <w:pPr>
              <w:spacing w:after="0" w:line="191" w:lineRule="exact"/>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3</w:t>
            </w: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1A.</w:t>
            </w:r>
          </w:p>
        </w:tc>
        <w:tc>
          <w:tcPr>
            <w:tcW w:w="8920" w:type="dxa"/>
            <w:vAlign w:val="bottom"/>
            <w:gridSpan w:val="20"/>
          </w:tcPr>
          <w:p>
            <w:pPr>
              <w:spacing w:after="0" w:line="191" w:lineRule="exact"/>
              <w:rPr>
                <w:rFonts w:ascii="Arial" w:cs="Arial" w:eastAsia="Arial" w:hAnsi="Arial"/>
                <w:sz w:val="17"/>
                <w:szCs w:val="17"/>
                <w:color w:val="0000EE"/>
              </w:rPr>
            </w:pPr>
            <w:hyperlink w:anchor="page23">
              <w:r>
                <w:rPr>
                  <w:rFonts w:ascii="Arial" w:cs="Arial" w:eastAsia="Arial" w:hAnsi="Arial"/>
                  <w:sz w:val="17"/>
                  <w:szCs w:val="17"/>
                  <w:color w:val="0000EE"/>
                </w:rPr>
                <w:t>Risk Factors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21</w:t>
            </w: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1B.</w:t>
            </w:r>
          </w:p>
        </w:tc>
        <w:tc>
          <w:tcPr>
            <w:tcW w:w="8920" w:type="dxa"/>
            <w:vAlign w:val="bottom"/>
            <w:gridSpan w:val="20"/>
          </w:tcPr>
          <w:p>
            <w:pPr>
              <w:spacing w:after="0" w:line="191" w:lineRule="exact"/>
              <w:rPr>
                <w:rFonts w:ascii="Arial" w:cs="Arial" w:eastAsia="Arial" w:hAnsi="Arial"/>
                <w:sz w:val="17"/>
                <w:szCs w:val="17"/>
                <w:color w:val="0000EE"/>
              </w:rPr>
            </w:pPr>
            <w:hyperlink w:anchor="page44">
              <w:r>
                <w:rPr>
                  <w:rFonts w:ascii="Arial" w:cs="Arial" w:eastAsia="Arial" w:hAnsi="Arial"/>
                  <w:sz w:val="17"/>
                  <w:szCs w:val="17"/>
                  <w:color w:val="0000EE"/>
                </w:rPr>
                <w:t>Unresolved Staff Comments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42</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line="191" w:lineRule="exact"/>
              <w:rPr>
                <w:rFonts w:ascii="Arial" w:cs="Arial" w:eastAsia="Arial" w:hAnsi="Arial"/>
                <w:sz w:val="17"/>
                <w:szCs w:val="17"/>
                <w:color w:val="0000EE"/>
                <w:w w:val="87"/>
              </w:rPr>
            </w:pPr>
            <w:hyperlink w:anchor="page44">
              <w:r>
                <w:rPr>
                  <w:rFonts w:ascii="Arial" w:cs="Arial" w:eastAsia="Arial" w:hAnsi="Arial"/>
                  <w:sz w:val="17"/>
                  <w:szCs w:val="17"/>
                  <w:color w:val="0000EE"/>
                  <w:w w:val="87"/>
                </w:rPr>
                <w:t>Properties</w:t>
              </w:r>
            </w:hyperlink>
          </w:p>
        </w:tc>
        <w:tc>
          <w:tcPr>
            <w:tcW w:w="1240" w:type="dxa"/>
            <w:vAlign w:val="bottom"/>
            <w:tcBorders>
              <w:top w:val="single" w:sz="8" w:color="0000EE"/>
            </w:tcBorders>
            <w:gridSpan w:val="7"/>
          </w:tcPr>
          <w:p>
            <w:pPr>
              <w:spacing w:after="0"/>
              <w:rPr>
                <w:sz w:val="16"/>
                <w:szCs w:val="16"/>
                <w:color w:val="auto"/>
              </w:rPr>
            </w:pPr>
          </w:p>
        </w:tc>
        <w:tc>
          <w:tcPr>
            <w:tcW w:w="6980" w:type="dxa"/>
            <w:vAlign w:val="bottom"/>
            <w:gridSpan w:val="11"/>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42</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3.</w:t>
            </w:r>
          </w:p>
        </w:tc>
        <w:tc>
          <w:tcPr>
            <w:tcW w:w="8920" w:type="dxa"/>
            <w:vAlign w:val="bottom"/>
            <w:gridSpan w:val="20"/>
          </w:tcPr>
          <w:p>
            <w:pPr>
              <w:spacing w:after="0" w:line="191" w:lineRule="exact"/>
              <w:rPr>
                <w:rFonts w:ascii="Arial" w:cs="Arial" w:eastAsia="Arial" w:hAnsi="Arial"/>
                <w:sz w:val="17"/>
                <w:szCs w:val="17"/>
                <w:color w:val="0000EE"/>
              </w:rPr>
            </w:pPr>
            <w:hyperlink w:anchor="page44">
              <w:r>
                <w:rPr>
                  <w:rFonts w:ascii="Arial" w:cs="Arial" w:eastAsia="Arial" w:hAnsi="Arial"/>
                  <w:sz w:val="17"/>
                  <w:szCs w:val="17"/>
                  <w:color w:val="0000EE"/>
                </w:rPr>
                <w:t>Legal Proceedings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42</w:t>
            </w: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4.</w:t>
            </w:r>
          </w:p>
        </w:tc>
        <w:tc>
          <w:tcPr>
            <w:tcW w:w="8920" w:type="dxa"/>
            <w:vAlign w:val="bottom"/>
            <w:gridSpan w:val="20"/>
          </w:tcPr>
          <w:p>
            <w:pPr>
              <w:spacing w:after="0" w:line="191" w:lineRule="exact"/>
              <w:rPr>
                <w:rFonts w:ascii="Arial" w:cs="Arial" w:eastAsia="Arial" w:hAnsi="Arial"/>
                <w:sz w:val="17"/>
                <w:szCs w:val="17"/>
                <w:color w:val="0000EE"/>
              </w:rPr>
            </w:pPr>
            <w:hyperlink w:anchor="page45">
              <w:r>
                <w:rPr>
                  <w:rFonts w:ascii="Arial" w:cs="Arial" w:eastAsia="Arial" w:hAnsi="Arial"/>
                  <w:sz w:val="17"/>
                  <w:szCs w:val="17"/>
                  <w:color w:val="0000EE"/>
                </w:rPr>
                <w:t>Mine Safety Disclosures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43</w:t>
            </w:r>
          </w:p>
        </w:tc>
      </w:tr>
      <w:tr>
        <w:trPr>
          <w:trHeight w:val="296"/>
        </w:trPr>
        <w:tc>
          <w:tcPr>
            <w:tcW w:w="1020" w:type="dxa"/>
            <w:vAlign w:val="bottom"/>
            <w:gridSpan w:val="4"/>
          </w:tcPr>
          <w:p>
            <w:pPr>
              <w:spacing w:after="0"/>
              <w:rPr>
                <w:rFonts w:ascii="Arial" w:cs="Arial" w:eastAsia="Arial" w:hAnsi="Arial"/>
                <w:sz w:val="17"/>
                <w:szCs w:val="17"/>
                <w:b w:val="1"/>
                <w:bCs w:val="1"/>
                <w:color w:val="0000EE"/>
              </w:rPr>
            </w:pPr>
            <w:hyperlink w:anchor="page47">
              <w:r>
                <w:rPr>
                  <w:rFonts w:ascii="Arial" w:cs="Arial" w:eastAsia="Arial" w:hAnsi="Arial"/>
                  <w:sz w:val="17"/>
                  <w:szCs w:val="17"/>
                  <w:b w:val="1"/>
                  <w:bCs w:val="1"/>
                  <w:color w:val="0000EE"/>
                </w:rPr>
                <w:t>PART II</w:t>
              </w:r>
            </w:hyperlink>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191"/>
        </w:trPr>
        <w:tc>
          <w:tcPr>
            <w:tcW w:w="620" w:type="dxa"/>
            <w:vAlign w:val="bottom"/>
            <w:tcBorders>
              <w:top w:val="single" w:sz="8" w:color="0000EE"/>
            </w:tcBorders>
            <w:gridSpan w:val="2"/>
          </w:tcPr>
          <w:p>
            <w:pPr>
              <w:spacing w:after="0" w:line="191" w:lineRule="exact"/>
              <w:rPr>
                <w:sz w:val="20"/>
                <w:szCs w:val="20"/>
                <w:color w:val="auto"/>
              </w:rPr>
            </w:pPr>
            <w:r>
              <w:rPr>
                <w:rFonts w:ascii="Arial" w:cs="Arial" w:eastAsia="Arial" w:hAnsi="Arial"/>
                <w:sz w:val="17"/>
                <w:szCs w:val="17"/>
                <w:color w:val="auto"/>
              </w:rPr>
              <w:t>Item 5.</w:t>
            </w:r>
          </w:p>
        </w:tc>
        <w:tc>
          <w:tcPr>
            <w:tcW w:w="400" w:type="dxa"/>
            <w:vAlign w:val="bottom"/>
            <w:gridSpan w:val="2"/>
          </w:tcPr>
          <w:p>
            <w:pPr>
              <w:spacing w:after="0"/>
              <w:rPr>
                <w:sz w:val="16"/>
                <w:szCs w:val="16"/>
                <w:color w:val="auto"/>
              </w:rPr>
            </w:pPr>
          </w:p>
        </w:tc>
        <w:tc>
          <w:tcPr>
            <w:tcW w:w="8920" w:type="dxa"/>
            <w:vAlign w:val="bottom"/>
            <w:gridSpan w:val="20"/>
          </w:tcPr>
          <w:p>
            <w:pPr>
              <w:spacing w:after="0" w:line="191" w:lineRule="exact"/>
              <w:rPr>
                <w:rFonts w:ascii="Arial" w:cs="Arial" w:eastAsia="Arial" w:hAnsi="Arial"/>
                <w:sz w:val="17"/>
                <w:szCs w:val="17"/>
                <w:color w:val="0000EE"/>
              </w:rPr>
            </w:pPr>
            <w:hyperlink w:anchor="page47">
              <w:r>
                <w:rPr>
                  <w:rFonts w:ascii="Arial" w:cs="Arial" w:eastAsia="Arial" w:hAnsi="Arial"/>
                  <w:sz w:val="17"/>
                  <w:szCs w:val="17"/>
                  <w:color w:val="0000EE"/>
                </w:rPr>
                <w:t>Market for Registrant’s Common Equity, Related Stockholder Matters and Issuer Purchases of Equity Securities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6.</w:t>
            </w:r>
          </w:p>
        </w:tc>
        <w:tc>
          <w:tcPr>
            <w:tcW w:w="7680" w:type="dxa"/>
            <w:vAlign w:val="bottom"/>
            <w:tcBorders>
              <w:top w:val="single" w:sz="8" w:color="0000EE"/>
            </w:tcBorders>
            <w:gridSpan w:val="19"/>
          </w:tcPr>
          <w:p>
            <w:pPr>
              <w:spacing w:after="0" w:line="191" w:lineRule="exact"/>
              <w:rPr>
                <w:rFonts w:ascii="Arial" w:cs="Arial" w:eastAsia="Arial" w:hAnsi="Arial"/>
                <w:sz w:val="17"/>
                <w:szCs w:val="17"/>
                <w:color w:val="0000EE"/>
              </w:rPr>
            </w:pPr>
            <w:hyperlink w:anchor="page50">
              <w:r>
                <w:rPr>
                  <w:rFonts w:ascii="Arial" w:cs="Arial" w:eastAsia="Arial" w:hAnsi="Arial"/>
                  <w:sz w:val="17"/>
                  <w:szCs w:val="17"/>
                  <w:color w:val="0000EE"/>
                </w:rPr>
                <w:t>Selected Financial Data</w:t>
              </w:r>
            </w:hyperlink>
          </w:p>
        </w:tc>
        <w:tc>
          <w:tcPr>
            <w:tcW w:w="124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48</w:t>
            </w:r>
          </w:p>
        </w:tc>
      </w:tr>
      <w:tr>
        <w:trPr>
          <w:trHeight w:val="20"/>
        </w:trPr>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right w:val="single" w:sz="8" w:color="0000EE"/>
            </w:tcBorders>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7.</w:t>
            </w:r>
          </w:p>
        </w:tc>
        <w:tc>
          <w:tcPr>
            <w:tcW w:w="8920" w:type="dxa"/>
            <w:vAlign w:val="bottom"/>
            <w:gridSpan w:val="20"/>
          </w:tcPr>
          <w:p>
            <w:pPr>
              <w:spacing w:after="0" w:line="191" w:lineRule="exact"/>
              <w:rPr>
                <w:rFonts w:ascii="Arial" w:cs="Arial" w:eastAsia="Arial" w:hAnsi="Arial"/>
                <w:sz w:val="17"/>
                <w:szCs w:val="17"/>
                <w:color w:val="0000EE"/>
              </w:rPr>
            </w:pPr>
            <w:hyperlink w:anchor="page53">
              <w:r>
                <w:rPr>
                  <w:rFonts w:ascii="Arial" w:cs="Arial" w:eastAsia="Arial" w:hAnsi="Arial"/>
                  <w:sz w:val="17"/>
                  <w:szCs w:val="17"/>
                  <w:color w:val="0000EE"/>
                </w:rPr>
                <w:t>Management’s Discussion and Analysis of Financial Condition and Results of Operations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51</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7A.</w:t>
            </w:r>
          </w:p>
        </w:tc>
        <w:tc>
          <w:tcPr>
            <w:tcW w:w="6140" w:type="dxa"/>
            <w:vAlign w:val="bottom"/>
            <w:tcBorders>
              <w:top w:val="single" w:sz="8" w:color="0000EE"/>
            </w:tcBorders>
            <w:gridSpan w:val="16"/>
          </w:tcPr>
          <w:p>
            <w:pPr>
              <w:spacing w:after="0" w:line="191" w:lineRule="exact"/>
              <w:rPr>
                <w:rFonts w:ascii="Arial" w:cs="Arial" w:eastAsia="Arial" w:hAnsi="Arial"/>
                <w:sz w:val="17"/>
                <w:szCs w:val="17"/>
                <w:color w:val="0000EE"/>
              </w:rPr>
            </w:pPr>
            <w:hyperlink w:anchor="page75">
              <w:r>
                <w:rPr>
                  <w:rFonts w:ascii="Arial" w:cs="Arial" w:eastAsia="Arial" w:hAnsi="Arial"/>
                  <w:sz w:val="17"/>
                  <w:szCs w:val="17"/>
                  <w:color w:val="0000EE"/>
                </w:rPr>
                <w:t>Quantitative and Qualitative Disclosures About Market Risk</w:t>
              </w:r>
            </w:hyperlink>
          </w:p>
        </w:tc>
        <w:tc>
          <w:tcPr>
            <w:tcW w:w="2780" w:type="dxa"/>
            <w:vAlign w:val="bottom"/>
            <w:gridSpan w:val="4"/>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73</w:t>
            </w:r>
          </w:p>
        </w:tc>
      </w:tr>
      <w:tr>
        <w:trPr>
          <w:trHeight w:val="222"/>
        </w:trPr>
        <w:tc>
          <w:tcPr>
            <w:tcW w:w="1020" w:type="dxa"/>
            <w:vAlign w:val="bottom"/>
            <w:gridSpan w:val="4"/>
          </w:tcPr>
          <w:p>
            <w:pPr>
              <w:spacing w:after="0"/>
              <w:rPr>
                <w:sz w:val="20"/>
                <w:szCs w:val="20"/>
                <w:color w:val="auto"/>
              </w:rPr>
            </w:pPr>
            <w:r>
              <w:rPr>
                <w:rFonts w:ascii="Arial" w:cs="Arial" w:eastAsia="Arial" w:hAnsi="Arial"/>
                <w:sz w:val="17"/>
                <w:szCs w:val="17"/>
                <w:color w:val="auto"/>
              </w:rPr>
              <w:t>Item 8.</w:t>
            </w:r>
          </w:p>
        </w:tc>
        <w:tc>
          <w:tcPr>
            <w:tcW w:w="6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180"/>
        </w:trPr>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920" w:type="dxa"/>
            <w:vAlign w:val="bottom"/>
            <w:gridSpan w:val="20"/>
          </w:tcPr>
          <w:p>
            <w:pPr>
              <w:spacing w:after="0" w:line="180" w:lineRule="exact"/>
              <w:rPr>
                <w:rFonts w:ascii="Arial" w:cs="Arial" w:eastAsia="Arial" w:hAnsi="Arial"/>
                <w:sz w:val="17"/>
                <w:szCs w:val="17"/>
                <w:color w:val="0000EE"/>
              </w:rPr>
            </w:pPr>
            <w:hyperlink w:anchor="page76">
              <w:r>
                <w:rPr>
                  <w:rFonts w:ascii="Arial" w:cs="Arial" w:eastAsia="Arial" w:hAnsi="Arial"/>
                  <w:sz w:val="17"/>
                  <w:szCs w:val="17"/>
                  <w:color w:val="0000EE"/>
                </w:rPr>
                <w:t>Financial Statements and Supplementary Data</w:t>
              </w:r>
            </w:hyperlink>
          </w:p>
        </w:tc>
        <w:tc>
          <w:tcPr>
            <w:tcW w:w="1400" w:type="dxa"/>
            <w:vAlign w:val="bottom"/>
          </w:tcPr>
          <w:p>
            <w:pPr>
              <w:jc w:val="right"/>
              <w:spacing w:after="0" w:line="180" w:lineRule="exact"/>
              <w:rPr>
                <w:sz w:val="20"/>
                <w:szCs w:val="20"/>
                <w:color w:val="auto"/>
              </w:rPr>
            </w:pPr>
            <w:r>
              <w:rPr>
                <w:rFonts w:ascii="Arial" w:cs="Arial" w:eastAsia="Arial" w:hAnsi="Arial"/>
                <w:sz w:val="17"/>
                <w:szCs w:val="17"/>
                <w:color w:val="auto"/>
              </w:rPr>
              <w:t>1</w:t>
            </w:r>
          </w:p>
        </w:tc>
      </w:tr>
      <w:tr>
        <w:trPr>
          <w:trHeight w:val="20"/>
        </w:trPr>
        <w:tc>
          <w:tcPr>
            <w:tcW w:w="7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9.</w:t>
            </w:r>
          </w:p>
        </w:tc>
        <w:tc>
          <w:tcPr>
            <w:tcW w:w="6200" w:type="dxa"/>
            <w:vAlign w:val="bottom"/>
            <w:tcBorders>
              <w:bottom w:val="single" w:sz="8" w:color="0000EE"/>
            </w:tcBorders>
            <w:gridSpan w:val="17"/>
          </w:tcPr>
          <w:p>
            <w:pPr>
              <w:spacing w:after="0" w:line="191" w:lineRule="exact"/>
              <w:rPr>
                <w:rFonts w:ascii="Arial" w:cs="Arial" w:eastAsia="Arial" w:hAnsi="Arial"/>
                <w:sz w:val="17"/>
                <w:szCs w:val="17"/>
                <w:color w:val="0000EE"/>
                <w:w w:val="91"/>
              </w:rPr>
            </w:pPr>
            <w:hyperlink w:anchor="page115">
              <w:r>
                <w:rPr>
                  <w:rFonts w:ascii="Arial" w:cs="Arial" w:eastAsia="Arial" w:hAnsi="Arial"/>
                  <w:sz w:val="17"/>
                  <w:szCs w:val="17"/>
                  <w:color w:val="0000EE"/>
                  <w:w w:val="91"/>
                </w:rPr>
                <w:t>Changes in and Disagreements With Accountants on Accounting and Financial Disclosure</w:t>
              </w:r>
            </w:hyperlink>
          </w:p>
        </w:tc>
        <w:tc>
          <w:tcPr>
            <w:tcW w:w="2720" w:type="dxa"/>
            <w:vAlign w:val="bottom"/>
            <w:gridSpan w:val="3"/>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74</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9A.</w:t>
            </w:r>
          </w:p>
        </w:tc>
        <w:tc>
          <w:tcPr>
            <w:tcW w:w="8920" w:type="dxa"/>
            <w:vAlign w:val="bottom"/>
            <w:gridSpan w:val="20"/>
          </w:tcPr>
          <w:p>
            <w:pPr>
              <w:spacing w:after="0" w:line="191" w:lineRule="exact"/>
              <w:rPr>
                <w:rFonts w:ascii="Arial" w:cs="Arial" w:eastAsia="Arial" w:hAnsi="Arial"/>
                <w:sz w:val="17"/>
                <w:szCs w:val="17"/>
                <w:color w:val="0000EE"/>
              </w:rPr>
            </w:pPr>
            <w:hyperlink w:anchor="page115">
              <w:r>
                <w:rPr>
                  <w:rFonts w:ascii="Arial" w:cs="Arial" w:eastAsia="Arial" w:hAnsi="Arial"/>
                  <w:sz w:val="17"/>
                  <w:szCs w:val="17"/>
                  <w:color w:val="0000EE"/>
                </w:rPr>
                <w:t>Controls and Procedures</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74</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7"/>
          </w:tcPr>
          <w:p>
            <w:pPr>
              <w:spacing w:after="0" w:line="191" w:lineRule="exact"/>
              <w:rPr>
                <w:rFonts w:ascii="Arial" w:cs="Arial" w:eastAsia="Arial" w:hAnsi="Arial"/>
                <w:sz w:val="17"/>
                <w:szCs w:val="17"/>
                <w:color w:val="0000EE"/>
              </w:rPr>
            </w:pPr>
            <w:hyperlink w:anchor="page117">
              <w:r>
                <w:rPr>
                  <w:rFonts w:ascii="Arial" w:cs="Arial" w:eastAsia="Arial" w:hAnsi="Arial"/>
                  <w:sz w:val="17"/>
                  <w:szCs w:val="17"/>
                  <w:color w:val="0000EE"/>
                </w:rPr>
                <w:t>Other Information</w:t>
              </w:r>
            </w:hyperlink>
          </w:p>
        </w:tc>
        <w:tc>
          <w:tcPr>
            <w:tcW w:w="7240" w:type="dxa"/>
            <w:vAlign w:val="bottom"/>
            <w:gridSpan w:val="13"/>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74</w:t>
            </w:r>
          </w:p>
        </w:tc>
      </w:tr>
      <w:tr>
        <w:trPr>
          <w:trHeight w:val="296"/>
        </w:trPr>
        <w:tc>
          <w:tcPr>
            <w:tcW w:w="700" w:type="dxa"/>
            <w:vAlign w:val="bottom"/>
            <w:tcBorders>
              <w:bottom w:val="single" w:sz="8" w:color="0000EE"/>
            </w:tcBorders>
            <w:gridSpan w:val="3"/>
          </w:tcPr>
          <w:p>
            <w:pPr>
              <w:spacing w:after="0"/>
              <w:rPr>
                <w:rFonts w:ascii="Arial" w:cs="Arial" w:eastAsia="Arial" w:hAnsi="Arial"/>
                <w:sz w:val="17"/>
                <w:szCs w:val="17"/>
                <w:b w:val="1"/>
                <w:bCs w:val="1"/>
                <w:color w:val="0000EE"/>
              </w:rPr>
            </w:pPr>
            <w:hyperlink w:anchor="page117">
              <w:r>
                <w:rPr>
                  <w:rFonts w:ascii="Arial" w:cs="Arial" w:eastAsia="Arial" w:hAnsi="Arial"/>
                  <w:sz w:val="17"/>
                  <w:szCs w:val="17"/>
                  <w:b w:val="1"/>
                  <w:bCs w:val="1"/>
                  <w:color w:val="0000EE"/>
                </w:rPr>
                <w:t>PART III</w:t>
              </w:r>
            </w:hyperlink>
          </w:p>
        </w:tc>
        <w:tc>
          <w:tcPr>
            <w:tcW w:w="3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10.</w:t>
            </w:r>
          </w:p>
        </w:tc>
        <w:tc>
          <w:tcPr>
            <w:tcW w:w="3900" w:type="dxa"/>
            <w:vAlign w:val="bottom"/>
            <w:tcBorders>
              <w:bottom w:val="single" w:sz="8" w:color="0000EE"/>
            </w:tcBorders>
            <w:gridSpan w:val="13"/>
          </w:tcPr>
          <w:p>
            <w:pPr>
              <w:spacing w:after="0" w:line="191" w:lineRule="exact"/>
              <w:rPr>
                <w:rFonts w:ascii="Arial" w:cs="Arial" w:eastAsia="Arial" w:hAnsi="Arial"/>
                <w:sz w:val="17"/>
                <w:szCs w:val="17"/>
                <w:color w:val="0000EE"/>
                <w:w w:val="91"/>
              </w:rPr>
            </w:pPr>
            <w:hyperlink w:anchor="page117">
              <w:r>
                <w:rPr>
                  <w:rFonts w:ascii="Arial" w:cs="Arial" w:eastAsia="Arial" w:hAnsi="Arial"/>
                  <w:sz w:val="17"/>
                  <w:szCs w:val="17"/>
                  <w:color w:val="0000EE"/>
                  <w:w w:val="91"/>
                </w:rPr>
                <w:t>Directors, Executive Officers and Corporate Governance</w:t>
              </w:r>
            </w:hyperlink>
          </w:p>
        </w:tc>
        <w:tc>
          <w:tcPr>
            <w:tcW w:w="5020" w:type="dxa"/>
            <w:vAlign w:val="bottom"/>
            <w:gridSpan w:val="7"/>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11.</w:t>
            </w:r>
          </w:p>
        </w:tc>
        <w:tc>
          <w:tcPr>
            <w:tcW w:w="1720" w:type="dxa"/>
            <w:vAlign w:val="bottom"/>
            <w:tcBorders>
              <w:bottom w:val="single" w:sz="8" w:color="0000EE"/>
            </w:tcBorders>
            <w:gridSpan w:val="8"/>
          </w:tcPr>
          <w:p>
            <w:pPr>
              <w:spacing w:after="0" w:line="191" w:lineRule="exact"/>
              <w:rPr>
                <w:rFonts w:ascii="Arial" w:cs="Arial" w:eastAsia="Arial" w:hAnsi="Arial"/>
                <w:sz w:val="17"/>
                <w:szCs w:val="17"/>
                <w:color w:val="0000EE"/>
                <w:w w:val="90"/>
              </w:rPr>
            </w:pPr>
            <w:hyperlink w:anchor="page117">
              <w:r>
                <w:rPr>
                  <w:rFonts w:ascii="Arial" w:cs="Arial" w:eastAsia="Arial" w:hAnsi="Arial"/>
                  <w:sz w:val="17"/>
                  <w:szCs w:val="17"/>
                  <w:color w:val="0000EE"/>
                  <w:w w:val="90"/>
                </w:rPr>
                <w:t>Executive Compensation</w:t>
              </w:r>
            </w:hyperlink>
          </w:p>
        </w:tc>
        <w:tc>
          <w:tcPr>
            <w:tcW w:w="7200" w:type="dxa"/>
            <w:vAlign w:val="bottom"/>
            <w:gridSpan w:val="12"/>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12.</w:t>
            </w:r>
          </w:p>
        </w:tc>
        <w:tc>
          <w:tcPr>
            <w:tcW w:w="6940" w:type="dxa"/>
            <w:vAlign w:val="bottom"/>
            <w:tcBorders>
              <w:bottom w:val="single" w:sz="8" w:color="0000EE"/>
            </w:tcBorders>
            <w:gridSpan w:val="18"/>
          </w:tcPr>
          <w:p>
            <w:pPr>
              <w:spacing w:after="0" w:line="191" w:lineRule="exact"/>
              <w:rPr>
                <w:rFonts w:ascii="Arial" w:cs="Arial" w:eastAsia="Arial" w:hAnsi="Arial"/>
                <w:sz w:val="17"/>
                <w:szCs w:val="17"/>
                <w:color w:val="0000EE"/>
                <w:w w:val="91"/>
              </w:rPr>
            </w:pPr>
            <w:hyperlink w:anchor="page117">
              <w:r>
                <w:rPr>
                  <w:rFonts w:ascii="Arial" w:cs="Arial" w:eastAsia="Arial" w:hAnsi="Arial"/>
                  <w:sz w:val="17"/>
                  <w:szCs w:val="17"/>
                  <w:color w:val="0000EE"/>
                  <w:w w:val="91"/>
                </w:rPr>
                <w:t>Security Ownership of Certain Beneficial Owners and Management and Related Stockholder Matters</w:t>
              </w:r>
            </w:hyperlink>
          </w:p>
        </w:tc>
        <w:tc>
          <w:tcPr>
            <w:tcW w:w="1980" w:type="dxa"/>
            <w:vAlign w:val="bottom"/>
            <w:gridSpan w:val="2"/>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13.</w:t>
            </w:r>
          </w:p>
        </w:tc>
        <w:tc>
          <w:tcPr>
            <w:tcW w:w="8920" w:type="dxa"/>
            <w:vAlign w:val="bottom"/>
            <w:gridSpan w:val="20"/>
          </w:tcPr>
          <w:p>
            <w:pPr>
              <w:spacing w:after="0" w:line="191" w:lineRule="exact"/>
              <w:rPr>
                <w:rFonts w:ascii="Arial" w:cs="Arial" w:eastAsia="Arial" w:hAnsi="Arial"/>
                <w:sz w:val="17"/>
                <w:szCs w:val="17"/>
                <w:color w:val="0000EE"/>
              </w:rPr>
            </w:pPr>
            <w:hyperlink w:anchor="page117">
              <w:r>
                <w:rPr>
                  <w:rFonts w:ascii="Arial" w:cs="Arial" w:eastAsia="Arial" w:hAnsi="Arial"/>
                  <w:sz w:val="17"/>
                  <w:szCs w:val="17"/>
                  <w:color w:val="0000EE"/>
                </w:rPr>
                <w:t>Certain Relationships and Related Transactions, and Director Independence</w:t>
              </w:r>
            </w:hyperlink>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14.</w:t>
            </w:r>
          </w:p>
        </w:tc>
        <w:tc>
          <w:tcPr>
            <w:tcW w:w="5180" w:type="dxa"/>
            <w:vAlign w:val="bottom"/>
            <w:tcBorders>
              <w:top w:val="single" w:sz="8" w:color="0000EE"/>
            </w:tcBorders>
            <w:gridSpan w:val="15"/>
          </w:tcPr>
          <w:p>
            <w:pPr>
              <w:spacing w:after="0" w:line="191" w:lineRule="exact"/>
              <w:rPr>
                <w:rFonts w:ascii="Arial" w:cs="Arial" w:eastAsia="Arial" w:hAnsi="Arial"/>
                <w:sz w:val="17"/>
                <w:szCs w:val="17"/>
                <w:color w:val="0000EE"/>
              </w:rPr>
            </w:pPr>
            <w:hyperlink w:anchor="page117">
              <w:r>
                <w:rPr>
                  <w:rFonts w:ascii="Arial" w:cs="Arial" w:eastAsia="Arial" w:hAnsi="Arial"/>
                  <w:sz w:val="17"/>
                  <w:szCs w:val="17"/>
                  <w:color w:val="0000EE"/>
                </w:rPr>
                <w:t>Principal Accounting Fees and Services</w:t>
              </w:r>
            </w:hyperlink>
          </w:p>
        </w:tc>
        <w:tc>
          <w:tcPr>
            <w:tcW w:w="3740" w:type="dxa"/>
            <w:vAlign w:val="bottom"/>
            <w:gridSpan w:val="5"/>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r>
        <w:trPr>
          <w:trHeight w:val="20"/>
        </w:trPr>
        <w:tc>
          <w:tcPr>
            <w:tcW w:w="1020" w:type="dxa"/>
            <w:vAlign w:val="bottom"/>
            <w:gridSpan w:val="4"/>
          </w:tcPr>
          <w:p>
            <w:pPr>
              <w:spacing w:after="0" w:line="20" w:lineRule="exact"/>
              <w:rPr>
                <w:sz w:val="1"/>
                <w:szCs w:val="1"/>
                <w:color w:val="auto"/>
              </w:rPr>
            </w:pPr>
          </w:p>
        </w:tc>
        <w:tc>
          <w:tcPr>
            <w:tcW w:w="272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1"/>
        </w:trPr>
        <w:tc>
          <w:tcPr>
            <w:tcW w:w="1020" w:type="dxa"/>
            <w:vAlign w:val="bottom"/>
            <w:gridSpan w:val="4"/>
          </w:tcPr>
          <w:p>
            <w:pPr>
              <w:spacing w:after="0" w:line="191" w:lineRule="exact"/>
              <w:rPr>
                <w:sz w:val="20"/>
                <w:szCs w:val="20"/>
                <w:color w:val="auto"/>
              </w:rPr>
            </w:pPr>
            <w:r>
              <w:rPr>
                <w:rFonts w:ascii="Arial" w:cs="Arial" w:eastAsia="Arial" w:hAnsi="Arial"/>
                <w:sz w:val="17"/>
                <w:szCs w:val="17"/>
                <w:color w:val="auto"/>
              </w:rPr>
              <w:t>Item 15.</w:t>
            </w:r>
          </w:p>
        </w:tc>
        <w:tc>
          <w:tcPr>
            <w:tcW w:w="2760" w:type="dxa"/>
            <w:vAlign w:val="bottom"/>
            <w:tcBorders>
              <w:bottom w:val="single" w:sz="8" w:color="0000EE"/>
            </w:tcBorders>
            <w:gridSpan w:val="11"/>
          </w:tcPr>
          <w:p>
            <w:pPr>
              <w:spacing w:after="0" w:line="191" w:lineRule="exact"/>
              <w:rPr>
                <w:rFonts w:ascii="Arial" w:cs="Arial" w:eastAsia="Arial" w:hAnsi="Arial"/>
                <w:sz w:val="17"/>
                <w:szCs w:val="17"/>
                <w:color w:val="0000EE"/>
                <w:w w:val="90"/>
              </w:rPr>
            </w:pPr>
            <w:hyperlink w:anchor="page117">
              <w:r>
                <w:rPr>
                  <w:rFonts w:ascii="Arial" w:cs="Arial" w:eastAsia="Arial" w:hAnsi="Arial"/>
                  <w:sz w:val="17"/>
                  <w:szCs w:val="17"/>
                  <w:color w:val="0000EE"/>
                  <w:w w:val="90"/>
                </w:rPr>
                <w:t>Exhibits, Financial Statement Schedules</w:t>
              </w:r>
            </w:hyperlink>
          </w:p>
        </w:tc>
        <w:tc>
          <w:tcPr>
            <w:tcW w:w="6160" w:type="dxa"/>
            <w:vAlign w:val="bottom"/>
            <w:gridSpan w:val="9"/>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Arial" w:cs="Arial" w:eastAsia="Arial" w:hAnsi="Arial"/>
                <w:sz w:val="17"/>
                <w:szCs w:val="17"/>
                <w:color w:val="auto"/>
              </w:rPr>
              <w:t>75</w:t>
            </w:r>
          </w:p>
        </w:tc>
      </w:tr>
    </w:tbl>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451" w:right="31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INTRODUCTORY NOTE</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2012 references to:</w:t>
      </w:r>
    </w:p>
    <w:p>
      <w:pPr>
        <w:spacing w:after="0" w:line="33" w:lineRule="exact"/>
        <w:rPr>
          <w:sz w:val="20"/>
          <w:szCs w:val="20"/>
          <w:color w:val="auto"/>
        </w:rPr>
      </w:pPr>
    </w:p>
    <w:p>
      <w:pPr>
        <w:ind w:right="40" w:firstLine="5"/>
        <w:spacing w:after="0" w:line="281" w:lineRule="auto"/>
        <w:tabs>
          <w:tab w:leader="none" w:pos="204"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2012. We have made rounding adjustments to reach some of the figures included in this Annual Report and, unless otherwise indicated, percentages presented in this Annual Report are approximate.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00"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46" w:lineRule="exact"/>
        <w:rPr>
          <w:sz w:val="20"/>
          <w:szCs w:val="20"/>
          <w:color w:val="auto"/>
        </w:rPr>
      </w:pPr>
    </w:p>
    <w:p>
      <w:pPr>
        <w:ind w:left="900" w:right="80" w:hanging="447"/>
        <w:spacing w:after="0" w:line="284"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 cutting and efficiency initiatives and other efforts to reduce U.S. government spending, which could reduce or delay funding for orders for services especially in the current political environment;</w:t>
      </w:r>
    </w:p>
    <w:p>
      <w:pPr>
        <w:spacing w:after="0" w:line="37" w:lineRule="exact"/>
        <w:rPr>
          <w:rFonts w:ascii="Arial" w:cs="Arial" w:eastAsia="Arial" w:hAnsi="Arial"/>
          <w:sz w:val="17"/>
          <w:szCs w:val="17"/>
          <w:color w:val="auto"/>
        </w:rPr>
      </w:pPr>
    </w:p>
    <w:p>
      <w:pPr>
        <w:ind w:left="900" w:hanging="447"/>
        <w:spacing w:after="0" w:line="284"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delayed funding of our contracts due to delays in the completion of the U.S. government’s budgeting process and the use of continuing resolutions by the U.S. government to fund its operations or related changes in the pattern or timing of government funding and spending;</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issue that compromises our relationships with the U.S. government or damages our professional reputation;</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U.S. government spending and mission priorities that shift expenditures away from agencies or programs that we support;</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 of our addressable markets and the amount of U.S. government spending on private contractors;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compete effectively in the competitive bidding process and delays caused by competitors’ protests of major contract awards received by us;</w:t>
      </w:r>
    </w:p>
    <w:p>
      <w:pPr>
        <w:spacing w:after="0" w:line="117" w:lineRule="exact"/>
        <w:rPr>
          <w:rFonts w:ascii="Arial" w:cs="Arial" w:eastAsia="Arial" w:hAnsi="Arial"/>
          <w:sz w:val="15"/>
          <w:szCs w:val="15"/>
          <w:color w:val="auto"/>
        </w:rPr>
      </w:pPr>
    </w:p>
    <w:p>
      <w:pPr>
        <w:ind w:left="900" w:right="140" w:hanging="447"/>
        <w:spacing w:after="0" w:line="284"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loss of General Services Administration Multiple Award schedule contracts, or GSA schedules, or our position as prime contractor on government-wide acquisition contract vehicles, or GWACs;</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105" w:lineRule="exact"/>
        <w:rPr>
          <w:rFonts w:ascii="Arial" w:cs="Arial" w:eastAsia="Arial" w:hAnsi="Arial"/>
          <w:sz w:val="16"/>
          <w:szCs w:val="16"/>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generate revenue under certain of our contracts;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realize the full value of our backlog and the timing of our receipt of revenue under contracts included in backlog;</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451" w:right="2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estimates used in recognizing revenue;</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inability to attract, train, or retain employees with the requisite skills, experience, and security clearances;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inability to hire, assimilate, and deploy enough employees to serve our clients under existing contracts;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inability to timely and effectively utilize our employees;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by us or our employees to obtain and maintain necessary security clearances;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loss of members of senior management or failure to develop new leaders;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misconduct or other improper activities from our employees or subcontractors;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increased competition from other companies in our industry;</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maintain strong relationships with other contractors;</w:t>
      </w:r>
    </w:p>
    <w:p>
      <w:pPr>
        <w:spacing w:after="0" w:line="94" w:lineRule="exact"/>
        <w:rPr>
          <w:rFonts w:ascii="Arial" w:cs="Arial" w:eastAsia="Arial" w:hAnsi="Arial"/>
          <w:sz w:val="17"/>
          <w:szCs w:val="17"/>
          <w:color w:val="auto"/>
        </w:rPr>
      </w:pPr>
    </w:p>
    <w:p>
      <w:pPr>
        <w:jc w:val="both"/>
        <w:ind w:left="900" w:right="260" w:hanging="447"/>
        <w:spacing w:after="0" w:line="271"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48" w:lineRule="exact"/>
        <w:rPr>
          <w:rFonts w:ascii="Arial" w:cs="Arial" w:eastAsia="Arial" w:hAnsi="Arial"/>
          <w:sz w:val="17"/>
          <w:szCs w:val="17"/>
          <w:color w:val="auto"/>
        </w:rPr>
      </w:pPr>
    </w:p>
    <w:p>
      <w:pPr>
        <w:ind w:left="900" w:right="280" w:hanging="447"/>
        <w:spacing w:after="0" w:line="28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system or service failures and security breaches, including, but not limited to, those resulting from external cyber attacks on our network and internal systems;</w:t>
      </w:r>
    </w:p>
    <w:p>
      <w:pPr>
        <w:spacing w:after="0" w:line="37" w:lineRule="exact"/>
        <w:rPr>
          <w:rFonts w:ascii="Arial" w:cs="Arial" w:eastAsia="Arial" w:hAnsi="Arial"/>
          <w:sz w:val="17"/>
          <w:szCs w:val="17"/>
          <w:color w:val="auto"/>
        </w:rPr>
      </w:pPr>
    </w:p>
    <w:p>
      <w:pPr>
        <w:ind w:left="900" w:right="400" w:hanging="447"/>
        <w:spacing w:after="0" w:line="28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changes to our operating structure, capabilities, or strategy intended to address client needs, grow our business or respond to market developments;</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associated with new relationships, clients, capabilities, and service offerings in our U.S. and international businesses;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to comply with special U.S. government laws and regulations relating to our international operations;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related to our indebtedness and credit facilities which contain financial and operating covenants;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w:t>
      </w:r>
    </w:p>
    <w:p>
      <w:pPr>
        <w:spacing w:after="0" w:line="105" w:lineRule="exact"/>
        <w:rPr>
          <w:rFonts w:ascii="Arial" w:cs="Arial" w:eastAsia="Arial" w:hAnsi="Arial"/>
          <w:sz w:val="16"/>
          <w:szCs w:val="16"/>
          <w:color w:val="auto"/>
        </w:rPr>
      </w:pPr>
    </w:p>
    <w:p>
      <w:pPr>
        <w:ind w:left="900" w:hanging="447"/>
        <w:spacing w:after="0" w:line="28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inability to utilize existing or future tax benefits, including those related to our net operating losses, or NOLs, and stock-based compensation expense, for any reason, including a change in law;</w:t>
      </w:r>
    </w:p>
    <w:p>
      <w:pPr>
        <w:spacing w:after="0" w:line="37" w:lineRule="exact"/>
        <w:rPr>
          <w:rFonts w:ascii="Arial" w:cs="Arial" w:eastAsia="Arial" w:hAnsi="Arial"/>
          <w:sz w:val="17"/>
          <w:szCs w:val="17"/>
          <w:color w:val="auto"/>
        </w:rPr>
      </w:pPr>
    </w:p>
    <w:p>
      <w:pPr>
        <w:ind w:left="900" w:right="120" w:hanging="447"/>
        <w:spacing w:after="0" w:line="284"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variable purchasing patterns under U.S. government GSA schedules, blanket purchase agreements and indefinite delivery, indefinite quantity, or ID/IQ, contracts; and</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risks and factors listed under “Item 1A. Risk Factors” and elsewhere in this Annual Report.</w:t>
      </w:r>
    </w:p>
    <w:p>
      <w:pPr>
        <w:spacing w:after="0" w:line="173" w:lineRule="exact"/>
        <w:rPr>
          <w:sz w:val="20"/>
          <w:szCs w:val="20"/>
          <w:color w:val="auto"/>
        </w:rPr>
      </w:pPr>
    </w:p>
    <w:p>
      <w:pPr>
        <w:ind w:right="120" w:firstLine="457"/>
        <w:spacing w:after="0" w:line="271" w:lineRule="auto"/>
        <w:rPr>
          <w:sz w:val="20"/>
          <w:szCs w:val="20"/>
          <w:color w:val="auto"/>
        </w:rPr>
      </w:pPr>
      <w:r>
        <w:rPr>
          <w:rFonts w:ascii="Arial" w:cs="Arial" w:eastAsia="Arial" w:hAnsi="Arial"/>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451" w:right="2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provide management and technology consulting services to major corporations, institutions, and not-for-profit organizations.</w:t>
      </w:r>
    </w:p>
    <w:p>
      <w:pPr>
        <w:spacing w:after="0" w:line="167"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color w:val="auto"/>
        </w:rPr>
        <w:t>We are a well-known, trusted and long-term partner to our clients, who seek our expertise and objective advice to address their most important and complex problems. Leveraging our 98-year consulting heritage and a talent base of approximately 25,000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w:t>
      </w:r>
    </w:p>
    <w:p>
      <w:pPr>
        <w:spacing w:after="0" w:line="118"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technology, engineering, and analytics. Today, we serve substantially all of the cabinet-level departments of the</w:t>
      </w:r>
    </w:p>
    <w:p>
      <w:pPr>
        <w:spacing w:after="0" w:line="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in the financial services, healthcare, and energy markets, and international clients, primarily in the Middle East.</w:t>
      </w:r>
    </w:p>
    <w:p>
      <w:pPr>
        <w:spacing w:after="0" w:line="12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have strong and longstanding relationships with a diverse group of clients at all levels of the U.S. government. During fiscal 2012, we derived 98% of our revenue from services provided to more than 1,200 client organizations across the U.S. government under more than 5,800 contracts and task orders. The single largest entity that we served in fiscal 2012 was the U.S. Army, which represented approximately 17% of our revenue in that period. We derived 90% of our revenue in fiscal 2012 from engagements for which we acted as the prime contractor. Also during fiscal 2012, we achieved an overall win rate of 55% on new contracts and task orders for which we competed and a win rate of more than 91% on re-competed contracts and task orders for existing or related business. As of March 31, 2012, our total backlog, including funded, unfunded, and priced options, was $10.8 billion, a decrease of 1% in total backlog with a 21% increase in funded backlog over March 31, 2011.</w:t>
      </w:r>
    </w:p>
    <w:p>
      <w:pPr>
        <w:spacing w:after="0" w:line="133"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attribute the strength of our client relationships, the commitment of our people, and our resulting growth to our management consulting heritage and culture, which instills our relentless focus on delivering value and enduring results to our clients. We operate our business as a single profit center, which drives our ability to collaborate internally and compete externally. Our operating model is built on (1) our dedication to client service, which focuses on leveraging our experience and knowledge to provide differentiated insights, (2) our partnership-style culture and compensation system, which fosters collaboration and the efficient allocation of our people across markets, clients, and opportunities, (3) our professional development and assessment system, which reinforces the alignment of our people with our collaborative culture, core values, and ethics, and (4) our approach to the market, which leverages our matrix of deep domain expertise in the defense, intelligence, and civil government markets and financial services, healthcare, and energy commercial markets with our strong capabilities in strategy and organization, analytics, technology, and engineering and operations.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1"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160" w:firstLine="457"/>
        <w:spacing w:after="0" w:line="271" w:lineRule="auto"/>
        <w:rPr>
          <w:sz w:val="20"/>
          <w:szCs w:val="20"/>
          <w:color w:val="auto"/>
        </w:rPr>
      </w:pPr>
      <w:r>
        <w:rPr>
          <w:rFonts w:ascii="Arial" w:cs="Arial" w:eastAsia="Arial" w:hAnsi="Arial"/>
          <w:sz w:val="17"/>
          <w:szCs w:val="17"/>
          <w:color w:val="auto"/>
        </w:rPr>
        <w:t>We are organized and operate as a corporation. Our use of the term “partnership” reflects our collaborative culture, and our use of the term “partner” refers to our Chairman and our Senior and Executive Vice Presidents. The use of the terms “partnership” and “partner” is not meant to create any implication that we operate our company as, or have any intention to create a legal entity that is, a partnership.</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Booz Allen Holding was incorporated in Delaware in 2008 to serve as the top-level holding company for the consolidated Booz Allen Hamilton</w:t>
      </w:r>
    </w:p>
    <w:p>
      <w:pPr>
        <w:spacing w:after="0" w:line="2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U.S. government consulting business. On July 31, 2008, or the Closing Date, Booz Allen Hamilton completed the separation of its U.S. government consulting business from its legacy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government business of Booz Allen Hamilton following the separation.</w:t>
      </w:r>
    </w:p>
    <w:p>
      <w:pPr>
        <w:spacing w:after="0" w:line="118"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The separation of the commercial and international business from the government business was accomplished pursuant to a series of transactions under the terms of a spin off agreement, dated as of May 15, 2008, by and among Booz Allen Hamilton and Booz &amp; Company, or Spin Co., and certain of its subsidiaries. As a result of the spin off and related transactions, former stockholders of Booz Allen Hamilton that had been engaged in the commercial and international business became the owners of Spin Co., which held the commercial and international business. The spin off agreement included a three-year non-compete provision, which ended July 31, 2011, during which both Spin Co. and Booz Allen Hamilton were prohibited, with certain exceptions, from engaging in business in the other company’s principal markets.</w:t>
      </w:r>
    </w:p>
    <w:p>
      <w:pPr>
        <w:spacing w:after="0" w:line="137" w:lineRule="exact"/>
        <w:rPr>
          <w:sz w:val="20"/>
          <w:szCs w:val="20"/>
          <w:color w:val="auto"/>
        </w:rPr>
      </w:pPr>
    </w:p>
    <w:p>
      <w:pPr>
        <w:ind w:right="80" w:firstLine="457"/>
        <w:spacing w:after="0" w:line="263" w:lineRule="auto"/>
        <w:rPr>
          <w:sz w:val="20"/>
          <w:szCs w:val="20"/>
          <w:color w:val="auto"/>
        </w:rPr>
      </w:pPr>
      <w:r>
        <w:rPr>
          <w:rFonts w:ascii="Arial" w:cs="Arial" w:eastAsia="Arial" w:hAnsi="Arial"/>
          <w:sz w:val="17"/>
          <w:szCs w:val="17"/>
          <w:color w:val="auto"/>
        </w:rPr>
        <w:t>Following the spin off, Booz Allen Hamilton was indirectly acquired by Carlyle pursuant to an Agreement and Plan of Merger, dated as of May 15, 2008, and subsequently amended, by and among Booz Allen Hamilton, Booz Allen Holding (formerly known as Explorer Holding Corporation), which was majority owned by Carlyle, Booz Allen Investor (formerly known as Explorer Investor Corporation), a wholly owned subsidiary of Booz Allen Holding, Explorer Merger Sub Corporation, a wholly-owned subsidiary of Booz Allen Investor, and Spin Co. Under the terms of the merger agreement, the acquisition of Booz Allen Hamilton was achieved through the merger of Explorer Merger Sub Corporation into Booz Allen Hamilton, with Booz Allen Hamilton as the surviving corporation. As a result of the merger, Booz Allen Hamilton became a direct subsidiary of Booz Allen Investor and an indirect wholly-owned subsidiary of Booz Allen Holding. The aforementioned transactions are referred to in this Annual Report as the acquisition.</w:t>
      </w:r>
    </w:p>
    <w:p>
      <w:pPr>
        <w:spacing w:after="0" w:line="133"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To fund the aggregate consideration for the acquisition, to repay certain indebtedness in connection with the acquisition and to provide working capital, Booz Allen Investor and Booz Allen Hamilton entered into a series of financing transactions, which included:</w:t>
      </w:r>
    </w:p>
    <w:p>
      <w:pPr>
        <w:spacing w:after="0" w:line="38" w:lineRule="exact"/>
        <w:rPr>
          <w:sz w:val="20"/>
          <w:szCs w:val="20"/>
          <w:color w:val="auto"/>
        </w:rPr>
      </w:pPr>
    </w:p>
    <w:p>
      <w:pPr>
        <w:ind w:left="900" w:hanging="328"/>
        <w:spacing w:after="0" w:line="284"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entry into our senior secured credit agreement, and the incurrence of $125.0 million and $585.0 million of term loans under the Tranche A and Tranche B term facilities, respectively, governed by the senior secured credit agreement;</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entry into our mezzanine credit agreement, and the incurrence of $550.0 million of term loans governed by the mezzanine credit agreement; and</w:t>
      </w:r>
    </w:p>
    <w:p>
      <w:pPr>
        <w:spacing w:after="0" w:line="105" w:lineRule="exact"/>
        <w:rPr>
          <w:rFonts w:ascii="Arial" w:cs="Arial" w:eastAsia="Arial" w:hAnsi="Arial"/>
          <w:sz w:val="16"/>
          <w:szCs w:val="16"/>
          <w:color w:val="auto"/>
        </w:rPr>
      </w:pPr>
    </w:p>
    <w:p>
      <w:pPr>
        <w:ind w:left="900" w:hanging="328"/>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equity contribution from Explorer Coinvest LLC, or Coinvest, of approximately $956.5 million.</w:t>
      </w:r>
    </w:p>
    <w:p>
      <w:pPr>
        <w:spacing w:after="0" w:line="173"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The payment of $158.0 million of the cash consideration for the acquisition was structured as a deferred payment obligation of Booz Allen Investor. On December 11, 2009, in order to facilitate the payment of a special dividend and the repayment of a portion of the deferred payment obligation, Booz Allen Investor and Booz Allen Hamilton entered into a series of amendments to the credit agreements governing our senior secured credit facilities and mezzanine credit facility to, among other things, add the Tranche C term facility under our senior secured credit facilities, increase commitments under the revolving credit facility under our senior secured credit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51"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facilities from $100.0 million to $245.0 million, and add a specific exception to the restricted payments covenant to permit the payment of the special dividend. Using cash on hand and $341.3 million in net proceeds from the increased term loan facility, Booz Allen Hamilton paid a special dividend of $650.0 million on its common stock, all of which was paid to Booz Allen Investor, its sole stockholder. Booz Allen Investor in turn used the proceeds of the special dividend (i) to repay approximately $100.4 million of the deferred payment obligation, including $22.4 million in accrued interest, in accordance with the terms of the merger agreement and (ii) to pay a special dividend of approximately $549.6 million on its common stock, all of which was paid to Booz Allen Holding, its sole stockholder. Booz Allen Holding in turn declared a special dividend of $497.5 million payable on its outstanding Class A Common Stock, Class B Non-Voting Common Stock and Class C Restricted Common Stock, approximately $444.1 million of which was paid to Coinvest and the remainder of which was paid to the other stockholders of Booz Allen Holding. The aforementioned transactions are referred to in this Annual Report as the recapitalization transaction.</w:t>
      </w:r>
    </w:p>
    <w:p>
      <w:pPr>
        <w:spacing w:after="0" w:line="126" w:lineRule="exact"/>
        <w:rPr>
          <w:sz w:val="20"/>
          <w:szCs w:val="20"/>
          <w:color w:val="auto"/>
        </w:rPr>
      </w:pPr>
    </w:p>
    <w:p>
      <w:pPr>
        <w:ind w:right="120" w:firstLine="457"/>
        <w:spacing w:after="0" w:line="305" w:lineRule="auto"/>
        <w:rPr>
          <w:sz w:val="20"/>
          <w:szCs w:val="20"/>
          <w:color w:val="auto"/>
        </w:rPr>
      </w:pPr>
      <w:r>
        <w:rPr>
          <w:rFonts w:ascii="Arial" w:cs="Arial" w:eastAsia="Arial" w:hAnsi="Arial"/>
          <w:sz w:val="15"/>
          <w:szCs w:val="15"/>
          <w:color w:val="auto"/>
        </w:rPr>
        <w:t>On February 3, 2011, we completed a refinancing transaction, or the Refinancing Transaction, which included amendments to the senior secured credit agreement and the repayment of all indebtedness outstanding under our mezzanine credit facility. The amended senior secured credit agreement provides for $1.0 billion in term loans ($500.0 million Tranche A term facility and $500.0 million Tranche B term facility) and a $275.0 million revolving credit facility. In connection with the Refinancing Transaction, we borrowed $1.0 billion under the Tranche A and Tranche B term facilities and we used $268.9 million of cash on hand to pay fees and expenses and repay the remaining $222.1 million of indebtedness under our mezzanine credit facility and $21.5 million under the then effective senior secured credit facilities. See “Item 7. Management’s Discussion and Analysis of Financial Condition and Results of Operations —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Value Proposition to Our Clients</w:t>
      </w:r>
    </w:p>
    <w:p>
      <w:pPr>
        <w:spacing w:after="0" w:line="10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As a leading provider of management and technology consulting services to the U.S. government and a provider of such services to major corporations, institutions, and not-for-profit organizations, we believe that we are well positioned to grow across markets characterized by increasing and rapid change. We believe that our dedication to client service, the quality of our people, our management consulting heritage and our client-oriented matrix approach provide the strong foundation necessary for our continued growth.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People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success as a management and technology consulting firm is highly dependent upon the quality, integrity and dedication of our people.</w:t>
      </w:r>
    </w:p>
    <w:p>
      <w:pPr>
        <w:spacing w:after="0" w:line="173" w:lineRule="exact"/>
        <w:rPr>
          <w:sz w:val="20"/>
          <w:szCs w:val="20"/>
          <w:color w:val="auto"/>
        </w:rPr>
      </w:pPr>
    </w:p>
    <w:p>
      <w:pPr>
        <w:ind w:right="380" w:firstLine="457"/>
        <w:spacing w:after="0" w:line="297" w:lineRule="auto"/>
        <w:rPr>
          <w:sz w:val="20"/>
          <w:szCs w:val="20"/>
          <w:color w:val="auto"/>
        </w:rPr>
      </w:pPr>
      <w:r>
        <w:rPr>
          <w:rFonts w:ascii="Arial" w:cs="Arial" w:eastAsia="Arial" w:hAnsi="Arial"/>
          <w:sz w:val="15"/>
          <w:szCs w:val="15"/>
          <w:i w:val="1"/>
          <w:iCs w:val="1"/>
          <w:color w:val="auto"/>
        </w:rPr>
        <w:t xml:space="preserve">Superior Talent Base. </w:t>
      </w:r>
      <w:r>
        <w:rPr>
          <w:rFonts w:ascii="Arial" w:cs="Arial" w:eastAsia="Arial" w:hAnsi="Arial"/>
          <w:sz w:val="15"/>
          <w:szCs w:val="15"/>
          <w:color w:val="auto"/>
        </w:rPr>
        <w:t>We have a highly educated talent base of approximately 25,000 people: as of March 31, 2012, 84% held bachelor degrees, 42% held</w:t>
      </w:r>
      <w:r>
        <w:rPr>
          <w:rFonts w:ascii="Arial" w:cs="Arial" w:eastAsia="Arial" w:hAnsi="Arial"/>
          <w:sz w:val="15"/>
          <w:szCs w:val="15"/>
          <w:i w:val="1"/>
          <w:iCs w:val="1"/>
          <w:color w:val="auto"/>
        </w:rPr>
        <w:t xml:space="preserve"> </w:t>
      </w:r>
      <w:r>
        <w:rPr>
          <w:rFonts w:ascii="Arial" w:cs="Arial" w:eastAsia="Arial" w:hAnsi="Arial"/>
          <w:sz w:val="15"/>
          <w:szCs w:val="15"/>
          <w:color w:val="auto"/>
        </w:rPr>
        <w:t>masters degrees and 4% held doctoral degrees (not including employees from ASE, Inc., one of our wholly owned subsidiaries). In addition, many of the</w:t>
      </w:r>
    </w:p>
    <w:p>
      <w:pPr>
        <w:spacing w:after="0" w:line="279" w:lineRule="auto"/>
        <w:rPr>
          <w:sz w:val="20"/>
          <w:szCs w:val="20"/>
          <w:color w:val="auto"/>
        </w:rPr>
      </w:pPr>
      <w:r>
        <w:rPr>
          <w:rFonts w:ascii="Arial" w:cs="Arial" w:eastAsia="Arial" w:hAnsi="Arial"/>
          <w:sz w:val="16"/>
          <w:szCs w:val="16"/>
          <w:color w:val="auto"/>
        </w:rPr>
        <w:t>U.S. government contracts for which we compete require contractors to have high-level security clearances, and our large pool of cleared employees allows us to meet these needs. As of March 31, 2012, 76% of our people held government security clearances: 27% at Top Secret/Sensitive Compartmented Information, 22% at Top Secret (excluding Sensitive Compartmented Information) and 26% at Secret. High-level security clearances generally afford a person access to data that affects national security, counterterrorism or counterintelligence, or other highly sensitive data. Persons with the highest security clearance, Top Secret, have access to information that would cause “exceptionally grave damage” to national security if disclosed to the public. Persons with access to the most sensitive and carefully controlled intelligence information hold a Top-Secret/Sensitive Compartmented Information clearance. Persons with the second-highest clearance classification, Secret, have access to information that would cause “serious damage” to national security if disclosed to the public. Through internal referrals and external recruiting efforts, we are able to successfully renew and grow our talent base, and we believe that our ability to attract top level talent is significantly enhanced by our commitment to professional development, our position as a leader in our markets, the high quality of our work and the appeal of our culture.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1" w:right="2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i w:val="1"/>
          <w:iCs w:val="1"/>
          <w:color w:val="auto"/>
        </w:rPr>
        <w:t xml:space="preserve">Focus on Talent Development. </w:t>
      </w:r>
      <w:r>
        <w:rPr>
          <w:rFonts w:ascii="Arial" w:cs="Arial" w:eastAsia="Arial" w:hAnsi="Arial"/>
          <w:sz w:val="17"/>
          <w:szCs w:val="17"/>
          <w:color w:val="auto"/>
        </w:rPr>
        <w:t>We develop our talent base by providing our people with the opportunity to work on important and complex problems,</w:t>
      </w:r>
      <w:r>
        <w:rPr>
          <w:rFonts w:ascii="Arial" w:cs="Arial" w:eastAsia="Arial" w:hAnsi="Arial"/>
          <w:sz w:val="17"/>
          <w:szCs w:val="17"/>
          <w:i w:val="1"/>
          <w:iCs w:val="1"/>
          <w:color w:val="auto"/>
        </w:rPr>
        <w:t xml:space="preserve"> </w:t>
      </w:r>
      <w:r>
        <w:rPr>
          <w:rFonts w:ascii="Arial" w:cs="Arial" w:eastAsia="Arial" w:hAnsi="Arial"/>
          <w:sz w:val="17"/>
          <w:szCs w:val="17"/>
          <w:color w:val="auto"/>
        </w:rPr>
        <w:t>encouraging and acknowledging contributions of our people at all levels of seniority, and facilitating broad, inclusive and insightful leadership. We also encourage our people to continue developing their substantive skills through continuing education. Our learning programs, which have consistently been recognized as best-in-class in the industry, include partnerships with universities, vendors and online content providers. These programs offer convenient, cost-effective, quality educational opportunities that are aligned with our core capabilities.</w:t>
      </w:r>
    </w:p>
    <w:p>
      <w:pPr>
        <w:spacing w:after="0" w:line="132" w:lineRule="exact"/>
        <w:rPr>
          <w:sz w:val="20"/>
          <w:szCs w:val="20"/>
          <w:color w:val="auto"/>
        </w:rPr>
      </w:pPr>
    </w:p>
    <w:p>
      <w:pPr>
        <w:ind w:right="340" w:firstLine="457"/>
        <w:spacing w:after="0" w:line="285" w:lineRule="auto"/>
        <w:rPr>
          <w:sz w:val="20"/>
          <w:szCs w:val="20"/>
          <w:color w:val="auto"/>
        </w:rPr>
      </w:pPr>
      <w:r>
        <w:rPr>
          <w:rFonts w:ascii="Arial" w:cs="Arial" w:eastAsia="Arial" w:hAnsi="Arial"/>
          <w:sz w:val="16"/>
          <w:szCs w:val="16"/>
          <w:i w:val="1"/>
          <w:iCs w:val="1"/>
          <w:color w:val="auto"/>
        </w:rPr>
        <w:t xml:space="preserve">Assessment System that Promotes Collaboration. </w:t>
      </w:r>
      <w:r>
        <w:rPr>
          <w:rFonts w:ascii="Arial" w:cs="Arial" w:eastAsia="Arial" w:hAnsi="Arial"/>
          <w:sz w:val="16"/>
          <w:szCs w:val="16"/>
          <w:color w:val="auto"/>
        </w:rPr>
        <w:t>We use our assessment process, an employee assessment tool based on multiple sources of input to assess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against competencies, to help promote and enforce the consistency of our collaborative culture, core values and ethics. Each of our approximately 25,000 people receives an annual assessment and also has the opportunity to participate in the assessment of other company personnel. Assessments combine the internal feedback from supervisors, peers and subordinates with input from internal and external clients. Our assessment process is focused on facilitating the continued development of skills and career paths and ensuring the exchange of support and knowledge among our people.</w:t>
      </w:r>
    </w:p>
    <w:p>
      <w:pPr>
        <w:spacing w:after="0" w:line="119" w:lineRule="exact"/>
        <w:rPr>
          <w:sz w:val="20"/>
          <w:szCs w:val="20"/>
          <w:color w:val="auto"/>
        </w:rPr>
      </w:pPr>
    </w:p>
    <w:p>
      <w:pPr>
        <w:ind w:firstLine="457"/>
        <w:spacing w:after="0" w:line="313" w:lineRule="auto"/>
        <w:rPr>
          <w:sz w:val="20"/>
          <w:szCs w:val="20"/>
          <w:color w:val="auto"/>
        </w:rPr>
      </w:pPr>
      <w:r>
        <w:rPr>
          <w:rFonts w:ascii="Arial" w:cs="Arial" w:eastAsia="Arial" w:hAnsi="Arial"/>
          <w:sz w:val="15"/>
          <w:szCs w:val="15"/>
          <w:i w:val="1"/>
          <w:iCs w:val="1"/>
          <w:color w:val="auto"/>
        </w:rPr>
        <w:t xml:space="preserve">Core Values. </w:t>
      </w:r>
      <w:r>
        <w:rPr>
          <w:rFonts w:ascii="Arial" w:cs="Arial" w:eastAsia="Arial" w:hAnsi="Arial"/>
          <w:sz w:val="15"/>
          <w:szCs w:val="15"/>
          <w:color w:val="auto"/>
        </w:rPr>
        <w:t>We believe that one of the key components of our success is our focus on core values. Our core values are: client service, diversity, excellence,</w:t>
      </w:r>
      <w:r>
        <w:rPr>
          <w:rFonts w:ascii="Arial" w:cs="Arial" w:eastAsia="Arial" w:hAnsi="Arial"/>
          <w:sz w:val="15"/>
          <w:szCs w:val="15"/>
          <w:i w:val="1"/>
          <w:iCs w:val="1"/>
          <w:color w:val="auto"/>
        </w:rPr>
        <w:t xml:space="preserve"> </w:t>
      </w:r>
      <w:r>
        <w:rPr>
          <w:rFonts w:ascii="Arial" w:cs="Arial" w:eastAsia="Arial" w:hAnsi="Arial"/>
          <w:sz w:val="15"/>
          <w:szCs w:val="15"/>
          <w:color w:val="auto"/>
        </w:rPr>
        <w:t>entrepreneurship, teamwork, professionalism, fairness, integrity, respect and trust. All new hires receive extensive training that emphasizes our core values, facilitates their integration into our collaborative, client-oriented culture and helps to ensure the delivery of consistent and exceptional client service. As of March 31, 2012, 98% of our employees participated in internal training including 4 hours of mandatory ethics training which is required to be completed each year.</w:t>
      </w:r>
    </w:p>
    <w:p>
      <w:pPr>
        <w:spacing w:after="0" w:line="101"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emphasis that we place on our people yields recognized results. External awards and recognition include being named for several consecutive years as one of Fortune Magazine’s “100 Best Companies to Work For”, and to the “Best Companies” to work for lists published by Working Mother, Consulting Magazine, GI Jobs, and a number of other publications and associations. Additionally, the company was named in 2012 as one of Fortune Magazine’s “The World’s Most Admired Companies,” a list based on quality and brand reputation.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Consulting Heritage</w:t>
      </w:r>
    </w:p>
    <w:p>
      <w:pPr>
        <w:spacing w:after="0" w:line="94"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i w:val="1"/>
          <w:iCs w:val="1"/>
          <w:color w:val="auto"/>
        </w:rPr>
        <w:t xml:space="preserve">Our Approach to Client Service. </w:t>
      </w:r>
      <w:r>
        <w:rPr>
          <w:rFonts w:ascii="Arial" w:cs="Arial" w:eastAsia="Arial" w:hAnsi="Arial"/>
          <w:sz w:val="16"/>
          <w:szCs w:val="16"/>
          <w:color w:val="auto"/>
        </w:rPr>
        <w:t>Over nearly a century of serving clients and 72 years that we have been supporting the U.S. government, we have cultivated</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of trust with, and developed a comprehensive understanding of, our clients. This insight regarding our clients, together with our deep domain knowledge and capabilities, enable us to anticipate, identify and address the specific needs of our clients. While working on contract engagements, our people work to develop a holistic understanding of the issues and challenges facing the client to ensure that our advice helps them achieve enduring results.</w:t>
      </w:r>
    </w:p>
    <w:p>
      <w:pPr>
        <w:spacing w:after="0" w:line="118"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i w:val="1"/>
          <w:iCs w:val="1"/>
          <w:color w:val="auto"/>
        </w:rPr>
        <w:t xml:space="preserve">Partnership-Style Culture and Compensation System. </w:t>
      </w:r>
      <w:r>
        <w:rPr>
          <w:rFonts w:ascii="Arial" w:cs="Arial" w:eastAsia="Arial" w:hAnsi="Arial"/>
          <w:sz w:val="17"/>
          <w:szCs w:val="17"/>
          <w:color w:val="auto"/>
        </w:rPr>
        <w:t>A commitment to teamwork is deeply ingrained in our company, and our partnership-style culture is</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to maintaining this component of our operating model. We manage our company as a single profit center with a partner-style compensation system that focuses on the success of the institution over the success of the individual. This distinctive system fosters internal collaboration that allows us to compete externally by motivating our partners to act in the best interest of the institution. As a result, we are able to emphasize overall client service, and encourage the rapid and efficient allocation of our people across markets, clients and opportunities.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Client-Oriented Matrix Approach</w:t>
      </w:r>
    </w:p>
    <w:p>
      <w:pPr>
        <w:spacing w:after="0" w:line="94"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We are able to address the complex and evolving needs of our clients and grow our business through the application of our matrix of deep domain knowledge and market-leading capabilities. Through this approach, we deploy our four key capabilities — strategy and organization; analytics; technology; and engineering and operations — across our client base in the various markets we serve. This approach enables us to quickly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1"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assemble and deploy, and redeploy when necessary, client-focused teams comprised of people with the skills and expertise needed to address the challenges facing our clients. We believe that our significant win rates on new and re-competed contracts demonstrate the strength of our matrix approach as well as our industry-leading reputation and our proven track record.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 for Continued Growth</w:t>
      </w:r>
    </w:p>
    <w:p>
      <w:pPr>
        <w:spacing w:after="0" w:line="100" w:lineRule="exact"/>
        <w:rPr>
          <w:sz w:val="20"/>
          <w:szCs w:val="20"/>
          <w:color w:val="auto"/>
        </w:rPr>
      </w:pPr>
    </w:p>
    <w:p>
      <w:pPr>
        <w:ind w:right="140" w:firstLine="457"/>
        <w:spacing w:after="0" w:line="271" w:lineRule="auto"/>
        <w:rPr>
          <w:sz w:val="20"/>
          <w:szCs w:val="20"/>
          <w:color w:val="auto"/>
        </w:rPr>
      </w:pPr>
      <w:r>
        <w:rPr>
          <w:rFonts w:ascii="Arial" w:cs="Arial" w:eastAsia="Arial" w:hAnsi="Arial"/>
          <w:sz w:val="17"/>
          <w:szCs w:val="17"/>
          <w:color w:val="auto"/>
        </w:rPr>
        <w:t>We serve our clients by identifying, analyzing, and solving their most complex problems, providing technology and engineering and mission support services, and anticipating developments that will have near- and long-term impacts on their operations. To serve our clients and grow our business, we intend to execute the following strategies: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Our Business Base</w:t>
      </w:r>
    </w:p>
    <w:p>
      <w:pPr>
        <w:spacing w:after="0" w:line="94"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We are focused on growing our presence in our addressable markets primarily by expanding our relationships with, and the capabilities we deliver to, our existing clients. We will continue to help our clients recognize more efficient and effective mission execution by deploying our objective insight and market expertise across current and future contract engagements. We believe that significant growth opportunities exist in our markets, and we intend to:</w:t>
      </w:r>
    </w:p>
    <w:p>
      <w:pPr>
        <w:spacing w:after="0" w:line="30" w:lineRule="exact"/>
        <w:rPr>
          <w:sz w:val="20"/>
          <w:szCs w:val="20"/>
          <w:color w:val="auto"/>
        </w:rPr>
      </w:pPr>
    </w:p>
    <w:p>
      <w:pPr>
        <w:ind w:left="900" w:right="20" w:hanging="328"/>
        <w:spacing w:after="0" w:line="267"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Deepen Our Existing Client Relationships. </w:t>
      </w:r>
      <w:r>
        <w:rPr>
          <w:rFonts w:ascii="Arial" w:cs="Arial" w:eastAsia="Arial" w:hAnsi="Arial"/>
          <w:sz w:val="17"/>
          <w:szCs w:val="17"/>
          <w:color w:val="auto"/>
        </w:rPr>
        <w:t>The complex and evolving nature of the challenges our clients face requires the application of different core</w:t>
      </w:r>
      <w:r>
        <w:rPr>
          <w:rFonts w:ascii="Arial" w:cs="Arial" w:eastAsia="Arial" w:hAnsi="Arial"/>
          <w:sz w:val="17"/>
          <w:szCs w:val="17"/>
          <w:i w:val="1"/>
          <w:iCs w:val="1"/>
          <w:color w:val="auto"/>
        </w:rPr>
        <w:t xml:space="preserve"> </w:t>
      </w:r>
      <w:r>
        <w:rPr>
          <w:rFonts w:ascii="Arial" w:cs="Arial" w:eastAsia="Arial" w:hAnsi="Arial"/>
          <w:sz w:val="17"/>
          <w:szCs w:val="17"/>
          <w:color w:val="auto"/>
        </w:rPr>
        <w:t>competencies and capabilities. Our approach to client service and collaborative culture enables us to effectively cross-sell and deploy multiple services to existing clients. We plan to leverage our comprehensive understanding of our clients’ needs and our track record of successful performance to grow our client relationships and expand the scope of the services we provide to our existing clients.</w:t>
      </w:r>
    </w:p>
    <w:p>
      <w:pPr>
        <w:spacing w:after="0" w:line="51" w:lineRule="exact"/>
        <w:rPr>
          <w:rFonts w:ascii="Arial" w:cs="Arial" w:eastAsia="Arial" w:hAnsi="Arial"/>
          <w:sz w:val="17"/>
          <w:szCs w:val="17"/>
          <w:color w:val="auto"/>
        </w:rPr>
      </w:pPr>
    </w:p>
    <w:p>
      <w:pPr>
        <w:ind w:left="900" w:right="60" w:hanging="328"/>
        <w:spacing w:after="0" w:line="27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Help Clients Rapidly Respond to Change. </w:t>
      </w:r>
      <w:r>
        <w:rPr>
          <w:rFonts w:ascii="Arial" w:cs="Arial" w:eastAsia="Arial" w:hAnsi="Arial"/>
          <w:sz w:val="17"/>
          <w:szCs w:val="17"/>
          <w:color w:val="auto"/>
        </w:rPr>
        <w:t>We will continue to help our clients formulate rapid and dynamic responses to the frequent and sometimes</w:t>
      </w:r>
      <w:r>
        <w:rPr>
          <w:rFonts w:ascii="Arial" w:cs="Arial" w:eastAsia="Arial" w:hAnsi="Arial"/>
          <w:sz w:val="17"/>
          <w:szCs w:val="17"/>
          <w:i w:val="1"/>
          <w:iCs w:val="1"/>
          <w:color w:val="auto"/>
        </w:rPr>
        <w:t xml:space="preserve"> </w:t>
      </w:r>
      <w:r>
        <w:rPr>
          <w:rFonts w:ascii="Arial" w:cs="Arial" w:eastAsia="Arial" w:hAnsi="Arial"/>
          <w:sz w:val="17"/>
          <w:szCs w:val="17"/>
          <w:color w:val="auto"/>
        </w:rPr>
        <w:t>sudden changes that they face by leveraging the scope and scale of our domain expertise, our broad capabilities and our one-firm culture, which allow us to effectively and efficiently allocate our resources and deploy our intellectual capital.</w:t>
      </w:r>
    </w:p>
    <w:p>
      <w:pPr>
        <w:spacing w:after="0" w:line="48" w:lineRule="exact"/>
        <w:rPr>
          <w:rFonts w:ascii="Arial" w:cs="Arial" w:eastAsia="Arial" w:hAnsi="Arial"/>
          <w:sz w:val="17"/>
          <w:szCs w:val="17"/>
          <w:color w:val="auto"/>
        </w:rPr>
      </w:pPr>
    </w:p>
    <w:p>
      <w:pPr>
        <w:ind w:left="900" w:right="260" w:hanging="328"/>
        <w:spacing w:after="0" w:line="284"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Broaden Our Client Base. </w:t>
      </w:r>
      <w:r>
        <w:rPr>
          <w:rFonts w:ascii="Arial" w:cs="Arial" w:eastAsia="Arial" w:hAnsi="Arial"/>
          <w:sz w:val="17"/>
          <w:szCs w:val="17"/>
          <w:color w:val="auto"/>
        </w:rPr>
        <w:t>We intend to capitalize on our scale, the scope of our domain expertise and core capabilities, and our reputation as a trusted</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partner to grow our client base.</w:t>
      </w:r>
    </w:p>
    <w:p>
      <w:pPr>
        <w:spacing w:after="0" w:line="37" w:lineRule="exact"/>
        <w:rPr>
          <w:rFonts w:ascii="Arial" w:cs="Arial" w:eastAsia="Arial" w:hAnsi="Arial"/>
          <w:sz w:val="17"/>
          <w:szCs w:val="17"/>
          <w:color w:val="auto"/>
        </w:rPr>
      </w:pPr>
    </w:p>
    <w:p>
      <w:pPr>
        <w:ind w:left="1480" w:right="480" w:hanging="447"/>
        <w:spacing w:after="0" w:line="271"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U.S. Government Business. </w:t>
      </w:r>
      <w:r>
        <w:rPr>
          <w:rFonts w:ascii="Arial" w:cs="Arial" w:eastAsia="Arial" w:hAnsi="Arial"/>
          <w:sz w:val="17"/>
          <w:szCs w:val="17"/>
          <w:color w:val="auto"/>
        </w:rPr>
        <w:t>We believe that growing demand for the types of services we provide and our ongoing business initiatives will</w:t>
      </w:r>
      <w:r>
        <w:rPr>
          <w:rFonts w:ascii="Arial" w:cs="Arial" w:eastAsia="Arial" w:hAnsi="Arial"/>
          <w:sz w:val="17"/>
          <w:szCs w:val="17"/>
          <w:i w:val="1"/>
          <w:iCs w:val="1"/>
          <w:color w:val="auto"/>
        </w:rPr>
        <w:t xml:space="preserve"> </w:t>
      </w:r>
      <w:r>
        <w:rPr>
          <w:rFonts w:ascii="Arial" w:cs="Arial" w:eastAsia="Arial" w:hAnsi="Arial"/>
          <w:sz w:val="17"/>
          <w:szCs w:val="17"/>
          <w:color w:val="auto"/>
        </w:rPr>
        <w:t>enable us to leverage our reputation as a trusted partner and industry leader to cultivate new client relationships across all agencies and departments of the U.S. government.</w:t>
      </w:r>
    </w:p>
    <w:p>
      <w:pPr>
        <w:spacing w:after="0" w:line="48" w:lineRule="exact"/>
        <w:rPr>
          <w:rFonts w:ascii="Arial" w:cs="Arial" w:eastAsia="Arial" w:hAnsi="Arial"/>
          <w:sz w:val="17"/>
          <w:szCs w:val="17"/>
          <w:color w:val="auto"/>
        </w:rPr>
      </w:pPr>
    </w:p>
    <w:p>
      <w:pPr>
        <w:ind w:left="1480" w:right="20" w:hanging="447"/>
        <w:spacing w:after="0" w:line="285"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Commercial Business</w:t>
      </w:r>
      <w:r>
        <w:rPr>
          <w:rFonts w:ascii="Arial" w:cs="Arial" w:eastAsia="Arial" w:hAnsi="Arial"/>
          <w:sz w:val="16"/>
          <w:szCs w:val="16"/>
          <w:color w:val="auto"/>
        </w:rPr>
        <w:t>. As we have done since the expiration of our non-competition agreement on July 31, 2011, we will continue to pursue new</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the commercial market by building on our cyber-related work and leveraging our core competencies, with a focus on serving industries in which there is a strong intersection between government and commercial interests, such as financial services, healthcare, and energy. We will also look to selectively establish a physical presence in strategically important locations with a concentration of potential commercial clients, such as New York City where we expanded our presence in the fall of 2011.</w:t>
      </w:r>
    </w:p>
    <w:p>
      <w:pPr>
        <w:spacing w:after="0" w:line="40" w:lineRule="exact"/>
        <w:rPr>
          <w:rFonts w:ascii="Arial" w:cs="Arial" w:eastAsia="Arial" w:hAnsi="Arial"/>
          <w:sz w:val="16"/>
          <w:szCs w:val="16"/>
          <w:color w:val="auto"/>
        </w:rPr>
      </w:pPr>
    </w:p>
    <w:p>
      <w:pPr>
        <w:ind w:left="1480" w:right="180" w:hanging="447"/>
        <w:spacing w:after="0" w:line="267" w:lineRule="auto"/>
        <w:tabs>
          <w:tab w:leader="none" w:pos="148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Business. </w:t>
      </w:r>
      <w:r>
        <w:rPr>
          <w:rFonts w:ascii="Arial" w:cs="Arial" w:eastAsia="Arial" w:hAnsi="Arial"/>
          <w:sz w:val="17"/>
          <w:szCs w:val="17"/>
          <w:color w:val="auto"/>
        </w:rPr>
        <w:t>As we have done since the expiration of our non-competition agreement on July 31, 2011, we will continue to pursue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to grow internationally. Our international activities are focused on the Middle East and North Africa region, where we see strong demand for our services, in particular in the United Arab Emirates, Qatar, Oman, and Kuwait, and we are expanding our office in Abu Dhabi, United Arab Emirates, to facilitate our international growth.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1"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 on Our Strengths in Emerging Areas</w:t>
      </w:r>
    </w:p>
    <w:p>
      <w:pPr>
        <w:spacing w:after="0" w:line="94"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We will continue to leverage our deep domain expertise and broad capabilities to help our clients address emerging issues. Through the early identification of clients’ emerging needs and the development of adaptive capabilities to help address those needs, we have established strong competencies and functional capabilities in numerous areas of potential growth, including:</w:t>
      </w:r>
    </w:p>
    <w:p>
      <w:pPr>
        <w:spacing w:after="0" w:line="49" w:lineRule="exact"/>
        <w:rPr>
          <w:sz w:val="20"/>
          <w:szCs w:val="20"/>
          <w:color w:val="auto"/>
        </w:rPr>
      </w:pPr>
    </w:p>
    <w:p>
      <w:pPr>
        <w:ind w:left="460" w:right="20"/>
        <w:spacing w:after="0" w:line="299" w:lineRule="auto"/>
        <w:rPr>
          <w:sz w:val="20"/>
          <w:szCs w:val="20"/>
          <w:color w:val="auto"/>
        </w:rPr>
      </w:pPr>
      <w:r>
        <w:rPr>
          <w:rFonts w:ascii="Arial" w:cs="Arial" w:eastAsia="Arial" w:hAnsi="Arial"/>
          <w:sz w:val="15"/>
          <w:szCs w:val="15"/>
          <w:i w:val="1"/>
          <w:iCs w:val="1"/>
          <w:color w:val="auto"/>
        </w:rPr>
        <w:t xml:space="preserve">Cyber. </w:t>
      </w:r>
      <w:r>
        <w:rPr>
          <w:rFonts w:ascii="Arial" w:cs="Arial" w:eastAsia="Arial" w:hAnsi="Arial"/>
          <w:sz w:val="15"/>
          <w:szCs w:val="15"/>
          <w:color w:val="auto"/>
        </w:rPr>
        <w:t>Network-enabled technology now forms the backbone of our economy, infrastructure and national and international security. We have been focused on</w:t>
      </w:r>
      <w:r>
        <w:rPr>
          <w:rFonts w:ascii="Arial" w:cs="Arial" w:eastAsia="Arial" w:hAnsi="Arial"/>
          <w:sz w:val="15"/>
          <w:szCs w:val="15"/>
          <w:i w:val="1"/>
          <w:iCs w:val="1"/>
          <w:color w:val="auto"/>
        </w:rPr>
        <w:t xml:space="preserve"> </w:t>
      </w:r>
      <w:r>
        <w:rPr>
          <w:rFonts w:ascii="Arial" w:cs="Arial" w:eastAsia="Arial" w:hAnsi="Arial"/>
          <w:sz w:val="15"/>
          <w:szCs w:val="15"/>
          <w:color w:val="auto"/>
        </w:rPr>
        <w:t>cyber and predecessor areas, such as information assurance, since 1999 and in information security since the 1980’s. We are currently involved in cyber-related initiatives for national defense, with the creation of the U.S. Cyber Command, intelligence and civil clients, as well as cyber-security initiatives for commercial clients. We have created a framework for dynamic defense of government and commercial networks and information assets based on the following four main components: threat intelligence, incident response, integrated remediation, and pre-emptive response. In January 2012, we formally launched the Booz Allen Cyber Solutions Network ™, an integrated secure network of cyber centers, providing our clients with advanced analytics, cyber training, network defense, and cyber product/technology evaluation services. As of March 31, 2012, over 3,200 employees hold over 5,600 Certifications representing a variety of technical disciplines, including DoD 8570 specified certifications, from various certifying bodies, such as SANS, Comp TIA, Securible, Ultimate Knowledge, and Skillsoft. Additionally, to continue to position our company as a leader across the broad and growing range of areas requiring cyber-related services, we are focused on hiring new employees with cyber-related expertise and cross training existing employees through our Cyber University program.</w:t>
      </w:r>
    </w:p>
    <w:p>
      <w:pPr>
        <w:spacing w:after="0" w:line="37" w:lineRule="exact"/>
        <w:rPr>
          <w:sz w:val="20"/>
          <w:szCs w:val="20"/>
          <w:color w:val="auto"/>
        </w:rPr>
      </w:pPr>
    </w:p>
    <w:p>
      <w:pPr>
        <w:ind w:left="460"/>
        <w:spacing w:after="0" w:line="283" w:lineRule="auto"/>
        <w:rPr>
          <w:sz w:val="20"/>
          <w:szCs w:val="20"/>
          <w:color w:val="auto"/>
        </w:rPr>
      </w:pPr>
      <w:r>
        <w:rPr>
          <w:rFonts w:ascii="Arial" w:cs="Arial" w:eastAsia="Arial" w:hAnsi="Arial"/>
          <w:sz w:val="16"/>
          <w:szCs w:val="16"/>
          <w:i w:val="1"/>
          <w:iCs w:val="1"/>
          <w:color w:val="auto"/>
        </w:rPr>
        <w:t>Enterprise Effectiveness and Efficiency (“E3”)</w:t>
      </w:r>
      <w:r>
        <w:rPr>
          <w:rFonts w:ascii="Arial" w:cs="Arial" w:eastAsia="Arial" w:hAnsi="Arial"/>
          <w:sz w:val="16"/>
          <w:szCs w:val="16"/>
          <w:color w:val="auto"/>
        </w:rPr>
        <w:t>. We are helping our clients address challenges ranging from reducing costs and doing more with less,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completely transforming the way they operate. Our E3 framework focuses on realizing efficiencies through IT management, cost restructuring change management/business process re-engineering, and human resource management/ back office operations. For our U.S. government clients, we are helping them achieve operating and budgetary efficiencies driven by the need to control spending while simultaneously pursuing numerous policy initiatives. In addition, recent U.S. government reforms in the procurement area may allow us to leverage our status as a large, objective service provider to win additional assignments to the extent that we are able to address organizational conflicts of interest and similar concerns more easily than our competitors.</w:t>
      </w:r>
    </w:p>
    <w:p>
      <w:pPr>
        <w:spacing w:after="0" w:line="42" w:lineRule="exact"/>
        <w:rPr>
          <w:sz w:val="20"/>
          <w:szCs w:val="20"/>
          <w:color w:val="auto"/>
        </w:rPr>
      </w:pPr>
    </w:p>
    <w:p>
      <w:pPr>
        <w:ind w:left="460" w:right="20"/>
        <w:spacing w:after="0" w:line="281" w:lineRule="auto"/>
        <w:rPr>
          <w:sz w:val="20"/>
          <w:szCs w:val="20"/>
          <w:color w:val="auto"/>
        </w:rPr>
      </w:pPr>
      <w:r>
        <w:rPr>
          <w:rFonts w:ascii="Arial" w:cs="Arial" w:eastAsia="Arial" w:hAnsi="Arial"/>
          <w:sz w:val="16"/>
          <w:szCs w:val="16"/>
          <w:i w:val="1"/>
          <w:iCs w:val="1"/>
          <w:color w:val="auto"/>
        </w:rPr>
        <w:t xml:space="preserve">Ongoing Healthcare Transformation. </w:t>
      </w:r>
      <w:r>
        <w:rPr>
          <w:rFonts w:ascii="Arial" w:cs="Arial" w:eastAsia="Arial" w:hAnsi="Arial"/>
          <w:sz w:val="16"/>
          <w:szCs w:val="16"/>
          <w:color w:val="auto"/>
        </w:rPr>
        <w:t>We expect recent and ongoing developments in the healthcare market, such as the passage of the Affordable Care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2010 and the Health Information Technology for Economic and Clinical Health Act of 2009, to increase demand for our healthcare consulting capabilities across government, military, and commercial healthcare markets. In 2002, we began a focused expansion of our healthcare consulting business, and the current scale of that business, together with our technology-related capabilities, provide us with a strong platform from which to address our clients’ increased focus on the interoperability of healthcare IT platforms, healthcare policy, and payment and caregiver reforms. Our current areas of focus include: health technology, health market infrastructure, global health issues, health facilities transformation (with a particular focus on the Veterans Administration), cyber privacy solutions for health information, behavioral health, and population health.</w:t>
      </w:r>
    </w:p>
    <w:p>
      <w:pPr>
        <w:spacing w:after="0" w:line="46" w:lineRule="exact"/>
        <w:rPr>
          <w:sz w:val="20"/>
          <w:szCs w:val="20"/>
          <w:color w:val="auto"/>
        </w:rPr>
      </w:pPr>
    </w:p>
    <w:p>
      <w:pPr>
        <w:ind w:left="460" w:right="40"/>
        <w:spacing w:after="0" w:line="313" w:lineRule="auto"/>
        <w:rPr>
          <w:sz w:val="20"/>
          <w:szCs w:val="20"/>
          <w:color w:val="auto"/>
        </w:rPr>
      </w:pPr>
      <w:r>
        <w:rPr>
          <w:rFonts w:ascii="Arial" w:cs="Arial" w:eastAsia="Arial" w:hAnsi="Arial"/>
          <w:sz w:val="15"/>
          <w:szCs w:val="15"/>
          <w:i w:val="1"/>
          <w:iCs w:val="1"/>
          <w:color w:val="auto"/>
        </w:rPr>
        <w:t xml:space="preserve">Engineering Services. </w:t>
      </w:r>
      <w:r>
        <w:rPr>
          <w:rFonts w:ascii="Arial" w:cs="Arial" w:eastAsia="Arial" w:hAnsi="Arial"/>
          <w:sz w:val="15"/>
          <w:szCs w:val="15"/>
          <w:color w:val="auto"/>
        </w:rPr>
        <w:t>We serve our clients by applying our broad and deep expertise in engineering, ranging from micro-electronics to biomedical engineering</w:t>
      </w:r>
      <w:r>
        <w:rPr>
          <w:rFonts w:ascii="Arial" w:cs="Arial" w:eastAsia="Arial" w:hAnsi="Arial"/>
          <w:sz w:val="15"/>
          <w:szCs w:val="15"/>
          <w:i w:val="1"/>
          <w:iCs w:val="1"/>
          <w:color w:val="auto"/>
        </w:rPr>
        <w:t xml:space="preserve"> </w:t>
      </w:r>
      <w:r>
        <w:rPr>
          <w:rFonts w:ascii="Arial" w:cs="Arial" w:eastAsia="Arial" w:hAnsi="Arial"/>
          <w:sz w:val="15"/>
          <w:szCs w:val="15"/>
          <w:color w:val="auto"/>
        </w:rPr>
        <w:t>and high-energy lasers, to develop proof-of-concept designs, reverse engineer current products and systems, and build test prototypes. Additionally, we provide sophisticated systems engineering and integration, or SE&amp;I, services to help clients manage every phase of the development and integration of increasingly sophisticated information technology, communications and mission systems – ranging from satellite and space systems to air traffic control and naval systems.</w:t>
      </w:r>
    </w:p>
    <w:p>
      <w:pPr>
        <w:spacing w:after="0" w:line="22" w:lineRule="exact"/>
        <w:rPr>
          <w:sz w:val="20"/>
          <w:szCs w:val="20"/>
          <w:color w:val="auto"/>
        </w:rPr>
      </w:pPr>
    </w:p>
    <w:p>
      <w:pPr>
        <w:ind w:left="460" w:right="80"/>
        <w:spacing w:after="0" w:line="354" w:lineRule="auto"/>
        <w:rPr>
          <w:sz w:val="20"/>
          <w:szCs w:val="20"/>
          <w:color w:val="auto"/>
        </w:rPr>
      </w:pPr>
      <w:r>
        <w:rPr>
          <w:rFonts w:ascii="Arial" w:cs="Arial" w:eastAsia="Arial" w:hAnsi="Arial"/>
          <w:sz w:val="15"/>
          <w:szCs w:val="15"/>
          <w:i w:val="1"/>
          <w:iCs w:val="1"/>
          <w:color w:val="auto"/>
        </w:rPr>
        <w:t>Cloud-Based Services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U.S. government and commercial markets have experienced a rise in the use of cloud computing, which allows shared resources and</w:t>
      </w:r>
      <w:r>
        <w:rPr>
          <w:rFonts w:ascii="Arial" w:cs="Arial" w:eastAsia="Arial" w:hAnsi="Arial"/>
          <w:sz w:val="15"/>
          <w:szCs w:val="15"/>
          <w:i w:val="1"/>
          <w:iCs w:val="1"/>
          <w:color w:val="auto"/>
        </w:rPr>
        <w:t xml:space="preserve"> </w:t>
      </w:r>
      <w:r>
        <w:rPr>
          <w:rFonts w:ascii="Arial" w:cs="Arial" w:eastAsia="Arial" w:hAnsi="Arial"/>
          <w:sz w:val="15"/>
          <w:szCs w:val="15"/>
          <w:color w:val="auto"/>
        </w:rPr>
        <w:t>software to be provided to computers and other devices on-demand without requiring new user infrastructure. In addition, the use of cloud computing provides</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1"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line="267" w:lineRule="auto"/>
        <w:rPr>
          <w:sz w:val="20"/>
          <w:szCs w:val="20"/>
          <w:color w:val="auto"/>
        </w:rPr>
      </w:pPr>
      <w:r>
        <w:rPr>
          <w:rFonts w:ascii="Arial" w:cs="Arial" w:eastAsia="Arial" w:hAnsi="Arial"/>
          <w:sz w:val="17"/>
          <w:szCs w:val="17"/>
          <w:color w:val="auto"/>
        </w:rPr>
        <w:t>clients with economical data storage and retrieval options. Building on our foundation of advanced information technology and our proven capabilities in strategy and change management, analytics, systems development and cyber technology, we have created a major initiative in cloud-based services, through which we intend to serve our clients by using cloud computing solutions to deliver cost savings, improved mission effectiveness, improved data analytics and improved IT infrastructure, including data center migration and optimization.</w:t>
      </w:r>
    </w:p>
    <w:p>
      <w:pPr>
        <w:spacing w:after="0" w:line="131"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We will also continue to invest significant resources in our efforts to identify near-term developments and long-term trends that may present significant challenges or opportunities for our clients. Our single profit center and one-firm culture afford us the flexibility to devote company-wide resources and key intellectual capital to developing the functional capabilities and expertise needed to address those issues. We have regularly allocated significant resources to these business development efforts and have successfully transitioned several such initiatives into meaningful contributors to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Clients and Capabilities</w:t>
      </w:r>
    </w:p>
    <w:p>
      <w:pPr>
        <w:spacing w:after="0" w:line="100" w:lineRule="exact"/>
        <w:rPr>
          <w:sz w:val="20"/>
          <w:szCs w:val="20"/>
          <w:color w:val="auto"/>
        </w:rPr>
      </w:pPr>
    </w:p>
    <w:p>
      <w:pPr>
        <w:ind w:right="60" w:firstLine="457"/>
        <w:spacing w:after="0" w:line="317" w:lineRule="auto"/>
        <w:rPr>
          <w:sz w:val="20"/>
          <w:szCs w:val="20"/>
          <w:color w:val="auto"/>
        </w:rPr>
      </w:pPr>
      <w:r>
        <w:rPr>
          <w:rFonts w:ascii="Arial" w:cs="Arial" w:eastAsia="Arial" w:hAnsi="Arial"/>
          <w:sz w:val="16"/>
          <w:szCs w:val="16"/>
          <w:color w:val="auto"/>
        </w:rPr>
        <w:t>The diagram below illustrates the way we deploy our four capability areas, including specified areas of expertise, to serve our defense, intelligence, and civil clients. Our dynamic matrix of functional capabilities and domain expertise plays a critical role in our efforts to deliver results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1090295</wp:posOffset>
            </wp:positionH>
            <wp:positionV relativeFrom="paragraph">
              <wp:posOffset>189865</wp:posOffset>
            </wp:positionV>
            <wp:extent cx="5084445" cy="263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4445"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451" w:right="3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Deployment of Capabilities to Serve Clients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Clients</w:t>
      </w:r>
    </w:p>
    <w:p>
      <w:pPr>
        <w:spacing w:after="0" w:line="94" w:lineRule="exact"/>
        <w:rPr>
          <w:sz w:val="20"/>
          <w:szCs w:val="20"/>
          <w:color w:val="auto"/>
        </w:rPr>
      </w:pPr>
    </w:p>
    <w:p>
      <w:pPr>
        <w:ind w:right="180" w:firstLine="457"/>
        <w:spacing w:after="0" w:line="317" w:lineRule="auto"/>
        <w:rPr>
          <w:sz w:val="20"/>
          <w:szCs w:val="20"/>
          <w:color w:val="auto"/>
        </w:rPr>
      </w:pPr>
      <w:r>
        <w:rPr>
          <w:rFonts w:ascii="Arial" w:cs="Arial" w:eastAsia="Arial" w:hAnsi="Arial"/>
          <w:sz w:val="16"/>
          <w:szCs w:val="16"/>
          <w:color w:val="auto"/>
        </w:rPr>
        <w:t>We have strong and longstanding relationships with a diverse group of clients at all levels of the U.S. government. In addition, as a result of our re-entry into the commercial market and our growing international business, we have a growing group of commercial and non-U.S. government clients.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Selected Long-Term Client Relationships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89"/>
              </w:rPr>
              <w:t>Relationship</w:t>
            </w:r>
          </w:p>
        </w:tc>
        <w:tc>
          <w:tcPr>
            <w:tcW w:w="0" w:type="dxa"/>
            <w:vAlign w:val="bottom"/>
          </w:tcPr>
          <w:p>
            <w:pPr>
              <w:spacing w:after="0"/>
              <w:rPr>
                <w:sz w:val="1"/>
                <w:szCs w:val="1"/>
                <w:color w:val="auto"/>
              </w:rPr>
            </w:pPr>
          </w:p>
        </w:tc>
      </w:tr>
      <w:tr>
        <w:trPr>
          <w:trHeight w:val="145"/>
        </w:trPr>
        <w:tc>
          <w:tcPr>
            <w:tcW w:w="560" w:type="dxa"/>
            <w:vAlign w:val="bottom"/>
            <w:vMerge w:val="restart"/>
          </w:tcPr>
          <w:p>
            <w:pPr>
              <w:spacing w:after="0"/>
              <w:rPr>
                <w:sz w:val="20"/>
                <w:szCs w:val="20"/>
                <w:color w:val="auto"/>
              </w:rPr>
            </w:pPr>
            <w:r>
              <w:rPr>
                <w:rFonts w:ascii="Arial" w:cs="Arial" w:eastAsia="Arial" w:hAnsi="Arial"/>
                <w:sz w:val="13"/>
                <w:szCs w:val="13"/>
                <w:b w:val="1"/>
                <w:bCs w:val="1"/>
                <w:color w:val="auto"/>
                <w:w w:val="97"/>
              </w:rPr>
              <w:t>Client (1)</w:t>
            </w:r>
          </w:p>
        </w:tc>
        <w:tc>
          <w:tcPr>
            <w:tcW w:w="6380" w:type="dxa"/>
            <w:vAlign w:val="bottom"/>
            <w:vMerge w:val="restart"/>
          </w:tcPr>
          <w:p>
            <w:pPr>
              <w:spacing w:after="0"/>
              <w:rPr>
                <w:sz w:val="12"/>
                <w:szCs w:val="12"/>
                <w:color w:val="auto"/>
              </w:rPr>
            </w:pPr>
          </w:p>
        </w:tc>
        <w:tc>
          <w:tcPr>
            <w:tcW w:w="720" w:type="dxa"/>
            <w:vAlign w:val="bottom"/>
          </w:tcPr>
          <w:p>
            <w:pPr>
              <w:jc w:val="right"/>
              <w:ind w:right="79"/>
              <w:spacing w:after="0" w:line="145" w:lineRule="exact"/>
              <w:rPr>
                <w:sz w:val="20"/>
                <w:szCs w:val="20"/>
                <w:color w:val="auto"/>
              </w:rPr>
            </w:pPr>
            <w:r>
              <w:rPr>
                <w:rFonts w:ascii="Arial" w:cs="Arial" w:eastAsia="Arial" w:hAnsi="Arial"/>
                <w:sz w:val="13"/>
                <w:szCs w:val="13"/>
                <w:b w:val="1"/>
                <w:bCs w:val="1"/>
                <w:color w:val="auto"/>
              </w:rPr>
              <w:t>Length</w:t>
            </w:r>
          </w:p>
        </w:tc>
        <w:tc>
          <w:tcPr>
            <w:tcW w:w="0" w:type="dxa"/>
            <w:vAlign w:val="bottom"/>
          </w:tcPr>
          <w:p>
            <w:pPr>
              <w:spacing w:after="0"/>
              <w:rPr>
                <w:sz w:val="1"/>
                <w:szCs w:val="1"/>
                <w:color w:val="auto"/>
              </w:rPr>
            </w:pPr>
          </w:p>
        </w:tc>
      </w:tr>
      <w:tr>
        <w:trPr>
          <w:trHeight w:val="165"/>
        </w:trPr>
        <w:tc>
          <w:tcPr>
            <w:tcW w:w="56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720" w:type="dxa"/>
            <w:vAlign w:val="bottom"/>
            <w:tcBorders>
              <w:bottom w:val="single" w:sz="8" w:color="auto"/>
            </w:tcBorders>
          </w:tcPr>
          <w:p>
            <w:pPr>
              <w:jc w:val="right"/>
              <w:ind w:right="79"/>
              <w:spacing w:after="0" w:line="144" w:lineRule="exact"/>
              <w:rPr>
                <w:sz w:val="20"/>
                <w:szCs w:val="20"/>
                <w:color w:val="auto"/>
              </w:rPr>
            </w:pPr>
            <w:r>
              <w:rPr>
                <w:rFonts w:ascii="Arial" w:cs="Arial" w:eastAsia="Arial" w:hAnsi="Arial"/>
                <w:sz w:val="13"/>
                <w:szCs w:val="13"/>
                <w:b w:val="1"/>
                <w:bCs w:val="1"/>
                <w:color w:val="auto"/>
              </w:rPr>
              <w:t>(Years)</w:t>
            </w:r>
          </w:p>
        </w:tc>
        <w:tc>
          <w:tcPr>
            <w:tcW w:w="0" w:type="dxa"/>
            <w:vAlign w:val="bottom"/>
          </w:tcPr>
          <w:p>
            <w:pPr>
              <w:spacing w:after="0"/>
              <w:rPr>
                <w:sz w:val="1"/>
                <w:szCs w:val="1"/>
                <w:color w:val="auto"/>
              </w:rPr>
            </w:pPr>
          </w:p>
        </w:tc>
      </w:tr>
      <w:tr>
        <w:trPr>
          <w:trHeight w:val="189"/>
        </w:trPr>
        <w:tc>
          <w:tcPr>
            <w:tcW w:w="6940" w:type="dxa"/>
            <w:vAlign w:val="bottom"/>
            <w:gridSpan w:val="2"/>
          </w:tcPr>
          <w:p>
            <w:pPr>
              <w:spacing w:after="0" w:line="189" w:lineRule="exact"/>
              <w:rPr>
                <w:sz w:val="20"/>
                <w:szCs w:val="20"/>
                <w:color w:val="auto"/>
              </w:rPr>
            </w:pPr>
            <w:r>
              <w:rPr>
                <w:rFonts w:ascii="Arial" w:cs="Arial" w:eastAsia="Arial" w:hAnsi="Arial"/>
                <w:sz w:val="17"/>
                <w:szCs w:val="17"/>
                <w:color w:val="auto"/>
              </w:rPr>
              <w:t>U.S. Navy</w:t>
            </w:r>
          </w:p>
        </w:tc>
        <w:tc>
          <w:tcPr>
            <w:tcW w:w="720" w:type="dxa"/>
            <w:vAlign w:val="bottom"/>
          </w:tcPr>
          <w:p>
            <w:pPr>
              <w:jc w:val="right"/>
              <w:spacing w:after="0" w:line="189"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U.S. Army</w:t>
            </w:r>
          </w:p>
        </w:tc>
        <w:tc>
          <w:tcPr>
            <w:tcW w:w="72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National Security Agency</w:t>
            </w: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Department of Homeland Security</w:t>
            </w: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U.S. Air Force</w:t>
            </w:r>
          </w:p>
        </w:tc>
        <w:tc>
          <w:tcPr>
            <w:tcW w:w="72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National Reconnaissance Office</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A U.S. intelligence agency</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Department of Energy</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1"/>
        </w:trPr>
        <w:tc>
          <w:tcPr>
            <w:tcW w:w="6940" w:type="dxa"/>
            <w:vAlign w:val="bottom"/>
            <w:gridSpan w:val="2"/>
          </w:tcPr>
          <w:p>
            <w:pPr>
              <w:spacing w:after="0"/>
              <w:rPr>
                <w:sz w:val="20"/>
                <w:szCs w:val="20"/>
                <w:color w:val="auto"/>
              </w:rPr>
            </w:pPr>
            <w:r>
              <w:rPr>
                <w:rFonts w:ascii="Arial" w:cs="Arial" w:eastAsia="Arial" w:hAnsi="Arial"/>
                <w:sz w:val="17"/>
                <w:szCs w:val="17"/>
                <w:color w:val="auto"/>
              </w:rPr>
              <w:t>Federal Bureau of Investigation</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7"/>
        </w:trPr>
        <w:tc>
          <w:tcPr>
            <w:tcW w:w="6940" w:type="dxa"/>
            <w:vAlign w:val="bottom"/>
            <w:gridSpan w:val="2"/>
          </w:tcPr>
          <w:p>
            <w:pPr>
              <w:spacing w:after="0"/>
              <w:rPr>
                <w:sz w:val="20"/>
                <w:szCs w:val="20"/>
                <w:color w:val="auto"/>
              </w:rPr>
            </w:pPr>
            <w:r>
              <w:rPr>
                <w:rFonts w:ascii="Arial" w:cs="Arial" w:eastAsia="Arial" w:hAnsi="Arial"/>
                <w:sz w:val="17"/>
                <w:szCs w:val="17"/>
                <w:color w:val="auto"/>
              </w:rPr>
              <w:t>Internal Revenue Service</w:t>
            </w:r>
          </w:p>
        </w:tc>
        <w:tc>
          <w:tcPr>
            <w:tcW w:w="7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Includes predecessor organizations.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Defense Clients</w:t>
      </w:r>
    </w:p>
    <w:p>
      <w:pPr>
        <w:spacing w:after="0" w:line="94" w:lineRule="exact"/>
        <w:rPr>
          <w:sz w:val="20"/>
          <w:szCs w:val="20"/>
          <w:color w:val="auto"/>
        </w:rPr>
      </w:pPr>
    </w:p>
    <w:p>
      <w:pPr>
        <w:jc w:val="both"/>
        <w:ind w:right="520" w:firstLine="457"/>
        <w:spacing w:after="0" w:line="348" w:lineRule="auto"/>
        <w:rPr>
          <w:sz w:val="20"/>
          <w:szCs w:val="20"/>
          <w:color w:val="auto"/>
        </w:rPr>
      </w:pPr>
      <w:r>
        <w:rPr>
          <w:rFonts w:ascii="Arial" w:cs="Arial" w:eastAsia="Arial" w:hAnsi="Arial"/>
          <w:sz w:val="15"/>
          <w:szCs w:val="15"/>
          <w:color w:val="auto"/>
        </w:rPr>
        <w:t>Our reputation and track record in serving the U.S. military and defense agencies spans 70 years. Our defense business revenue represented 53% of our business based on revenue for fiscal 2012. Our revenue in this area for fiscal 2012 was approximately $3.0 billion. Our key defense clients are set forth below.</w:t>
      </w:r>
    </w:p>
    <w:p>
      <w:pPr>
        <w:ind w:left="900" w:hanging="328"/>
        <w:spacing w:after="0" w:line="30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U.S. Army. </w:t>
      </w:r>
      <w:r>
        <w:rPr>
          <w:rFonts w:ascii="Arial" w:cs="Arial" w:eastAsia="Arial" w:hAnsi="Arial"/>
          <w:sz w:val="15"/>
          <w:szCs w:val="15"/>
          <w:color w:val="auto"/>
        </w:rPr>
        <w:t>For over 60 years, we have addressed challenges for the U.S. Army at the strategic, operational, and tactical levels by bringing experienced</w:t>
      </w:r>
      <w:r>
        <w:rPr>
          <w:rFonts w:ascii="Arial" w:cs="Arial" w:eastAsia="Arial" w:hAnsi="Arial"/>
          <w:sz w:val="15"/>
          <w:szCs w:val="15"/>
          <w:i w:val="1"/>
          <w:iCs w:val="1"/>
          <w:color w:val="auto"/>
        </w:rPr>
        <w:t xml:space="preserve"> </w:t>
      </w:r>
      <w:r>
        <w:rPr>
          <w:rFonts w:ascii="Arial" w:cs="Arial" w:eastAsia="Arial" w:hAnsi="Arial"/>
          <w:sz w:val="15"/>
          <w:szCs w:val="15"/>
          <w:color w:val="auto"/>
        </w:rPr>
        <w:t>people, high quality processes, and advanced technologies together. We work with our U.S. Army clients to help sustain their land combat capabilities while responding to current demands and preparing for future needs. Recent examples of the services that we have provided include enhancing field intelligence systems, delivering rapid response solutions to counter improvised explosive devices, infusing lifecycle sustainment capabilities to improve distribution and delivery of material, and employing systems and consulting methods to help expand care and support for soldiers and their families. Our clients include Army Headquarters, Army Material Command (AMC), Forces Command (FORSCOM), Training and Doctrine Command (TRADOC), and many Program Executive Offices, Direct Reporting Units and Army Service Component Commands.</w:t>
      </w:r>
    </w:p>
    <w:p>
      <w:pPr>
        <w:spacing w:after="0" w:line="29" w:lineRule="exact"/>
        <w:rPr>
          <w:rFonts w:ascii="Arial" w:cs="Arial" w:eastAsia="Arial" w:hAnsi="Arial"/>
          <w:sz w:val="15"/>
          <w:szCs w:val="15"/>
          <w:color w:val="auto"/>
        </w:rPr>
      </w:pPr>
    </w:p>
    <w:p>
      <w:pPr>
        <w:ind w:left="900" w:right="220" w:hanging="328"/>
        <w:spacing w:after="0" w:line="305"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U.S. Navy/Marine Corps. </w:t>
      </w:r>
      <w:r>
        <w:rPr>
          <w:rFonts w:ascii="Arial" w:cs="Arial" w:eastAsia="Arial" w:hAnsi="Arial"/>
          <w:sz w:val="15"/>
          <w:szCs w:val="15"/>
          <w:color w:val="auto"/>
        </w:rPr>
        <w:t>We have supported the U.S. Navy for over 70 years. We employ a multidimensional approach that analyzes and balances</w:t>
      </w:r>
      <w:r>
        <w:rPr>
          <w:rFonts w:ascii="Arial" w:cs="Arial" w:eastAsia="Arial" w:hAnsi="Arial"/>
          <w:sz w:val="15"/>
          <w:szCs w:val="15"/>
          <w:i w:val="1"/>
          <w:iCs w:val="1"/>
          <w:color w:val="auto"/>
        </w:rPr>
        <w:t xml:space="preserve"> </w:t>
      </w:r>
      <w:r>
        <w:rPr>
          <w:rFonts w:ascii="Arial" w:cs="Arial" w:eastAsia="Arial" w:hAnsi="Arial"/>
          <w:sz w:val="15"/>
          <w:szCs w:val="15"/>
          <w:color w:val="auto"/>
        </w:rPr>
        <w:t>people, processes, technology, and infrastructure to meet their missions of equipping global forces for greater flexibility, mobility, and efficiency, sustaining results while reducing costs, and integrating new technology. Our clients include the Office of the Secretary of the Navy, Chief of Naval Operations, the Commandant of the Marine Corps to the Office of Naval Intelligence, and U.S. Navy/Marine Corps operating commands and systems commands, as well as the Joint Program Executive Offices (PEO) and individual PEOs such as Naval Air Systems Command (NAVAIR), Naval Seas Systems Command (NAVSEA), U.S. Marine Corps Systems Command, and Space and Naval Warfare (SPAWAR).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451" w:right="27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right="20" w:hanging="328"/>
        <w:spacing w:after="0" w:line="28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U.S. Air Force/NASA/Aerospace. </w:t>
      </w:r>
      <w:r>
        <w:rPr>
          <w:rFonts w:ascii="Arial" w:cs="Arial" w:eastAsia="Arial" w:hAnsi="Arial"/>
          <w:sz w:val="16"/>
          <w:szCs w:val="16"/>
          <w:color w:val="auto"/>
        </w:rPr>
        <w:t>We provide integrated strategy and technical services to the U.S. Air Force. Our skilled strategists and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experts bring diverse capabilities to assignments that include weapons analysis, capability-based planning, and aircraft systems engineering. We also support the space industry in applying new technologies, integrating space operations, and using strategies to address the technical issues, cost, schedule, and risk of space systems. Our clients include Air Combat Command, Air Force Space Command, Air Force Materiel Command, Air Mobility Command, Air Force Cyber Command, Air Force Pacific Command and National Aeronautics and Space Administration (NASA).</w:t>
      </w:r>
    </w:p>
    <w:p>
      <w:pPr>
        <w:spacing w:after="0" w:line="40" w:lineRule="exact"/>
        <w:rPr>
          <w:rFonts w:ascii="Arial" w:cs="Arial" w:eastAsia="Arial" w:hAnsi="Arial"/>
          <w:sz w:val="16"/>
          <w:szCs w:val="16"/>
          <w:color w:val="auto"/>
        </w:rPr>
      </w:pPr>
    </w:p>
    <w:p>
      <w:pPr>
        <w:ind w:left="900" w:right="40" w:hanging="328"/>
        <w:spacing w:after="0" w:line="26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Joint Staff and Combatant Commands. </w:t>
      </w:r>
      <w:r>
        <w:rPr>
          <w:rFonts w:ascii="Arial" w:cs="Arial" w:eastAsia="Arial" w:hAnsi="Arial"/>
          <w:sz w:val="17"/>
          <w:szCs w:val="17"/>
          <w:color w:val="auto"/>
        </w:rPr>
        <w:t>We provide mission-critical support to the Office of the Secretary of Defense, the Joint Staff, the Combatant</w:t>
      </w:r>
      <w:r>
        <w:rPr>
          <w:rFonts w:ascii="Arial" w:cs="Arial" w:eastAsia="Arial" w:hAnsi="Arial"/>
          <w:sz w:val="17"/>
          <w:szCs w:val="17"/>
          <w:i w:val="1"/>
          <w:iCs w:val="1"/>
          <w:color w:val="auto"/>
        </w:rPr>
        <w:t xml:space="preserve"> </w:t>
      </w:r>
      <w:r>
        <w:rPr>
          <w:rFonts w:ascii="Arial" w:cs="Arial" w:eastAsia="Arial" w:hAnsi="Arial"/>
          <w:sz w:val="17"/>
          <w:szCs w:val="17"/>
          <w:color w:val="auto"/>
        </w:rPr>
        <w:t>Commands (COCOMs), and other U.S. government departments and agencies during the planning and mission execution phases to meet global mission requirements ranging from integrated intelligence, surveillance, and reconnaissance (ISR) to space and global strike operations. Our clients include most major organizations within the Office of the Secretary of Defense and the Department of Defense’s agencies, as well as the Pacific Command, Northern Command, Central Command, the Defense Information Systems Agency (DISA), Southern Command, European Command, Strategic Command, Special Operations Command, and Transportation Command.</w:t>
      </w:r>
    </w:p>
    <w:p>
      <w:pPr>
        <w:spacing w:after="0" w:line="57" w:lineRule="exact"/>
        <w:rPr>
          <w:rFonts w:ascii="Arial" w:cs="Arial" w:eastAsia="Arial" w:hAnsi="Arial"/>
          <w:sz w:val="17"/>
          <w:szCs w:val="17"/>
          <w:color w:val="auto"/>
        </w:rPr>
      </w:pPr>
    </w:p>
    <w:p>
      <w:pPr>
        <w:ind w:left="900" w:hanging="328"/>
        <w:spacing w:after="0" w:line="313"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Cyber/Military Intelligence. </w:t>
      </w:r>
      <w:r>
        <w:rPr>
          <w:rFonts w:ascii="Arial" w:cs="Arial" w:eastAsia="Arial" w:hAnsi="Arial"/>
          <w:sz w:val="15"/>
          <w:szCs w:val="15"/>
          <w:color w:val="auto"/>
        </w:rPr>
        <w:t>We provide advanced solutions designed to protect critical infrastructure systems for the public and private sector to our</w:t>
      </w:r>
      <w:r>
        <w:rPr>
          <w:rFonts w:ascii="Arial" w:cs="Arial" w:eastAsia="Arial" w:hAnsi="Arial"/>
          <w:sz w:val="15"/>
          <w:szCs w:val="15"/>
          <w:i w:val="1"/>
          <w:iCs w:val="1"/>
          <w:color w:val="auto"/>
        </w:rPr>
        <w:t xml:space="preserve"> </w:t>
      </w:r>
      <w:r>
        <w:rPr>
          <w:rFonts w:ascii="Arial" w:cs="Arial" w:eastAsia="Arial" w:hAnsi="Arial"/>
          <w:sz w:val="15"/>
          <w:szCs w:val="15"/>
          <w:color w:val="auto"/>
        </w:rPr>
        <w:t>U.S. government defense and intelligence agency clients to meet new and evolving cyber warfare threats. Our cyber professionals, many with the highest security clearances to handle the most sensitive materials, assist clients in all phases of cyber-security operations and dynamic network defense. We develop cyber-security solutions utilizing a multi-dimensional approach including people, operations, technology, policy, and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Intelligence Clients</w:t>
      </w:r>
    </w:p>
    <w:p>
      <w:pPr>
        <w:spacing w:after="0" w:line="94" w:lineRule="exact"/>
        <w:rPr>
          <w:sz w:val="20"/>
          <w:szCs w:val="20"/>
          <w:color w:val="auto"/>
        </w:rPr>
      </w:pPr>
    </w:p>
    <w:p>
      <w:pPr>
        <w:ind w:right="260" w:firstLine="457"/>
        <w:spacing w:after="0" w:line="308" w:lineRule="auto"/>
        <w:rPr>
          <w:sz w:val="20"/>
          <w:szCs w:val="20"/>
          <w:color w:val="auto"/>
        </w:rPr>
      </w:pPr>
      <w:r>
        <w:rPr>
          <w:rFonts w:ascii="Arial" w:cs="Arial" w:eastAsia="Arial" w:hAnsi="Arial"/>
          <w:sz w:val="15"/>
          <w:szCs w:val="15"/>
          <w:color w:val="auto"/>
        </w:rPr>
        <w:t>We have provided the primary group of government agencies and organizations that carry out intelligence activities for the U.S. government (the U.S. Intelligence Community), with forward-thinking, success-oriented consulting and mission support services in analysis, systems engineering, program management, operations, organization, and change management, budget and resource management, studies, and war-gaming. This critical business area has strong barriers to entry for competitors because of the specialized expertise and high-level security clearances required. Our intelligence business represented 23% of our business based on revenue for fiscal 2012. Revenue in this area for fiscal 2012 was approximately $1.3 billion. Our major intelligence clients include:</w:t>
      </w:r>
    </w:p>
    <w:p>
      <w:pPr>
        <w:spacing w:after="0" w:line="26" w:lineRule="exact"/>
        <w:rPr>
          <w:sz w:val="20"/>
          <w:szCs w:val="20"/>
          <w:color w:val="auto"/>
        </w:rPr>
      </w:pPr>
    </w:p>
    <w:p>
      <w:pPr>
        <w:ind w:left="900" w:right="380" w:hanging="328"/>
        <w:spacing w:after="0" w:line="28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U.S. Intelligence Agencies. </w:t>
      </w:r>
      <w:r>
        <w:rPr>
          <w:rFonts w:ascii="Arial" w:cs="Arial" w:eastAsia="Arial" w:hAnsi="Arial"/>
          <w:sz w:val="16"/>
          <w:szCs w:val="16"/>
          <w:color w:val="auto"/>
        </w:rPr>
        <w:t>We provide critical support in strategic planning, policy development, program development and execution,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sharing, architecture, and program management for research and development projects, as well as support to reform initiatives flowing from the Intelligence Reform and Terrorism Protection Act. We help clients improve the processes and substance of intelligence information provided to the executive and legislative branches of the U.S. government for policy development and operational decision making.</w:t>
      </w:r>
    </w:p>
    <w:p>
      <w:pPr>
        <w:spacing w:after="0" w:line="35" w:lineRule="exact"/>
        <w:rPr>
          <w:rFonts w:ascii="Arial" w:cs="Arial" w:eastAsia="Arial" w:hAnsi="Arial"/>
          <w:sz w:val="16"/>
          <w:szCs w:val="16"/>
          <w:color w:val="auto"/>
        </w:rPr>
      </w:pPr>
    </w:p>
    <w:p>
      <w:pPr>
        <w:ind w:left="900" w:right="100" w:hanging="328"/>
        <w:spacing w:after="0" w:line="271"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Joint Staff and Unified Combatant Commands. </w:t>
      </w:r>
      <w:r>
        <w:rPr>
          <w:rFonts w:ascii="Arial" w:cs="Arial" w:eastAsia="Arial" w:hAnsi="Arial"/>
          <w:sz w:val="17"/>
          <w:szCs w:val="17"/>
          <w:color w:val="auto"/>
        </w:rPr>
        <w:t>We deliver comprehensive intelligence analysis, including providing all-source intelligence analysis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open-source intelligence analysis conducted in high intensity environments. We also provide data collection management and analytical systems intelligence training services, and provide intellectual capital and best practices for intelligence activities.</w:t>
      </w:r>
    </w:p>
    <w:p>
      <w:pPr>
        <w:spacing w:after="0" w:line="48" w:lineRule="exact"/>
        <w:rPr>
          <w:rFonts w:ascii="Arial" w:cs="Arial" w:eastAsia="Arial" w:hAnsi="Arial"/>
          <w:sz w:val="17"/>
          <w:szCs w:val="17"/>
          <w:color w:val="auto"/>
        </w:rPr>
      </w:pPr>
    </w:p>
    <w:p>
      <w:pPr>
        <w:ind w:left="900" w:right="1160" w:hanging="328"/>
        <w:spacing w:after="0" w:line="317"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Military Intelligence. </w:t>
      </w:r>
      <w:r>
        <w:rPr>
          <w:rFonts w:ascii="Arial" w:cs="Arial" w:eastAsia="Arial" w:hAnsi="Arial"/>
          <w:sz w:val="16"/>
          <w:szCs w:val="16"/>
          <w:color w:val="auto"/>
        </w:rPr>
        <w:t>We provide consulting services, integrated intelligence and information operations mission support, and a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counterintelligence services to the U.S. Army, U.S. Air Force, U.S. Navy, Marine Corps, and Defense Intelligence Agency.</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51"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Civil Clients</w:t>
      </w:r>
    </w:p>
    <w:p>
      <w:pPr>
        <w:spacing w:after="0" w:line="94"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Support to civil government agencies of the U.S. government and U.S.-funded international development work has grown significantly as a percentage of our overall business. The Federal Procurement Data System ranked us 16</w:t>
      </w:r>
      <w:r>
        <w:rPr>
          <w:rFonts w:ascii="Arial" w:cs="Arial" w:eastAsia="Arial" w:hAnsi="Arial"/>
          <w:sz w:val="10"/>
          <w:szCs w:val="10"/>
          <w:color w:val="auto"/>
        </w:rPr>
        <w:t>th</w:t>
      </w:r>
      <w:r>
        <w:rPr>
          <w:rFonts w:ascii="Arial" w:cs="Arial" w:eastAsia="Arial" w:hAnsi="Arial"/>
          <w:sz w:val="17"/>
          <w:szCs w:val="17"/>
          <w:color w:val="auto"/>
        </w:rPr>
        <w:t xml:space="preserve"> on its overall list of top 100 federal contractors for federal fiscal year 2011 based on overall prime contracting dollars. For that same period and using data provided by USAspending.gov, we estimate that we ranked 18</w:t>
      </w:r>
      <w:r>
        <w:rPr>
          <w:rFonts w:ascii="Arial" w:cs="Arial" w:eastAsia="Arial" w:hAnsi="Arial"/>
          <w:sz w:val="10"/>
          <w:szCs w:val="10"/>
          <w:color w:val="auto"/>
        </w:rPr>
        <w:t>th</w:t>
      </w:r>
      <w:r>
        <w:rPr>
          <w:rFonts w:ascii="Arial" w:cs="Arial" w:eastAsia="Arial" w:hAnsi="Arial"/>
          <w:sz w:val="17"/>
          <w:szCs w:val="17"/>
          <w:color w:val="auto"/>
        </w:rPr>
        <w:t xml:space="preserve"> based on overall prime contracting dollars for civil clients. Our civil business represented 24% of our business based on revenue for fiscal 2012. Revenue in this area for fiscal 2012 was approximately $1.4 billion. Our civil government clients include:</w:t>
      </w:r>
    </w:p>
    <w:p>
      <w:pPr>
        <w:spacing w:after="0" w:line="53" w:lineRule="exact"/>
        <w:rPr>
          <w:sz w:val="20"/>
          <w:szCs w:val="20"/>
          <w:color w:val="auto"/>
        </w:rPr>
      </w:pPr>
    </w:p>
    <w:p>
      <w:pPr>
        <w:ind w:left="900" w:hanging="328"/>
        <w:spacing w:after="0" w:line="28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We provide support to all major U.S. government finance and treasury organizations charged with the collection,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of the U.S. financial system, including the Department of the Treasury, Internal Revenue Service, and other agencies of the Department of the Treasury, Office of the Comptroller of the Currency, Federal Deposit Insurance Corporation, Federal Reserve Board and Banks, the Securities and Exchange Commission (SEC), and Pension Benefit Guaranty Corporation. We create innovative approaches to some of their most challenging problems, including bank receivership, payment channel modernization, cyber initiatives, and fraud detection.</w:t>
      </w:r>
    </w:p>
    <w:p>
      <w:pPr>
        <w:spacing w:after="0" w:line="40" w:lineRule="exact"/>
        <w:rPr>
          <w:rFonts w:ascii="Arial" w:cs="Arial" w:eastAsia="Arial" w:hAnsi="Arial"/>
          <w:sz w:val="16"/>
          <w:szCs w:val="16"/>
          <w:color w:val="auto"/>
        </w:rPr>
      </w:pPr>
    </w:p>
    <w:p>
      <w:pPr>
        <w:jc w:val="both"/>
        <w:ind w:left="900" w:right="40" w:hanging="328"/>
        <w:spacing w:after="0" w:line="295"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Health. </w:t>
      </w:r>
      <w:r>
        <w:rPr>
          <w:rFonts w:ascii="Arial" w:cs="Arial" w:eastAsia="Arial" w:hAnsi="Arial"/>
          <w:sz w:val="15"/>
          <w:szCs w:val="15"/>
          <w:color w:val="auto"/>
        </w:rPr>
        <w:t>We support U.S. government clients on innovative projects that help achieve public health missions, including entitlement reform, developing a</w:t>
      </w:r>
      <w:r>
        <w:rPr>
          <w:rFonts w:ascii="Arial" w:cs="Arial" w:eastAsia="Arial" w:hAnsi="Arial"/>
          <w:sz w:val="15"/>
          <w:szCs w:val="15"/>
          <w:i w:val="1"/>
          <w:iCs w:val="1"/>
          <w:color w:val="auto"/>
        </w:rPr>
        <w:t xml:space="preserve"> </w:t>
      </w:r>
      <w:r>
        <w:rPr>
          <w:rFonts w:ascii="Arial" w:cs="Arial" w:eastAsia="Arial" w:hAnsi="Arial"/>
          <w:sz w:val="15"/>
          <w:szCs w:val="15"/>
          <w:color w:val="auto"/>
        </w:rPr>
        <w:t>national health information network, mitigating risk to populations, improving government infrastructure, and facilitating an international public-private sector dialogue on international health issues. Our clients include the Department of Health and Human Services and its agencies, including the</w:t>
      </w:r>
    </w:p>
    <w:p>
      <w:pPr>
        <w:spacing w:after="0" w:line="1" w:lineRule="exact"/>
        <w:rPr>
          <w:rFonts w:ascii="Arial" w:cs="Arial" w:eastAsia="Arial" w:hAnsi="Arial"/>
          <w:sz w:val="15"/>
          <w:szCs w:val="15"/>
          <w:color w:val="auto"/>
        </w:rPr>
      </w:pPr>
    </w:p>
    <w:p>
      <w:pPr>
        <w:ind w:left="900" w:right="320"/>
        <w:spacing w:after="0" w:line="277" w:lineRule="auto"/>
        <w:rPr>
          <w:rFonts w:ascii="Arial" w:cs="Arial" w:eastAsia="Arial" w:hAnsi="Arial"/>
          <w:sz w:val="15"/>
          <w:szCs w:val="15"/>
          <w:color w:val="auto"/>
        </w:rPr>
      </w:pPr>
      <w:r>
        <w:rPr>
          <w:rFonts w:ascii="Arial" w:cs="Arial" w:eastAsia="Arial" w:hAnsi="Arial"/>
          <w:sz w:val="17"/>
          <w:szCs w:val="17"/>
          <w:color w:val="auto"/>
        </w:rPr>
        <w:t>U.S. Food and Drug Administration, National Institutes of Health, Centers for Disease Control and Prevention (CDC), the Centers for Medicare and Medicaid Services, the Department of Defense Military Health System, and Department of Veterans Affairs.</w:t>
      </w:r>
    </w:p>
    <w:p>
      <w:pPr>
        <w:spacing w:after="0" w:line="43" w:lineRule="exact"/>
        <w:rPr>
          <w:rFonts w:ascii="Arial" w:cs="Arial" w:eastAsia="Arial" w:hAnsi="Arial"/>
          <w:sz w:val="15"/>
          <w:szCs w:val="15"/>
          <w:color w:val="auto"/>
        </w:rPr>
      </w:pPr>
    </w:p>
    <w:p>
      <w:pPr>
        <w:ind w:left="900" w:right="20" w:hanging="328"/>
        <w:spacing w:after="0" w:line="265"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Energy, Transportation and Environment. </w:t>
      </w:r>
      <w:r>
        <w:rPr>
          <w:rFonts w:ascii="Arial" w:cs="Arial" w:eastAsia="Arial" w:hAnsi="Arial"/>
          <w:sz w:val="17"/>
          <w:szCs w:val="17"/>
          <w:color w:val="auto"/>
        </w:rPr>
        <w:t>We support clients in the transportation, energy, and environment sectors which have control over our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We support our clients’ efforts to maintain and build infrastructure that is efficient, effective, and sustainable. Our services include strategy, operations, technology, and engineering. Our clients include the Departments of Energy, Transportation, and Interior and their component agencies, and the Environmental Protection Agency. We also support the Department of Defense in major environmental and infrastructure programs in the United States and Europe.</w:t>
      </w:r>
    </w:p>
    <w:p>
      <w:pPr>
        <w:spacing w:after="0" w:line="53" w:lineRule="exact"/>
        <w:rPr>
          <w:rFonts w:ascii="Arial" w:cs="Arial" w:eastAsia="Arial" w:hAnsi="Arial"/>
          <w:sz w:val="17"/>
          <w:szCs w:val="17"/>
          <w:color w:val="auto"/>
        </w:rPr>
      </w:pPr>
    </w:p>
    <w:p>
      <w:pPr>
        <w:ind w:left="900" w:hanging="328"/>
        <w:spacing w:after="0" w:line="265"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Justice and Homeland Security. </w:t>
      </w:r>
      <w:r>
        <w:rPr>
          <w:rFonts w:ascii="Arial" w:cs="Arial" w:eastAsia="Arial" w:hAnsi="Arial"/>
          <w:sz w:val="17"/>
          <w:szCs w:val="17"/>
          <w:color w:val="auto"/>
        </w:rPr>
        <w:t>We support the U.S. government’s homeland security mission and operations in the areas of intelligence (analysis,</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sharing, and risk assessment), operations (coordination, contingency planning, and decision support), strategy, technology and management (program management and information technology tools), emergency management and response planning, and border, cargo, and transportation security. We support law enforcement missions and operations in counterterrorism, intelligence and counterintelligence, and traditional criminal areas (narcotics, white collar crime, organized crime, and violent crime).</w:t>
      </w:r>
    </w:p>
    <w:p>
      <w:pPr>
        <w:spacing w:after="0" w:line="53" w:lineRule="exact"/>
        <w:rPr>
          <w:rFonts w:ascii="Arial" w:cs="Arial" w:eastAsia="Arial" w:hAnsi="Arial"/>
          <w:sz w:val="17"/>
          <w:szCs w:val="17"/>
          <w:color w:val="auto"/>
        </w:rPr>
      </w:pPr>
    </w:p>
    <w:p>
      <w:pPr>
        <w:ind w:left="900" w:hanging="328"/>
        <w:spacing w:after="0" w:line="28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Business of Government. </w:t>
      </w:r>
      <w:r>
        <w:rPr>
          <w:rFonts w:ascii="Arial" w:cs="Arial" w:eastAsia="Arial" w:hAnsi="Arial"/>
          <w:sz w:val="16"/>
          <w:szCs w:val="16"/>
          <w:color w:val="auto"/>
        </w:rPr>
        <w:t>We help agencies effectively and efficiently manage the business processes that support government in its provision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its citizens, spanning management, personnel, budget operations, information technology, and telecommunications. Our clients include the General Services Administration, Office of Management and Budget, Office of Personnel Management, the Congress and Courts. We also support public sector grant-making agencies, from health and education, to labor and homeland and economic security, serving clients such as the Departments of Agriculture, Homeland Security, Commerce, Education, Labor, and Housing and Urban Development, as well as the National Science Foundation. In addition, we serve our U.S. government clients abroad in helping them resolve systemic global development needs. Our clients include the U.S. Agency for International Development, the Department of State, Millennium Challenge Corporation, and the World Bank.</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1" w:right="2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and International Clients</w:t>
      </w:r>
    </w:p>
    <w:p>
      <w:pPr>
        <w:spacing w:after="0" w:line="94"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Following the expiration of our non-competition agreement on July 31, 2011, we re-entered the commercial market and pursued growth in our international business.</w:t>
      </w:r>
    </w:p>
    <w:p>
      <w:pPr>
        <w:spacing w:after="0" w:line="117"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We have pursued new opportunities in the commercial market by building on our cyber-related work and leveraging our core competencies with a focus on serving industries in which there is a strong intersection between government and commercial interests, such as financial services, healthcare, and energy. We believe that our cyber and technology-based capabilities provide us with an important point of functional differentiation with which we are able to help our clients increase revenue, improve efficiencies, and manage risk. Our key service offerings to commercial clients include: dynamic defense (cyber), next-generation virtual infrastructure, decision analytics, design for affordability, and smart compliance. Our commercial clients include major commercial banks and investment banks, healthcare providers, energy companies, and utilities.</w:t>
      </w:r>
    </w:p>
    <w:p>
      <w:pPr>
        <w:spacing w:after="0" w:line="137" w:lineRule="exact"/>
        <w:rPr>
          <w:sz w:val="20"/>
          <w:szCs w:val="20"/>
          <w:color w:val="auto"/>
        </w:rPr>
      </w:pPr>
    </w:p>
    <w:p>
      <w:pPr>
        <w:ind w:right="40" w:firstLine="457"/>
        <w:spacing w:after="0" w:line="288" w:lineRule="auto"/>
        <w:rPr>
          <w:sz w:val="20"/>
          <w:szCs w:val="20"/>
          <w:color w:val="auto"/>
        </w:rPr>
      </w:pPr>
      <w:r>
        <w:rPr>
          <w:rFonts w:ascii="Arial" w:cs="Arial" w:eastAsia="Arial" w:hAnsi="Arial"/>
          <w:sz w:val="16"/>
          <w:szCs w:val="16"/>
          <w:color w:val="auto"/>
        </w:rPr>
        <w:t>Our international activities are primarily focused on the Middle East and North Africa region, where we see strong demand for our services, in particular in the United Arab Emirates, Qatar, Oman, and Kuwait. Our service offerings to international clients leverage our cyber and technology-based capabilities with a focus on on-line government services and cloud applications, enterprise resource planning, advanced persistent threat resolution, supervisory control and data acquisition, and geospatial systems. Our international clients include government ministries and commercial companies in the Middle East and North Africa.</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Capabilities</w:t>
      </w:r>
    </w:p>
    <w:p>
      <w:pPr>
        <w:spacing w:after="0" w:line="94"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We provide services to clients in all of our markets by drawing on the four capability areas below. These services include strategic consulting on our clients’ most important missions, engineering and technology services such as systems integration, and mission support services.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Strategy and Organization</w:t>
      </w:r>
    </w:p>
    <w:p>
      <w:pPr>
        <w:spacing w:after="0" w:line="94" w:lineRule="exact"/>
        <w:rPr>
          <w:sz w:val="20"/>
          <w:szCs w:val="20"/>
          <w:color w:val="auto"/>
        </w:rPr>
      </w:pPr>
    </w:p>
    <w:p>
      <w:pPr>
        <w:ind w:right="120" w:firstLine="457"/>
        <w:spacing w:after="0" w:line="313" w:lineRule="auto"/>
        <w:rPr>
          <w:sz w:val="20"/>
          <w:szCs w:val="20"/>
          <w:color w:val="auto"/>
        </w:rPr>
      </w:pPr>
      <w:r>
        <w:rPr>
          <w:rFonts w:ascii="Arial" w:cs="Arial" w:eastAsia="Arial" w:hAnsi="Arial"/>
          <w:sz w:val="15"/>
          <w:szCs w:val="15"/>
          <w:color w:val="auto"/>
        </w:rPr>
        <w:t>Our strategy and organization capability focuses on helping clients define and achieve their strategic objectives. As of March 31, 2012, we had approximately 2,500 consulting staff providing client service through our strategy and organization capability. We provide transformational programs to improve organizational effectiveness, manage change, and enable client organizations to improve their performance. Our Transformation Life Cycle</w:t>
      </w:r>
      <w:r>
        <w:rPr>
          <w:rFonts w:ascii="Arial" w:cs="Arial" w:eastAsia="Arial" w:hAnsi="Arial"/>
          <w:sz w:val="9"/>
          <w:szCs w:val="9"/>
          <w:color w:val="auto"/>
        </w:rPr>
        <w:t>tm</w:t>
      </w:r>
      <w:r>
        <w:rPr>
          <w:rFonts w:ascii="Arial" w:cs="Arial" w:eastAsia="Arial" w:hAnsi="Arial"/>
          <w:sz w:val="15"/>
          <w:szCs w:val="15"/>
          <w:color w:val="auto"/>
        </w:rPr>
        <w:t xml:space="preserve"> framework and Change Management Advanced Practitioner program provide a proven methodology and credentialed experts to help clients succeed. Our areas of expertise include:</w:t>
      </w:r>
    </w:p>
    <w:p>
      <w:pPr>
        <w:spacing w:after="0" w:line="22" w:lineRule="exact"/>
        <w:rPr>
          <w:sz w:val="20"/>
          <w:szCs w:val="20"/>
          <w:color w:val="auto"/>
        </w:rPr>
      </w:pPr>
    </w:p>
    <w:p>
      <w:pPr>
        <w:ind w:left="900" w:right="840" w:hanging="328"/>
        <w:spacing w:after="0" w:line="284"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Strategy and Change Management</w:t>
      </w:r>
      <w:r>
        <w:rPr>
          <w:rFonts w:ascii="Arial" w:cs="Arial" w:eastAsia="Arial" w:hAnsi="Arial"/>
          <w:sz w:val="17"/>
          <w:szCs w:val="17"/>
          <w:color w:val="auto"/>
        </w:rPr>
        <w:t>, helping clients formulate business strategies to meet their mission, and transforming key elements within</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such as people, processes, technology and physical infrastructure;</w:t>
      </w:r>
    </w:p>
    <w:p>
      <w:pPr>
        <w:spacing w:after="0" w:line="37" w:lineRule="exact"/>
        <w:rPr>
          <w:rFonts w:ascii="Arial" w:cs="Arial" w:eastAsia="Arial" w:hAnsi="Arial"/>
          <w:sz w:val="17"/>
          <w:szCs w:val="17"/>
          <w:color w:val="auto"/>
        </w:rPr>
      </w:pPr>
    </w:p>
    <w:p>
      <w:pPr>
        <w:ind w:left="900" w:right="60" w:hanging="328"/>
        <w:spacing w:after="0" w:line="271"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Organization Efficiency &amp; Effectiveness</w:t>
      </w:r>
      <w:r>
        <w:rPr>
          <w:rFonts w:ascii="Arial" w:cs="Arial" w:eastAsia="Arial" w:hAnsi="Arial"/>
          <w:sz w:val="17"/>
          <w:szCs w:val="17"/>
          <w:color w:val="auto"/>
        </w:rPr>
        <w:t>, redesigning an organization’s structure to fit its mission and strategy, aligning its business purpose, and</w:t>
      </w:r>
      <w:r>
        <w:rPr>
          <w:rFonts w:ascii="Arial" w:cs="Arial" w:eastAsia="Arial" w:hAnsi="Arial"/>
          <w:sz w:val="17"/>
          <w:szCs w:val="17"/>
          <w:i w:val="1"/>
          <w:iCs w:val="1"/>
          <w:color w:val="auto"/>
        </w:rPr>
        <w:t xml:space="preserve"> </w:t>
      </w:r>
      <w:r>
        <w:rPr>
          <w:rFonts w:ascii="Arial" w:cs="Arial" w:eastAsia="Arial" w:hAnsi="Arial"/>
          <w:sz w:val="17"/>
          <w:szCs w:val="17"/>
          <w:color w:val="auto"/>
        </w:rPr>
        <w:t>improving operations and performance through business process reengineering, knowledge management, strategic sourcing, shared services and lean six sigma methodologies; and</w:t>
      </w:r>
    </w:p>
    <w:p>
      <w:pPr>
        <w:spacing w:after="0" w:line="48" w:lineRule="exact"/>
        <w:rPr>
          <w:rFonts w:ascii="Arial" w:cs="Arial" w:eastAsia="Arial" w:hAnsi="Arial"/>
          <w:sz w:val="17"/>
          <w:szCs w:val="17"/>
          <w:color w:val="auto"/>
        </w:rPr>
      </w:pPr>
    </w:p>
    <w:p>
      <w:pPr>
        <w:ind w:left="900" w:hanging="328"/>
        <w:spacing w:after="0" w:line="271"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Human Capital, Learning and Communications</w:t>
      </w:r>
      <w:r>
        <w:rPr>
          <w:rFonts w:ascii="Arial" w:cs="Arial" w:eastAsia="Arial" w:hAnsi="Arial"/>
          <w:sz w:val="17"/>
          <w:szCs w:val="17"/>
          <w:color w:val="auto"/>
        </w:rPr>
        <w:t>, helping clients build new capabilities and increasing workforce performance through competency</w:t>
      </w:r>
      <w:r>
        <w:rPr>
          <w:rFonts w:ascii="Arial" w:cs="Arial" w:eastAsia="Arial" w:hAnsi="Arial"/>
          <w:sz w:val="17"/>
          <w:szCs w:val="17"/>
          <w:i w:val="1"/>
          <w:iCs w:val="1"/>
          <w:color w:val="auto"/>
        </w:rPr>
        <w:t xml:space="preserve"> </w:t>
      </w:r>
      <w:r>
        <w:rPr>
          <w:rFonts w:ascii="Arial" w:cs="Arial" w:eastAsia="Arial" w:hAnsi="Arial"/>
          <w:sz w:val="17"/>
          <w:szCs w:val="17"/>
          <w:color w:val="auto"/>
        </w:rPr>
        <w:t>identification and development of learning programs, designing programs to better manage the workforce for high performance, and building stakeholder understanding and buy-in.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Analytics</w:t>
      </w:r>
    </w:p>
    <w:p>
      <w:pPr>
        <w:spacing w:after="0" w:line="94" w:lineRule="exact"/>
        <w:rPr>
          <w:sz w:val="20"/>
          <w:szCs w:val="20"/>
          <w:color w:val="auto"/>
        </w:rPr>
      </w:pPr>
    </w:p>
    <w:p>
      <w:pPr>
        <w:ind w:right="480" w:firstLine="457"/>
        <w:spacing w:after="0" w:line="284" w:lineRule="auto"/>
        <w:rPr>
          <w:sz w:val="20"/>
          <w:szCs w:val="20"/>
          <w:color w:val="auto"/>
        </w:rPr>
      </w:pPr>
      <w:r>
        <w:rPr>
          <w:rFonts w:ascii="Arial" w:cs="Arial" w:eastAsia="Arial" w:hAnsi="Arial"/>
          <w:sz w:val="17"/>
          <w:szCs w:val="17"/>
          <w:color w:val="auto"/>
        </w:rPr>
        <w:t>Our analytics capability focuses on helping clients address the full spectrum of their business, operational, and mission challenges. From operational and business planning to mission performance and strategic decision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51"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making, we help clients make informed decisions with deeper insight, less risk, and greater certainty. As of March 31, 2012, we had approximately 5,500 consulting staff providing client service through our analytics capability. Our areas of expertise include:</w:t>
      </w:r>
    </w:p>
    <w:p>
      <w:pPr>
        <w:spacing w:after="0" w:line="38" w:lineRule="exact"/>
        <w:rPr>
          <w:sz w:val="20"/>
          <w:szCs w:val="20"/>
          <w:color w:val="auto"/>
        </w:rPr>
      </w:pPr>
    </w:p>
    <w:p>
      <w:pPr>
        <w:ind w:left="900" w:right="100" w:hanging="328"/>
        <w:spacing w:after="0" w:line="323"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Cloud Analytics</w:t>
      </w:r>
      <w:r>
        <w:rPr>
          <w:rFonts w:ascii="Arial" w:cs="Arial" w:eastAsia="Arial" w:hAnsi="Arial"/>
          <w:sz w:val="15"/>
          <w:szCs w:val="15"/>
          <w:color w:val="auto"/>
        </w:rPr>
        <w:t>, enhancing our clients’ ability to analyze very large amounts of information stored in or accessed through the cloud using sophisticated</w:t>
      </w:r>
      <w:r>
        <w:rPr>
          <w:rFonts w:ascii="Arial" w:cs="Arial" w:eastAsia="Arial" w:hAnsi="Arial"/>
          <w:sz w:val="15"/>
          <w:szCs w:val="15"/>
          <w:i w:val="1"/>
          <w:iCs w:val="1"/>
          <w:color w:val="auto"/>
        </w:rPr>
        <w:t xml:space="preserve"> </w:t>
      </w:r>
      <w:r>
        <w:rPr>
          <w:rFonts w:ascii="Arial" w:cs="Arial" w:eastAsia="Arial" w:hAnsi="Arial"/>
          <w:sz w:val="15"/>
          <w:szCs w:val="15"/>
          <w:color w:val="auto"/>
        </w:rPr>
        <w:t>statistical and mathematical techniques, to weigh alternative futures, and to make sound decisions that are supported by rigorous methods, including capabilities-based assessments, optimization, modeling and simulation, policy analysis, threat, vulnerability and risk analysis, and war-games;</w:t>
      </w:r>
    </w:p>
    <w:p>
      <w:pPr>
        <w:spacing w:after="0" w:line="14" w:lineRule="exact"/>
        <w:rPr>
          <w:rFonts w:ascii="Arial" w:cs="Arial" w:eastAsia="Arial" w:hAnsi="Arial"/>
          <w:sz w:val="15"/>
          <w:szCs w:val="15"/>
          <w:color w:val="auto"/>
        </w:rPr>
      </w:pPr>
    </w:p>
    <w:p>
      <w:pPr>
        <w:ind w:left="900" w:right="220" w:hanging="328"/>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Decision Analytics</w:t>
      </w:r>
      <w:r>
        <w:rPr>
          <w:rFonts w:ascii="Arial" w:cs="Arial" w:eastAsia="Arial" w:hAnsi="Arial"/>
          <w:sz w:val="17"/>
          <w:szCs w:val="17"/>
          <w:color w:val="auto"/>
        </w:rPr>
        <w:t>, enabling our clients to optimize decisions regarding resources through financial and economic analysis, financial stewardship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accountability, and disciplined contract strategy and program controls; and</w:t>
      </w:r>
    </w:p>
    <w:p>
      <w:pPr>
        <w:spacing w:after="0" w:line="37" w:lineRule="exact"/>
        <w:rPr>
          <w:rFonts w:ascii="Arial" w:cs="Arial" w:eastAsia="Arial" w:hAnsi="Arial"/>
          <w:sz w:val="17"/>
          <w:szCs w:val="17"/>
          <w:color w:val="auto"/>
        </w:rPr>
      </w:pPr>
    </w:p>
    <w:p>
      <w:pPr>
        <w:jc w:val="both"/>
        <w:ind w:left="900" w:right="80" w:hanging="328"/>
        <w:spacing w:after="0" w:line="271"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Mission Analytics</w:t>
      </w:r>
      <w:r>
        <w:rPr>
          <w:rFonts w:ascii="Arial" w:cs="Arial" w:eastAsia="Arial" w:hAnsi="Arial"/>
          <w:sz w:val="17"/>
          <w:szCs w:val="17"/>
          <w:color w:val="auto"/>
        </w:rPr>
        <w:t>, helping our clients to gather information from varied sources through the use of human and technical analysis, innovative all-source</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analytic training, and counter-intelligence services to gain insights, create foresight and make predictions, support fact-based decision making, and guard against threats.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w:t>
      </w:r>
    </w:p>
    <w:p>
      <w:pPr>
        <w:spacing w:after="0" w:line="94" w:lineRule="exact"/>
        <w:rPr>
          <w:sz w:val="20"/>
          <w:szCs w:val="20"/>
          <w:color w:val="auto"/>
        </w:rPr>
      </w:pPr>
    </w:p>
    <w:p>
      <w:pPr>
        <w:ind w:right="300" w:firstLine="457"/>
        <w:spacing w:after="0" w:line="265" w:lineRule="auto"/>
        <w:rPr>
          <w:sz w:val="20"/>
          <w:szCs w:val="20"/>
          <w:color w:val="auto"/>
        </w:rPr>
      </w:pPr>
      <w:r>
        <w:rPr>
          <w:rFonts w:ascii="Arial" w:cs="Arial" w:eastAsia="Arial" w:hAnsi="Arial"/>
          <w:sz w:val="17"/>
          <w:szCs w:val="17"/>
          <w:color w:val="auto"/>
        </w:rPr>
        <w:t>Our technology capability focuses on helping clients solve their mission-critical needs through the deployment of advanced technological solutions and techniques. As of March 31, 2012, we had approximately 7,900 highly skilled technology experts and engineers who maintain a deep knowledge of current technology trends and applications. Our experts combine specialized skills with a collaborative problem-solving approach to ensure that we understand a client’s mission and objectives and, based on that understanding, design, develop, and implement technology solutions to support our client’s mission and objectives. Our areas of expertise include:</w:t>
      </w:r>
    </w:p>
    <w:p>
      <w:pPr>
        <w:spacing w:after="0" w:line="53" w:lineRule="exact"/>
        <w:rPr>
          <w:sz w:val="20"/>
          <w:szCs w:val="20"/>
          <w:color w:val="auto"/>
        </w:rPr>
      </w:pPr>
    </w:p>
    <w:p>
      <w:pPr>
        <w:ind w:left="900" w:right="160" w:hanging="328"/>
        <w:spacing w:after="0" w:line="28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Cyber Technology</w:t>
      </w:r>
      <w:r>
        <w:rPr>
          <w:rFonts w:ascii="Arial" w:cs="Arial" w:eastAsia="Arial" w:hAnsi="Arial"/>
          <w:sz w:val="17"/>
          <w:szCs w:val="17"/>
          <w:color w:val="auto"/>
        </w:rPr>
        <w:t>, enabling clients to execute their missions in cyberspace with trusted and secure networks, systems, and data by delivering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full life cycle to support information exchange, collaboration, transportation, and storage;</w:t>
      </w:r>
    </w:p>
    <w:p>
      <w:pPr>
        <w:spacing w:after="0" w:line="37" w:lineRule="exact"/>
        <w:rPr>
          <w:rFonts w:ascii="Arial" w:cs="Arial" w:eastAsia="Arial" w:hAnsi="Arial"/>
          <w:sz w:val="17"/>
          <w:szCs w:val="17"/>
          <w:color w:val="auto"/>
        </w:rPr>
      </w:pPr>
    </w:p>
    <w:p>
      <w:pPr>
        <w:ind w:left="900" w:right="500" w:hanging="328"/>
        <w:spacing w:after="0" w:line="28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Strategic Technology and Innovation</w:t>
      </w:r>
      <w:r>
        <w:rPr>
          <w:rFonts w:ascii="Arial" w:cs="Arial" w:eastAsia="Arial" w:hAnsi="Arial"/>
          <w:sz w:val="17"/>
          <w:szCs w:val="17"/>
          <w:color w:val="auto"/>
        </w:rPr>
        <w:t>, identifying and incubating advanced technologies, while introducing innovative processes and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techniques critical to the achievement of our clients’ goals; and</w:t>
      </w:r>
    </w:p>
    <w:p>
      <w:pPr>
        <w:spacing w:after="0" w:line="37" w:lineRule="exact"/>
        <w:rPr>
          <w:rFonts w:ascii="Arial" w:cs="Arial" w:eastAsia="Arial" w:hAnsi="Arial"/>
          <w:sz w:val="17"/>
          <w:szCs w:val="17"/>
          <w:color w:val="auto"/>
        </w:rPr>
      </w:pPr>
    </w:p>
    <w:p>
      <w:pPr>
        <w:ind w:left="900" w:right="360" w:hanging="328"/>
        <w:spacing w:after="0" w:line="284"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Systems Development</w:t>
      </w:r>
      <w:r>
        <w:rPr>
          <w:rFonts w:ascii="Arial" w:cs="Arial" w:eastAsia="Arial" w:hAnsi="Arial"/>
          <w:sz w:val="17"/>
          <w:szCs w:val="17"/>
          <w:color w:val="auto"/>
        </w:rPr>
        <w:t>, designing and deploying information technology solutions, including software development, to automate business processes,</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client service, solve mission requirements, and share information effectively and securely.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Engineering and Operations</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Our engineering and operations capability focuses on assisting clients across all markets in executing the transactions associated with buying and selling complex, large-scale products and services. Our staff brings operational expertise in critical areas and offers full spectrum engineering, program integration, and support services throughout the product or service life cycle from scientific exploration and rapid prototyping through development, production, operation, and logistical sustainment. As of March 31, 2012, we had approximately 5,500 consulting staff providing client service through our engineering and operations capability. Our areas of expertise include:</w:t>
      </w:r>
    </w:p>
    <w:p>
      <w:pPr>
        <w:spacing w:after="0" w:line="53" w:lineRule="exact"/>
        <w:rPr>
          <w:sz w:val="20"/>
          <w:szCs w:val="20"/>
          <w:color w:val="auto"/>
        </w:rPr>
      </w:pPr>
    </w:p>
    <w:p>
      <w:pPr>
        <w:ind w:left="900" w:right="60" w:hanging="328"/>
        <w:spacing w:after="0" w:line="267"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Enterprise Integration, </w:t>
      </w:r>
      <w:r>
        <w:rPr>
          <w:rFonts w:ascii="Arial" w:cs="Arial" w:eastAsia="Arial" w:hAnsi="Arial"/>
          <w:sz w:val="17"/>
          <w:szCs w:val="17"/>
          <w:color w:val="auto"/>
        </w:rPr>
        <w:t>providing concept, design, specification, and oversight of the development of complex information technology,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mission systems to meet targets for cost, schedule, and performance by providing trained and certified staff ; providing in-depth understanding of, and expertise in, our clients’ mission, culture, processes, and unique and specific capabilities to help ensure the success of a client’s enterprises and associated programs over their life cycle;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80"/>
          </w:cols>
          <w:pgMar w:left="240" w:top="451" w:right="2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right="180" w:hanging="328"/>
        <w:spacing w:after="0" w:line="284"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Engineering, </w:t>
      </w:r>
      <w:r>
        <w:rPr>
          <w:rFonts w:ascii="Arial" w:cs="Arial" w:eastAsia="Arial" w:hAnsi="Arial"/>
          <w:sz w:val="17"/>
          <w:szCs w:val="17"/>
          <w:color w:val="auto"/>
        </w:rPr>
        <w:t>providing specialized support by supplying consulting staff with product, system, or technology specific engineering and scientific skills</w:t>
      </w:r>
      <w:r>
        <w:rPr>
          <w:rFonts w:ascii="Arial" w:cs="Arial" w:eastAsia="Arial" w:hAnsi="Arial"/>
          <w:sz w:val="17"/>
          <w:szCs w:val="17"/>
          <w:i w:val="1"/>
          <w:iCs w:val="1"/>
          <w:color w:val="auto"/>
        </w:rPr>
        <w:t xml:space="preserve"> </w:t>
      </w:r>
      <w:r>
        <w:rPr>
          <w:rFonts w:ascii="Arial" w:cs="Arial" w:eastAsia="Arial" w:hAnsi="Arial"/>
          <w:sz w:val="17"/>
          <w:szCs w:val="17"/>
          <w:color w:val="auto"/>
        </w:rPr>
        <w:t>for application by clients to their missions and programs; and</w:t>
      </w:r>
    </w:p>
    <w:p>
      <w:pPr>
        <w:spacing w:after="0" w:line="37" w:lineRule="exact"/>
        <w:rPr>
          <w:rFonts w:ascii="Arial" w:cs="Arial" w:eastAsia="Arial" w:hAnsi="Arial"/>
          <w:sz w:val="17"/>
          <w:szCs w:val="17"/>
          <w:color w:val="auto"/>
        </w:rPr>
      </w:pPr>
    </w:p>
    <w:p>
      <w:pPr>
        <w:ind w:left="900" w:right="180" w:hanging="328"/>
        <w:spacing w:after="0" w:line="323"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 xml:space="preserve">Acquisition, Program Management, and Logistics, </w:t>
      </w:r>
      <w:r>
        <w:rPr>
          <w:rFonts w:ascii="Arial" w:cs="Arial" w:eastAsia="Arial" w:hAnsi="Arial"/>
          <w:sz w:val="15"/>
          <w:szCs w:val="15"/>
          <w:color w:val="auto"/>
        </w:rPr>
        <w:t>providing expertise in program strategy, initiation, planning, management, monitoring, control, or</w:t>
      </w:r>
      <w:r>
        <w:rPr>
          <w:rFonts w:ascii="Arial" w:cs="Arial" w:eastAsia="Arial" w:hAnsi="Arial"/>
          <w:sz w:val="15"/>
          <w:szCs w:val="15"/>
          <w:i w:val="1"/>
          <w:iCs w:val="1"/>
          <w:color w:val="auto"/>
        </w:rPr>
        <w:t xml:space="preserve"> </w:t>
      </w:r>
      <w:r>
        <w:rPr>
          <w:rFonts w:ascii="Arial" w:cs="Arial" w:eastAsia="Arial" w:hAnsi="Arial"/>
          <w:sz w:val="15"/>
          <w:szCs w:val="15"/>
          <w:color w:val="auto"/>
        </w:rPr>
        <w:t>transition for the acquisition of large complex systems to meet client expectations; providing in-depth understanding of clients’ supply chain practices and goals to enhance their ability to optimize logistics business operations and achieve service level requirements at more affordable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Contracts</w:t>
      </w:r>
    </w:p>
    <w:p>
      <w:pPr>
        <w:spacing w:after="0" w:line="10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Our portfolio of contracts is highly diversified consisting of a range of contract vehicles though which our clients may contract for our services, with no single contract accounting for more than 10% of our revenue in any of fiscal 2012, fiscal 2011, or fiscal 2010, and no single task order under any contract accounting for more than 1.2% of our revenue in any of fiscal 2012, fiscal 2011, or fiscal 2010.</w:t>
      </w:r>
    </w:p>
    <w:p>
      <w:pPr>
        <w:spacing w:after="0" w:line="128"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There are two predominant contracting methods by which the U.S. government procures services: definite contracts and indefinite contract vehicles. Each of these is described below:</w:t>
      </w:r>
    </w:p>
    <w:p>
      <w:pPr>
        <w:spacing w:after="0" w:line="38" w:lineRule="exact"/>
        <w:rPr>
          <w:sz w:val="20"/>
          <w:szCs w:val="20"/>
          <w:color w:val="auto"/>
        </w:rPr>
      </w:pPr>
    </w:p>
    <w:p>
      <w:pPr>
        <w:ind w:left="900" w:hanging="328"/>
        <w:spacing w:after="0" w:line="283"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industry to comment on the scope of work and acquisition strategy, and finally a formal request for a proposal. Following the evaluation of submitted proposals, the agency will award the contract to the winning bidder.</w:t>
      </w:r>
    </w:p>
    <w:p>
      <w:pPr>
        <w:spacing w:after="0" w:line="41" w:lineRule="exact"/>
        <w:rPr>
          <w:rFonts w:ascii="Arial" w:cs="Arial" w:eastAsia="Arial" w:hAnsi="Arial"/>
          <w:sz w:val="16"/>
          <w:szCs w:val="16"/>
          <w:color w:val="auto"/>
        </w:rPr>
      </w:pPr>
    </w:p>
    <w:p>
      <w:pPr>
        <w:ind w:left="900" w:right="80" w:hanging="328"/>
        <w:spacing w:after="0" w:line="28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45" w:lineRule="exact"/>
        <w:rPr>
          <w:rFonts w:ascii="Arial" w:cs="Arial" w:eastAsia="Arial" w:hAnsi="Arial"/>
          <w:sz w:val="16"/>
          <w:szCs w:val="16"/>
          <w:color w:val="auto"/>
        </w:rPr>
      </w:pPr>
    </w:p>
    <w:p>
      <w:pPr>
        <w:ind w:left="1480" w:right="180" w:hanging="447"/>
        <w:spacing w:after="0" w:line="263" w:lineRule="auto"/>
        <w:tabs>
          <w:tab w:leader="none" w:pos="1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GWACs and GSA schedules are ID/IQ contracts that are open to all U.S. government agencies. Contract holders compete for individual task orders under both types of ID/IQ contract vehicles. Prices (labor rates) are pre-established under GSA schedules, while prices under GWACs may be pre-established or determined by task order proposal. Agencies may solicit companies directly under GSA schedules and, under GWACs, must work through the agency that operates the GWAC or receive a delegation of authority to use the GWAC. GSA schedules are administered by the General Services Administration and support a wide range of products and services. GWACs are used to procure IT products and services and are administered by the agency soliciting the services or products, with permission from the Office of Management and Budget.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60"/>
          </w:cols>
          <w:pgMar w:left="240" w:top="451" w:right="2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Listed below are our top definite contract, our top five definite contracts and our top ten definite contracts for fiscal 2012 and revenue recognized under these contracts in fiscal 2012.</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0" w:type="dxa"/>
            <w:vAlign w:val="bottom"/>
          </w:tcPr>
          <w:p>
            <w:pPr>
              <w:jc w:val="center"/>
              <w:ind w:right="166"/>
              <w:spacing w:after="0"/>
              <w:rPr>
                <w:sz w:val="20"/>
                <w:szCs w:val="20"/>
                <w:color w:val="auto"/>
              </w:rPr>
            </w:pPr>
            <w:r>
              <w:rPr>
                <w:rFonts w:ascii="Arial" w:cs="Arial" w:eastAsia="Arial" w:hAnsi="Arial"/>
                <w:sz w:val="13"/>
                <w:szCs w:val="13"/>
                <w:b w:val="1"/>
                <w:bCs w:val="1"/>
                <w:color w:val="auto"/>
              </w:rPr>
              <w:t>%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4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Pr>
          <w:p>
            <w:pPr>
              <w:jc w:val="right"/>
              <w:ind w:right="274"/>
              <w:spacing w:after="0" w:line="145" w:lineRule="exact"/>
              <w:rPr>
                <w:sz w:val="20"/>
                <w:szCs w:val="20"/>
                <w:color w:val="auto"/>
              </w:rPr>
            </w:pPr>
            <w:r>
              <w:rPr>
                <w:rFonts w:ascii="Arial" w:cs="Arial" w:eastAsia="Arial" w:hAnsi="Arial"/>
                <w:sz w:val="13"/>
                <w:szCs w:val="13"/>
                <w:b w:val="1"/>
                <w:bCs w:val="1"/>
                <w:color w:val="auto"/>
              </w:rPr>
              <w:t>Fiscal</w:t>
            </w:r>
          </w:p>
        </w:tc>
        <w:tc>
          <w:tcPr>
            <w:tcW w:w="1600" w:type="dxa"/>
            <w:vAlign w:val="bottom"/>
          </w:tcPr>
          <w:p>
            <w:pPr>
              <w:jc w:val="center"/>
              <w:ind w:right="166"/>
              <w:spacing w:after="0" w:line="145" w:lineRule="exact"/>
              <w:rPr>
                <w:sz w:val="20"/>
                <w:szCs w:val="20"/>
                <w:color w:val="auto"/>
              </w:rPr>
            </w:pPr>
            <w:r>
              <w:rPr>
                <w:rFonts w:ascii="Arial" w:cs="Arial" w:eastAsia="Arial" w:hAnsi="Arial"/>
                <w:sz w:val="13"/>
                <w:szCs w:val="13"/>
                <w:b w:val="1"/>
                <w:bCs w:val="1"/>
                <w:color w:val="auto"/>
                <w:w w:val="89"/>
              </w:rPr>
              <w:t>Total</w:t>
            </w:r>
          </w:p>
        </w:tc>
        <w:tc>
          <w:tcPr>
            <w:tcW w:w="1000" w:type="dxa"/>
            <w:vAlign w:val="bottom"/>
            <w:gridSpan w:val="2"/>
          </w:tcPr>
          <w:p>
            <w:pPr>
              <w:jc w:val="center"/>
              <w:ind w:right="40"/>
              <w:spacing w:after="0" w:line="145" w:lineRule="exact"/>
              <w:rPr>
                <w:sz w:val="20"/>
                <w:szCs w:val="20"/>
                <w:color w:val="auto"/>
              </w:rPr>
            </w:pPr>
            <w:r>
              <w:rPr>
                <w:rFonts w:ascii="Arial" w:cs="Arial" w:eastAsia="Arial" w:hAnsi="Arial"/>
                <w:sz w:val="13"/>
                <w:szCs w:val="13"/>
                <w:b w:val="1"/>
                <w:bCs w:val="1"/>
                <w:color w:val="auto"/>
                <w:w w:val="94"/>
              </w:rPr>
              <w:t>Expiration</w:t>
            </w:r>
          </w:p>
        </w:tc>
      </w:tr>
      <w:tr>
        <w:trPr>
          <w:trHeight w:val="158"/>
        </w:trPr>
        <w:tc>
          <w:tcPr>
            <w:tcW w:w="4080" w:type="dxa"/>
            <w:vAlign w:val="bottom"/>
          </w:tcPr>
          <w:p>
            <w:pPr>
              <w:spacing w:after="0"/>
              <w:rPr>
                <w:sz w:val="13"/>
                <w:szCs w:val="13"/>
                <w:color w:val="auto"/>
              </w:rPr>
            </w:pPr>
          </w:p>
        </w:tc>
        <w:tc>
          <w:tcPr>
            <w:tcW w:w="2920" w:type="dxa"/>
            <w:vAlign w:val="bottom"/>
            <w:gridSpan w:val="2"/>
          </w:tcPr>
          <w:p>
            <w:pPr>
              <w:jc w:val="right"/>
              <w:ind w:right="314"/>
              <w:spacing w:after="0"/>
              <w:rPr>
                <w:sz w:val="20"/>
                <w:szCs w:val="20"/>
                <w:color w:val="auto"/>
              </w:rPr>
            </w:pPr>
            <w:r>
              <w:rPr>
                <w:rFonts w:ascii="Arial" w:cs="Arial" w:eastAsia="Arial" w:hAnsi="Arial"/>
                <w:sz w:val="13"/>
                <w:szCs w:val="13"/>
                <w:b w:val="1"/>
                <w:bCs w:val="1"/>
                <w:color w:val="auto"/>
              </w:rPr>
              <w:t>2012</w:t>
            </w:r>
          </w:p>
        </w:tc>
        <w:tc>
          <w:tcPr>
            <w:tcW w:w="1600" w:type="dxa"/>
            <w:vAlign w:val="bottom"/>
          </w:tcPr>
          <w:p>
            <w:pPr>
              <w:jc w:val="center"/>
              <w:ind w:right="166"/>
              <w:spacing w:after="0"/>
              <w:rPr>
                <w:sz w:val="20"/>
                <w:szCs w:val="20"/>
                <w:color w:val="auto"/>
              </w:rPr>
            </w:pPr>
            <w:r>
              <w:rPr>
                <w:rFonts w:ascii="Arial" w:cs="Arial" w:eastAsia="Arial" w:hAnsi="Arial"/>
                <w:sz w:val="13"/>
                <w:szCs w:val="13"/>
                <w:b w:val="1"/>
                <w:bCs w:val="1"/>
                <w:color w:val="auto"/>
                <w:w w:val="88"/>
              </w:rPr>
              <w:t>Revenue</w:t>
            </w:r>
          </w:p>
        </w:tc>
        <w:tc>
          <w:tcPr>
            <w:tcW w:w="10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Date</w:t>
            </w:r>
          </w:p>
        </w:tc>
      </w:tr>
      <w:tr>
        <w:trPr>
          <w:trHeight w:val="138"/>
        </w:trPr>
        <w:tc>
          <w:tcPr>
            <w:tcW w:w="4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ind w:right="66"/>
              <w:spacing w:after="0" w:line="138" w:lineRule="exact"/>
              <w:rPr>
                <w:sz w:val="20"/>
                <w:szCs w:val="20"/>
                <w:color w:val="auto"/>
              </w:rPr>
            </w:pPr>
            <w:r>
              <w:rPr>
                <w:rFonts w:ascii="Arial" w:cs="Arial" w:eastAsia="Arial" w:hAnsi="Arial"/>
                <w:sz w:val="13"/>
                <w:szCs w:val="13"/>
                <w:b w:val="1"/>
                <w:bCs w:val="1"/>
                <w:color w:val="auto"/>
              </w:rPr>
              <w:t>(Revenue in millions)</w:t>
            </w: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Top Definite Contract</w:t>
            </w:r>
          </w:p>
        </w:tc>
        <w:tc>
          <w:tcPr>
            <w:tcW w:w="29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$ 72.4</w:t>
            </w:r>
          </w:p>
        </w:tc>
        <w:tc>
          <w:tcPr>
            <w:tcW w:w="1600" w:type="dxa"/>
            <w:vAlign w:val="bottom"/>
            <w:shd w:val="clear" w:color="auto" w:fill="CCEEFF"/>
          </w:tcPr>
          <w:p>
            <w:pPr>
              <w:jc w:val="right"/>
              <w:ind w:right="446"/>
              <w:spacing w:after="0"/>
              <w:rPr>
                <w:sz w:val="20"/>
                <w:szCs w:val="20"/>
                <w:color w:val="auto"/>
              </w:rPr>
            </w:pPr>
            <w:r>
              <w:rPr>
                <w:rFonts w:ascii="Arial" w:cs="Arial" w:eastAsia="Arial" w:hAnsi="Arial"/>
                <w:sz w:val="17"/>
                <w:szCs w:val="17"/>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12/31/2020</w:t>
            </w:r>
          </w:p>
        </w:tc>
        <w:tc>
          <w:tcPr>
            <w:tcW w:w="100" w:type="dxa"/>
            <w:vAlign w:val="bottom"/>
            <w:shd w:val="clear" w:color="auto" w:fill="CCEEFF"/>
          </w:tcPr>
          <w:p>
            <w:pPr>
              <w:spacing w:after="0"/>
              <w:rPr>
                <w:sz w:val="18"/>
                <w:szCs w:val="18"/>
                <w:color w:val="auto"/>
              </w:rPr>
            </w:pPr>
          </w:p>
        </w:tc>
      </w:tr>
      <w:tr>
        <w:trPr>
          <w:trHeight w:val="211"/>
        </w:trPr>
        <w:tc>
          <w:tcPr>
            <w:tcW w:w="4080" w:type="dxa"/>
            <w:vAlign w:val="bottom"/>
          </w:tcPr>
          <w:p>
            <w:pPr>
              <w:spacing w:after="0"/>
              <w:rPr>
                <w:sz w:val="20"/>
                <w:szCs w:val="20"/>
                <w:color w:val="auto"/>
              </w:rPr>
            </w:pPr>
            <w:r>
              <w:rPr>
                <w:rFonts w:ascii="Arial" w:cs="Arial" w:eastAsia="Arial" w:hAnsi="Arial"/>
                <w:sz w:val="17"/>
                <w:szCs w:val="17"/>
                <w:color w:val="auto"/>
              </w:rPr>
              <w:t>Top Five Definite Contracts</w:t>
            </w:r>
          </w:p>
        </w:tc>
        <w:tc>
          <w:tcPr>
            <w:tcW w:w="2920" w:type="dxa"/>
            <w:vAlign w:val="bottom"/>
            <w:gridSpan w:val="2"/>
          </w:tcPr>
          <w:p>
            <w:pPr>
              <w:jc w:val="right"/>
              <w:ind w:right="214"/>
              <w:spacing w:after="0"/>
              <w:rPr>
                <w:sz w:val="20"/>
                <w:szCs w:val="20"/>
                <w:color w:val="auto"/>
              </w:rPr>
            </w:pPr>
            <w:r>
              <w:rPr>
                <w:rFonts w:ascii="Arial" w:cs="Arial" w:eastAsia="Arial" w:hAnsi="Arial"/>
                <w:sz w:val="17"/>
                <w:szCs w:val="17"/>
                <w:color w:val="auto"/>
              </w:rPr>
              <w:t>306.1</w:t>
            </w:r>
          </w:p>
        </w:tc>
        <w:tc>
          <w:tcPr>
            <w:tcW w:w="1600" w:type="dxa"/>
            <w:vAlign w:val="bottom"/>
          </w:tcPr>
          <w:p>
            <w:pPr>
              <w:jc w:val="right"/>
              <w:ind w:right="446"/>
              <w:spacing w:after="0"/>
              <w:rPr>
                <w:sz w:val="20"/>
                <w:szCs w:val="20"/>
                <w:color w:val="auto"/>
              </w:rPr>
            </w:pPr>
            <w:r>
              <w:rPr>
                <w:rFonts w:ascii="Arial" w:cs="Arial" w:eastAsia="Arial" w:hAnsi="Arial"/>
                <w:sz w:val="17"/>
                <w:szCs w:val="17"/>
                <w:color w:val="auto"/>
              </w:rPr>
              <w:t>5%</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Top Ten Definite Contracts</w:t>
            </w:r>
          </w:p>
        </w:tc>
        <w:tc>
          <w:tcPr>
            <w:tcW w:w="292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442.9</w:t>
            </w:r>
          </w:p>
        </w:tc>
        <w:tc>
          <w:tcPr>
            <w:tcW w:w="1600" w:type="dxa"/>
            <w:vAlign w:val="bottom"/>
            <w:shd w:val="clear" w:color="auto" w:fill="CCEEFF"/>
          </w:tcPr>
          <w:p>
            <w:pPr>
              <w:jc w:val="right"/>
              <w:ind w:right="446"/>
              <w:spacing w:after="0"/>
              <w:rPr>
                <w:sz w:val="20"/>
                <w:szCs w:val="20"/>
                <w:color w:val="auto"/>
              </w:rPr>
            </w:pPr>
            <w:r>
              <w:rPr>
                <w:rFonts w:ascii="Arial" w:cs="Arial" w:eastAsia="Arial" w:hAnsi="Arial"/>
                <w:sz w:val="17"/>
                <w:szCs w:val="17"/>
                <w:color w:val="auto"/>
              </w:rPr>
              <w:t>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50" w:lineRule="exact"/>
        <w:rPr>
          <w:sz w:val="20"/>
          <w:szCs w:val="20"/>
          <w:color w:val="auto"/>
        </w:rPr>
      </w:pPr>
    </w:p>
    <w:p>
      <w:pPr>
        <w:jc w:val="both"/>
        <w:ind w:right="100" w:firstLine="457"/>
        <w:spacing w:after="0" w:line="296" w:lineRule="auto"/>
        <w:rPr>
          <w:sz w:val="20"/>
          <w:szCs w:val="20"/>
          <w:color w:val="auto"/>
        </w:rPr>
      </w:pPr>
      <w:r>
        <w:rPr>
          <w:rFonts w:ascii="Arial" w:cs="Arial" w:eastAsia="Arial" w:hAnsi="Arial"/>
          <w:sz w:val="16"/>
          <w:szCs w:val="16"/>
          <w:color w:val="auto"/>
        </w:rPr>
        <w:t>Listed below are our top ID/IQ contract, our top five ID/IQ contracts and our top ten ID/IQ contracts for fiscal 2012, in each case excluding GSA schedules or GWACS, and revenue and the number of active task orders under these contracts as of March 31, 2012. The number of task orders for our top ten contracts does not include task orders under classified contracts due to the fact that information associated with those contracts is classified.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40" w:type="dxa"/>
            <w:vAlign w:val="bottom"/>
          </w:tcPr>
          <w:p>
            <w:pPr>
              <w:jc w:val="center"/>
              <w:ind w:right="6"/>
              <w:spacing w:after="0"/>
              <w:rPr>
                <w:sz w:val="20"/>
                <w:szCs w:val="20"/>
                <w:color w:val="auto"/>
              </w:rPr>
            </w:pPr>
            <w:r>
              <w:rPr>
                <w:rFonts w:ascii="Arial" w:cs="Arial" w:eastAsia="Arial" w:hAnsi="Arial"/>
                <w:sz w:val="13"/>
                <w:szCs w:val="13"/>
                <w:b w:val="1"/>
                <w:bCs w:val="1"/>
                <w:color w:val="auto"/>
                <w:w w:val="92"/>
              </w:rPr>
              <w:t>Number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5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jc w:val="center"/>
              <w:ind w:right="6"/>
              <w:spacing w:after="0" w:line="145" w:lineRule="exact"/>
              <w:rPr>
                <w:sz w:val="20"/>
                <w:szCs w:val="20"/>
                <w:color w:val="auto"/>
              </w:rPr>
            </w:pPr>
            <w:r>
              <w:rPr>
                <w:rFonts w:ascii="Arial" w:cs="Arial" w:eastAsia="Arial" w:hAnsi="Arial"/>
                <w:sz w:val="13"/>
                <w:szCs w:val="13"/>
                <w:b w:val="1"/>
                <w:bCs w:val="1"/>
                <w:color w:val="auto"/>
              </w:rPr>
              <w:t>% of</w:t>
            </w:r>
          </w:p>
        </w:tc>
        <w:tc>
          <w:tcPr>
            <w:tcW w:w="1640" w:type="dxa"/>
            <w:vAlign w:val="bottom"/>
          </w:tcPr>
          <w:p>
            <w:pPr>
              <w:jc w:val="center"/>
              <w:ind w:right="26"/>
              <w:spacing w:after="0" w:line="145" w:lineRule="exact"/>
              <w:rPr>
                <w:sz w:val="20"/>
                <w:szCs w:val="20"/>
                <w:color w:val="auto"/>
              </w:rPr>
            </w:pPr>
            <w:r>
              <w:rPr>
                <w:rFonts w:ascii="Arial" w:cs="Arial" w:eastAsia="Arial" w:hAnsi="Arial"/>
                <w:sz w:val="13"/>
                <w:szCs w:val="13"/>
                <w:b w:val="1"/>
                <w:bCs w:val="1"/>
                <w:color w:val="auto"/>
                <w:w w:val="92"/>
              </w:rPr>
              <w:t>Task Orders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5280" w:type="dxa"/>
            <w:vAlign w:val="bottom"/>
          </w:tcPr>
          <w:p>
            <w:pPr>
              <w:spacing w:after="0"/>
              <w:rPr>
                <w:sz w:val="12"/>
                <w:szCs w:val="12"/>
                <w:color w:val="auto"/>
              </w:rPr>
            </w:pPr>
          </w:p>
        </w:tc>
        <w:tc>
          <w:tcPr>
            <w:tcW w:w="1000" w:type="dxa"/>
            <w:vAlign w:val="bottom"/>
          </w:tcPr>
          <w:p>
            <w:pPr>
              <w:jc w:val="right"/>
              <w:ind w:right="462"/>
              <w:spacing w:after="0" w:line="145" w:lineRule="exact"/>
              <w:rPr>
                <w:sz w:val="20"/>
                <w:szCs w:val="20"/>
                <w:color w:val="auto"/>
              </w:rPr>
            </w:pPr>
            <w:r>
              <w:rPr>
                <w:rFonts w:ascii="Arial" w:cs="Arial" w:eastAsia="Arial" w:hAnsi="Arial"/>
                <w:sz w:val="13"/>
                <w:szCs w:val="13"/>
                <w:b w:val="1"/>
                <w:bCs w:val="1"/>
                <w:color w:val="auto"/>
              </w:rPr>
              <w:t>Fiscal</w:t>
            </w:r>
          </w:p>
        </w:tc>
        <w:tc>
          <w:tcPr>
            <w:tcW w:w="1360" w:type="dxa"/>
            <w:vAlign w:val="bottom"/>
          </w:tcPr>
          <w:p>
            <w:pPr>
              <w:jc w:val="center"/>
              <w:ind w:right="26"/>
              <w:spacing w:after="0" w:line="145" w:lineRule="exact"/>
              <w:rPr>
                <w:sz w:val="20"/>
                <w:szCs w:val="20"/>
                <w:color w:val="auto"/>
              </w:rPr>
            </w:pPr>
            <w:r>
              <w:rPr>
                <w:rFonts w:ascii="Arial" w:cs="Arial" w:eastAsia="Arial" w:hAnsi="Arial"/>
                <w:sz w:val="13"/>
                <w:szCs w:val="13"/>
                <w:b w:val="1"/>
                <w:bCs w:val="1"/>
                <w:color w:val="auto"/>
                <w:w w:val="96"/>
              </w:rPr>
              <w:t>Total</w:t>
            </w:r>
          </w:p>
        </w:tc>
        <w:tc>
          <w:tcPr>
            <w:tcW w:w="1640" w:type="dxa"/>
            <w:vAlign w:val="bottom"/>
          </w:tcPr>
          <w:p>
            <w:pPr>
              <w:jc w:val="center"/>
              <w:ind w:right="26"/>
              <w:spacing w:after="0" w:line="145" w:lineRule="exact"/>
              <w:rPr>
                <w:sz w:val="20"/>
                <w:szCs w:val="20"/>
                <w:color w:val="auto"/>
              </w:rPr>
            </w:pPr>
            <w:r>
              <w:rPr>
                <w:rFonts w:ascii="Arial" w:cs="Arial" w:eastAsia="Arial" w:hAnsi="Arial"/>
                <w:sz w:val="13"/>
                <w:szCs w:val="13"/>
                <w:b w:val="1"/>
                <w:bCs w:val="1"/>
                <w:color w:val="auto"/>
                <w:w w:val="85"/>
              </w:rPr>
              <w:t>as of</w:t>
            </w:r>
          </w:p>
        </w:tc>
        <w:tc>
          <w:tcPr>
            <w:tcW w:w="1220" w:type="dxa"/>
            <w:vAlign w:val="bottom"/>
            <w:gridSpan w:val="2"/>
          </w:tcPr>
          <w:p>
            <w:pPr>
              <w:ind w:left="460"/>
              <w:spacing w:after="0" w:line="145" w:lineRule="exact"/>
              <w:rPr>
                <w:sz w:val="20"/>
                <w:szCs w:val="20"/>
                <w:color w:val="auto"/>
              </w:rPr>
            </w:pPr>
            <w:r>
              <w:rPr>
                <w:rFonts w:ascii="Arial" w:cs="Arial" w:eastAsia="Arial" w:hAnsi="Arial"/>
                <w:sz w:val="13"/>
                <w:szCs w:val="13"/>
                <w:b w:val="1"/>
                <w:bCs w:val="1"/>
                <w:color w:val="auto"/>
              </w:rPr>
              <w:t>Expiration</w:t>
            </w:r>
          </w:p>
        </w:tc>
      </w:tr>
      <w:tr>
        <w:trPr>
          <w:trHeight w:val="158"/>
        </w:trPr>
        <w:tc>
          <w:tcPr>
            <w:tcW w:w="5280" w:type="dxa"/>
            <w:vAlign w:val="bottom"/>
          </w:tcPr>
          <w:p>
            <w:pPr>
              <w:spacing w:after="0"/>
              <w:rPr>
                <w:sz w:val="13"/>
                <w:szCs w:val="13"/>
                <w:color w:val="auto"/>
              </w:rPr>
            </w:pPr>
          </w:p>
        </w:tc>
        <w:tc>
          <w:tcPr>
            <w:tcW w:w="1000" w:type="dxa"/>
            <w:vAlign w:val="bottom"/>
          </w:tcPr>
          <w:p>
            <w:pPr>
              <w:jc w:val="right"/>
              <w:ind w:right="502"/>
              <w:spacing w:after="0"/>
              <w:rPr>
                <w:sz w:val="20"/>
                <w:szCs w:val="20"/>
                <w:color w:val="auto"/>
              </w:rPr>
            </w:pPr>
            <w:r>
              <w:rPr>
                <w:rFonts w:ascii="Arial" w:cs="Arial" w:eastAsia="Arial" w:hAnsi="Arial"/>
                <w:sz w:val="13"/>
                <w:szCs w:val="13"/>
                <w:b w:val="1"/>
                <w:bCs w:val="1"/>
                <w:color w:val="auto"/>
              </w:rPr>
              <w:t>2012</w:t>
            </w:r>
          </w:p>
        </w:tc>
        <w:tc>
          <w:tcPr>
            <w:tcW w:w="1360" w:type="dxa"/>
            <w:vAlign w:val="bottom"/>
          </w:tcPr>
          <w:p>
            <w:pPr>
              <w:jc w:val="center"/>
              <w:ind w:right="6"/>
              <w:spacing w:after="0"/>
              <w:rPr>
                <w:sz w:val="20"/>
                <w:szCs w:val="20"/>
                <w:color w:val="auto"/>
              </w:rPr>
            </w:pPr>
            <w:r>
              <w:rPr>
                <w:rFonts w:ascii="Arial" w:cs="Arial" w:eastAsia="Arial" w:hAnsi="Arial"/>
                <w:sz w:val="13"/>
                <w:szCs w:val="13"/>
                <w:b w:val="1"/>
                <w:bCs w:val="1"/>
                <w:color w:val="auto"/>
                <w:w w:val="88"/>
              </w:rPr>
              <w:t>Revenue</w:t>
            </w:r>
          </w:p>
        </w:tc>
        <w:tc>
          <w:tcPr>
            <w:tcW w:w="1640" w:type="dxa"/>
            <w:vAlign w:val="bottom"/>
          </w:tcPr>
          <w:p>
            <w:pPr>
              <w:jc w:val="right"/>
              <w:ind w:right="346"/>
              <w:spacing w:after="0"/>
              <w:rPr>
                <w:sz w:val="20"/>
                <w:szCs w:val="20"/>
                <w:color w:val="auto"/>
              </w:rPr>
            </w:pPr>
            <w:r>
              <w:rPr>
                <w:rFonts w:ascii="Arial" w:cs="Arial" w:eastAsia="Arial" w:hAnsi="Arial"/>
                <w:sz w:val="13"/>
                <w:szCs w:val="13"/>
                <w:b w:val="1"/>
                <w:bCs w:val="1"/>
                <w:color w:val="auto"/>
              </w:rPr>
              <w:t>March 31, 2012</w:t>
            </w:r>
          </w:p>
        </w:tc>
        <w:tc>
          <w:tcPr>
            <w:tcW w:w="1220" w:type="dxa"/>
            <w:vAlign w:val="bottom"/>
            <w:gridSpan w:val="2"/>
          </w:tcPr>
          <w:p>
            <w:pPr>
              <w:ind w:left="620"/>
              <w:spacing w:after="0"/>
              <w:rPr>
                <w:sz w:val="20"/>
                <w:szCs w:val="20"/>
                <w:color w:val="auto"/>
              </w:rPr>
            </w:pPr>
            <w:r>
              <w:rPr>
                <w:rFonts w:ascii="Arial" w:cs="Arial" w:eastAsia="Arial" w:hAnsi="Arial"/>
                <w:sz w:val="13"/>
                <w:szCs w:val="13"/>
                <w:b w:val="1"/>
                <w:bCs w:val="1"/>
                <w:color w:val="auto"/>
              </w:rPr>
              <w:t>Date</w:t>
            </w:r>
          </w:p>
        </w:tc>
      </w:tr>
      <w:tr>
        <w:trPr>
          <w:trHeight w:val="138"/>
        </w:trPr>
        <w:tc>
          <w:tcPr>
            <w:tcW w:w="52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2"/>
          </w:tcPr>
          <w:p>
            <w:pPr>
              <w:jc w:val="right"/>
              <w:ind w:right="766"/>
              <w:spacing w:after="0" w:line="138" w:lineRule="exact"/>
              <w:rPr>
                <w:sz w:val="20"/>
                <w:szCs w:val="20"/>
                <w:color w:val="auto"/>
              </w:rPr>
            </w:pPr>
            <w:r>
              <w:rPr>
                <w:rFonts w:ascii="Arial" w:cs="Arial" w:eastAsia="Arial" w:hAnsi="Arial"/>
                <w:sz w:val="13"/>
                <w:szCs w:val="13"/>
                <w:b w:val="1"/>
                <w:bCs w:val="1"/>
                <w:color w:val="auto"/>
              </w:rPr>
              <w:t>(Revenue in millions)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Top ID/IQ Contract</w:t>
            </w:r>
          </w:p>
        </w:tc>
        <w:tc>
          <w:tcPr>
            <w:tcW w:w="1000" w:type="dxa"/>
            <w:vAlign w:val="bottom"/>
            <w:shd w:val="clear" w:color="auto" w:fill="CCEEFF"/>
          </w:tcPr>
          <w:p>
            <w:pPr>
              <w:jc w:val="right"/>
              <w:ind w:right="322"/>
              <w:spacing w:after="0"/>
              <w:rPr>
                <w:sz w:val="20"/>
                <w:szCs w:val="20"/>
                <w:color w:val="auto"/>
              </w:rPr>
            </w:pPr>
            <w:r>
              <w:rPr>
                <w:rFonts w:ascii="Arial" w:cs="Arial" w:eastAsia="Arial" w:hAnsi="Arial"/>
                <w:sz w:val="17"/>
                <w:szCs w:val="17"/>
                <w:color w:val="auto"/>
                <w:w w:val="94"/>
              </w:rPr>
              <w:t>$  572.3</w:t>
            </w:r>
          </w:p>
        </w:tc>
        <w:tc>
          <w:tcPr>
            <w:tcW w:w="1360" w:type="dxa"/>
            <w:vAlign w:val="bottom"/>
            <w:shd w:val="clear" w:color="auto" w:fill="CCEEFF"/>
          </w:tcPr>
          <w:p>
            <w:pPr>
              <w:jc w:val="right"/>
              <w:ind w:right="266"/>
              <w:spacing w:after="0"/>
              <w:rPr>
                <w:sz w:val="20"/>
                <w:szCs w:val="20"/>
                <w:color w:val="auto"/>
              </w:rPr>
            </w:pPr>
            <w:r>
              <w:rPr>
                <w:rFonts w:ascii="Arial" w:cs="Arial" w:eastAsia="Arial" w:hAnsi="Arial"/>
                <w:sz w:val="17"/>
                <w:szCs w:val="17"/>
                <w:color w:val="auto"/>
              </w:rPr>
              <w:t>10%</w:t>
            </w:r>
          </w:p>
        </w:tc>
        <w:tc>
          <w:tcPr>
            <w:tcW w:w="1640" w:type="dxa"/>
            <w:vAlign w:val="bottom"/>
            <w:shd w:val="clear" w:color="auto" w:fill="CCEEFF"/>
          </w:tcPr>
          <w:p>
            <w:pPr>
              <w:jc w:val="right"/>
              <w:ind w:right="346"/>
              <w:spacing w:after="0"/>
              <w:rPr>
                <w:sz w:val="20"/>
                <w:szCs w:val="20"/>
                <w:color w:val="auto"/>
              </w:rPr>
            </w:pPr>
            <w:r>
              <w:rPr>
                <w:rFonts w:ascii="Arial" w:cs="Arial" w:eastAsia="Arial" w:hAnsi="Arial"/>
                <w:sz w:val="17"/>
                <w:szCs w:val="17"/>
                <w:color w:val="auto"/>
              </w:rPr>
              <w:t>195</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9/29/2014</w:t>
            </w:r>
          </w:p>
        </w:tc>
      </w:tr>
      <w:tr>
        <w:trPr>
          <w:trHeight w:val="211"/>
        </w:trPr>
        <w:tc>
          <w:tcPr>
            <w:tcW w:w="5280" w:type="dxa"/>
            <w:vAlign w:val="bottom"/>
          </w:tcPr>
          <w:p>
            <w:pPr>
              <w:spacing w:after="0"/>
              <w:rPr>
                <w:sz w:val="20"/>
                <w:szCs w:val="20"/>
                <w:color w:val="auto"/>
              </w:rPr>
            </w:pPr>
            <w:r>
              <w:rPr>
                <w:rFonts w:ascii="Arial" w:cs="Arial" w:eastAsia="Arial" w:hAnsi="Arial"/>
                <w:sz w:val="17"/>
                <w:szCs w:val="17"/>
                <w:color w:val="auto"/>
              </w:rPr>
              <w:t>Top Five ID/IQ Contracts</w:t>
            </w:r>
          </w:p>
        </w:tc>
        <w:tc>
          <w:tcPr>
            <w:tcW w:w="1000" w:type="dxa"/>
            <w:vAlign w:val="bottom"/>
          </w:tcPr>
          <w:p>
            <w:pPr>
              <w:jc w:val="right"/>
              <w:ind w:right="322"/>
              <w:spacing w:after="0"/>
              <w:rPr>
                <w:sz w:val="20"/>
                <w:szCs w:val="20"/>
                <w:color w:val="auto"/>
              </w:rPr>
            </w:pPr>
            <w:r>
              <w:rPr>
                <w:rFonts w:ascii="Arial" w:cs="Arial" w:eastAsia="Arial" w:hAnsi="Arial"/>
                <w:sz w:val="17"/>
                <w:szCs w:val="17"/>
                <w:color w:val="auto"/>
              </w:rPr>
              <w:t>1,548.4</w:t>
            </w:r>
          </w:p>
        </w:tc>
        <w:tc>
          <w:tcPr>
            <w:tcW w:w="1360" w:type="dxa"/>
            <w:vAlign w:val="bottom"/>
          </w:tcPr>
          <w:p>
            <w:pPr>
              <w:jc w:val="right"/>
              <w:ind w:right="266"/>
              <w:spacing w:after="0"/>
              <w:rPr>
                <w:sz w:val="20"/>
                <w:szCs w:val="20"/>
                <w:color w:val="auto"/>
              </w:rPr>
            </w:pPr>
            <w:r>
              <w:rPr>
                <w:rFonts w:ascii="Arial" w:cs="Arial" w:eastAsia="Arial" w:hAnsi="Arial"/>
                <w:sz w:val="17"/>
                <w:szCs w:val="17"/>
                <w:color w:val="auto"/>
              </w:rPr>
              <w:t>26%</w:t>
            </w:r>
          </w:p>
        </w:tc>
        <w:tc>
          <w:tcPr>
            <w:tcW w:w="1640" w:type="dxa"/>
            <w:vAlign w:val="bottom"/>
          </w:tcPr>
          <w:p>
            <w:pPr>
              <w:jc w:val="right"/>
              <w:ind w:right="346"/>
              <w:spacing w:after="0"/>
              <w:rPr>
                <w:sz w:val="20"/>
                <w:szCs w:val="20"/>
                <w:color w:val="auto"/>
              </w:rPr>
            </w:pPr>
            <w:r>
              <w:rPr>
                <w:rFonts w:ascii="Arial" w:cs="Arial" w:eastAsia="Arial" w:hAnsi="Arial"/>
                <w:sz w:val="17"/>
                <w:szCs w:val="17"/>
                <w:color w:val="auto"/>
              </w:rPr>
              <w:t>370</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Top Ten ID/IQ Contracts</w:t>
            </w:r>
          </w:p>
        </w:tc>
        <w:tc>
          <w:tcPr>
            <w:tcW w:w="1000" w:type="dxa"/>
            <w:vAlign w:val="bottom"/>
            <w:shd w:val="clear" w:color="auto" w:fill="CCEEFF"/>
          </w:tcPr>
          <w:p>
            <w:pPr>
              <w:jc w:val="right"/>
              <w:ind w:right="322"/>
              <w:spacing w:after="0"/>
              <w:rPr>
                <w:sz w:val="20"/>
                <w:szCs w:val="20"/>
                <w:color w:val="auto"/>
              </w:rPr>
            </w:pPr>
            <w:r>
              <w:rPr>
                <w:rFonts w:ascii="Arial" w:cs="Arial" w:eastAsia="Arial" w:hAnsi="Arial"/>
                <w:sz w:val="17"/>
                <w:szCs w:val="17"/>
                <w:color w:val="auto"/>
              </w:rPr>
              <w:t>2,018.2</w:t>
            </w:r>
          </w:p>
        </w:tc>
        <w:tc>
          <w:tcPr>
            <w:tcW w:w="1360" w:type="dxa"/>
            <w:vAlign w:val="bottom"/>
            <w:shd w:val="clear" w:color="auto" w:fill="CCEEFF"/>
          </w:tcPr>
          <w:p>
            <w:pPr>
              <w:jc w:val="right"/>
              <w:ind w:right="266"/>
              <w:spacing w:after="0"/>
              <w:rPr>
                <w:sz w:val="20"/>
                <w:szCs w:val="20"/>
                <w:color w:val="auto"/>
              </w:rPr>
            </w:pPr>
            <w:r>
              <w:rPr>
                <w:rFonts w:ascii="Arial" w:cs="Arial" w:eastAsia="Arial" w:hAnsi="Arial"/>
                <w:sz w:val="17"/>
                <w:szCs w:val="17"/>
                <w:color w:val="auto"/>
              </w:rPr>
              <w:t>34%</w:t>
            </w:r>
          </w:p>
        </w:tc>
        <w:tc>
          <w:tcPr>
            <w:tcW w:w="1640" w:type="dxa"/>
            <w:vAlign w:val="bottom"/>
            <w:shd w:val="clear" w:color="auto" w:fill="CCEEFF"/>
          </w:tcPr>
          <w:p>
            <w:pPr>
              <w:jc w:val="right"/>
              <w:ind w:right="346"/>
              <w:spacing w:after="0"/>
              <w:rPr>
                <w:sz w:val="20"/>
                <w:szCs w:val="20"/>
                <w:color w:val="auto"/>
              </w:rPr>
            </w:pPr>
            <w:r>
              <w:rPr>
                <w:rFonts w:ascii="Arial" w:cs="Arial" w:eastAsia="Arial" w:hAnsi="Arial"/>
                <w:sz w:val="17"/>
                <w:szCs w:val="17"/>
                <w:color w:val="auto"/>
              </w:rPr>
              <w:t>433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50"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color w:val="auto"/>
        </w:rPr>
        <w:t>As of September 30, 2011, the end of the U.S. government’s fiscal year, there were a total of 32 GSA schedules with over 18,000 schedule holders that generated more than $38.6 billion in annual sales in U.S. government fiscal year 2011. During the U.S government fiscal year 2011 our top three GSA Schedules in terms of sales were the Mission Oriented Business Integrated Services (MOBIS) Schedule, Information Technology (IT) Schedule 70, and the Professional Engineering Services (PES) Schedule. Overall, we were the number two provider under the GSA Federal Supply Schedule program based on total reported GSA contracts sales of $868 million during U.S. government fiscal year 2011.</w:t>
      </w:r>
    </w:p>
    <w:p>
      <w:pPr>
        <w:spacing w:after="0" w:line="132"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6"/>
          <w:szCs w:val="16"/>
          <w:color w:val="auto"/>
        </w:rPr>
        <w:t>Listed below are our top three GSA schedules and GWACs in fiscal 2012 and revenue for each of fiscal 2012, fiscal 2011, and fiscal 2010, the number of active task orders as of March 31, 2012 under each of our top three GSA schedules and GWACs and an aggregation of all other GSA schedules and GWACs. These contract vehicles are available to all U.S. government agencies and the revenue stated is the result of individually competed task orders.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4"/>
              </w:rPr>
              <w:t>%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rPr>
              <w:t>% of</w:t>
            </w:r>
          </w:p>
        </w:tc>
        <w:tc>
          <w:tcPr>
            <w:tcW w:w="700" w:type="dxa"/>
            <w:vAlign w:val="bottom"/>
          </w:tcPr>
          <w:p>
            <w:pPr>
              <w:jc w:val="right"/>
              <w:spacing w:after="0" w:line="145" w:lineRule="exact"/>
              <w:rPr>
                <w:sz w:val="20"/>
                <w:szCs w:val="20"/>
                <w:color w:val="auto"/>
              </w:rPr>
            </w:pPr>
            <w:r>
              <w:rPr>
                <w:rFonts w:ascii="Arial" w:cs="Arial" w:eastAsia="Arial" w:hAnsi="Arial"/>
                <w:sz w:val="13"/>
                <w:szCs w:val="13"/>
                <w:b w:val="1"/>
                <w:bCs w:val="1"/>
                <w:color w:val="auto"/>
                <w:w w:val="89"/>
              </w:rPr>
              <w:t>Task Orders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60"/>
              <w:spacing w:after="0" w:line="145" w:lineRule="exact"/>
              <w:rPr>
                <w:sz w:val="20"/>
                <w:szCs w:val="20"/>
                <w:color w:val="auto"/>
              </w:rPr>
            </w:pPr>
            <w:r>
              <w:rPr>
                <w:rFonts w:ascii="Arial" w:cs="Arial" w:eastAsia="Arial" w:hAnsi="Arial"/>
                <w:sz w:val="13"/>
                <w:szCs w:val="13"/>
                <w:b w:val="1"/>
                <w:bCs w:val="1"/>
                <w:color w:val="auto"/>
                <w:w w:val="97"/>
              </w:rPr>
              <w:t>Fiscal</w:t>
            </w:r>
          </w:p>
        </w:tc>
        <w:tc>
          <w:tcPr>
            <w:tcW w:w="26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5" w:lineRule="exact"/>
              <w:rPr>
                <w:sz w:val="20"/>
                <w:szCs w:val="20"/>
                <w:color w:val="auto"/>
              </w:rPr>
            </w:pPr>
            <w:r>
              <w:rPr>
                <w:rFonts w:ascii="Arial" w:cs="Arial" w:eastAsia="Arial" w:hAnsi="Arial"/>
                <w:sz w:val="13"/>
                <w:szCs w:val="13"/>
                <w:b w:val="1"/>
                <w:bCs w:val="1"/>
                <w:color w:val="auto"/>
                <w:w w:val="97"/>
              </w:rPr>
              <w:t>Fiscal</w:t>
            </w:r>
          </w:p>
        </w:tc>
        <w:tc>
          <w:tcPr>
            <w:tcW w:w="740" w:type="dxa"/>
            <w:vAlign w:val="bottom"/>
            <w:gridSpan w:val="2"/>
          </w:tcPr>
          <w:p>
            <w:pPr>
              <w:jc w:val="center"/>
              <w:ind w:right="260"/>
              <w:spacing w:after="0" w:line="14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60"/>
              <w:spacing w:after="0" w:line="145" w:lineRule="exact"/>
              <w:rPr>
                <w:sz w:val="20"/>
                <w:szCs w:val="20"/>
                <w:color w:val="auto"/>
              </w:rPr>
            </w:pPr>
            <w:r>
              <w:rPr>
                <w:rFonts w:ascii="Arial" w:cs="Arial" w:eastAsia="Arial" w:hAnsi="Arial"/>
                <w:sz w:val="13"/>
                <w:szCs w:val="13"/>
                <w:b w:val="1"/>
                <w:bCs w:val="1"/>
                <w:color w:val="auto"/>
                <w:w w:val="97"/>
              </w:rPr>
              <w:t>Fiscal</w:t>
            </w:r>
          </w:p>
        </w:tc>
        <w:tc>
          <w:tcPr>
            <w:tcW w:w="26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89"/>
              </w:rPr>
              <w:t>Total</w:t>
            </w:r>
          </w:p>
        </w:tc>
        <w:tc>
          <w:tcPr>
            <w:tcW w:w="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5"/>
              </w:rPr>
              <w:t>as of</w:t>
            </w:r>
          </w:p>
        </w:tc>
        <w:tc>
          <w:tcPr>
            <w:tcW w:w="260" w:type="dxa"/>
            <w:vAlign w:val="bottom"/>
          </w:tcPr>
          <w:p>
            <w:pPr>
              <w:spacing w:after="0"/>
              <w:rPr>
                <w:sz w:val="12"/>
                <w:szCs w:val="12"/>
                <w:color w:val="auto"/>
              </w:rPr>
            </w:pPr>
          </w:p>
        </w:tc>
        <w:tc>
          <w:tcPr>
            <w:tcW w:w="94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7"/>
              </w:rPr>
              <w:t>Expiration</w:t>
            </w:r>
          </w:p>
        </w:tc>
      </w:tr>
      <w:tr>
        <w:trPr>
          <w:trHeight w:val="158"/>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3"/>
                <w:szCs w:val="13"/>
                <w:b w:val="1"/>
                <w:bCs w:val="1"/>
                <w:color w:val="auto"/>
              </w:rPr>
              <w:t>2012</w:t>
            </w:r>
          </w:p>
        </w:tc>
        <w:tc>
          <w:tcPr>
            <w:tcW w:w="260" w:type="dxa"/>
            <w:vAlign w:val="bottom"/>
          </w:tcPr>
          <w:p>
            <w:pPr>
              <w:spacing w:after="0"/>
              <w:rPr>
                <w:sz w:val="13"/>
                <w:szCs w:val="13"/>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Revenue</w:t>
            </w:r>
          </w:p>
        </w:tc>
        <w:tc>
          <w:tcPr>
            <w:tcW w:w="100" w:type="dxa"/>
            <w:vAlign w:val="bottom"/>
          </w:tcPr>
          <w:p>
            <w:pPr>
              <w:spacing w:after="0"/>
              <w:rPr>
                <w:sz w:val="13"/>
                <w:szCs w:val="13"/>
                <w:color w:val="auto"/>
              </w:rPr>
            </w:pPr>
          </w:p>
        </w:tc>
        <w:tc>
          <w:tcPr>
            <w:tcW w:w="500" w:type="dxa"/>
            <w:vAlign w:val="bottom"/>
          </w:tcPr>
          <w:p>
            <w:pPr>
              <w:jc w:val="right"/>
              <w:ind w:right="80"/>
              <w:spacing w:after="0"/>
              <w:rPr>
                <w:sz w:val="20"/>
                <w:szCs w:val="20"/>
                <w:color w:val="auto"/>
              </w:rPr>
            </w:pPr>
            <w:r>
              <w:rPr>
                <w:rFonts w:ascii="Arial" w:cs="Arial" w:eastAsia="Arial" w:hAnsi="Arial"/>
                <w:sz w:val="13"/>
                <w:szCs w:val="13"/>
                <w:b w:val="1"/>
                <w:bCs w:val="1"/>
                <w:color w:val="auto"/>
              </w:rPr>
              <w:t>2011</w:t>
            </w:r>
          </w:p>
        </w:tc>
        <w:tc>
          <w:tcPr>
            <w:tcW w:w="28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Revenue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00"/>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Revenue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31-Mar-12</w:t>
            </w:r>
          </w:p>
        </w:tc>
        <w:tc>
          <w:tcPr>
            <w:tcW w:w="26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r>
      <w:tr>
        <w:trPr>
          <w:trHeight w:val="13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top w:val="single" w:sz="8" w:color="auto"/>
            </w:tcBorders>
            <w:gridSpan w:val="4"/>
          </w:tcPr>
          <w:p>
            <w:pPr>
              <w:jc w:val="right"/>
              <w:ind w:right="40"/>
              <w:spacing w:after="0" w:line="138" w:lineRule="exact"/>
              <w:rPr>
                <w:sz w:val="20"/>
                <w:szCs w:val="20"/>
                <w:color w:val="auto"/>
              </w:rPr>
            </w:pPr>
            <w:r>
              <w:rPr>
                <w:rFonts w:ascii="Arial" w:cs="Arial" w:eastAsia="Arial" w:hAnsi="Arial"/>
                <w:sz w:val="13"/>
                <w:szCs w:val="13"/>
                <w:b w:val="1"/>
                <w:bCs w:val="1"/>
                <w:color w:val="auto"/>
              </w:rPr>
              <w:t>(Revenue in millions)</w:t>
            </w: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2"/>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w w:val="94"/>
              </w:rPr>
              <w:t>Mission Oriented Business Integrated Services (MOBIS)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#874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411.6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9/30/2012</w:t>
            </w:r>
          </w:p>
        </w:tc>
      </w:tr>
      <w:tr>
        <w:trPr>
          <w:trHeight w:val="211"/>
        </w:trPr>
        <w:tc>
          <w:tcPr>
            <w:tcW w:w="4240" w:type="dxa"/>
            <w:vAlign w:val="bottom"/>
          </w:tcPr>
          <w:p>
            <w:pPr>
              <w:spacing w:after="0"/>
              <w:rPr>
                <w:sz w:val="20"/>
                <w:szCs w:val="20"/>
                <w:color w:val="auto"/>
              </w:rPr>
            </w:pPr>
            <w:r>
              <w:rPr>
                <w:rFonts w:ascii="Arial" w:cs="Arial" w:eastAsia="Arial" w:hAnsi="Arial"/>
                <w:sz w:val="17"/>
                <w:szCs w:val="17"/>
                <w:color w:val="auto"/>
              </w:rPr>
              <w:t>Information Technology (IT) — #70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196.0</w:t>
            </w:r>
          </w:p>
        </w:tc>
        <w:tc>
          <w:tcPr>
            <w:tcW w:w="1120" w:type="dxa"/>
            <w:vAlign w:val="bottom"/>
            <w:gridSpan w:val="3"/>
          </w:tcPr>
          <w:p>
            <w:pPr>
              <w:jc w:val="right"/>
              <w:ind w:right="2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226.7</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257.7</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149</w:t>
            </w:r>
          </w:p>
        </w:tc>
        <w:tc>
          <w:tcPr>
            <w:tcW w:w="1200" w:type="dxa"/>
            <w:vAlign w:val="bottom"/>
            <w:gridSpan w:val="3"/>
          </w:tcPr>
          <w:p>
            <w:pPr>
              <w:jc w:val="right"/>
              <w:ind w:right="80"/>
              <w:spacing w:after="0"/>
              <w:rPr>
                <w:sz w:val="20"/>
                <w:szCs w:val="20"/>
                <w:color w:val="auto"/>
              </w:rPr>
            </w:pPr>
            <w:r>
              <w:rPr>
                <w:rFonts w:ascii="Arial" w:cs="Arial" w:eastAsia="Arial" w:hAnsi="Arial"/>
                <w:sz w:val="17"/>
                <w:szCs w:val="17"/>
                <w:color w:val="auto"/>
              </w:rPr>
              <w:t>3/22/2014</w:t>
            </w:r>
          </w:p>
        </w:tc>
      </w:tr>
      <w:tr>
        <w:trPr>
          <w:trHeight w:val="21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Professional Engineering Services (PES) — #871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174.4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10/28/2014</w:t>
            </w:r>
          </w:p>
        </w:tc>
      </w:tr>
      <w:tr>
        <w:trPr>
          <w:trHeight w:val="211"/>
        </w:trPr>
        <w:tc>
          <w:tcPr>
            <w:tcW w:w="4240" w:type="dxa"/>
            <w:vAlign w:val="bottom"/>
          </w:tcPr>
          <w:p>
            <w:pPr>
              <w:spacing w:after="0"/>
              <w:rPr>
                <w:sz w:val="20"/>
                <w:szCs w:val="20"/>
                <w:color w:val="auto"/>
              </w:rPr>
            </w:pPr>
            <w:r>
              <w:rPr>
                <w:rFonts w:ascii="Arial" w:cs="Arial" w:eastAsia="Arial" w:hAnsi="Arial"/>
                <w:sz w:val="17"/>
                <w:szCs w:val="17"/>
                <w:color w:val="auto"/>
              </w:rPr>
              <w:t>All Others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398.0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363.4</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368.2</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7%</w:t>
            </w:r>
          </w:p>
        </w:tc>
        <w:tc>
          <w:tcPr>
            <w:tcW w:w="700" w:type="dxa"/>
            <w:vAlign w:val="bottom"/>
          </w:tcPr>
          <w:p>
            <w:pPr>
              <w:jc w:val="right"/>
              <w:spacing w:after="0"/>
              <w:rPr>
                <w:sz w:val="20"/>
                <w:szCs w:val="20"/>
                <w:color w:val="auto"/>
              </w:rPr>
            </w:pPr>
            <w:r>
              <w:rPr>
                <w:rFonts w:ascii="Arial" w:cs="Arial" w:eastAsia="Arial" w:hAnsi="Arial"/>
                <w:sz w:val="17"/>
                <w:szCs w:val="17"/>
                <w:color w:val="auto"/>
              </w:rPr>
              <w:t>176</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1,159.9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84"/>
              </w:rPr>
              <w:t>1,176.1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1,194.1</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23%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derived approximately 75% of our revenue for fiscal 2012 from over 4,600 task orders under ID/IQ contracts (inclusive of GSA Schedules and GWACs). Listed below for each specified revenue band is the number of, revenue derived from, and average duration of our task orders as of March 31, 2012. The table includes revenue earned during fiscal 2012 under all task orders under these ID/IQ contracts and the number of task orders on which this revenue was earned. Average duration reflected in the table below is calculated based on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51"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inception date of the task order, which may be prior to the beginning of fiscal 2012, and the completion date which may have been prior or subsequent to March 31, 2012. As a result, the actual average remaining duration for task orders included in this table may be less than the average duration shown in the table, and task orders included in the table may have been complete on March 31, 2012.</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Segmentation of Task</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0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6"/>
              </w:rPr>
              <w:t>% of Total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600" w:type="dxa"/>
            <w:vAlign w:val="bottom"/>
            <w:gridSpan w:val="2"/>
            <w:vMerge w:val="continue"/>
          </w:tcPr>
          <w:p>
            <w:pPr>
              <w:spacing w:after="0"/>
              <w:rPr>
                <w:sz w:val="11"/>
                <w:szCs w:val="11"/>
                <w:color w:val="auto"/>
              </w:rPr>
            </w:pPr>
          </w:p>
        </w:tc>
        <w:tc>
          <w:tcPr>
            <w:tcW w:w="1780" w:type="dxa"/>
            <w:vAlign w:val="bottom"/>
            <w:gridSpan w:val="2"/>
          </w:tcPr>
          <w:p>
            <w:pPr>
              <w:jc w:val="center"/>
              <w:ind w:right="880"/>
              <w:spacing w:after="0" w:line="131" w:lineRule="exact"/>
              <w:rPr>
                <w:sz w:val="20"/>
                <w:szCs w:val="20"/>
                <w:color w:val="auto"/>
              </w:rPr>
            </w:pPr>
            <w:r>
              <w:rPr>
                <w:rFonts w:ascii="Arial" w:cs="Arial" w:eastAsia="Arial" w:hAnsi="Arial"/>
                <w:sz w:val="13"/>
                <w:szCs w:val="13"/>
                <w:b w:val="1"/>
                <w:bCs w:val="1"/>
                <w:color w:val="auto"/>
                <w:w w:val="91"/>
              </w:rPr>
              <w:t>Number of Task</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00" w:type="dxa"/>
            <w:vAlign w:val="bottom"/>
            <w:gridSpan w:val="2"/>
          </w:tcPr>
          <w:p>
            <w:pPr>
              <w:jc w:val="center"/>
              <w:ind w:right="900"/>
              <w:spacing w:after="0" w:line="131" w:lineRule="exact"/>
              <w:rPr>
                <w:sz w:val="20"/>
                <w:szCs w:val="20"/>
                <w:color w:val="auto"/>
              </w:rPr>
            </w:pPr>
            <w:r>
              <w:rPr>
                <w:rFonts w:ascii="Arial" w:cs="Arial" w:eastAsia="Arial" w:hAnsi="Arial"/>
                <w:sz w:val="13"/>
                <w:szCs w:val="13"/>
                <w:b w:val="1"/>
                <w:bCs w:val="1"/>
                <w:color w:val="auto"/>
                <w:w w:val="86"/>
              </w:rPr>
              <w:t>Fiscal</w:t>
            </w:r>
          </w:p>
        </w:tc>
        <w:tc>
          <w:tcPr>
            <w:tcW w:w="600" w:type="dxa"/>
            <w:vAlign w:val="bottom"/>
            <w:gridSpan w:val="2"/>
          </w:tcPr>
          <w:p>
            <w:pPr>
              <w:jc w:val="right"/>
              <w:ind w:right="120"/>
              <w:spacing w:after="0" w:line="131"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Order by Revenue Fiscal</w:t>
            </w:r>
          </w:p>
        </w:tc>
        <w:tc>
          <w:tcPr>
            <w:tcW w:w="1780" w:type="dxa"/>
            <w:vAlign w:val="bottom"/>
            <w:gridSpan w:val="2"/>
          </w:tcPr>
          <w:p>
            <w:pPr>
              <w:jc w:val="center"/>
              <w:ind w:right="880"/>
              <w:spacing w:after="0" w:line="145" w:lineRule="exact"/>
              <w:rPr>
                <w:sz w:val="20"/>
                <w:szCs w:val="20"/>
                <w:color w:val="auto"/>
              </w:rPr>
            </w:pPr>
            <w:r>
              <w:rPr>
                <w:rFonts w:ascii="Arial" w:cs="Arial" w:eastAsia="Arial" w:hAnsi="Arial"/>
                <w:sz w:val="13"/>
                <w:szCs w:val="13"/>
                <w:b w:val="1"/>
                <w:bCs w:val="1"/>
                <w:color w:val="auto"/>
                <w:w w:val="91"/>
              </w:rPr>
              <w:t>Orders as of</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80" w:type="dxa"/>
            <w:vAlign w:val="bottom"/>
            <w:gridSpan w:val="2"/>
          </w:tcPr>
          <w:p>
            <w:pPr>
              <w:jc w:val="center"/>
              <w:ind w:left="778"/>
              <w:spacing w:after="0" w:line="145" w:lineRule="exact"/>
              <w:rPr>
                <w:sz w:val="20"/>
                <w:szCs w:val="20"/>
                <w:color w:val="auto"/>
              </w:rPr>
            </w:pPr>
            <w:r>
              <w:rPr>
                <w:rFonts w:ascii="Arial" w:cs="Arial" w:eastAsia="Arial" w:hAnsi="Arial"/>
                <w:sz w:val="13"/>
                <w:szCs w:val="13"/>
                <w:b w:val="1"/>
                <w:bCs w:val="1"/>
                <w:color w:val="auto"/>
                <w:w w:val="89"/>
              </w:rPr>
              <w:t>2012</w:t>
            </w:r>
          </w:p>
        </w:tc>
        <w:tc>
          <w:tcPr>
            <w:tcW w:w="900" w:type="dxa"/>
            <w:vAlign w:val="bottom"/>
          </w:tcPr>
          <w:p>
            <w:pPr>
              <w:spacing w:after="0"/>
              <w:rPr>
                <w:sz w:val="12"/>
                <w:szCs w:val="12"/>
                <w:color w:val="auto"/>
              </w:rPr>
            </w:pPr>
          </w:p>
        </w:tc>
        <w:tc>
          <w:tcPr>
            <w:tcW w:w="600" w:type="dxa"/>
            <w:vAlign w:val="bottom"/>
            <w:gridSpan w:val="2"/>
          </w:tcPr>
          <w:p>
            <w:pPr>
              <w:jc w:val="right"/>
              <w:ind w:right="100"/>
              <w:spacing w:after="0" w:line="145" w:lineRule="exact"/>
              <w:rPr>
                <w:sz w:val="20"/>
                <w:szCs w:val="20"/>
                <w:color w:val="auto"/>
              </w:rPr>
            </w:pPr>
            <w:r>
              <w:rPr>
                <w:rFonts w:ascii="Arial" w:cs="Arial" w:eastAsia="Arial" w:hAnsi="Arial"/>
                <w:sz w:val="13"/>
                <w:szCs w:val="13"/>
                <w:b w:val="1"/>
                <w:bCs w:val="1"/>
                <w:color w:val="auto"/>
                <w:w w:val="89"/>
              </w:rPr>
              <w:t>Duration</w:t>
            </w:r>
          </w:p>
        </w:tc>
        <w:tc>
          <w:tcPr>
            <w:tcW w:w="0" w:type="dxa"/>
            <w:vAlign w:val="bottom"/>
          </w:tcPr>
          <w:p>
            <w:pPr>
              <w:spacing w:after="0"/>
              <w:rPr>
                <w:sz w:val="1"/>
                <w:szCs w:val="1"/>
                <w:color w:val="auto"/>
              </w:rPr>
            </w:pPr>
          </w:p>
        </w:tc>
      </w:tr>
      <w:tr>
        <w:trPr>
          <w:trHeight w:val="145"/>
        </w:trPr>
        <w:tc>
          <w:tcPr>
            <w:tcW w:w="1500" w:type="dxa"/>
            <w:vAlign w:val="bottom"/>
            <w:tcBorders>
              <w:bottom w:val="single" w:sz="8" w:color="auto"/>
            </w:tcBorders>
          </w:tcPr>
          <w:p>
            <w:pPr>
              <w:spacing w:after="0" w:line="125" w:lineRule="exact"/>
              <w:rPr>
                <w:sz w:val="20"/>
                <w:szCs w:val="20"/>
                <w:color w:val="auto"/>
              </w:rPr>
            </w:pPr>
            <w:r>
              <w:rPr>
                <w:rFonts w:ascii="Arial" w:cs="Arial" w:eastAsia="Arial" w:hAnsi="Arial"/>
                <w:sz w:val="13"/>
                <w:szCs w:val="13"/>
                <w:b w:val="1"/>
                <w:bCs w:val="1"/>
                <w:color w:val="auto"/>
              </w:rPr>
              <w:t>2012</w:t>
            </w:r>
          </w:p>
        </w:tc>
        <w:tc>
          <w:tcPr>
            <w:tcW w:w="3100" w:type="dxa"/>
            <w:vAlign w:val="bottom"/>
          </w:tcPr>
          <w:p>
            <w:pPr>
              <w:spacing w:after="0"/>
              <w:rPr>
                <w:sz w:val="12"/>
                <w:szCs w:val="12"/>
                <w:color w:val="auto"/>
              </w:rPr>
            </w:pPr>
          </w:p>
        </w:tc>
        <w:tc>
          <w:tcPr>
            <w:tcW w:w="1780" w:type="dxa"/>
            <w:vAlign w:val="bottom"/>
            <w:gridSpan w:val="2"/>
          </w:tcPr>
          <w:p>
            <w:pPr>
              <w:jc w:val="center"/>
              <w:ind w:right="860"/>
              <w:spacing w:after="0" w:line="125" w:lineRule="exact"/>
              <w:rPr>
                <w:sz w:val="20"/>
                <w:szCs w:val="20"/>
                <w:color w:val="auto"/>
              </w:rPr>
            </w:pPr>
            <w:r>
              <w:rPr>
                <w:rFonts w:ascii="Arial" w:cs="Arial" w:eastAsia="Arial" w:hAnsi="Arial"/>
                <w:sz w:val="13"/>
                <w:szCs w:val="13"/>
                <w:b w:val="1"/>
                <w:bCs w:val="1"/>
                <w:color w:val="auto"/>
                <w:w w:val="95"/>
              </w:rPr>
              <w:t>March 31, 2012</w:t>
            </w:r>
          </w:p>
        </w:tc>
        <w:tc>
          <w:tcPr>
            <w:tcW w:w="1140" w:type="dxa"/>
            <w:vAlign w:val="bottom"/>
            <w:gridSpan w:val="2"/>
          </w:tcPr>
          <w:p>
            <w:pPr>
              <w:spacing w:after="0" w:line="125" w:lineRule="exact"/>
              <w:rPr>
                <w:sz w:val="20"/>
                <w:szCs w:val="20"/>
                <w:color w:val="auto"/>
              </w:rPr>
            </w:pPr>
            <w:r>
              <w:rPr>
                <w:rFonts w:ascii="Arial" w:cs="Arial" w:eastAsia="Arial" w:hAnsi="Arial"/>
                <w:sz w:val="13"/>
                <w:szCs w:val="13"/>
                <w:b w:val="1"/>
                <w:bCs w:val="1"/>
                <w:color w:val="auto"/>
                <w:w w:val="88"/>
              </w:rPr>
              <w:t>Fiscal 2012 Revenue</w:t>
            </w:r>
          </w:p>
        </w:tc>
        <w:tc>
          <w:tcPr>
            <w:tcW w:w="880" w:type="dxa"/>
            <w:vAlign w:val="bottom"/>
          </w:tcPr>
          <w:p>
            <w:pPr>
              <w:spacing w:after="0"/>
              <w:rPr>
                <w:sz w:val="12"/>
                <w:szCs w:val="12"/>
                <w:color w:val="auto"/>
              </w:rPr>
            </w:pPr>
          </w:p>
        </w:tc>
        <w:tc>
          <w:tcPr>
            <w:tcW w:w="1500" w:type="dxa"/>
            <w:vAlign w:val="bottom"/>
            <w:gridSpan w:val="2"/>
          </w:tcPr>
          <w:p>
            <w:pPr>
              <w:jc w:val="center"/>
              <w:ind w:right="900"/>
              <w:spacing w:after="0" w:line="125" w:lineRule="exact"/>
              <w:rPr>
                <w:sz w:val="20"/>
                <w:szCs w:val="20"/>
                <w:color w:val="auto"/>
              </w:rPr>
            </w:pPr>
            <w:r>
              <w:rPr>
                <w:rFonts w:ascii="Arial" w:cs="Arial" w:eastAsia="Arial" w:hAnsi="Arial"/>
                <w:sz w:val="13"/>
                <w:szCs w:val="13"/>
                <w:b w:val="1"/>
                <w:bCs w:val="1"/>
                <w:color w:val="auto"/>
                <w:w w:val="88"/>
              </w:rPr>
              <w:t>Revenue</w:t>
            </w:r>
          </w:p>
        </w:tc>
        <w:tc>
          <w:tcPr>
            <w:tcW w:w="600" w:type="dxa"/>
            <w:vAlign w:val="bottom"/>
            <w:gridSpan w:val="2"/>
          </w:tcPr>
          <w:p>
            <w:pPr>
              <w:jc w:val="right"/>
              <w:ind w:right="140"/>
              <w:spacing w:after="0" w:line="125" w:lineRule="exact"/>
              <w:rPr>
                <w:sz w:val="20"/>
                <w:szCs w:val="20"/>
                <w:color w:val="auto"/>
              </w:rPr>
            </w:pPr>
            <w:r>
              <w:rPr>
                <w:rFonts w:ascii="Arial" w:cs="Arial" w:eastAsia="Arial" w:hAnsi="Arial"/>
                <w:sz w:val="13"/>
                <w:szCs w:val="13"/>
                <w:b w:val="1"/>
                <w:bCs w:val="1"/>
                <w:color w:val="auto"/>
                <w:w w:val="99"/>
              </w:rPr>
              <w:t>(Years)</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37"/>
              <w:spacing w:after="0" w:line="124" w:lineRule="exact"/>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than $1 million</w:t>
            </w: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3,812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656.3</w:t>
            </w:r>
          </w:p>
        </w:tc>
        <w:tc>
          <w:tcPr>
            <w:tcW w:w="238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11%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Arial" w:cs="Arial" w:eastAsia="Arial" w:hAnsi="Arial"/>
                <w:sz w:val="17"/>
                <w:szCs w:val="17"/>
                <w:color w:val="auto"/>
              </w:rPr>
              <w:t>Between $1 million and $3 million</w:t>
            </w:r>
          </w:p>
        </w:tc>
        <w:tc>
          <w:tcPr>
            <w:tcW w:w="1780" w:type="dxa"/>
            <w:vAlign w:val="bottom"/>
            <w:gridSpan w:val="2"/>
          </w:tcPr>
          <w:p>
            <w:pPr>
              <w:jc w:val="right"/>
              <w:ind w:right="860"/>
              <w:spacing w:after="0"/>
              <w:rPr>
                <w:sz w:val="20"/>
                <w:szCs w:val="20"/>
                <w:color w:val="auto"/>
              </w:rPr>
            </w:pPr>
            <w:r>
              <w:rPr>
                <w:rFonts w:ascii="Arial" w:cs="Arial" w:eastAsia="Arial" w:hAnsi="Arial"/>
                <w:sz w:val="17"/>
                <w:szCs w:val="17"/>
                <w:color w:val="auto"/>
              </w:rPr>
              <w:t>457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792.2</w:t>
            </w:r>
          </w:p>
        </w:tc>
        <w:tc>
          <w:tcPr>
            <w:tcW w:w="2380" w:type="dxa"/>
            <w:vAlign w:val="bottom"/>
            <w:gridSpan w:val="3"/>
          </w:tcPr>
          <w:p>
            <w:pPr>
              <w:jc w:val="right"/>
              <w:ind w:right="760"/>
              <w:spacing w:after="0"/>
              <w:rPr>
                <w:sz w:val="20"/>
                <w:szCs w:val="20"/>
                <w:color w:val="auto"/>
              </w:rPr>
            </w:pPr>
            <w:r>
              <w:rPr>
                <w:rFonts w:ascii="Arial" w:cs="Arial" w:eastAsia="Arial" w:hAnsi="Arial"/>
                <w:sz w:val="17"/>
                <w:szCs w:val="17"/>
                <w:color w:val="auto"/>
              </w:rPr>
              <w:t>14%</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Between $3 million and $5 million</w:t>
            </w:r>
          </w:p>
        </w:tc>
        <w:tc>
          <w:tcPr>
            <w:tcW w:w="178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179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697.8</w:t>
            </w:r>
          </w:p>
        </w:tc>
        <w:tc>
          <w:tcPr>
            <w:tcW w:w="238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1"/>
        </w:trPr>
        <w:tc>
          <w:tcPr>
            <w:tcW w:w="4600" w:type="dxa"/>
            <w:vAlign w:val="bottom"/>
            <w:gridSpan w:val="2"/>
          </w:tcPr>
          <w:p>
            <w:pPr>
              <w:spacing w:after="0"/>
              <w:rPr>
                <w:sz w:val="20"/>
                <w:szCs w:val="20"/>
                <w:color w:val="auto"/>
              </w:rPr>
            </w:pPr>
            <w:r>
              <w:rPr>
                <w:rFonts w:ascii="Arial" w:cs="Arial" w:eastAsia="Arial" w:hAnsi="Arial"/>
                <w:sz w:val="17"/>
                <w:szCs w:val="17"/>
                <w:color w:val="auto"/>
              </w:rPr>
              <w:t>Between $5 million and $10 million</w:t>
            </w:r>
          </w:p>
        </w:tc>
        <w:tc>
          <w:tcPr>
            <w:tcW w:w="1780" w:type="dxa"/>
            <w:vAlign w:val="bottom"/>
            <w:gridSpan w:val="2"/>
          </w:tcPr>
          <w:p>
            <w:pPr>
              <w:jc w:val="right"/>
              <w:ind w:right="860"/>
              <w:spacing w:after="0"/>
              <w:rPr>
                <w:sz w:val="20"/>
                <w:szCs w:val="20"/>
                <w:color w:val="auto"/>
              </w:rPr>
            </w:pPr>
            <w:r>
              <w:rPr>
                <w:rFonts w:ascii="Arial" w:cs="Arial" w:eastAsia="Arial" w:hAnsi="Arial"/>
                <w:sz w:val="17"/>
                <w:szCs w:val="17"/>
                <w:color w:val="auto"/>
              </w:rPr>
              <w:t>136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955.4</w:t>
            </w:r>
          </w:p>
        </w:tc>
        <w:tc>
          <w:tcPr>
            <w:tcW w:w="2380" w:type="dxa"/>
            <w:vAlign w:val="bottom"/>
            <w:gridSpan w:val="3"/>
          </w:tcPr>
          <w:p>
            <w:pPr>
              <w:jc w:val="right"/>
              <w:ind w:right="760"/>
              <w:spacing w:after="0"/>
              <w:rPr>
                <w:sz w:val="20"/>
                <w:szCs w:val="20"/>
                <w:color w:val="auto"/>
              </w:rPr>
            </w:pPr>
            <w:r>
              <w:rPr>
                <w:rFonts w:ascii="Arial" w:cs="Arial" w:eastAsia="Arial" w:hAnsi="Arial"/>
                <w:sz w:val="17"/>
                <w:szCs w:val="17"/>
                <w:color w:val="auto"/>
              </w:rPr>
              <w:t>16%</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1"/>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Greater than $10 million</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1,315.8</w:t>
            </w:r>
          </w:p>
        </w:tc>
        <w:tc>
          <w:tcPr>
            <w:tcW w:w="8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0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4,649</w:t>
            </w:r>
          </w:p>
        </w:tc>
        <w:tc>
          <w:tcPr>
            <w:tcW w:w="8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4,417.5</w:t>
            </w:r>
          </w:p>
        </w:tc>
        <w:tc>
          <w:tcPr>
            <w:tcW w:w="880" w:type="dxa"/>
            <w:vAlign w:val="bottom"/>
          </w:tcPr>
          <w:p>
            <w:pPr>
              <w:spacing w:after="0"/>
              <w:rPr>
                <w:sz w:val="18"/>
                <w:szCs w:val="18"/>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7"/>
                <w:szCs w:val="17"/>
                <w:color w:val="auto"/>
              </w:rPr>
              <w:t>75%</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define backlog to include the following three components:</w:t>
      </w:r>
    </w:p>
    <w:p>
      <w:pPr>
        <w:spacing w:after="0" w:line="94" w:lineRule="exact"/>
        <w:rPr>
          <w:sz w:val="20"/>
          <w:szCs w:val="20"/>
          <w:color w:val="auto"/>
        </w:rPr>
      </w:pPr>
    </w:p>
    <w:p>
      <w:pPr>
        <w:ind w:left="900" w:right="520" w:hanging="328"/>
        <w:spacing w:after="0" w:line="284"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 less revenue previously recognized on these contracts.</w:t>
      </w:r>
    </w:p>
    <w:p>
      <w:pPr>
        <w:spacing w:after="0" w:line="37" w:lineRule="exact"/>
        <w:rPr>
          <w:rFonts w:ascii="Arial" w:cs="Arial" w:eastAsia="Arial" w:hAnsi="Arial"/>
          <w:sz w:val="17"/>
          <w:szCs w:val="17"/>
          <w:color w:val="auto"/>
        </w:rPr>
      </w:pPr>
    </w:p>
    <w:p>
      <w:pPr>
        <w:ind w:left="900" w:right="540" w:hanging="328"/>
        <w:spacing w:after="0" w:line="284"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appropriated or otherwise authorized.</w:t>
      </w:r>
    </w:p>
    <w:p>
      <w:pPr>
        <w:spacing w:after="0" w:line="37" w:lineRule="exact"/>
        <w:rPr>
          <w:rFonts w:ascii="Arial" w:cs="Arial" w:eastAsia="Arial" w:hAnsi="Arial"/>
          <w:sz w:val="17"/>
          <w:szCs w:val="17"/>
          <w:color w:val="auto"/>
        </w:rPr>
      </w:pPr>
    </w:p>
    <w:p>
      <w:pPr>
        <w:ind w:left="900" w:right="280" w:hanging="328"/>
        <w:spacing w:after="0" w:line="284"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at our clients’ option and for which funding has not been appropriated or otherwise authorized.</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Backlog does not include any task orders under ID/IQ contracts, including GWACs and GSA schedules, except to the extent that task orders have been awarded to us under those contracts.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value of our contract backlog at the respective dates presented:</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5"/>
          </w:tcPr>
          <w:p>
            <w:pPr>
              <w:ind w:left="340"/>
              <w:spacing w:after="0"/>
              <w:rPr>
                <w:sz w:val="20"/>
                <w:szCs w:val="20"/>
                <w:color w:val="auto"/>
              </w:rPr>
            </w:pPr>
            <w:r>
              <w:rPr>
                <w:rFonts w:ascii="Arial" w:cs="Arial" w:eastAsia="Arial" w:hAnsi="Arial"/>
                <w:sz w:val="13"/>
                <w:szCs w:val="13"/>
                <w:b w:val="1"/>
                <w:bCs w:val="1"/>
                <w:color w:val="auto"/>
              </w:rPr>
              <w:t>As of March 31,</w:t>
            </w:r>
          </w:p>
        </w:tc>
      </w:tr>
      <w:tr>
        <w:trPr>
          <w:trHeight w:val="138"/>
        </w:trPr>
        <w:tc>
          <w:tcPr>
            <w:tcW w:w="68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rPr>
              <w:t>2012</w:t>
            </w:r>
          </w:p>
        </w:tc>
        <w:tc>
          <w:tcPr>
            <w:tcW w:w="6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r>
      <w:tr>
        <w:trPr>
          <w:trHeight w:val="138"/>
        </w:trPr>
        <w:tc>
          <w:tcPr>
            <w:tcW w:w="6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Funded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2,392</w:t>
            </w:r>
          </w:p>
        </w:tc>
        <w:tc>
          <w:tcPr>
            <w:tcW w:w="100" w:type="dxa"/>
            <w:vAlign w:val="bottom"/>
            <w:shd w:val="clear" w:color="auto" w:fill="CCEEFF"/>
          </w:tcPr>
          <w:p>
            <w:pPr>
              <w:spacing w:after="0"/>
              <w:rPr>
                <w:sz w:val="18"/>
                <w:szCs w:val="18"/>
                <w:color w:val="auto"/>
              </w:rPr>
            </w:pPr>
          </w:p>
        </w:tc>
      </w:tr>
      <w:tr>
        <w:trPr>
          <w:trHeight w:val="211"/>
        </w:trPr>
        <w:tc>
          <w:tcPr>
            <w:tcW w:w="6840" w:type="dxa"/>
            <w:vAlign w:val="bottom"/>
          </w:tcPr>
          <w:p>
            <w:pPr>
              <w:spacing w:after="0"/>
              <w:rPr>
                <w:sz w:val="20"/>
                <w:szCs w:val="20"/>
                <w:color w:val="auto"/>
              </w:rPr>
            </w:pPr>
            <w:r>
              <w:rPr>
                <w:rFonts w:ascii="Arial" w:cs="Arial" w:eastAsia="Arial" w:hAnsi="Arial"/>
                <w:sz w:val="17"/>
                <w:szCs w:val="17"/>
                <w:color w:val="auto"/>
              </w:rPr>
              <w:t>Unfunded (1)</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2,681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2,979</w:t>
            </w:r>
          </w:p>
        </w:tc>
        <w:tc>
          <w:tcPr>
            <w:tcW w:w="100" w:type="dxa"/>
            <w:vAlign w:val="bottom"/>
          </w:tcPr>
          <w:p>
            <w:pPr>
              <w:spacing w:after="0"/>
              <w:rPr>
                <w:sz w:val="18"/>
                <w:szCs w:val="18"/>
                <w:color w:val="auto"/>
              </w:rPr>
            </w:pPr>
          </w:p>
        </w:tc>
      </w:tr>
      <w:tr>
        <w:trPr>
          <w:trHeight w:val="211"/>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Priced options (2)</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5,225</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5,553</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Total backlog</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10,804</w:t>
            </w:r>
          </w:p>
        </w:tc>
        <w:tc>
          <w:tcPr>
            <w:tcW w:w="7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10,924</w:t>
            </w: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40" w:hanging="455"/>
        <w:spacing w:after="0" w:line="262"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a reduction by management to the revenue value of orders for services under two existing single award ID/IQ contracts based on an established pattern of funding under these contracts by the U.S. government.</w:t>
      </w:r>
    </w:p>
    <w:p>
      <w:pPr>
        <w:ind w:left="460" w:hanging="45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Amounts shown reflect 100% of the undiscounted revenue value of all priced options.</w:t>
      </w:r>
    </w:p>
    <w:p>
      <w:pPr>
        <w:spacing w:after="0" w:line="167"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1"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Due to its size, the government consulting market is highly fragmented. As certain commercial sectors of the consulting market have declined over the past few years, competition within the government professional services industry has intensified. In addition to professional service companies like our own that focus principally on the provision of services to the U.S. government, other companies active in our markets include large defense contractors, diversified service providers, and small businesses. Changing government policies and market dynamics are also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are small businesses. Small businesses are growing in the government services industry due in large part to a push by both the Obama and Bush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increase.</w:t>
      </w:r>
    </w:p>
    <w:p>
      <w:pPr>
        <w:spacing w:after="0" w:line="123"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the course of doing business, we compete and collaborate with companies of all types. We strive to maintain positive and productive relationships with these organizations. Some of them hire us as a subcontractor, and we hire some of them to work with us as our subcontractors. Our major competitors include:</w:t>
      </w:r>
    </w:p>
    <w:p>
      <w:pPr>
        <w:spacing w:after="0" w:line="1" w:lineRule="exact"/>
        <w:rPr>
          <w:sz w:val="20"/>
          <w:szCs w:val="20"/>
          <w:color w:val="auto"/>
        </w:rPr>
      </w:pPr>
    </w:p>
    <w:p>
      <w:pPr>
        <w:ind w:right="20" w:firstLine="5"/>
        <w:spacing w:after="0" w:line="300" w:lineRule="auto"/>
        <w:tabs>
          <w:tab w:leader="none" w:pos="204" w:val="left"/>
        </w:tabs>
        <w:numPr>
          <w:ilvl w:val="0"/>
          <w:numId w:val="20"/>
        </w:numPr>
        <w:rPr>
          <w:rFonts w:ascii="Arial" w:cs="Arial" w:eastAsia="Arial" w:hAnsi="Arial"/>
          <w:sz w:val="15"/>
          <w:szCs w:val="15"/>
          <w:color w:val="auto"/>
        </w:rPr>
      </w:pPr>
      <w:r>
        <w:rPr>
          <w:rFonts w:ascii="Arial" w:cs="Arial" w:eastAsia="Arial" w:hAnsi="Arial"/>
          <w:sz w:val="15"/>
          <w:szCs w:val="15"/>
          <w:color w:val="auto"/>
        </w:rPr>
        <w:t>contractors focused principally on the provision of services to the U.S. government, such as CACI International, Inc., L-3 Communications Holdings, Inc., ManTech International Corp., SRA International, Inc., and TASC Inc.; (ii) large defense contractors which provide both products and services to the U.S. government, such as General Dynamics Corp., Lockheed Martin Corp., Northrop Grumman Corp., and Raytheon Co.; and (iii) diversified service providers, such as Accenture, Computer Sciences Corp., Deloitte Consulting LLP, and SAIC, Inc. We compete on the basis of our technical expertise and client knowledge, our ability to successfully recruit appropriately skilled and experienced talent, our ability to deliver cost-effective multi-faceted services in a timely manner, our reputation and relationship with our clients,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Proprietary Information</w:t>
      </w:r>
    </w:p>
    <w:p>
      <w:pPr>
        <w:spacing w:after="0" w:line="10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137" w:lineRule="exact"/>
        <w:rPr>
          <w:sz w:val="20"/>
          <w:szCs w:val="20"/>
          <w:color w:val="auto"/>
        </w:rPr>
      </w:pPr>
    </w:p>
    <w:p>
      <w:pPr>
        <w:jc w:val="both"/>
        <w:ind w:right="140" w:firstLine="457"/>
        <w:spacing w:after="0" w:line="296" w:lineRule="auto"/>
        <w:rPr>
          <w:sz w:val="20"/>
          <w:szCs w:val="20"/>
          <w:color w:val="auto"/>
        </w:rPr>
      </w:pPr>
      <w:r>
        <w:rPr>
          <w:rFonts w:ascii="Arial" w:cs="Arial" w:eastAsia="Arial" w:hAnsi="Arial"/>
          <w:sz w:val="16"/>
          <w:szCs w:val="16"/>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51"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November 2012. Under a branding agreement entered in connection with the acquisition, Spin Co. was granted a perpetual, exclusive, worldwide, royalty-free license to use “Booz” as a name and mark other than with “Allen” or “Hamilton” and certain other words associated with our business in connection with certain activities. We agreed not to use “Booz” unless it is accompanied by “Allen” or “Hamilton” or both and we are restricted in our use of certain other words associated with Spin Co.’s business. Under certain circumstances, including if certain Spin Co. competitors obtain ownership of Booz Allen Hamilton, the licensed marks will be assigned to Spin Co.</w:t>
      </w:r>
    </w:p>
    <w:p>
      <w:pPr>
        <w:spacing w:after="0" w:line="125"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131"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Booz Allen Hamilton</w:t>
      </w:r>
      <w:r>
        <w:rPr>
          <w:rFonts w:ascii="Arial" w:cs="Arial" w:eastAsia="Arial" w:hAnsi="Arial"/>
          <w:sz w:val="10"/>
          <w:szCs w:val="10"/>
          <w:color w:val="auto"/>
        </w:rPr>
        <w:t>®</w:t>
      </w:r>
      <w:r>
        <w:rPr>
          <w:rFonts w:ascii="Arial" w:cs="Arial" w:eastAsia="Arial" w:hAnsi="Arial"/>
          <w:sz w:val="17"/>
          <w:szCs w:val="17"/>
          <w:color w:val="auto"/>
        </w:rPr>
        <w:t>, Transformation Life Cycle</w:t>
      </w:r>
      <w:r>
        <w:rPr>
          <w:rFonts w:ascii="Arial" w:cs="Arial" w:eastAsia="Arial" w:hAnsi="Arial"/>
          <w:sz w:val="10"/>
          <w:szCs w:val="10"/>
          <w:color w:val="auto"/>
        </w:rPr>
        <w:t>™</w:t>
      </w:r>
      <w:r>
        <w:rPr>
          <w:rFonts w:ascii="Arial" w:cs="Arial" w:eastAsia="Arial" w:hAnsi="Arial"/>
          <w:sz w:val="17"/>
          <w:szCs w:val="17"/>
          <w:color w:val="auto"/>
        </w:rPr>
        <w:t>, the Booz Allen Cyber Solutions Network ™ the Booz Allen Hamilton logo, and other trademarks or service marks of Booz Allen Hamilton Inc. appearing in this Annual Report are property of Booz Allen Hamilton Inc. Trade names, trademarks, and service marks of other companies appearing in this Annual Report are the property of their respective owners.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00" w:lineRule="exact"/>
        <w:rPr>
          <w:sz w:val="20"/>
          <w:szCs w:val="20"/>
          <w:color w:val="auto"/>
        </w:rPr>
      </w:pPr>
    </w:p>
    <w:p>
      <w:pPr>
        <w:ind w:right="340" w:firstLine="457"/>
        <w:spacing w:after="0" w:line="323" w:lineRule="auto"/>
        <w:rPr>
          <w:sz w:val="20"/>
          <w:szCs w:val="20"/>
          <w:color w:val="auto"/>
        </w:rPr>
      </w:pPr>
      <w:r>
        <w:rPr>
          <w:rFonts w:ascii="Arial" w:cs="Arial" w:eastAsia="Arial" w:hAnsi="Arial"/>
          <w:sz w:val="15"/>
          <w:szCs w:val="15"/>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U.S. government contracts. Some significant laws and regulations that affect us include:</w:t>
      </w:r>
    </w:p>
    <w:p>
      <w:pPr>
        <w:spacing w:after="0" w:line="15" w:lineRule="exact"/>
        <w:rPr>
          <w:sz w:val="20"/>
          <w:szCs w:val="20"/>
          <w:color w:val="auto"/>
        </w:rPr>
      </w:pPr>
    </w:p>
    <w:p>
      <w:pPr>
        <w:ind w:left="900" w:hanging="328"/>
        <w:spacing w:after="0" w:line="313"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22" w:lineRule="exact"/>
        <w:rPr>
          <w:rFonts w:ascii="Arial" w:cs="Arial" w:eastAsia="Arial" w:hAnsi="Arial"/>
          <w:sz w:val="15"/>
          <w:szCs w:val="15"/>
          <w:color w:val="auto"/>
        </w:rPr>
      </w:pPr>
    </w:p>
    <w:p>
      <w:pPr>
        <w:ind w:left="900" w:right="500" w:hanging="328"/>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37" w:lineRule="exact"/>
        <w:rPr>
          <w:rFonts w:ascii="Arial" w:cs="Arial" w:eastAsia="Arial" w:hAnsi="Arial"/>
          <w:sz w:val="17"/>
          <w:szCs w:val="17"/>
          <w:color w:val="auto"/>
        </w:rPr>
      </w:pPr>
    </w:p>
    <w:p>
      <w:pPr>
        <w:ind w:left="900" w:right="520" w:hanging="328"/>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cost and pricing data in connection with the negotiation of a contract, modification, or task order;</w:t>
      </w:r>
    </w:p>
    <w:p>
      <w:pPr>
        <w:spacing w:after="0" w:line="37" w:lineRule="exact"/>
        <w:rPr>
          <w:rFonts w:ascii="Arial" w:cs="Arial" w:eastAsia="Arial" w:hAnsi="Arial"/>
          <w:sz w:val="17"/>
          <w:szCs w:val="17"/>
          <w:color w:val="auto"/>
        </w:rPr>
      </w:pPr>
    </w:p>
    <w:p>
      <w:pPr>
        <w:ind w:left="900" w:right="40" w:hanging="328"/>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37" w:lineRule="exact"/>
        <w:rPr>
          <w:rFonts w:ascii="Arial" w:cs="Arial" w:eastAsia="Arial" w:hAnsi="Arial"/>
          <w:sz w:val="17"/>
          <w:szCs w:val="17"/>
          <w:color w:val="auto"/>
        </w:rPr>
      </w:pPr>
    </w:p>
    <w:p>
      <w:pPr>
        <w:ind w:left="900" w:right="620" w:hanging="328"/>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post government employment laws and regulations, which restrict the ability of a contractor to recruit, hire, and deploy former employees of the U.S. government;</w:t>
      </w:r>
    </w:p>
    <w:p>
      <w:pPr>
        <w:spacing w:after="0" w:line="37" w:lineRule="exact"/>
        <w:rPr>
          <w:rFonts w:ascii="Arial" w:cs="Arial" w:eastAsia="Arial" w:hAnsi="Arial"/>
          <w:sz w:val="17"/>
          <w:szCs w:val="17"/>
          <w:color w:val="auto"/>
        </w:rPr>
      </w:pPr>
    </w:p>
    <w:p>
      <w:pPr>
        <w:jc w:val="both"/>
        <w:ind w:left="900" w:right="240" w:hanging="328"/>
        <w:spacing w:after="0" w:line="354"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 work; and</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51"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right="200" w:hanging="328"/>
        <w:spacing w:after="0" w:line="284"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117"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w:t>
      </w:r>
    </w:p>
    <w:p>
      <w:pPr>
        <w:spacing w:after="0" w:line="119"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132"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11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The U.S. government has a broad range of actions that it can instigate in order to enforce its procurement policies. These include proposing a contractor or certain of its operations for debarment or suspending or debarring a contractor or certain of its operations from future government business. On February 6, 2012, our San Antonio office was proposed for debarment by the U.S. Air Force and listed on the government’s Excluded Parties List System (EPLS) website. Although the government’s action did not terminate ongoing work under existing contracts; it affected the ability of our San Antonio office to attain new government business. This matter arose from actions of a former government employee hired by us who inappropriately retained and shared sensitive information about a pending government procurement in violation of the Company’s policies and high standards of ethical conduct. On April 13, 2012, our operating subsidiary, Booz Allen Hamilton Inc., entered in an Administrative Agreement with the U.S. Air Force, which lifted the proposed debarment and removed our San Antonio office from the U.S. government’s Excluded Parties List System. As a result, our San Antonio office is now eligible to compete for new contracts with the U.S. federal government.</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Pursuant to the Administrative Agreement, we accepted responsibility for the incident that gave rise to the proposed debarment and related matters. In addition, we agreed to implement firm-wide enhancements to our ethics and compliance program, including future improvements identified by external advisors, to significantly</w:t>
      </w:r>
    </w:p>
    <w:p>
      <w:pPr>
        <w:ind w:right="40"/>
        <w:spacing w:after="0" w:line="310" w:lineRule="auto"/>
        <w:rPr>
          <w:sz w:val="20"/>
          <w:szCs w:val="20"/>
          <w:color w:val="auto"/>
        </w:rPr>
      </w:pPr>
      <w:r>
        <w:rPr>
          <w:rFonts w:ascii="Arial" w:cs="Arial" w:eastAsia="Arial" w:hAnsi="Arial"/>
          <w:sz w:val="15"/>
          <w:szCs w:val="15"/>
          <w:color w:val="auto"/>
        </w:rPr>
        <w:t>mitigate the possibility of a re-occurrence of such issues. During the three-year term of the Administrative Agreement, which begins on April 13, 2012 (or, if the Air Force determines at any time during such three year period that the Company is not fully compliant with the Administrative Agreement, from the reestablishment of full compliance as determined by the Air Force), we have agreed, among other things, to file quarterly reports with the Air Force regarding the implementation of our remedial measures and adhere to a number of provisions relating to enhanced disclosure of employee misconduct or violations of our ethics and compliance program.</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1" w:right="2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20" w:firstLine="457"/>
        <w:spacing w:after="0" w:line="296" w:lineRule="auto"/>
        <w:rPr>
          <w:sz w:val="20"/>
          <w:szCs w:val="20"/>
          <w:color w:val="auto"/>
        </w:rPr>
      </w:pPr>
      <w:r>
        <w:rPr>
          <w:rFonts w:ascii="Arial" w:cs="Arial" w:eastAsia="Arial" w:hAnsi="Arial"/>
          <w:sz w:val="16"/>
          <w:szCs w:val="16"/>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0"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00"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00" w:lineRule="exact"/>
        <w:rPr>
          <w:sz w:val="20"/>
          <w:szCs w:val="20"/>
          <w:color w:val="auto"/>
        </w:rPr>
      </w:pPr>
    </w:p>
    <w:p>
      <w:pPr>
        <w:ind w:left="240" w:right="300"/>
        <w:spacing w:after="0" w:line="284" w:lineRule="auto"/>
        <w:rPr>
          <w:sz w:val="20"/>
          <w:szCs w:val="20"/>
          <w:color w:val="auto"/>
        </w:rPr>
      </w:pPr>
      <w:r>
        <w:rPr>
          <w:rFonts w:ascii="Arial" w:cs="Arial" w:eastAsia="Arial" w:hAnsi="Arial"/>
          <w:sz w:val="17"/>
          <w:szCs w:val="17"/>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38"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U.S. government is our primary client, with revenue from contracts and task orders, either as a prime or a subcontractor, with U.S. government agencies accounting for 98% of our revenue for fiscal 2012. Our belief is that the successful future growth of our business will continue to depend primarily on our ability to be awarded work under U.S. government contracts, as we expect this will be the primary source of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could harm our relationship with U.S. government agencies. If a client is not satisfied with the quality or type of work performed by us, a subcontractor, or other third parties who provide services or products for a specific project,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Furthermore, we may incur additional costs to address any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51"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situation and the profitability of that work might be impaired. To the extent that our performance does not meet client expectations, or our reputation or relationships with any of our clients is impaired, our revenue and operating profits could materially decline.</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U.S. government spending and mission priorities could change in a manner that adversely affects our future revenue and limits our growth prospects.</w:t>
      </w:r>
    </w:p>
    <w:p>
      <w:pPr>
        <w:spacing w:after="0" w:line="117" w:lineRule="exact"/>
        <w:rPr>
          <w:sz w:val="20"/>
          <w:szCs w:val="20"/>
          <w:color w:val="auto"/>
        </w:rPr>
      </w:pPr>
    </w:p>
    <w:p>
      <w:pPr>
        <w:ind w:right="440" w:firstLine="457"/>
        <w:spacing w:after="0" w:line="267" w:lineRule="auto"/>
        <w:rPr>
          <w:sz w:val="20"/>
          <w:szCs w:val="20"/>
          <w:color w:val="auto"/>
        </w:rPr>
      </w:pPr>
      <w:r>
        <w:rPr>
          <w:rFonts w:ascii="Arial" w:cs="Arial" w:eastAsia="Arial" w:hAnsi="Arial"/>
          <w:sz w:val="17"/>
          <w:szCs w:val="17"/>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52" w:lineRule="exact"/>
        <w:rPr>
          <w:sz w:val="20"/>
          <w:szCs w:val="20"/>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budgetary constraints affecting U.S. government spending generally, or specific agencies in particular, and changes in available funding;</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shift in expenditures away from agencies or programs that we support;</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reduced U.S. government outsourcing of functions that we are currently contracted to provide, including as a result of increased insourcing;</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further efforts to improve efficiency and reduce costs affecting federal government programs;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U.S. government programs that we support or related requirements;</w:t>
      </w:r>
    </w:p>
    <w:p>
      <w:pPr>
        <w:spacing w:after="0" w:line="94" w:lineRule="exact"/>
        <w:rPr>
          <w:rFonts w:ascii="Arial" w:cs="Arial" w:eastAsia="Arial" w:hAnsi="Arial"/>
          <w:sz w:val="17"/>
          <w:szCs w:val="17"/>
          <w:color w:val="auto"/>
        </w:rPr>
      </w:pPr>
    </w:p>
    <w:p>
      <w:pPr>
        <w:ind w:left="900" w:right="220" w:hanging="328"/>
        <w:spacing w:after="0" w:line="271"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 government shutdowns due to a failure by elected officials to fund the government (such as that which was threatened in March of 2011 or which occurred during government fiscal year 1996) or weather-related closures in the Washington, DC area (such as that which occurred in February 2010) and other potential delays in the appropriations process;</w:t>
      </w:r>
    </w:p>
    <w:p>
      <w:pPr>
        <w:spacing w:after="0" w:line="48"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in order to reduce expenditures;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delays in the payment of our invoices by government payment offices;</w:t>
      </w:r>
    </w:p>
    <w:p>
      <w:pPr>
        <w:spacing w:after="0" w:line="94" w:lineRule="exact"/>
        <w:rPr>
          <w:rFonts w:ascii="Arial" w:cs="Arial" w:eastAsia="Arial" w:hAnsi="Arial"/>
          <w:sz w:val="17"/>
          <w:szCs w:val="17"/>
          <w:color w:val="auto"/>
        </w:rPr>
      </w:pPr>
    </w:p>
    <w:p>
      <w:pPr>
        <w:ind w:left="900" w:right="100" w:hanging="328"/>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by the U.S. government to fund its operations as a result of a failure to increase the federal government’s debt ceiling, a credit downgrade of U.S. government obligations or for any other reason; and</w:t>
      </w:r>
    </w:p>
    <w:p>
      <w:pPr>
        <w:spacing w:after="0" w:line="37" w:lineRule="exact"/>
        <w:rPr>
          <w:rFonts w:ascii="Arial" w:cs="Arial" w:eastAsia="Arial" w:hAnsi="Arial"/>
          <w:sz w:val="17"/>
          <w:szCs w:val="17"/>
          <w:color w:val="auto"/>
        </w:rPr>
      </w:pPr>
    </w:p>
    <w:p>
      <w:pPr>
        <w:ind w:left="900" w:right="120" w:hanging="328"/>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17"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The U.S. government budget deficits, the national debt, and the prevailing economic condition, and actions taken to address them, could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in March 2011, the Secretary of Defense announced that he has directed the Department of Defense to reduce funding for service support contractors by 10% per year for the next three years. Furthermore, the Budget Control Act of 2011 could impose an estimated $500-$600 billion in automatic federal defense spending cuts between 2013 and 2021 unless the federal government delays or changes this legislation. A reduction in the amount of services that we are contracted to provide to the Department of Defense as a result of any of these related initiatives, legislation or otherwise could have a material adverse effect on our business and results of operations.</w:t>
      </w:r>
    </w:p>
    <w:p>
      <w:pPr>
        <w:spacing w:after="0" w:line="126"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1"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right="160"/>
        <w:spacing w:after="0" w:line="271"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49"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52" w:lineRule="exact"/>
        <w:rPr>
          <w:sz w:val="20"/>
          <w:szCs w:val="20"/>
          <w:color w:val="auto"/>
        </w:rPr>
      </w:pPr>
    </w:p>
    <w:p>
      <w:pPr>
        <w:ind w:left="900" w:hanging="328"/>
        <w:spacing w:after="0" w:line="313"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22" w:lineRule="exact"/>
        <w:rPr>
          <w:rFonts w:ascii="Arial" w:cs="Arial" w:eastAsia="Arial" w:hAnsi="Arial"/>
          <w:sz w:val="15"/>
          <w:szCs w:val="15"/>
          <w:color w:val="auto"/>
        </w:rPr>
      </w:pPr>
    </w:p>
    <w:p>
      <w:pPr>
        <w:ind w:left="900" w:right="500" w:hanging="328"/>
        <w:spacing w:after="0" w:line="284"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37" w:lineRule="exact"/>
        <w:rPr>
          <w:rFonts w:ascii="Arial" w:cs="Arial" w:eastAsia="Arial" w:hAnsi="Arial"/>
          <w:sz w:val="17"/>
          <w:szCs w:val="17"/>
          <w:color w:val="auto"/>
        </w:rPr>
      </w:pPr>
    </w:p>
    <w:p>
      <w:pPr>
        <w:ind w:left="900" w:right="520" w:hanging="328"/>
        <w:spacing w:after="0" w:line="284"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cost and pricing data in connection with the negotiation of a contract, modification, or task order;</w:t>
      </w:r>
    </w:p>
    <w:p>
      <w:pPr>
        <w:spacing w:after="0" w:line="37" w:lineRule="exact"/>
        <w:rPr>
          <w:rFonts w:ascii="Arial" w:cs="Arial" w:eastAsia="Arial" w:hAnsi="Arial"/>
          <w:sz w:val="17"/>
          <w:szCs w:val="17"/>
          <w:color w:val="auto"/>
        </w:rPr>
      </w:pPr>
    </w:p>
    <w:p>
      <w:pPr>
        <w:ind w:left="900" w:right="620" w:hanging="328"/>
        <w:spacing w:after="0" w:line="284"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post government employment laws and regulations, which restrict the ability of a contractor to recruit, hire, and deploy former employees of the U.S. government;</w:t>
      </w:r>
    </w:p>
    <w:p>
      <w:pPr>
        <w:spacing w:after="0" w:line="37" w:lineRule="exact"/>
        <w:rPr>
          <w:rFonts w:ascii="Arial" w:cs="Arial" w:eastAsia="Arial" w:hAnsi="Arial"/>
          <w:sz w:val="17"/>
          <w:szCs w:val="17"/>
          <w:color w:val="auto"/>
        </w:rPr>
      </w:pPr>
    </w:p>
    <w:p>
      <w:pPr>
        <w:jc w:val="both"/>
        <w:ind w:left="900" w:right="240" w:hanging="328"/>
        <w:spacing w:after="0" w:line="348"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 work; and</w:t>
      </w:r>
    </w:p>
    <w:p>
      <w:pPr>
        <w:ind w:left="900" w:right="220" w:hanging="328"/>
        <w:spacing w:after="0" w:line="284"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U.S. government adopts new laws, rules, and regulations from time to time that could have a material impact on our results of operations.</w:t>
      </w:r>
    </w:p>
    <w:p>
      <w:pPr>
        <w:spacing w:after="0" w:line="18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126"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Further, if the U.S. government were to initiate suspension or debarment proceedings against us or if we are indicted for or convicted of illegal activities relating to our U.S. government contracts following an audit, review,</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51"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For example, on February 6, 2012, our San Antonio office was proposed for debarment by the U.S. Air Force and listed on the government’s Excluded Parties List System due to the actions of one of our former employees who inappropriately retained and shared sensitive information with other professionals in that office. The U.S. Air Force has since lifted the proposed debarment and removed our San Antonio office from the government’s Excluded Parties List System. See “Item 1. Business — Regulation” for additional information.</w:t>
      </w:r>
    </w:p>
    <w:p>
      <w:pPr>
        <w:spacing w:after="0" w:line="186" w:lineRule="exact"/>
        <w:rPr>
          <w:sz w:val="20"/>
          <w:szCs w:val="20"/>
          <w:color w:val="auto"/>
        </w:rPr>
      </w:pPr>
    </w:p>
    <w:p>
      <w:pPr>
        <w:ind w:left="240" w:right="40"/>
        <w:spacing w:after="0" w:line="372" w:lineRule="auto"/>
        <w:rPr>
          <w:sz w:val="20"/>
          <w:szCs w:val="20"/>
          <w:color w:val="auto"/>
        </w:rPr>
      </w:pPr>
      <w:r>
        <w:rPr>
          <w:rFonts w:ascii="Arial" w:cs="Arial" w:eastAsia="Arial" w:hAnsi="Arial"/>
          <w:sz w:val="14"/>
          <w:szCs w:val="14"/>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1" w:lineRule="exact"/>
        <w:rPr>
          <w:sz w:val="20"/>
          <w:szCs w:val="20"/>
          <w:color w:val="auto"/>
        </w:rPr>
      </w:pPr>
    </w:p>
    <w:p>
      <w:pPr>
        <w:ind w:right="140" w:firstLine="457"/>
        <w:spacing w:after="0" w:line="354" w:lineRule="auto"/>
        <w:rPr>
          <w:sz w:val="20"/>
          <w:szCs w:val="20"/>
          <w:color w:val="auto"/>
        </w:rPr>
      </w:pPr>
      <w:r>
        <w:rPr>
          <w:rFonts w:ascii="Arial" w:cs="Arial" w:eastAsia="Arial" w:hAnsi="Arial"/>
          <w:sz w:val="15"/>
          <w:szCs w:val="15"/>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competitive bidding process involves risk and significant costs to businesses operating in this environment, including:</w:t>
      </w:r>
    </w:p>
    <w:p>
      <w:pPr>
        <w:spacing w:after="0" w:line="94" w:lineRule="exact"/>
        <w:rPr>
          <w:sz w:val="20"/>
          <w:szCs w:val="20"/>
          <w:color w:val="auto"/>
        </w:rPr>
      </w:pPr>
    </w:p>
    <w:p>
      <w:pPr>
        <w:ind w:left="900" w:right="240" w:hanging="328"/>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48" w:lineRule="exact"/>
        <w:rPr>
          <w:rFonts w:ascii="Arial" w:cs="Arial" w:eastAsia="Arial" w:hAnsi="Arial"/>
          <w:sz w:val="17"/>
          <w:szCs w:val="17"/>
          <w:color w:val="auto"/>
        </w:rPr>
      </w:pPr>
    </w:p>
    <w:p>
      <w:pPr>
        <w:ind w:left="900" w:hanging="328"/>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substantial cost and managerial time and effort spent to prepare bids and proposals for contracts that may not be awarded to us;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accurately estimate the resources and costs that will be required to service any contract we are awarded;</w:t>
      </w:r>
    </w:p>
    <w:p>
      <w:pPr>
        <w:spacing w:after="0" w:line="94" w:lineRule="exact"/>
        <w:rPr>
          <w:rFonts w:ascii="Arial" w:cs="Arial" w:eastAsia="Arial" w:hAnsi="Arial"/>
          <w:sz w:val="17"/>
          <w:szCs w:val="17"/>
          <w:color w:val="auto"/>
        </w:rPr>
      </w:pPr>
    </w:p>
    <w:p>
      <w:pPr>
        <w:ind w:left="900" w:right="20" w:hanging="328"/>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48" w:lineRule="exact"/>
        <w:rPr>
          <w:rFonts w:ascii="Arial" w:cs="Arial" w:eastAsia="Arial" w:hAnsi="Arial"/>
          <w:sz w:val="17"/>
          <w:szCs w:val="17"/>
          <w:color w:val="auto"/>
        </w:rPr>
      </w:pPr>
    </w:p>
    <w:p>
      <w:pPr>
        <w:ind w:left="900" w:hanging="328"/>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opportunity cost of bidding and winning other contracts we might otherwise pursue.</w:t>
      </w:r>
    </w:p>
    <w:p>
      <w:pPr>
        <w:spacing w:after="0" w:line="173"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132" w:lineRule="exact"/>
        <w:rPr>
          <w:sz w:val="20"/>
          <w:szCs w:val="20"/>
          <w:color w:val="auto"/>
        </w:rPr>
      </w:pPr>
    </w:p>
    <w:p>
      <w:pPr>
        <w:ind w:right="80" w:firstLine="457"/>
        <w:spacing w:after="0" w:line="296" w:lineRule="auto"/>
        <w:rPr>
          <w:sz w:val="20"/>
          <w:szCs w:val="20"/>
          <w:color w:val="auto"/>
        </w:rPr>
      </w:pPr>
      <w:r>
        <w:rPr>
          <w:rFonts w:ascii="Arial" w:cs="Arial" w:eastAsia="Arial" w:hAnsi="Arial"/>
          <w:sz w:val="16"/>
          <w:szCs w:val="16"/>
          <w:color w:val="auto"/>
        </w:rPr>
        <w:t>The current competitive environment has resulted in an increase in the number of bid protests from unsuccessful bidders. It can take many months for the relevant U.S. government agency to resolve protests by one or more of our competitors of contract awards we receive. The resulting delay in the start up and funding of the work under these contracts may cause our actual results to differ materially and adversely from those anticipated.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451"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lose GSA schedules or our position as a prime contractor on one or more of our GWACs.</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believe that one of the key elements of our success is our position as the holder of 11 GSA schedules, and as a prime contractor under two GWACs as of March 31, 2012. Our ability to maintain our existing business and win new business depends on our ability to maintain our position as a GSA schedule contractor and a prime contractor on GWACs. The loss of any of our GSA schedules or our prime contractor position on any of our contracts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earn less revenue than projected, or no revenue, under certain of our contracts.</w:t>
      </w:r>
    </w:p>
    <w:p>
      <w:pPr>
        <w:spacing w:after="0" w:line="94" w:lineRule="exact"/>
        <w:rPr>
          <w:sz w:val="20"/>
          <w:szCs w:val="20"/>
          <w:color w:val="auto"/>
        </w:rPr>
      </w:pPr>
    </w:p>
    <w:p>
      <w:pPr>
        <w:ind w:right="320" w:firstLine="457"/>
        <w:spacing w:after="0" w:line="278" w:lineRule="auto"/>
        <w:rPr>
          <w:sz w:val="20"/>
          <w:szCs w:val="20"/>
          <w:color w:val="auto"/>
        </w:rPr>
      </w:pPr>
      <w:r>
        <w:rPr>
          <w:rFonts w:ascii="Arial" w:cs="Arial" w:eastAsia="Arial" w:hAnsi="Arial"/>
          <w:sz w:val="16"/>
          <w:szCs w:val="16"/>
          <w:color w:val="auto"/>
        </w:rPr>
        <w:t>Many of our contracts with our clients are ID/IQ contracts, including GSA schedules and GWACs. ID/IQ contracts provide for the issuance by the client of orders for services or products under the contract, and often contain multi-year terms and unfunded ceiling amounts, which allow but do not commit the</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In fiscal 2012, fiscal 2011, and fiscal 2010, our revenue under our GSA schedules and GWACs accounted for 20%, 20%, and 23%, respectively, of our total revenue. A failure to be awarded task orders under such contracts would have a material adverse effect on our results of operations and financial condition.</w:t>
      </w:r>
    </w:p>
    <w:p>
      <w:pPr>
        <w:spacing w:after="0" w:line="215" w:lineRule="exact"/>
        <w:rPr>
          <w:sz w:val="20"/>
          <w:szCs w:val="20"/>
          <w:color w:val="auto"/>
        </w:rPr>
      </w:pPr>
    </w:p>
    <w:p>
      <w:pPr>
        <w:ind w:left="240" w:right="320"/>
        <w:spacing w:after="0" w:line="284" w:lineRule="auto"/>
        <w:rPr>
          <w:sz w:val="20"/>
          <w:szCs w:val="20"/>
          <w:color w:val="auto"/>
        </w:rPr>
      </w:pPr>
      <w:r>
        <w:rPr>
          <w:rFonts w:ascii="Arial" w:cs="Arial" w:eastAsia="Arial" w:hAnsi="Arial"/>
          <w:sz w:val="17"/>
          <w:szCs w:val="17"/>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38" w:lineRule="exact"/>
        <w:rPr>
          <w:sz w:val="20"/>
          <w:szCs w:val="20"/>
          <w:color w:val="auto"/>
        </w:rPr>
      </w:pPr>
    </w:p>
    <w:p>
      <w:pPr>
        <w:ind w:right="320" w:firstLine="457"/>
        <w:spacing w:after="0" w:line="317" w:lineRule="auto"/>
        <w:rPr>
          <w:sz w:val="20"/>
          <w:szCs w:val="20"/>
          <w:color w:val="auto"/>
        </w:rPr>
      </w:pPr>
      <w:r>
        <w:rPr>
          <w:rFonts w:ascii="Arial" w:cs="Arial" w:eastAsia="Arial" w:hAnsi="Arial"/>
          <w:sz w:val="16"/>
          <w:szCs w:val="16"/>
          <w:color w:val="auto"/>
        </w:rPr>
        <w:t>We enter into three general types of U.S. government contracts for our services: cost-reimbursable, time-and-materials, and fixed-price. For fiscal 2012, we derived 54% of our revenue from cost-reimbursable contracts, 31% from time-and-materials contracts and 15% from fixed-price contracts.</w:t>
      </w:r>
    </w:p>
    <w:p>
      <w:pPr>
        <w:spacing w:after="0" w:line="93"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117" w:lineRule="exact"/>
        <w:rPr>
          <w:sz w:val="20"/>
          <w:szCs w:val="20"/>
          <w:color w:val="auto"/>
        </w:rPr>
      </w:pPr>
    </w:p>
    <w:p>
      <w:pPr>
        <w:ind w:right="300" w:firstLine="457"/>
        <w:spacing w:after="0" w:line="267" w:lineRule="auto"/>
        <w:rPr>
          <w:sz w:val="20"/>
          <w:szCs w:val="20"/>
          <w:color w:val="auto"/>
        </w:rPr>
      </w:pPr>
      <w:r>
        <w:rPr>
          <w:rFonts w:ascii="Arial" w:cs="Arial" w:eastAsia="Arial" w:hAnsi="Arial"/>
          <w:sz w:val="17"/>
          <w:szCs w:val="17"/>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w:t>
      </w:r>
    </w:p>
    <w:p>
      <w:pPr>
        <w:spacing w:after="0" w:line="13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11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In addition, the Department of Defense adopted purchasing guidelines that mark a shift towards fixed-priced procurement contracts under certain competitive conditions. Because we assume the risk for cost overruns and contingent losses on fixed-price contracts, an increase in the percentage of fixed-price contracts in our contract mix would increase our risk of suffering losses.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1"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220" w:firstLine="457"/>
        <w:spacing w:after="0" w:line="296" w:lineRule="auto"/>
        <w:rPr>
          <w:sz w:val="20"/>
          <w:szCs w:val="20"/>
          <w:color w:val="auto"/>
        </w:rPr>
      </w:pPr>
      <w:r>
        <w:rPr>
          <w:rFonts w:ascii="Arial" w:cs="Arial" w:eastAsia="Arial" w:hAnsi="Arial"/>
          <w:sz w:val="16"/>
          <w:szCs w:val="16"/>
          <w:color w:val="auto"/>
        </w:rPr>
        <w:t>Additionally, our profits could be adversely affected if our costs under any of these contracts exceed the assumptions we used in bidding for the contract.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188" w:lineRule="exact"/>
        <w:rPr>
          <w:sz w:val="20"/>
          <w:szCs w:val="20"/>
          <w:color w:val="auto"/>
        </w:rPr>
      </w:pPr>
    </w:p>
    <w:p>
      <w:pPr>
        <w:ind w:left="240" w:right="140"/>
        <w:spacing w:after="0" w:line="284" w:lineRule="auto"/>
        <w:rPr>
          <w:sz w:val="20"/>
          <w:szCs w:val="20"/>
          <w:color w:val="auto"/>
        </w:rPr>
      </w:pPr>
      <w:r>
        <w:rPr>
          <w:rFonts w:ascii="Arial" w:cs="Arial" w:eastAsia="Arial" w:hAnsi="Arial"/>
          <w:sz w:val="17"/>
          <w:szCs w:val="17"/>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38"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use estimates in recognizing revenue and if we make changes to estimates used in recognizing revenue, our profitability may be adversely affected.</w:t>
      </w:r>
    </w:p>
    <w:p>
      <w:pPr>
        <w:spacing w:after="0" w:line="117" w:lineRule="exact"/>
        <w:rPr>
          <w:sz w:val="20"/>
          <w:szCs w:val="20"/>
          <w:color w:val="auto"/>
        </w:rPr>
      </w:pPr>
    </w:p>
    <w:p>
      <w:pPr>
        <w:ind w:right="60" w:firstLine="457"/>
        <w:spacing w:after="0" w:line="308" w:lineRule="auto"/>
        <w:rPr>
          <w:sz w:val="20"/>
          <w:szCs w:val="20"/>
          <w:color w:val="auto"/>
        </w:rPr>
      </w:pPr>
      <w:r>
        <w:rPr>
          <w:rFonts w:ascii="Arial" w:cs="Arial" w:eastAsia="Arial" w:hAnsi="Arial"/>
          <w:sz w:val="15"/>
          <w:szCs w:val="15"/>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105"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realize the full value of our backlog, which may result in lower than expected revenue.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our total backlog was $10.8 billion, of which $2.9 billion was funded. We define backlog to include the following three components:</w:t>
      </w:r>
    </w:p>
    <w:p>
      <w:pPr>
        <w:spacing w:after="0" w:line="106" w:lineRule="exact"/>
        <w:rPr>
          <w:sz w:val="20"/>
          <w:szCs w:val="20"/>
          <w:color w:val="auto"/>
        </w:rPr>
      </w:pPr>
    </w:p>
    <w:p>
      <w:pPr>
        <w:ind w:left="900" w:right="520" w:hanging="328"/>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 less revenue previously recognized on these contracts.</w:t>
      </w:r>
    </w:p>
    <w:p>
      <w:pPr>
        <w:spacing w:after="0" w:line="37" w:lineRule="exact"/>
        <w:rPr>
          <w:rFonts w:ascii="Arial" w:cs="Arial" w:eastAsia="Arial" w:hAnsi="Arial"/>
          <w:sz w:val="17"/>
          <w:szCs w:val="17"/>
          <w:color w:val="auto"/>
        </w:rPr>
      </w:pPr>
    </w:p>
    <w:p>
      <w:pPr>
        <w:ind w:left="900" w:right="540" w:hanging="328"/>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appropriated or otherwise authorized.</w:t>
      </w:r>
    </w:p>
    <w:p>
      <w:pPr>
        <w:spacing w:after="0" w:line="37" w:lineRule="exact"/>
        <w:rPr>
          <w:rFonts w:ascii="Arial" w:cs="Arial" w:eastAsia="Arial" w:hAnsi="Arial"/>
          <w:sz w:val="17"/>
          <w:szCs w:val="17"/>
          <w:color w:val="auto"/>
        </w:rPr>
      </w:pPr>
    </w:p>
    <w:p>
      <w:pPr>
        <w:ind w:left="900" w:right="280" w:hanging="328"/>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at our clients’ option and for which funding has not been appropriated or otherwise authorized.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51"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Backlog does not include any task orders under ID/IQ contracts, including GWACs and GSA schedules, except to the extent that task orders have been awarded to us under those contracts.</w:t>
      </w:r>
    </w:p>
    <w:p>
      <w:pPr>
        <w:spacing w:after="0" w:line="11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such as the initiatives announced by the Secretary of Defense in March 2011 and the automatic federal defense spending cuts required by the Budget Control Act of 2011;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203" w:lineRule="exact"/>
        <w:rPr>
          <w:sz w:val="20"/>
          <w:szCs w:val="20"/>
          <w:color w:val="auto"/>
        </w:rPr>
      </w:pPr>
    </w:p>
    <w:p>
      <w:pPr>
        <w:ind w:left="240" w:right="40"/>
        <w:spacing w:after="0" w:line="284" w:lineRule="auto"/>
        <w:rPr>
          <w:sz w:val="20"/>
          <w:szCs w:val="20"/>
          <w:color w:val="auto"/>
        </w:rPr>
      </w:pPr>
      <w:r>
        <w:rPr>
          <w:rFonts w:ascii="Arial" w:cs="Arial" w:eastAsia="Arial" w:hAnsi="Arial"/>
          <w:sz w:val="17"/>
          <w:szCs w:val="17"/>
          <w:b w:val="1"/>
          <w:bCs w:val="1"/>
          <w:i w:val="1"/>
          <w:iCs w:val="1"/>
          <w:color w:val="auto"/>
        </w:rPr>
        <w:t>We may fail to attract, train and retain skilled and qualified employees with appropriate security clearances, which may impair our ability to generate revenue, effectively serve our clients, and execute our growth strategy.</w:t>
      </w:r>
    </w:p>
    <w:p>
      <w:pPr>
        <w:spacing w:after="0" w:line="38"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requisites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114"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51"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fail to obtain and maintain necessary security clearances which may adversely affect our ability to perform on certain contracts.</w:t>
      </w:r>
    </w:p>
    <w:p>
      <w:pPr>
        <w:spacing w:after="0" w:line="94" w:lineRule="exact"/>
        <w:rPr>
          <w:sz w:val="20"/>
          <w:szCs w:val="20"/>
          <w:color w:val="auto"/>
        </w:rPr>
      </w:pPr>
    </w:p>
    <w:p>
      <w:pPr>
        <w:ind w:right="60" w:firstLine="457"/>
        <w:spacing w:after="0" w:line="308" w:lineRule="auto"/>
        <w:rPr>
          <w:sz w:val="20"/>
          <w:szCs w:val="20"/>
          <w:color w:val="auto"/>
        </w:rPr>
      </w:pPr>
      <w:r>
        <w:rPr>
          <w:rFonts w:ascii="Arial" w:cs="Arial" w:eastAsia="Arial" w:hAnsi="Arial"/>
          <w:sz w:val="15"/>
          <w:szCs w:val="15"/>
          <w:color w:val="auto"/>
        </w:rPr>
        <w:t>Many U.S. government programs require contractors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profitability could suffer if we are not able to timely and effectively utilize our employees.</w:t>
      </w:r>
    </w:p>
    <w:p>
      <w:pPr>
        <w:spacing w:after="0" w:line="94"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cost of providing our services, including the degree to which our employees are utilized, affects our profitability. The degree to which we are able to utilize our employees is affected by a number of factors, including:</w:t>
      </w:r>
    </w:p>
    <w:p>
      <w:pPr>
        <w:spacing w:after="0" w:line="38" w:lineRule="exact"/>
        <w:rPr>
          <w:sz w:val="20"/>
          <w:szCs w:val="20"/>
          <w:color w:val="auto"/>
        </w:rPr>
      </w:pPr>
    </w:p>
    <w:p>
      <w:pPr>
        <w:ind w:left="900" w:hanging="32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transition employees from completed projects to new assignments and to hire, assimilate, and deploy new employees;</w:t>
      </w:r>
    </w:p>
    <w:p>
      <w:pPr>
        <w:spacing w:after="0" w:line="94" w:lineRule="exact"/>
        <w:rPr>
          <w:rFonts w:ascii="Arial" w:cs="Arial" w:eastAsia="Arial" w:hAnsi="Arial"/>
          <w:sz w:val="17"/>
          <w:szCs w:val="17"/>
          <w:color w:val="auto"/>
        </w:rPr>
      </w:pPr>
    </w:p>
    <w:p>
      <w:pPr>
        <w:ind w:left="900" w:right="280" w:hanging="328"/>
        <w:spacing w:after="0" w:line="284"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forecast demand for our services and to maintain and deploy headcount that is aligned with demand, including employees with the right mix of skills and experience to support our projects;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employees’ inability to obtain or retain necessary security clearances;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manage attrition;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need to devote time and resources to training, business development, and other non-chargeable activities.</w:t>
      </w:r>
    </w:p>
    <w:p>
      <w:pPr>
        <w:spacing w:after="0" w:line="173"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196" w:lineRule="exact"/>
        <w:rPr>
          <w:sz w:val="20"/>
          <w:szCs w:val="20"/>
          <w:color w:val="auto"/>
        </w:rPr>
      </w:pPr>
    </w:p>
    <w:p>
      <w:pPr>
        <w:ind w:left="240" w:right="20"/>
        <w:spacing w:after="0" w:line="284" w:lineRule="auto"/>
        <w:rPr>
          <w:sz w:val="20"/>
          <w:szCs w:val="20"/>
          <w:color w:val="auto"/>
        </w:rPr>
      </w:pPr>
      <w:r>
        <w:rPr>
          <w:rFonts w:ascii="Arial" w:cs="Arial" w:eastAsia="Arial" w:hAnsi="Arial"/>
          <w:sz w:val="17"/>
          <w:szCs w:val="17"/>
          <w:b w:val="1"/>
          <w:bCs w:val="1"/>
          <w:i w:val="1"/>
          <w:iCs w:val="1"/>
          <w:color w:val="auto"/>
        </w:rPr>
        <w:t>We may lose one or more members of our senior management team or fail to develop new leaders, which could cause the disruption of the management of our business.</w:t>
      </w:r>
    </w:p>
    <w:p>
      <w:pPr>
        <w:spacing w:after="0" w:line="38"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 of our senior management. The loss of any member of our senior management or our failure to continue to develop new members could impair our ability to identify and secure new contracts, to maintain good client relations, and to otherwise manage our business.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employees or subcontractors may engage in misconduct or other improper activities, which could harm our ability to conduct business with the U.S.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government.</w:t>
      </w:r>
    </w:p>
    <w:p>
      <w:pPr>
        <w:spacing w:after="0" w:line="88"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color w:val="auto"/>
        </w:rPr>
        <w:t>We are exposed to the risk that employee or subcontractor fraud or other misconduct could occur. Misconduct by employees or subcontractors could include intentional or unintentional failures to comply with U.S. government procurement regulations, engaging in unauthorized activities, or falsifying time records. Employee or subcontractor misconduct could also involve the improper use of our clients’ sensitive or classified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51"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information or the failure to comply with legislation or regulations regarding the protection of sensitive or classified information.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or debarment from contracting with the U.S. government, as well as reputational harm, which would materially and adversely affect our results of operations and financial condition. See, for example, “Item 1. Business — Regulation” for a description of the recently resolved debarment proceedings against our San Antonio office.</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06"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and from market participants formed by or benefiting from industry consolidation. Some of these companies possess greater financial resources and larger technical staffs, and others have smaller and more specialized staffs. These competitors could, among other things:</w:t>
      </w:r>
    </w:p>
    <w:p>
      <w:pPr>
        <w:spacing w:after="0" w:line="53" w:lineRule="exact"/>
        <w:rPr>
          <w:sz w:val="20"/>
          <w:szCs w:val="20"/>
          <w:color w:val="auto"/>
        </w:rPr>
      </w:pPr>
    </w:p>
    <w:p>
      <w:pPr>
        <w:ind w:left="900" w:hanging="328"/>
        <w:spacing w:after="0" w:line="284"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divert sales from us by winning very large-scale government contracts, a risk that is enhanced by the recent trend in government procurement practices to bundle services into larger contracts;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force us to charge lower prices in order to win or maintain contracts;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seek to hire our employees; or</w:t>
      </w:r>
    </w:p>
    <w:p>
      <w:pPr>
        <w:spacing w:after="0" w:line="94" w:lineRule="exact"/>
        <w:rPr>
          <w:rFonts w:ascii="Arial" w:cs="Arial" w:eastAsia="Arial" w:hAnsi="Arial"/>
          <w:sz w:val="17"/>
          <w:szCs w:val="17"/>
          <w:color w:val="auto"/>
        </w:rPr>
      </w:pPr>
    </w:p>
    <w:p>
      <w:pPr>
        <w:ind w:left="900" w:right="360" w:hanging="328"/>
        <w:spacing w:after="0" w:line="284"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adversely affect our relationships with current clients, including our ability to continue to win competitively awarded engagements where we are the incumbent.</w:t>
      </w:r>
    </w:p>
    <w:p>
      <w:pPr>
        <w:spacing w:after="0" w:line="117" w:lineRule="exact"/>
        <w:rPr>
          <w:sz w:val="20"/>
          <w:szCs w:val="20"/>
          <w:color w:val="auto"/>
        </w:rPr>
      </w:pPr>
    </w:p>
    <w:p>
      <w:pPr>
        <w:ind w:right="100" w:firstLine="457"/>
        <w:spacing w:after="0" w:line="288"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197" w:lineRule="exact"/>
        <w:rPr>
          <w:sz w:val="20"/>
          <w:szCs w:val="20"/>
          <w:color w:val="auto"/>
        </w:rPr>
      </w:pPr>
    </w:p>
    <w:p>
      <w:pPr>
        <w:ind w:left="240" w:right="220"/>
        <w:spacing w:after="0" w:line="348"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ind w:firstLine="457"/>
        <w:spacing w:after="0" w:line="26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137"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As a prime contractor, we often rely on other companies to perform some of the work under a contract, and we expect to continue to depend on relationships with other contractors for portions of our delivery of services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51"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133"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We estimate that revenue derived from contracts under which we acted as a subcontractor to other companies represented 10% of our revenue for fiscal 2012. As a subcontractor, we often lack control over fulfillment of a contract, and poor performance on the contract could tarnish our reputation, even when we perform as required, and could cause other contractors to choose not to hire us as a subcontractor in the future. In addition, if the U.S. government terminates or reduces other prime contractors’ programs or does not award them new contracts, subcontracting opportunities available to us could decrease, which would have a material adverse effect on our financial condition and results of operations.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Adverse judgments or settlements in legal disputes could result in materially adverse monetary damages or injunctive relief and damage our reputation.</w:t>
      </w:r>
    </w:p>
    <w:p>
      <w:pPr>
        <w:spacing w:after="0" w:line="117"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who had departed the firm prior to the acquisition have filed suits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the “Item 3. Legal Proceedings” are subject to future developments and management’s view of these matters may change in the future.</w:t>
      </w:r>
    </w:p>
    <w:p>
      <w:pPr>
        <w:spacing w:after="0" w:line="201" w:lineRule="exact"/>
        <w:rPr>
          <w:sz w:val="20"/>
          <w:szCs w:val="20"/>
          <w:color w:val="auto"/>
        </w:rPr>
      </w:pPr>
    </w:p>
    <w:p>
      <w:pPr>
        <w:ind w:left="240" w:right="440"/>
        <w:spacing w:after="0" w:line="284" w:lineRule="auto"/>
        <w:rPr>
          <w:sz w:val="20"/>
          <w:szCs w:val="20"/>
          <w:color w:val="auto"/>
        </w:rPr>
      </w:pPr>
      <w:r>
        <w:rPr>
          <w:rFonts w:ascii="Arial" w:cs="Arial" w:eastAsia="Arial" w:hAnsi="Arial"/>
          <w:sz w:val="17"/>
          <w:szCs w:val="17"/>
          <w:b w:val="1"/>
          <w:bCs w:val="1"/>
          <w:i w:val="1"/>
          <w:iCs w:val="1"/>
          <w:color w:val="auto"/>
        </w:rPr>
        <w:t>Systems that we develop, integrate, or maintain could experience security breaches which may damage our reputation with our clients and hinder future contract win rates.</w:t>
      </w:r>
    </w:p>
    <w:p>
      <w:pPr>
        <w:spacing w:after="0" w:line="38"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Many of the systems we develop, integrate, or maintain involve managing and protecting information involved in intelligence, national security, and other sensitive or classified government functions. A security breach in one of these systems could cause serious harm to our business, damage our reputation, and prevent us from being eligible for further work on sensitive or classified systems for U.S. government clients. Damage to our reputation or limitations on our eligibility for additional work or any liability resulting from a security breach in one of the systems we develop, install, or maintain could have a material adverse effect on our results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51"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right="440"/>
        <w:spacing w:after="0" w:line="372" w:lineRule="auto"/>
        <w:rPr>
          <w:sz w:val="20"/>
          <w:szCs w:val="20"/>
          <w:color w:val="auto"/>
        </w:rPr>
      </w:pPr>
      <w:r>
        <w:rPr>
          <w:rFonts w:ascii="Arial" w:cs="Arial" w:eastAsia="Arial" w:hAnsi="Arial"/>
          <w:sz w:val="14"/>
          <w:szCs w:val="14"/>
          <w:b w:val="1"/>
          <w:bCs w:val="1"/>
          <w:i w:val="1"/>
          <w:iCs w:val="1"/>
          <w:color w:val="auto"/>
        </w:rPr>
        <w:t>Internal system or service failures,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1"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create, implement, and maintain information technology and engineering systems, and provide services that are often critical to our clients’ operations, some of which involve classified or other sensitive information and may be conducted in war zones or other hazardous environments.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In particular, as a U.S. Government contractor, we face a heightened risk of a security breach or disruption with respect to classified or other sensitive information resulting from an attack by computer hackers, foreign governments, and cyber terrorists.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or utilities could cause us to interrupt or suspend our operations, which could have a material adverse effect on our business and results of operations.</w:t>
      </w:r>
    </w:p>
    <w:p>
      <w:pPr>
        <w:spacing w:after="0" w:line="126"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If our systems, services, or other applications have significant defects or errors, are successfully attacked by cyber and other security threats, suffer delivery delays, or otherwise fail to meet our clients’ expectations, we may:</w:t>
      </w:r>
    </w:p>
    <w:p>
      <w:pPr>
        <w:spacing w:after="0" w:line="38" w:lineRule="exact"/>
        <w:rPr>
          <w:sz w:val="20"/>
          <w:szCs w:val="20"/>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lose revenue due to adverse client reaction;</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 required to provide additional services to a client at no charge;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incur additional costs related to monitoring and increasing our cybersecurity;</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lose revenue due to the deployment of internal staff for remediation efforts instead of client assignments;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clients;</w:t>
      </w:r>
    </w:p>
    <w:p>
      <w:pPr>
        <w:spacing w:after="0" w:line="94" w:lineRule="exact"/>
        <w:rPr>
          <w:rFonts w:ascii="Arial" w:cs="Arial" w:eastAsia="Arial" w:hAnsi="Arial"/>
          <w:sz w:val="17"/>
          <w:szCs w:val="17"/>
          <w:color w:val="auto"/>
        </w:rPr>
      </w:pPr>
    </w:p>
    <w:p>
      <w:pPr>
        <w:ind w:left="900" w:right="100" w:hanging="328"/>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 unable to successfully market services that are reliant on the creation and maintaining of secure information technology systems to U.S. government, international, and commercial clients;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suffer claims for substantial damages, particularly as a result of any successful network or systems breach and exfiltration of client information; or</w:t>
      </w:r>
    </w:p>
    <w:p>
      <w:pPr>
        <w:spacing w:after="0" w:line="105" w:lineRule="exact"/>
        <w:rPr>
          <w:rFonts w:ascii="Arial" w:cs="Arial" w:eastAsia="Arial" w:hAnsi="Arial"/>
          <w:sz w:val="16"/>
          <w:szCs w:val="16"/>
          <w:color w:val="auto"/>
        </w:rPr>
      </w:pPr>
    </w:p>
    <w:p>
      <w:pPr>
        <w:ind w:left="900" w:hanging="328"/>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incur significant costs complying with applicable federal or state law, including laws governing protection of personal information.</w:t>
      </w:r>
    </w:p>
    <w:p>
      <w:pPr>
        <w:spacing w:after="0" w:line="173"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17"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51"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right="160"/>
        <w:spacing w:after="0" w:line="284" w:lineRule="auto"/>
        <w:rPr>
          <w:sz w:val="20"/>
          <w:szCs w:val="20"/>
          <w:color w:val="auto"/>
        </w:rPr>
      </w:pPr>
      <w:r>
        <w:rPr>
          <w:rFonts w:ascii="Arial" w:cs="Arial" w:eastAsia="Arial" w:hAnsi="Arial"/>
          <w:sz w:val="17"/>
          <w:szCs w:val="17"/>
          <w:b w:val="1"/>
          <w:bCs w:val="1"/>
          <w:i w:val="1"/>
          <w:iCs w:val="1"/>
          <w:color w:val="auto"/>
        </w:rPr>
        <w:t>The growth of our U.S. and international business entails risks, including those associated with new relationships, clients, capabilities, service offerings, and maintaining our collaborative culture and core values.</w:t>
      </w:r>
    </w:p>
    <w:p>
      <w:pPr>
        <w:spacing w:after="0" w:line="38"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are focused on growing our presence in our addressable markets by: expanding our relationships with existing clients, developing new clients by leveraging our core competencies, creating new capabilities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and, with respect to potential international growth, risks associated with operating in foreign jurisdictions, such as compliance with foreign laws and regulations and applicable U.S. regulation and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and opportunity costs of pursuing these opportunities in lieu of others and these efforts could ultimately be unsuccessful. 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we may be unable to grow our business. Any such failure could have a material adverse effect on our business and results of operations.</w:t>
      </w:r>
    </w:p>
    <w:p>
      <w:pPr>
        <w:spacing w:after="0" w:line="12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198" w:lineRule="exact"/>
        <w:rPr>
          <w:sz w:val="20"/>
          <w:szCs w:val="20"/>
          <w:color w:val="auto"/>
        </w:rPr>
      </w:pPr>
    </w:p>
    <w:p>
      <w:pPr>
        <w:ind w:left="240" w:right="340"/>
        <w:spacing w:after="0" w:line="271" w:lineRule="auto"/>
        <w:rPr>
          <w:sz w:val="20"/>
          <w:szCs w:val="20"/>
          <w:color w:val="auto"/>
        </w:rPr>
      </w:pPr>
      <w:r>
        <w:rPr>
          <w:rFonts w:ascii="Arial" w:cs="Arial" w:eastAsia="Arial" w:hAnsi="Arial"/>
          <w:sz w:val="17"/>
          <w:szCs w:val="17"/>
          <w:b w:val="1"/>
          <w:bCs w:val="1"/>
          <w:i w:val="1"/>
          <w:iCs w:val="1"/>
          <w:color w:val="auto"/>
        </w:rPr>
        <w:t>Our international operations are subject to special U.S. government laws and regulations, such as the Foreign Corrupt Practices Act, and regulations and procurement policies and practices, including regulations to import-export control, which may expose us to liability or impair our ability to compete in international markets.</w:t>
      </w:r>
    </w:p>
    <w:p>
      <w:pPr>
        <w:spacing w:after="0" w:line="49"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Our international operations are subject to the U.S. Foreign Corrupt Practices Act, or the FCPA, and other laws that prohibit improper payments or offers of payments to foreign governments and their officials and political parties by U.S. and other business entities for the purpose of obtaining or retaining business. We have operations and deal with governmental customers in countries known to experience corruption, including certain emerging countries in the Middle East. Our activities in these countries create the risk of unauthorized payments or offers of payments by one of our employees, consultants or contractors that could be in violation of various laws including the FCPA, even though these parties are not always subject to our control.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125" w:lineRule="exact"/>
        <w:rPr>
          <w:sz w:val="20"/>
          <w:szCs w:val="20"/>
          <w:color w:val="auto"/>
        </w:rPr>
      </w:pPr>
    </w:p>
    <w:p>
      <w:pPr>
        <w:jc w:val="both"/>
        <w:ind w:right="140" w:firstLine="457"/>
        <w:spacing w:after="0" w:line="271" w:lineRule="auto"/>
        <w:rPr>
          <w:sz w:val="20"/>
          <w:szCs w:val="20"/>
          <w:color w:val="auto"/>
        </w:rPr>
      </w:pPr>
      <w:r>
        <w:rPr>
          <w:rFonts w:ascii="Arial" w:cs="Arial" w:eastAsia="Arial" w:hAnsi="Arial"/>
          <w:sz w:val="17"/>
          <w:szCs w:val="17"/>
          <w:color w:val="auto"/>
        </w:rPr>
        <w:t>If we were to fail to comply with the FCPA or the applicable import-export control regulations, we could be subject to substantial civil and criminal penalties, including fines for our company and incarceration for responsible employees and managers, and the possible loss of export or import privileges which could have a material adverse effect on our business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1"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right="440"/>
        <w:spacing w:after="0" w:line="284" w:lineRule="auto"/>
        <w:rPr>
          <w:sz w:val="20"/>
          <w:szCs w:val="20"/>
          <w:color w:val="auto"/>
        </w:rPr>
      </w:pPr>
      <w:r>
        <w:rPr>
          <w:rFonts w:ascii="Arial" w:cs="Arial" w:eastAsia="Arial" w:hAnsi="Arial"/>
          <w:sz w:val="17"/>
          <w:szCs w:val="17"/>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38"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 The outcome of any such review is difficult to predict and the extent of changes to our business following such a review, if any, are dependent in part upon the nature and extent of the review. If we decide to implement changes to our operating structure, capabilities, strategy or any other aspect of our business following an internal review, those changes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200" w:lineRule="exact"/>
        <w:rPr>
          <w:sz w:val="20"/>
          <w:szCs w:val="20"/>
          <w:color w:val="auto"/>
        </w:rPr>
      </w:pPr>
    </w:p>
    <w:p>
      <w:pPr>
        <w:ind w:left="240" w:right="840"/>
        <w:spacing w:after="0" w:line="284" w:lineRule="auto"/>
        <w:rPr>
          <w:sz w:val="20"/>
          <w:szCs w:val="20"/>
          <w:color w:val="auto"/>
        </w:rPr>
      </w:pPr>
      <w:r>
        <w:rPr>
          <w:rFonts w:ascii="Arial" w:cs="Arial" w:eastAsia="Arial" w:hAnsi="Arial"/>
          <w:sz w:val="17"/>
          <w:szCs w:val="17"/>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38" w:lineRule="exact"/>
        <w:rPr>
          <w:sz w:val="20"/>
          <w:szCs w:val="20"/>
          <w:color w:val="auto"/>
        </w:rPr>
      </w:pPr>
    </w:p>
    <w:p>
      <w:pPr>
        <w:ind w:right="240" w:firstLine="457"/>
        <w:spacing w:after="0" w:line="280" w:lineRule="auto"/>
        <w:rPr>
          <w:sz w:val="20"/>
          <w:szCs w:val="20"/>
          <w:color w:val="auto"/>
        </w:rPr>
      </w:pPr>
      <w:r>
        <w:rPr>
          <w:rFonts w:ascii="Arial" w:cs="Arial" w:eastAsia="Arial" w:hAnsi="Arial"/>
          <w:sz w:val="16"/>
          <w:szCs w:val="16"/>
          <w:color w:val="auto"/>
        </w:rPr>
        <w:t>In connection with the acquisition and the recapitalization transaction, which refers to the December 2009 payment of a special dividend and repayment of a portion of the deferred payment obligation and the related amendments to our credit agreements, and as a result of our business activities, we have incurred a substantial amount of debt. As of March 31, 2012, we had approximately $965.4 million of debt outstanding. The instruments governing our indebtedness may not prevent us or our subsidiaries from incurring additional debt in the future or other obligations that do not constitute indebtedness, which could increase the risks described below and lead to other risks. In addition, we may, increase the borrowing capacity under our senior secured credit agreement without the consent of any person other than the institutions agreeing to provide all or any portion of such increase, to an amount not to exceed $150.0 million and, subject to certain closing conditions including pro forma compliance with financial covenants, an additional $150.0 million. The amount of our debt or such other obligations could have important consequences, including, but not limited to:</w:t>
      </w:r>
    </w:p>
    <w:p>
      <w:pPr>
        <w:spacing w:after="0" w:line="47" w:lineRule="exact"/>
        <w:rPr>
          <w:sz w:val="20"/>
          <w:szCs w:val="20"/>
          <w:color w:val="auto"/>
        </w:rPr>
      </w:pPr>
    </w:p>
    <w:p>
      <w:pPr>
        <w:ind w:left="900" w:hanging="32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satisfy obligations to lenders may be impaired, resulting in possible defaults on and acceleration of our indebtedness;</w:t>
      </w:r>
    </w:p>
    <w:p>
      <w:pPr>
        <w:spacing w:after="0" w:line="94" w:lineRule="exact"/>
        <w:rPr>
          <w:rFonts w:ascii="Arial" w:cs="Arial" w:eastAsia="Arial" w:hAnsi="Arial"/>
          <w:sz w:val="17"/>
          <w:szCs w:val="17"/>
          <w:color w:val="auto"/>
        </w:rPr>
      </w:pPr>
    </w:p>
    <w:p>
      <w:pPr>
        <w:ind w:left="900" w:right="940" w:hanging="328"/>
        <w:spacing w:after="0" w:line="284"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obtain additional financing for refinancing of existing indebtedness, working capital, capital expenditures, product and service development, acquisitions, general corporate purposes, and other purposes may be impaired;</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substantial portion of our cash flow from operations could be dedicated to the payment of the principal and interest on our debt;</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increasingly vulnerable to economic downturns and increases in interest rates;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flexibility in planning for and reacting to changes in our business and the industry may be limited;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placed at a competitive disadvantage relative to other firms in our industry.</w:t>
      </w:r>
    </w:p>
    <w:p>
      <w:pPr>
        <w:spacing w:after="0" w:line="252" w:lineRule="exact"/>
        <w:rPr>
          <w:sz w:val="20"/>
          <w:szCs w:val="20"/>
          <w:color w:val="auto"/>
        </w:rPr>
      </w:pPr>
    </w:p>
    <w:p>
      <w:pPr>
        <w:ind w:left="240" w:right="80"/>
        <w:spacing w:after="0" w:line="284" w:lineRule="auto"/>
        <w:rPr>
          <w:sz w:val="20"/>
          <w:szCs w:val="20"/>
          <w:color w:val="auto"/>
        </w:rPr>
      </w:pPr>
      <w:r>
        <w:rPr>
          <w:rFonts w:ascii="Arial" w:cs="Arial" w:eastAsia="Arial" w:hAnsi="Arial"/>
          <w:sz w:val="17"/>
          <w:szCs w:val="17"/>
          <w:b w:val="1"/>
          <w:bCs w:val="1"/>
          <w:i w:val="1"/>
          <w:iCs w:val="1"/>
          <w:color w:val="auto"/>
        </w:rPr>
        <w:t>Our senior secured credit agreement contains financial and operating covenants that limit our operations and could lead to adverse consequences if we fail to comply with them.</w:t>
      </w:r>
    </w:p>
    <w:p>
      <w:pPr>
        <w:spacing w:after="0" w:line="3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 The revolving credit facility matures on July 31, 2014. The Tranche A and Tranche B term facilities mature on February 3, 2016 and August 3, 2017, respectively. Failure to meet these financial and operating covenants could result from, among other things, changes in our results of operations, the incurrence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1"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196" w:lineRule="exact"/>
        <w:rPr>
          <w:sz w:val="20"/>
          <w:szCs w:val="20"/>
          <w:color w:val="auto"/>
        </w:rPr>
      </w:pPr>
    </w:p>
    <w:p>
      <w:pPr>
        <w:ind w:left="240" w:right="280"/>
        <w:spacing w:after="0" w:line="284" w:lineRule="auto"/>
        <w:rPr>
          <w:sz w:val="20"/>
          <w:szCs w:val="20"/>
          <w:color w:val="auto"/>
        </w:rPr>
      </w:pPr>
      <w:r>
        <w:rPr>
          <w:rFonts w:ascii="Arial" w:cs="Arial" w:eastAsia="Arial" w:hAnsi="Arial"/>
          <w:sz w:val="17"/>
          <w:szCs w:val="17"/>
          <w:b w:val="1"/>
          <w:bCs w:val="1"/>
          <w:i w:val="1"/>
          <w:iCs w:val="1"/>
          <w:color w:val="auto"/>
        </w:rPr>
        <w:t>Many of our contracts with the U.S. government are classified or subject to other security restrictions, which may limit investor insight into portions of our business.</w:t>
      </w:r>
    </w:p>
    <w:p>
      <w:pPr>
        <w:spacing w:after="0" w:line="38" w:lineRule="exact"/>
        <w:rPr>
          <w:sz w:val="20"/>
          <w:szCs w:val="20"/>
          <w:color w:val="auto"/>
        </w:rPr>
      </w:pPr>
    </w:p>
    <w:p>
      <w:pPr>
        <w:ind w:right="220" w:firstLine="457"/>
        <w:spacing w:after="0" w:line="283" w:lineRule="auto"/>
        <w:rPr>
          <w:sz w:val="20"/>
          <w:szCs w:val="20"/>
          <w:color w:val="auto"/>
        </w:rPr>
      </w:pPr>
      <w:r>
        <w:rPr>
          <w:rFonts w:ascii="Arial" w:cs="Arial" w:eastAsia="Arial" w:hAnsi="Arial"/>
          <w:sz w:val="16"/>
          <w:szCs w:val="16"/>
          <w:color w:val="auto"/>
        </w:rPr>
        <w:t>For fiscal 2012, we derived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200" w:lineRule="exact"/>
        <w:rPr>
          <w:sz w:val="20"/>
          <w:szCs w:val="20"/>
          <w:color w:val="auto"/>
        </w:rPr>
      </w:pPr>
    </w:p>
    <w:p>
      <w:pPr>
        <w:ind w:left="240" w:right="260"/>
        <w:spacing w:after="0" w:line="284" w:lineRule="auto"/>
        <w:rPr>
          <w:sz w:val="20"/>
          <w:szCs w:val="20"/>
          <w:color w:val="auto"/>
        </w:rPr>
      </w:pPr>
      <w:r>
        <w:rPr>
          <w:rFonts w:ascii="Arial" w:cs="Arial" w:eastAsia="Arial" w:hAnsi="Arial"/>
          <w:sz w:val="17"/>
          <w:szCs w:val="17"/>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depend on the timely collection of our receivables to generate cash flow, provide working capital, and continue our business operations. If the</w:t>
      </w:r>
    </w:p>
    <w:p>
      <w:pPr>
        <w:spacing w:after="0" w:line="21"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183" w:lineRule="exact"/>
        <w:rPr>
          <w:sz w:val="20"/>
          <w:szCs w:val="20"/>
          <w:color w:val="auto"/>
        </w:rPr>
      </w:pPr>
    </w:p>
    <w:p>
      <w:pPr>
        <w:ind w:left="240" w:right="140"/>
        <w:spacing w:after="0" w:line="284" w:lineRule="auto"/>
        <w:rPr>
          <w:sz w:val="20"/>
          <w:szCs w:val="20"/>
          <w:color w:val="auto"/>
        </w:rPr>
      </w:pPr>
      <w:r>
        <w:rPr>
          <w:rFonts w:ascii="Arial" w:cs="Arial" w:eastAsia="Arial" w:hAnsi="Arial"/>
          <w:sz w:val="17"/>
          <w:szCs w:val="17"/>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38" w:lineRule="exact"/>
        <w:rPr>
          <w:sz w:val="20"/>
          <w:szCs w:val="20"/>
          <w:color w:val="auto"/>
        </w:rPr>
      </w:pPr>
    </w:p>
    <w:p>
      <w:pPr>
        <w:jc w:val="both"/>
        <w:ind w:right="460" w:firstLine="457"/>
        <w:spacing w:after="0" w:line="271" w:lineRule="auto"/>
        <w:rPr>
          <w:sz w:val="20"/>
          <w:szCs w:val="20"/>
          <w:color w:val="auto"/>
        </w:rPr>
      </w:pPr>
      <w:r>
        <w:rPr>
          <w:rFonts w:ascii="Arial" w:cs="Arial" w:eastAsia="Arial" w:hAnsi="Arial"/>
          <w:sz w:val="17"/>
          <w:szCs w:val="17"/>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49" w:lineRule="exact"/>
        <w:rPr>
          <w:sz w:val="20"/>
          <w:szCs w:val="20"/>
          <w:color w:val="auto"/>
        </w:rPr>
      </w:pPr>
    </w:p>
    <w:p>
      <w:pPr>
        <w:ind w:left="900" w:hanging="328"/>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impaired objectivity during performance;</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unfair access to non-public information; or</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ability to set the “ground rules” for another procurement for which the contractor competes.</w:t>
      </w:r>
    </w:p>
    <w:p>
      <w:pPr>
        <w:spacing w:after="0" w:line="173"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we expect the U.S. government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51"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Acquisitions could result in operating difficulties or other adverse consequences to our business.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part of our operating strategy, we may choose to selectively pursue acquisitions. This could pose many risks, including:</w:t>
      </w:r>
    </w:p>
    <w:p>
      <w:pPr>
        <w:spacing w:after="0" w:line="94" w:lineRule="exact"/>
        <w:rPr>
          <w:sz w:val="20"/>
          <w:szCs w:val="20"/>
          <w:color w:val="auto"/>
        </w:rPr>
      </w:pPr>
    </w:p>
    <w:p>
      <w:pPr>
        <w:ind w:left="900" w:hanging="328"/>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identify suitable acquisition candidates at prices we consider attractive;</w:t>
      </w:r>
    </w:p>
    <w:p>
      <w:pPr>
        <w:spacing w:after="0" w:line="94" w:lineRule="exact"/>
        <w:rPr>
          <w:rFonts w:ascii="Arial" w:cs="Arial" w:eastAsia="Arial" w:hAnsi="Arial"/>
          <w:sz w:val="17"/>
          <w:szCs w:val="17"/>
          <w:color w:val="auto"/>
        </w:rPr>
      </w:pPr>
    </w:p>
    <w:p>
      <w:pPr>
        <w:ind w:left="900" w:right="320" w:hanging="328"/>
        <w:spacing w:after="0" w:line="28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compete successfully for identified acquisition candidates, complete acquisitions, or accurately estimate the financial effect of acquisitions on our business;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acquisitions may require us to issue common stock or spend significant cash, resulting in dilution of ownership or additional debt leverage;</w:t>
      </w:r>
    </w:p>
    <w:p>
      <w:pPr>
        <w:spacing w:after="0" w:line="105" w:lineRule="exact"/>
        <w:rPr>
          <w:rFonts w:ascii="Arial" w:cs="Arial" w:eastAsia="Arial" w:hAnsi="Arial"/>
          <w:sz w:val="16"/>
          <w:szCs w:val="16"/>
          <w:color w:val="auto"/>
        </w:rPr>
      </w:pPr>
    </w:p>
    <w:p>
      <w:pPr>
        <w:ind w:left="900" w:hanging="328"/>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have difficulty retaining an acquired company’s key employees or clients;</w:t>
      </w:r>
    </w:p>
    <w:p>
      <w:pPr>
        <w:spacing w:after="0" w:line="94" w:lineRule="exact"/>
        <w:rPr>
          <w:rFonts w:ascii="Arial" w:cs="Arial" w:eastAsia="Arial" w:hAnsi="Arial"/>
          <w:sz w:val="17"/>
          <w:szCs w:val="17"/>
          <w:color w:val="auto"/>
        </w:rPr>
      </w:pPr>
    </w:p>
    <w:p>
      <w:pPr>
        <w:ind w:left="900" w:right="140" w:hanging="328"/>
        <w:spacing w:after="0" w:line="28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have difficulty integrating acquired businesses, resulting in unforeseen difficulties, such as incompatible accounting, information management, or other control systems, and greater expenses than expected;</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acquisitions may disrupt our business or distract our management from other responsibilities;</w:t>
      </w:r>
    </w:p>
    <w:p>
      <w:pPr>
        <w:spacing w:after="0" w:line="94" w:lineRule="exact"/>
        <w:rPr>
          <w:rFonts w:ascii="Arial" w:cs="Arial" w:eastAsia="Arial" w:hAnsi="Arial"/>
          <w:sz w:val="17"/>
          <w:szCs w:val="17"/>
          <w:color w:val="auto"/>
        </w:rPr>
      </w:pPr>
    </w:p>
    <w:p>
      <w:pPr>
        <w:ind w:left="900" w:right="100" w:hanging="328"/>
        <w:spacing w:after="0" w:line="28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as a result of an acquisition, we may incur additional debt and we may need to record write-downs from future impairments of intangible assets, each of which could reduce our future reported earnings; and</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have difficulty integrating personnel from the acquired company with our people and our core values.</w:t>
      </w:r>
    </w:p>
    <w:p>
      <w:pPr>
        <w:spacing w:after="0" w:line="173"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100" w:lineRule="exact"/>
        <w:rPr>
          <w:sz w:val="20"/>
          <w:szCs w:val="20"/>
          <w:color w:val="auto"/>
        </w:rPr>
      </w:pPr>
    </w:p>
    <w:p>
      <w:pPr>
        <w:ind w:left="240" w:right="100"/>
        <w:spacing w:after="0" w:line="348"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ind w:right="260" w:firstLine="457"/>
        <w:spacing w:after="0" w:line="284" w:lineRule="auto"/>
        <w:rPr>
          <w:sz w:val="20"/>
          <w:szCs w:val="20"/>
          <w:color w:val="auto"/>
        </w:rPr>
      </w:pPr>
      <w:r>
        <w:rPr>
          <w:rFonts w:ascii="Arial" w:cs="Arial" w:eastAsia="Arial" w:hAnsi="Arial"/>
          <w:sz w:val="17"/>
          <w:szCs w:val="17"/>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38" w:lineRule="exact"/>
        <w:rPr>
          <w:sz w:val="20"/>
          <w:szCs w:val="20"/>
          <w:color w:val="auto"/>
        </w:rPr>
      </w:pPr>
    </w:p>
    <w:p>
      <w:pPr>
        <w:ind w:left="900" w:hanging="328"/>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terminate existing contracts, with short notice, for convenience as well as for default;</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 orders under or otherwise modify contracts;</w:t>
      </w:r>
    </w:p>
    <w:p>
      <w:pPr>
        <w:spacing w:after="0" w:line="94" w:lineRule="exact"/>
        <w:rPr>
          <w:rFonts w:ascii="Arial" w:cs="Arial" w:eastAsia="Arial" w:hAnsi="Arial"/>
          <w:sz w:val="17"/>
          <w:szCs w:val="17"/>
          <w:color w:val="auto"/>
        </w:rPr>
      </w:pPr>
    </w:p>
    <w:p>
      <w:pPr>
        <w:ind w:left="900" w:right="400" w:hanging="328"/>
        <w:spacing w:after="0" w:line="28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37" w:lineRule="exact"/>
        <w:rPr>
          <w:rFonts w:ascii="Arial" w:cs="Arial" w:eastAsia="Arial" w:hAnsi="Arial"/>
          <w:sz w:val="17"/>
          <w:szCs w:val="17"/>
          <w:color w:val="auto"/>
        </w:rPr>
      </w:pPr>
    </w:p>
    <w:p>
      <w:pPr>
        <w:ind w:left="900" w:hanging="328"/>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48" w:lineRule="exact"/>
        <w:rPr>
          <w:rFonts w:ascii="Arial" w:cs="Arial" w:eastAsia="Arial" w:hAnsi="Arial"/>
          <w:sz w:val="17"/>
          <w:szCs w:val="17"/>
          <w:color w:val="auto"/>
        </w:rPr>
      </w:pPr>
    </w:p>
    <w:p>
      <w:pPr>
        <w:ind w:left="900" w:hanging="328"/>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terminate our facility security clearances and thereby prevent us from receiving classified contracts;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cancel multi-year contracts and related orders if funds for contract performance for any subsequent year become unavailable;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451"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hanging="328"/>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decline to exercise an option to renew a multi-year contract or issue task orders in connection with ID/IQ contracts;</w:t>
      </w:r>
    </w:p>
    <w:p>
      <w:pPr>
        <w:spacing w:after="0" w:line="94" w:lineRule="exact"/>
        <w:rPr>
          <w:rFonts w:ascii="Arial" w:cs="Arial" w:eastAsia="Arial" w:hAnsi="Arial"/>
          <w:sz w:val="17"/>
          <w:szCs w:val="17"/>
          <w:color w:val="auto"/>
        </w:rPr>
      </w:pPr>
    </w:p>
    <w:p>
      <w:pPr>
        <w:ind w:left="900" w:right="100" w:hanging="328"/>
        <w:spacing w:after="0" w:line="27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48" w:lineRule="exact"/>
        <w:rPr>
          <w:rFonts w:ascii="Arial" w:cs="Arial" w:eastAsia="Arial" w:hAnsi="Arial"/>
          <w:sz w:val="17"/>
          <w:szCs w:val="17"/>
          <w:color w:val="auto"/>
        </w:rPr>
      </w:pPr>
    </w:p>
    <w:p>
      <w:pPr>
        <w:ind w:left="900" w:right="240" w:hanging="328"/>
        <w:spacing w:after="0" w:line="27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48" w:lineRule="exact"/>
        <w:rPr>
          <w:rFonts w:ascii="Arial" w:cs="Arial" w:eastAsia="Arial" w:hAnsi="Arial"/>
          <w:sz w:val="17"/>
          <w:szCs w:val="17"/>
          <w:color w:val="auto"/>
        </w:rPr>
      </w:pPr>
    </w:p>
    <w:p>
      <w:pPr>
        <w:ind w:left="900" w:right="280" w:hanging="328"/>
        <w:spacing w:after="0" w:line="271"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48" w:lineRule="exact"/>
        <w:rPr>
          <w:rFonts w:ascii="Arial" w:cs="Arial" w:eastAsia="Arial" w:hAnsi="Arial"/>
          <w:sz w:val="17"/>
          <w:szCs w:val="17"/>
          <w:color w:val="auto"/>
        </w:rPr>
      </w:pPr>
    </w:p>
    <w:p>
      <w:pPr>
        <w:ind w:left="900" w:hanging="328"/>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suspend or debar us from doing business with the U.S. government;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control or prohibit the export of our services.</w:t>
      </w:r>
    </w:p>
    <w:p>
      <w:pPr>
        <w:spacing w:after="0" w:line="173" w:lineRule="exact"/>
        <w:rPr>
          <w:sz w:val="20"/>
          <w:szCs w:val="20"/>
          <w:color w:val="auto"/>
        </w:rPr>
      </w:pPr>
    </w:p>
    <w:p>
      <w:pPr>
        <w:ind w:right="340" w:firstLine="457"/>
        <w:spacing w:after="0" w:line="317" w:lineRule="auto"/>
        <w:rPr>
          <w:sz w:val="20"/>
          <w:szCs w:val="20"/>
          <w:color w:val="auto"/>
        </w:rPr>
      </w:pPr>
      <w:r>
        <w:rPr>
          <w:rFonts w:ascii="Arial" w:cs="Arial" w:eastAsia="Arial" w:hAnsi="Arial"/>
          <w:sz w:val="16"/>
          <w:szCs w:val="16"/>
          <w:color w:val="auto"/>
        </w:rPr>
        <w:t>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U.S. government may revise its procurement, contract or other practices in a manner adverse to 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U.S. government may:</w:t>
      </w:r>
    </w:p>
    <w:p>
      <w:pPr>
        <w:spacing w:after="0" w:line="94" w:lineRule="exact"/>
        <w:rPr>
          <w:sz w:val="20"/>
          <w:szCs w:val="20"/>
          <w:color w:val="auto"/>
        </w:rPr>
      </w:pPr>
    </w:p>
    <w:p>
      <w:pPr>
        <w:ind w:left="900" w:right="20" w:hanging="328"/>
        <w:spacing w:after="0" w:line="28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 the creation of new government-wide or agency-specific multiple award contracts;</w:t>
      </w:r>
    </w:p>
    <w:p>
      <w:pPr>
        <w:spacing w:after="0" w:line="94" w:lineRule="exact"/>
        <w:rPr>
          <w:rFonts w:ascii="Arial" w:cs="Arial" w:eastAsia="Arial" w:hAnsi="Arial"/>
          <w:sz w:val="17"/>
          <w:szCs w:val="17"/>
          <w:color w:val="auto"/>
        </w:rPr>
      </w:pPr>
    </w:p>
    <w:p>
      <w:pPr>
        <w:ind w:left="900" w:hanging="328"/>
        <w:spacing w:after="0" w:line="28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face restrictions or pressure from government employees and their unions regarding the amount of services the U.S. government may obtain from private contractors;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award contracts on a technically acceptable/lowest cost basis in order to reduce expenditures, and we may not be the lowest cost provider of services;</w:t>
      </w:r>
    </w:p>
    <w:p>
      <w:pPr>
        <w:spacing w:after="0" w:line="117" w:lineRule="exact"/>
        <w:rPr>
          <w:rFonts w:ascii="Arial" w:cs="Arial" w:eastAsia="Arial" w:hAnsi="Arial"/>
          <w:sz w:val="15"/>
          <w:szCs w:val="15"/>
          <w:color w:val="auto"/>
        </w:rPr>
      </w:pPr>
    </w:p>
    <w:p>
      <w:pPr>
        <w:ind w:left="900" w:hanging="328"/>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adopt new socio-economic requirements, including setting aside funds to small, disadvantaged businesses;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 the basis upon which it reimburses our compensation and other expenses or otherwise limit such reimbursements;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its option, terminate or decline to renew our contracts.</w:t>
      </w:r>
    </w:p>
    <w:p>
      <w:pPr>
        <w:spacing w:after="0" w:line="173"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451" w:right="2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U.S. government may prefer minority-owned, small and small disadvantaged businesses; therefore, we may not win contracts we bid for.</w:t>
      </w:r>
    </w:p>
    <w:p>
      <w:pPr>
        <w:spacing w:after="0" w:line="106" w:lineRule="exact"/>
        <w:rPr>
          <w:sz w:val="20"/>
          <w:szCs w:val="20"/>
          <w:color w:val="auto"/>
        </w:rPr>
      </w:pPr>
    </w:p>
    <w:p>
      <w:pPr>
        <w:ind w:right="260" w:firstLine="457"/>
        <w:spacing w:after="0" w:line="265" w:lineRule="auto"/>
        <w:rPr>
          <w:sz w:val="20"/>
          <w:szCs w:val="20"/>
          <w:color w:val="auto"/>
        </w:rPr>
      </w:pPr>
      <w:r>
        <w:rPr>
          <w:rFonts w:ascii="Arial" w:cs="Arial" w:eastAsia="Arial" w:hAnsi="Arial"/>
          <w:sz w:val="17"/>
          <w:szCs w:val="17"/>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recomplete on incumbent work that is placed in the set-aside program.</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government, which could reduce our revenue, disrupt our business or otherwise materially adversely affect our results of operation.</w:t>
      </w:r>
    </w:p>
    <w:p>
      <w:pPr>
        <w:spacing w:after="0" w:line="8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DCAA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Any costs found to be unallowable under a contract will not be reimbursed, and any such costs already reimbursed must be refunded. Moreover, if any of the administrative processes and systems are found not to comply with government imposed requirements, we may be subjected to increased government scrutiny and approval that could delay or otherwise adversely affect our ability to compete for or perform contracts. Unfavorable U.S. government audit, review, or investigation results could subject us to civil or criminal penalties or administrative sanctions, and could harm our reputation and relationships with our clients and impair our ability to be awarded new contracts. For example,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1"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207" w:lineRule="exact"/>
        <w:rPr>
          <w:sz w:val="20"/>
          <w:szCs w:val="20"/>
          <w:color w:val="auto"/>
        </w:rPr>
      </w:pPr>
    </w:p>
    <w:p>
      <w:pPr>
        <w:ind w:left="240" w:right="540"/>
        <w:spacing w:after="0" w:line="284" w:lineRule="auto"/>
        <w:rPr>
          <w:sz w:val="20"/>
          <w:szCs w:val="20"/>
          <w:color w:val="auto"/>
        </w:rPr>
      </w:pPr>
      <w:r>
        <w:rPr>
          <w:rFonts w:ascii="Arial" w:cs="Arial" w:eastAsia="Arial" w:hAnsi="Arial"/>
          <w:sz w:val="17"/>
          <w:szCs w:val="17"/>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3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Most recently, in the absence of an annual budget for the government’s fiscal year 2011, from September 30, 2010 through March 18, 2011, President Obama signed six continuing resolutions passed by the U.S. Congress into law, and, after a threatened government shutdown, a spending bill providing funding for the government through the end of the government’s fiscal year 2011 was enacted on April 15, 2011.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cancelled and a reduction in our backlog, and could have a material adverse effect on our revenue and operating results. In addition, a failure to complete the budget process and fund government operations pursuant to a continuing resolution may result in a federal government shutdown. A shutdown may result in us incurring substantial costs without reimbursement under our contracts and the delay or cancellation of key programs, which could have a material adverse effect on our revenue and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0" w:lineRule="exact"/>
        <w:rPr>
          <w:sz w:val="20"/>
          <w:szCs w:val="20"/>
          <w:color w:val="auto"/>
        </w:rPr>
      </w:pPr>
    </w:p>
    <w:p>
      <w:pPr>
        <w:ind w:left="240" w:right="120"/>
        <w:spacing w:after="0" w:line="284" w:lineRule="auto"/>
        <w:rPr>
          <w:sz w:val="20"/>
          <w:szCs w:val="20"/>
          <w:color w:val="auto"/>
        </w:rPr>
      </w:pPr>
      <w:r>
        <w:rPr>
          <w:rFonts w:ascii="Arial" w:cs="Arial" w:eastAsia="Arial" w:hAnsi="Arial"/>
          <w:sz w:val="17"/>
          <w:szCs w:val="17"/>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3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 On February 29, 2012 we paid a dividend to holders of our Class A Common Stock, Class B Non-Voting Common Stock and Class E Special Voting Stock, which was funded entirely by our subsidiaries. In addition, on May 29, 2012, we declared a special and regular dividend to holders of our Class A Common Stock, Class B Non-Voting Common Stock and Class E Special Voting Stock, which was funded entirely by our subsidiaries. We may declare and make future dividend payments, which obligates our subsidiaries to make funds available to us for the payment of the dividends.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Our principal stockholder could exert significant influence over our company.</w:t>
      </w:r>
    </w:p>
    <w:p>
      <w:pPr>
        <w:spacing w:after="0" w:line="94" w:lineRule="exact"/>
        <w:rPr>
          <w:sz w:val="20"/>
          <w:szCs w:val="20"/>
          <w:color w:val="auto"/>
        </w:rPr>
      </w:pPr>
    </w:p>
    <w:p>
      <w:pPr>
        <w:ind w:right="20" w:firstLine="457"/>
        <w:spacing w:after="0" w:line="308" w:lineRule="auto"/>
        <w:rPr>
          <w:sz w:val="20"/>
          <w:szCs w:val="20"/>
          <w:color w:val="auto"/>
        </w:rPr>
      </w:pPr>
      <w:r>
        <w:rPr>
          <w:rFonts w:ascii="Arial" w:cs="Arial" w:eastAsia="Arial" w:hAnsi="Arial"/>
          <w:sz w:val="15"/>
          <w:szCs w:val="15"/>
          <w:color w:val="auto"/>
        </w:rPr>
        <w:t>As of March 31, 2012, Carlyle, through Coinvest, owned shares of our common stock representing 75% of our outstanding voting power (excluding shares of common stock with respect to which Carlyle has received a voting proxy pursuant to irrevocable proxy and tag-along agreements). Under the terms of the irrevocable proxy and tag-along agreements Carlyle is able to exercise voting power over shares of our common stock owned by a number of other stockholders, including our executive officers, with respect to the election and removal of directors and change of control transactions. As a result, Carlyle will have a controlling influence over all matters presented to our stockholders for approval, including election and removal of our directors and change of control transactions.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451" w:right="2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In addition, Coinvest is a party to the amended and restated stockholders agreement pursuant to which Carlyle has the right to nominate a majority of the members of our board of directors, or our Board, and to exercise control over matters requiring stockholder approval and our policy and affairs. In addition, we are a “controlled company” within the meaning of the New York Stock Exchange rules and, as a result, currently intend to rely on exemptions from certain corporate governance requirements. The concentrated holdings of funds affiliated with Carlyle, certain provisions of the amended and restated stockholders agreement and the presence of Carlyle’s nominees on our Board may result in a delay or the deterrence of possible changes in control of our company, which may reduce the market price of our common stock. The interests of Carlyle may not always coincide with the interests of the other holders of our common stock.</w:t>
      </w:r>
    </w:p>
    <w:p>
      <w:pPr>
        <w:spacing w:after="0" w:line="107"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 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212" w:lineRule="exact"/>
        <w:rPr>
          <w:sz w:val="20"/>
          <w:szCs w:val="20"/>
          <w:color w:val="auto"/>
        </w:rPr>
      </w:pPr>
    </w:p>
    <w:p>
      <w:pPr>
        <w:ind w:left="240" w:right="40"/>
        <w:spacing w:after="0" w:line="284" w:lineRule="auto"/>
        <w:rPr>
          <w:sz w:val="20"/>
          <w:szCs w:val="20"/>
          <w:color w:val="auto"/>
        </w:rPr>
      </w:pPr>
      <w:r>
        <w:rPr>
          <w:rFonts w:ascii="Arial" w:cs="Arial" w:eastAsia="Arial" w:hAnsi="Arial"/>
          <w:sz w:val="17"/>
          <w:szCs w:val="17"/>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38"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49" w:lineRule="exact"/>
        <w:rPr>
          <w:sz w:val="20"/>
          <w:szCs w:val="20"/>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cause of reduction or delay in U.S. government funding;</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revenue earned on existing contracts;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commencement, completion, or termination of contracts during a particular period;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105" w:lineRule="exact"/>
        <w:rPr>
          <w:rFonts w:ascii="Arial" w:cs="Arial" w:eastAsia="Arial" w:hAnsi="Arial"/>
          <w:sz w:val="16"/>
          <w:szCs w:val="16"/>
          <w:color w:val="auto"/>
        </w:rPr>
      </w:pPr>
    </w:p>
    <w:p>
      <w:pPr>
        <w:ind w:left="900" w:right="320" w:hanging="328"/>
        <w:spacing w:after="0" w:line="284"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strategic decisions by us or our competitors, such as changes to business strategy, strategic investments, acquisitions, divestitures, spin offs, and joint ventures;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change in our contract mix to less profitable contracts;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policy or budgetary measures that adversely affect U.S. government contracts in general;</w:t>
      </w:r>
    </w:p>
    <w:p>
      <w:pPr>
        <w:spacing w:after="0" w:line="94" w:lineRule="exact"/>
        <w:rPr>
          <w:rFonts w:ascii="Arial" w:cs="Arial" w:eastAsia="Arial" w:hAnsi="Arial"/>
          <w:sz w:val="17"/>
          <w:szCs w:val="17"/>
          <w:color w:val="auto"/>
        </w:rPr>
      </w:pPr>
    </w:p>
    <w:p>
      <w:pPr>
        <w:ind w:left="900" w:right="360" w:hanging="328"/>
        <w:spacing w:after="0" w:line="284"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variable purchasing patterns under U.S. government GSA schedules, blanket purchase agreements, which are agreements that fulfill repetitive needs under GSA schedules, and ID/IQ contracts;</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demand for our services and solutions;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fluctuations in the degree to which we are able to utilize our professionals;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seasonality associated with the U.S. government’s fiscal year;</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inability to utilize existing or future tax benefits for any reason, including a change in law;</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alterations to contract requirements;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adverse judgments or settlements in legal disputes.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1"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52"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 all of our assets are pledged under these financing arrangements, our ability to incur additional secured indebtedness or to sell or dispose of assets to raise capital may be impaired, which could have an adverse effect on our financial flexibility. As of March 31, 2012, we had $965.4 million of indebtedness outstanding under our senior secured credit agreement and had $272.8 million of capacity available for additional borrowings under the revolving portion of our senior secured credit agreement. In addition, we may, increase the borrowing capacity under our senior secured credit agreement without the consent of any person other than the institutions agreeing to provide all or any portion of such increase, to an amount not to exceed $150.0 million and, subject to certain closing conditions including pro forma compliance with financial covenants, an additional $150.0 million.</w:t>
      </w:r>
    </w:p>
    <w:p>
      <w:pPr>
        <w:spacing w:after="0" w:line="208" w:lineRule="exact"/>
        <w:rPr>
          <w:sz w:val="20"/>
          <w:szCs w:val="20"/>
          <w:color w:val="auto"/>
        </w:rPr>
      </w:pPr>
    </w:p>
    <w:p>
      <w:pPr>
        <w:jc w:val="both"/>
        <w:ind w:left="240" w:right="60"/>
        <w:spacing w:after="0" w:line="271" w:lineRule="auto"/>
        <w:rPr>
          <w:sz w:val="20"/>
          <w:szCs w:val="20"/>
          <w:color w:val="auto"/>
        </w:rPr>
      </w:pPr>
      <w:r>
        <w:rPr>
          <w:rFonts w:ascii="Arial" w:cs="Arial" w:eastAsia="Arial" w:hAnsi="Arial"/>
          <w:sz w:val="17"/>
          <w:szCs w:val="17"/>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49"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107"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1"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right="400"/>
        <w:spacing w:after="0" w:line="284" w:lineRule="auto"/>
        <w:rPr>
          <w:sz w:val="20"/>
          <w:szCs w:val="20"/>
          <w:color w:val="auto"/>
        </w:rPr>
      </w:pPr>
      <w:r>
        <w:rPr>
          <w:rFonts w:ascii="Arial" w:cs="Arial" w:eastAsia="Arial" w:hAnsi="Arial"/>
          <w:sz w:val="17"/>
          <w:szCs w:val="17"/>
          <w:b w:val="1"/>
          <w:bCs w:val="1"/>
          <w:i w:val="1"/>
          <w:iCs w:val="1"/>
          <w:color w:val="auto"/>
        </w:rPr>
        <w:t>Provisions in our organizational documents and in the Delaware General Corporation Law may prevent takeover attempts that could be beneficial to our stockholders.</w:t>
      </w:r>
    </w:p>
    <w:p>
      <w:pPr>
        <w:spacing w:after="0" w:line="38"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49" w:lineRule="exact"/>
        <w:rPr>
          <w:sz w:val="20"/>
          <w:szCs w:val="20"/>
          <w:color w:val="auto"/>
        </w:rPr>
      </w:pPr>
    </w:p>
    <w:p>
      <w:pPr>
        <w:ind w:left="900" w:hanging="328"/>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establishment of a classified Board, with staggered terms;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granting to the Board the sole power to set the number of directors and to fill any vacancy on the Board;</w:t>
      </w:r>
    </w:p>
    <w:p>
      <w:pPr>
        <w:spacing w:after="0" w:line="94" w:lineRule="exact"/>
        <w:rPr>
          <w:rFonts w:ascii="Arial" w:cs="Arial" w:eastAsia="Arial" w:hAnsi="Arial"/>
          <w:sz w:val="17"/>
          <w:szCs w:val="17"/>
          <w:color w:val="auto"/>
        </w:rPr>
      </w:pPr>
    </w:p>
    <w:p>
      <w:pPr>
        <w:ind w:left="900" w:right="220" w:hanging="328"/>
        <w:spacing w:after="0" w:line="284"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on the ability of stockholders to remove directors if a “group,” as defined under Section 13(d)(3) of the Exchange Act, ceases to own more than 50% of our voting common stock;</w:t>
      </w:r>
    </w:p>
    <w:p>
      <w:pPr>
        <w:spacing w:after="0" w:line="37" w:lineRule="exact"/>
        <w:rPr>
          <w:rFonts w:ascii="Arial" w:cs="Arial" w:eastAsia="Arial" w:hAnsi="Arial"/>
          <w:sz w:val="17"/>
          <w:szCs w:val="17"/>
          <w:color w:val="auto"/>
        </w:rPr>
      </w:pPr>
    </w:p>
    <w:p>
      <w:pPr>
        <w:ind w:left="900" w:right="240" w:hanging="328"/>
        <w:spacing w:after="0" w:line="284"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granting to the Board the ability to designate and issue one or more series of preferred stock without stockholder approval, the terms of which may be determined at the sole discretion of the Board;</w:t>
      </w:r>
    </w:p>
    <w:p>
      <w:pPr>
        <w:spacing w:after="0" w:line="37" w:lineRule="exact"/>
        <w:rPr>
          <w:rFonts w:ascii="Arial" w:cs="Arial" w:eastAsia="Arial" w:hAnsi="Arial"/>
          <w:sz w:val="17"/>
          <w:szCs w:val="17"/>
          <w:color w:val="auto"/>
        </w:rPr>
      </w:pPr>
    </w:p>
    <w:p>
      <w:pPr>
        <w:ind w:left="900" w:hanging="328"/>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prohibition on stockholders from calling special meetings of stockholders;</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establishment of advance notice requirements for stockholder proposals and nominations for election to the Board at stockholder meetings;</w:t>
      </w:r>
    </w:p>
    <w:p>
      <w:pPr>
        <w:spacing w:after="0" w:line="105" w:lineRule="exact"/>
        <w:rPr>
          <w:rFonts w:ascii="Arial" w:cs="Arial" w:eastAsia="Arial" w:hAnsi="Arial"/>
          <w:sz w:val="16"/>
          <w:szCs w:val="16"/>
          <w:color w:val="auto"/>
        </w:rPr>
      </w:pPr>
    </w:p>
    <w:p>
      <w:pPr>
        <w:ind w:left="900" w:hanging="328"/>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requiring approval of two-thirds of stockholders to amend the bylaws; and</w:t>
      </w:r>
    </w:p>
    <w:p>
      <w:pPr>
        <w:spacing w:after="0" w:line="94" w:lineRule="exact"/>
        <w:rPr>
          <w:rFonts w:ascii="Arial" w:cs="Arial" w:eastAsia="Arial" w:hAnsi="Arial"/>
          <w:sz w:val="17"/>
          <w:szCs w:val="17"/>
          <w:color w:val="auto"/>
        </w:rPr>
      </w:pPr>
    </w:p>
    <w:p>
      <w:pPr>
        <w:ind w:left="900" w:hanging="328"/>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prohibiting our stockholders from acting by written consent if a “group” ceases to own more than 50% of our voting common stock.</w:t>
      </w:r>
    </w:p>
    <w:p>
      <w:pPr>
        <w:spacing w:after="0" w:line="173"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 In addition, we have opted out of Section 203 of the Delaware General Corporation Law, which would have otherwise imposed additional requirements regarding mergers and other business combinations, until Carlyle and its affiliates no longer own more than 20% of our Class A Common Stock. After such time, we will be governed by Section 203.</w:t>
      </w:r>
    </w:p>
    <w:p>
      <w:pPr>
        <w:spacing w:after="0" w:line="119" w:lineRule="exact"/>
        <w:rPr>
          <w:sz w:val="20"/>
          <w:szCs w:val="20"/>
          <w:color w:val="auto"/>
        </w:rPr>
      </w:pPr>
    </w:p>
    <w:p>
      <w:pPr>
        <w:jc w:val="both"/>
        <w:ind w:right="180" w:firstLine="457"/>
        <w:spacing w:after="0" w:line="271" w:lineRule="auto"/>
        <w:rPr>
          <w:sz w:val="20"/>
          <w:szCs w:val="20"/>
          <w:color w:val="auto"/>
        </w:rPr>
      </w:pPr>
      <w:r>
        <w:rPr>
          <w:rFonts w:ascii="Arial" w:cs="Arial" w:eastAsia="Arial" w:hAnsi="Arial"/>
          <w:sz w:val="17"/>
          <w:szCs w:val="17"/>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Sales of outstanding shares of our common stock into the market in the future could cause the market price of our common stock to drop significantly.</w:t>
      </w:r>
    </w:p>
    <w:p>
      <w:pPr>
        <w:spacing w:after="0" w:line="117"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color w:val="auto"/>
        </w:rPr>
        <w:t>As of March 31, 2012, Carlyle owned 95,660,000 shares of our Class A Common Stock, or 75% of our outstanding Class A Common Stock (excluding shares of common stock with respect to which Carlyle has received a voting proxy pursuant to irrevocable proxy and tag-along agreements).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132"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As of March 31, 2012 128,392,549 shares of our Class A Common Stock were outstanding. In addition to the shares owned by Carlyle, 4,571,289 shares of our Class A Common Stock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4,020,145 shares of our Class A Common Stock are issuable upon transfer of our Class B Non-Voting Common Stock and Class C Restricted Common Stock. In addition,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1"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 w:firstLine="5"/>
        <w:spacing w:after="0" w:line="308" w:lineRule="auto"/>
        <w:tabs>
          <w:tab w:leader="none" w:pos="242" w:val="left"/>
        </w:tabs>
        <w:numPr>
          <w:ilvl w:val="0"/>
          <w:numId w:val="38"/>
        </w:numPr>
        <w:rPr>
          <w:rFonts w:ascii="Arial" w:cs="Arial" w:eastAsia="Arial" w:hAnsi="Arial"/>
          <w:sz w:val="15"/>
          <w:szCs w:val="15"/>
          <w:color w:val="auto"/>
        </w:rPr>
      </w:pPr>
      <w:r>
        <w:rPr>
          <w:rFonts w:ascii="Arial" w:cs="Arial" w:eastAsia="Arial" w:hAnsi="Arial"/>
          <w:sz w:val="15"/>
          <w:szCs w:val="15"/>
          <w:color w:val="auto"/>
        </w:rPr>
        <w:t>9,437,078 shares of our Class A Common Stock are issuable upon the exercise of outstanding stock options granted under our Officers’ Rollover Stock Plan relating to our outstanding Class E Special Voting Common Stock and (2) 22,957,282 shares of our Class A Common Stock underlying options that are either subject to the terms of our Equity Incentive Plan or reserved for future issuance under our Equity Incentive Plan are eligible for sale in the public market to the extent permitted by the provisions of various option agreements and, to the extent held by affiliates, the volume and manner of sale restrictions of Rule 144. If these additional shares are sold, or if it is perceived that they will be sold, in the public market, the price of our Class A Common Stock could decline substantially.</w:t>
      </w:r>
    </w:p>
    <w:p>
      <w:pPr>
        <w:spacing w:after="0" w:line="21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8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0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do not own any facilities or real estate. Our corporate headquarters are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Herndon,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3.1 million square feet. We believe our facilities meet our current needs, and that additional facilities will be required and available as we expand in the future.</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00"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“Item 1. Business — Regulation”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2012 and 2011, there are no amounts accrued in the consolidated financial statements related to these proceedings.</w:t>
      </w:r>
    </w:p>
    <w:p>
      <w:pPr>
        <w:spacing w:after="0" w:line="11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Six former officers and stockholders who had departed the firm prior to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51" w:right="2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price paid to stockholders was insufficient. The various suits assert claims for breach of contract, tortious interference with contract, breach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fiduciary duty, civil Racketeer Influenced and Corrupt Organizations Act, or RICO, violations, violations of the Employee Retirement Income Security Act, or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ERISA, and/or securities and common law fraud. Two of these suits have been dismissed with all appeals exhausted. Five of the remaining suits are pending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District Court for the Southern District of New York, the sixth is pending in New York state court, and the seventh is pending 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District Court for the Southern District of California. The aggregate alleged damages sought in these seven remaining suits is approximately $348.7 million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($291.5 million of which is sought to be trebled pursuant to RICO), plus punitive damages, costs, and fees. Although the outcome of any of these cases is inherently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uncertain and may be materially adverse, based on current information, we do not expect them to have a material adverse effect on our financial condition and results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operations.</w:t>
      </w: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about our executive officers as of May 18,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60" w:type="dxa"/>
            <w:vAlign w:val="bottom"/>
          </w:tcPr>
          <w:p>
            <w:pPr>
              <w:jc w:val="right"/>
              <w:ind w:right="76"/>
              <w:spacing w:after="0"/>
              <w:rPr>
                <w:sz w:val="20"/>
                <w:szCs w:val="20"/>
                <w:color w:val="auto"/>
              </w:rPr>
            </w:pPr>
            <w:r>
              <w:rPr>
                <w:rFonts w:ascii="Arial" w:cs="Arial" w:eastAsia="Arial" w:hAnsi="Arial"/>
                <w:sz w:val="13"/>
                <w:szCs w:val="13"/>
                <w:b w:val="1"/>
                <w:bCs w:val="1"/>
                <w:color w:val="auto"/>
              </w:rPr>
              <w:t>Age</w:t>
            </w:r>
          </w:p>
        </w:tc>
        <w:tc>
          <w:tcPr>
            <w:tcW w:w="6520" w:type="dxa"/>
            <w:vAlign w:val="bottom"/>
          </w:tcPr>
          <w:p>
            <w:pPr>
              <w:ind w:left="140"/>
              <w:spacing w:after="0"/>
              <w:rPr>
                <w:sz w:val="20"/>
                <w:szCs w:val="20"/>
                <w:color w:val="auto"/>
              </w:rPr>
            </w:pPr>
            <w:r>
              <w:rPr>
                <w:rFonts w:ascii="Arial" w:cs="Arial" w:eastAsia="Arial" w:hAnsi="Arial"/>
                <w:sz w:val="13"/>
                <w:szCs w:val="13"/>
                <w:b w:val="1"/>
                <w:bCs w:val="1"/>
                <w:color w:val="auto"/>
              </w:rPr>
              <w:t>Position</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Ralph W. Shrader</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67</w:t>
            </w:r>
          </w:p>
        </w:tc>
        <w:tc>
          <w:tcPr>
            <w:tcW w:w="6520" w:type="dxa"/>
            <w:vAlign w:val="bottom"/>
          </w:tcPr>
          <w:p>
            <w:pPr>
              <w:ind w:left="140"/>
              <w:spacing w:after="0"/>
              <w:rPr>
                <w:sz w:val="20"/>
                <w:szCs w:val="20"/>
                <w:color w:val="auto"/>
              </w:rPr>
            </w:pPr>
            <w:r>
              <w:rPr>
                <w:rFonts w:ascii="Arial" w:cs="Arial" w:eastAsia="Arial" w:hAnsi="Arial"/>
                <w:sz w:val="17"/>
                <w:szCs w:val="17"/>
                <w:color w:val="auto"/>
              </w:rPr>
              <w:t>Chairman of the Board, President and Chief Executive Officer</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Samuel R. Strickland</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61</w:t>
            </w:r>
          </w:p>
        </w:tc>
        <w:tc>
          <w:tcPr>
            <w:tcW w:w="6520" w:type="dxa"/>
            <w:vAlign w:val="bottom"/>
          </w:tcPr>
          <w:p>
            <w:pPr>
              <w:ind w:left="140"/>
              <w:spacing w:after="0"/>
              <w:rPr>
                <w:sz w:val="20"/>
                <w:szCs w:val="20"/>
                <w:color w:val="auto"/>
              </w:rPr>
            </w:pPr>
            <w:r>
              <w:rPr>
                <w:rFonts w:ascii="Arial" w:cs="Arial" w:eastAsia="Arial" w:hAnsi="Arial"/>
                <w:sz w:val="17"/>
                <w:szCs w:val="17"/>
                <w:color w:val="auto"/>
                <w:w w:val="93"/>
              </w:rPr>
              <w:t>Executive Vice President, Chief Financial Officer, Chief Administrative Officer and Director</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Horacio D. Rozanski</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44</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 and Chief Operating Officer</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Karen M. Dahut</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48</w:t>
            </w:r>
          </w:p>
        </w:tc>
        <w:tc>
          <w:tcPr>
            <w:tcW w:w="6520" w:type="dxa"/>
            <w:vAlign w:val="bottom"/>
          </w:tcPr>
          <w:p>
            <w:pPr>
              <w:ind w:left="140"/>
              <w:spacing w:after="0"/>
              <w:rPr>
                <w:sz w:val="20"/>
                <w:szCs w:val="20"/>
                <w:color w:val="auto"/>
              </w:rPr>
            </w:pPr>
            <w:r>
              <w:rPr>
                <w:rFonts w:ascii="Arial" w:cs="Arial" w:eastAsia="Arial" w:hAnsi="Arial"/>
                <w:sz w:val="17"/>
                <w:szCs w:val="17"/>
                <w:color w:val="auto"/>
              </w:rPr>
              <w:t>Senior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Francis J. Henry, Jr.</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60</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Lloyd Howell, Jr.</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45</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Ronald T. Kadish</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64</w:t>
            </w:r>
          </w:p>
        </w:tc>
        <w:tc>
          <w:tcPr>
            <w:tcW w:w="6520" w:type="dxa"/>
            <w:vAlign w:val="bottom"/>
          </w:tcPr>
          <w:p>
            <w:pPr>
              <w:ind w:left="140"/>
              <w:spacing w:after="0"/>
              <w:rPr>
                <w:sz w:val="20"/>
                <w:szCs w:val="20"/>
                <w:color w:val="auto"/>
              </w:rPr>
            </w:pPr>
            <w:r>
              <w:rPr>
                <w:rFonts w:ascii="Arial" w:cs="Arial" w:eastAsia="Arial" w:hAnsi="Arial"/>
                <w:sz w:val="17"/>
                <w:szCs w:val="17"/>
                <w:color w:val="auto"/>
              </w:rPr>
              <w:t>Senior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Gary D. Labovich</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52</w:t>
            </w:r>
          </w:p>
        </w:tc>
        <w:tc>
          <w:tcPr>
            <w:tcW w:w="6520" w:type="dxa"/>
            <w:vAlign w:val="bottom"/>
          </w:tcPr>
          <w:p>
            <w:pPr>
              <w:ind w:left="140"/>
              <w:spacing w:after="0"/>
              <w:rPr>
                <w:sz w:val="20"/>
                <w:szCs w:val="20"/>
                <w:color w:val="auto"/>
              </w:rPr>
            </w:pPr>
            <w:r>
              <w:rPr>
                <w:rFonts w:ascii="Arial" w:cs="Arial" w:eastAsia="Arial" w:hAnsi="Arial"/>
                <w:sz w:val="17"/>
                <w:szCs w:val="17"/>
                <w:color w:val="auto"/>
              </w:rPr>
              <w:t>Senior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Joseph Logue</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46</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Joseph W. Mahaffee</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54</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 and Chief Information Security Officer</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John D. Mayer</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66</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John M. McConnell</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66</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 and Vice Chairman</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Robert S. Osborne</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57</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 and General Counsel</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Patrick F. Peck</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54</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r>
        <w:trPr>
          <w:trHeight w:val="211"/>
        </w:trPr>
        <w:tc>
          <w:tcPr>
            <w:tcW w:w="2520" w:type="dxa"/>
            <w:vAlign w:val="bottom"/>
          </w:tcPr>
          <w:p>
            <w:pPr>
              <w:spacing w:after="0"/>
              <w:rPr>
                <w:sz w:val="20"/>
                <w:szCs w:val="20"/>
                <w:color w:val="auto"/>
              </w:rPr>
            </w:pPr>
            <w:r>
              <w:rPr>
                <w:rFonts w:ascii="Arial" w:cs="Arial" w:eastAsia="Arial" w:hAnsi="Arial"/>
                <w:sz w:val="17"/>
                <w:szCs w:val="17"/>
                <w:color w:val="auto"/>
              </w:rPr>
              <w:t>Elizabeth M. Thompson</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57</w:t>
            </w:r>
          </w:p>
        </w:tc>
        <w:tc>
          <w:tcPr>
            <w:tcW w:w="6520" w:type="dxa"/>
            <w:vAlign w:val="bottom"/>
          </w:tcPr>
          <w:p>
            <w:pPr>
              <w:ind w:left="140"/>
              <w:spacing w:after="0"/>
              <w:rPr>
                <w:sz w:val="20"/>
                <w:szCs w:val="20"/>
                <w:color w:val="auto"/>
              </w:rPr>
            </w:pPr>
            <w:r>
              <w:rPr>
                <w:rFonts w:ascii="Arial" w:cs="Arial" w:eastAsia="Arial" w:hAnsi="Arial"/>
                <w:sz w:val="17"/>
                <w:szCs w:val="17"/>
                <w:color w:val="auto"/>
              </w:rPr>
              <w:t>Senior Vice President and Chief Personnel Officer</w:t>
            </w:r>
          </w:p>
        </w:tc>
      </w:tr>
      <w:tr>
        <w:trPr>
          <w:trHeight w:val="217"/>
        </w:trPr>
        <w:tc>
          <w:tcPr>
            <w:tcW w:w="2520" w:type="dxa"/>
            <w:vAlign w:val="bottom"/>
          </w:tcPr>
          <w:p>
            <w:pPr>
              <w:spacing w:after="0"/>
              <w:rPr>
                <w:sz w:val="20"/>
                <w:szCs w:val="20"/>
                <w:color w:val="auto"/>
              </w:rPr>
            </w:pPr>
            <w:r>
              <w:rPr>
                <w:rFonts w:ascii="Arial" w:cs="Arial" w:eastAsia="Arial" w:hAnsi="Arial"/>
                <w:sz w:val="17"/>
                <w:szCs w:val="17"/>
                <w:color w:val="auto"/>
              </w:rPr>
              <w:t>Richard J. Wilhelm</w:t>
            </w:r>
          </w:p>
        </w:tc>
        <w:tc>
          <w:tcPr>
            <w:tcW w:w="1260" w:type="dxa"/>
            <w:vAlign w:val="bottom"/>
          </w:tcPr>
          <w:p>
            <w:pPr>
              <w:jc w:val="right"/>
              <w:ind w:right="76"/>
              <w:spacing w:after="0"/>
              <w:rPr>
                <w:sz w:val="20"/>
                <w:szCs w:val="20"/>
                <w:color w:val="auto"/>
              </w:rPr>
            </w:pPr>
            <w:r>
              <w:rPr>
                <w:rFonts w:ascii="Arial" w:cs="Arial" w:eastAsia="Arial" w:hAnsi="Arial"/>
                <w:sz w:val="17"/>
                <w:szCs w:val="17"/>
                <w:color w:val="auto"/>
              </w:rPr>
              <w:t>66</w:t>
            </w:r>
          </w:p>
        </w:tc>
        <w:tc>
          <w:tcPr>
            <w:tcW w:w="6520" w:type="dxa"/>
            <w:vAlign w:val="bottom"/>
          </w:tcPr>
          <w:p>
            <w:pPr>
              <w:ind w:left="140"/>
              <w:spacing w:after="0"/>
              <w:rPr>
                <w:sz w:val="20"/>
                <w:szCs w:val="20"/>
                <w:color w:val="auto"/>
              </w:rPr>
            </w:pPr>
            <w:r>
              <w:rPr>
                <w:rFonts w:ascii="Arial" w:cs="Arial" w:eastAsia="Arial" w:hAnsi="Arial"/>
                <w:sz w:val="17"/>
                <w:szCs w:val="17"/>
                <w:color w:val="auto"/>
              </w:rPr>
              <w:t>Executive Vice President</w:t>
            </w:r>
          </w:p>
        </w:tc>
      </w:tr>
    </w:tbl>
    <w:p>
      <w:pPr>
        <w:spacing w:after="0" w:line="152" w:lineRule="exact"/>
        <w:rPr>
          <w:sz w:val="20"/>
          <w:szCs w:val="20"/>
          <w:color w:val="auto"/>
        </w:rPr>
      </w:pPr>
    </w:p>
    <w:p>
      <w:pPr>
        <w:jc w:val="both"/>
        <w:ind w:right="80" w:firstLine="457"/>
        <w:spacing w:after="0" w:line="267" w:lineRule="auto"/>
        <w:rPr>
          <w:sz w:val="20"/>
          <w:szCs w:val="20"/>
          <w:color w:val="auto"/>
        </w:rPr>
      </w:pPr>
      <w:r>
        <w:rPr>
          <w:rFonts w:ascii="Arial" w:cs="Arial" w:eastAsia="Arial" w:hAnsi="Arial"/>
          <w:sz w:val="17"/>
          <w:szCs w:val="17"/>
          <w:i w:val="1"/>
          <w:iCs w:val="1"/>
          <w:color w:val="auto"/>
        </w:rPr>
        <w:t xml:space="preserve">Ralph W. Shrader </w:t>
      </w:r>
      <w:r>
        <w:rPr>
          <w:rFonts w:ascii="Arial" w:cs="Arial" w:eastAsia="Arial" w:hAnsi="Arial"/>
          <w:sz w:val="17"/>
          <w:szCs w:val="17"/>
          <w:color w:val="auto"/>
        </w:rPr>
        <w:t>is our Chairman, Chief Executive Officer and President and has served in these positions since 1999, except for President which dates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in 2008. Dr. Shrader has been an employee of our company since 1974. He is the seventh chairman since our company’s founding in 1914 and has led our company through a significant period of growth and strategic realignment. Dr. Shrader is active in professional and charitable organizations, and is past Chairman of the Armed Forces Communications and Electronics Association.</w:t>
      </w:r>
    </w:p>
    <w:p>
      <w:pPr>
        <w:spacing w:after="0" w:line="131"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He serves on the board of directors of ServiceSource, the largest community rehabilitative program in Virginia, and is past Chairman of the Neediest Kids and a past board member of Abilities Inc.</w:t>
      </w:r>
    </w:p>
    <w:p>
      <w:pPr>
        <w:spacing w:after="0" w:line="117" w:lineRule="exact"/>
        <w:rPr>
          <w:sz w:val="20"/>
          <w:szCs w:val="20"/>
          <w:color w:val="auto"/>
        </w:rPr>
      </w:pPr>
    </w:p>
    <w:p>
      <w:pPr>
        <w:ind w:right="640" w:firstLine="457"/>
        <w:spacing w:after="0" w:line="297" w:lineRule="auto"/>
        <w:rPr>
          <w:sz w:val="20"/>
          <w:szCs w:val="20"/>
          <w:color w:val="auto"/>
        </w:rPr>
      </w:pPr>
      <w:r>
        <w:rPr>
          <w:rFonts w:ascii="Arial" w:cs="Arial" w:eastAsia="Arial" w:hAnsi="Arial"/>
          <w:sz w:val="15"/>
          <w:szCs w:val="15"/>
          <w:i w:val="1"/>
          <w:iCs w:val="1"/>
          <w:color w:val="auto"/>
        </w:rPr>
        <w:t xml:space="preserve">Samuel R. Strickland </w:t>
      </w:r>
      <w:r>
        <w:rPr>
          <w:rFonts w:ascii="Arial" w:cs="Arial" w:eastAsia="Arial" w:hAnsi="Arial"/>
          <w:sz w:val="15"/>
          <w:szCs w:val="15"/>
          <w:color w:val="auto"/>
        </w:rPr>
        <w:t>is an Executive Vice President of our company and our Chief Financial and Administrative Officer. He has served as our Chief</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Administrative Officer since 1999 and Chief Financial Officer since 2008. He joined our company in 1995, and became an Executive Vice President in 2004.</w:t>
      </w:r>
    </w:p>
    <w:p>
      <w:pPr>
        <w:ind w:right="300"/>
        <w:spacing w:after="0" w:line="277" w:lineRule="auto"/>
        <w:rPr>
          <w:sz w:val="20"/>
          <w:szCs w:val="20"/>
          <w:color w:val="auto"/>
        </w:rPr>
      </w:pPr>
      <w:r>
        <w:rPr>
          <w:rFonts w:ascii="Arial" w:cs="Arial" w:eastAsia="Arial" w:hAnsi="Arial"/>
          <w:sz w:val="17"/>
          <w:szCs w:val="17"/>
          <w:color w:val="auto"/>
        </w:rPr>
        <w:t>Mr. Strickland is a board member of our company. Externally, Mr. Strickland has served on the Board of Trustees at the George Mason University Foundation and Inova Health Services.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1"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0" w:firstLine="457"/>
        <w:spacing w:after="0" w:line="323" w:lineRule="auto"/>
        <w:rPr>
          <w:sz w:val="20"/>
          <w:szCs w:val="20"/>
          <w:color w:val="auto"/>
        </w:rPr>
      </w:pPr>
      <w:r>
        <w:rPr>
          <w:rFonts w:ascii="Arial" w:cs="Arial" w:eastAsia="Arial" w:hAnsi="Arial"/>
          <w:sz w:val="15"/>
          <w:szCs w:val="15"/>
          <w:i w:val="1"/>
          <w:iCs w:val="1"/>
          <w:color w:val="auto"/>
        </w:rPr>
        <w:t xml:space="preserve">Horacio D. Rozanski </w:t>
      </w:r>
      <w:r>
        <w:rPr>
          <w:rFonts w:ascii="Arial" w:cs="Arial" w:eastAsia="Arial" w:hAnsi="Arial"/>
          <w:sz w:val="15"/>
          <w:szCs w:val="15"/>
          <w:color w:val="auto"/>
        </w:rPr>
        <w:t>is an Executive Vice President of our company and our Chief Operating Officer. Mr. Rozanski served as the Chief Strategy and Talent</w:t>
      </w:r>
      <w:r>
        <w:rPr>
          <w:rFonts w:ascii="Arial" w:cs="Arial" w:eastAsia="Arial" w:hAnsi="Arial"/>
          <w:sz w:val="15"/>
          <w:szCs w:val="15"/>
          <w:i w:val="1"/>
          <w:iCs w:val="1"/>
          <w:color w:val="auto"/>
        </w:rPr>
        <w:t xml:space="preserve"> </w:t>
      </w:r>
      <w:r>
        <w:rPr>
          <w:rFonts w:ascii="Arial" w:cs="Arial" w:eastAsia="Arial" w:hAnsi="Arial"/>
          <w:sz w:val="15"/>
          <w:szCs w:val="15"/>
          <w:color w:val="auto"/>
        </w:rPr>
        <w:t>Officer in 2010 and, prior to that, Chief Personnel Officer of our company from 2002 through 2010. Mr. Rozanski joined our company in 1992 and became an Executive Vice President in 2009. He serves on the boards of advisors for the Wolf Trap Foundation for the Performing Arts and the Hidden Brain Drain task force.</w:t>
      </w:r>
    </w:p>
    <w:p>
      <w:pPr>
        <w:spacing w:after="0" w:line="94"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i w:val="1"/>
          <w:iCs w:val="1"/>
          <w:color w:val="auto"/>
        </w:rPr>
        <w:t xml:space="preserve">Karen M. Dahut </w:t>
      </w:r>
      <w:r>
        <w:rPr>
          <w:rFonts w:ascii="Arial" w:cs="Arial" w:eastAsia="Arial" w:hAnsi="Arial"/>
          <w:sz w:val="16"/>
          <w:szCs w:val="16"/>
          <w:color w:val="auto"/>
        </w:rPr>
        <w:t>is a Senior Vice President and is the lead for the company’s Analytics capability. Ms. Dahut joined our company in 2002 and became a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in 2004. Previously, Ms. Dahut led the company’s US Navy and Marine Corps business and its Economic and Business Analytics (EBA) capability. She is also a trustee of the Employee Capital Accumulation Plan (ECAP) Board of Trustees. Ms. Dahut is a Board Member of the Northern Virginia Technology Council and serves on the Board of Trustees for Stone Ridge School of the Sacred Heart in Bethesda, Maryland.</w:t>
      </w:r>
    </w:p>
    <w:p>
      <w:pPr>
        <w:spacing w:after="0" w:line="115"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 xml:space="preserve">Francis J. Henry, Jr. </w:t>
      </w:r>
      <w:r>
        <w:rPr>
          <w:rFonts w:ascii="Arial" w:cs="Arial" w:eastAsia="Arial" w:hAnsi="Arial"/>
          <w:sz w:val="17"/>
          <w:szCs w:val="17"/>
          <w:color w:val="auto"/>
        </w:rPr>
        <w:t>is an Executive Vice President of our company and is the market lead for the Civil business. Mr. Henry joined our company in 1977 and</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Executive Vice President in 2009. Mr. Henry is the chairman of the Employees’ Capital Accumulation Plan trustees. Mr. Henry serves on the National Council of the Smithsonian’s National Museum of the American Indian.</w:t>
      </w:r>
    </w:p>
    <w:p>
      <w:pPr>
        <w:spacing w:after="0" w:line="1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i w:val="1"/>
          <w:iCs w:val="1"/>
          <w:color w:val="auto"/>
        </w:rPr>
        <w:t xml:space="preserve">Lloyd Howell, Jr. </w:t>
      </w:r>
      <w:r>
        <w:rPr>
          <w:rFonts w:ascii="Arial" w:cs="Arial" w:eastAsia="Arial" w:hAnsi="Arial"/>
          <w:sz w:val="16"/>
          <w:szCs w:val="16"/>
          <w:color w:val="auto"/>
        </w:rPr>
        <w:t>is an Executive Vice President of our company and is the client service officer for our financial services clients. Mr. Howell joined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1988, left in 1991, rejoined in 1995 and became an Executive Vice President in 2005. He is chairman of the Ethics &amp; Compliance Committee. Mr. Howell serves on the boards of directors of the United Negro College Fund, Partnership for Public Service and Management Leadership for Tomorrow.</w:t>
      </w:r>
    </w:p>
    <w:p>
      <w:pPr>
        <w:spacing w:after="0" w:line="109"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i w:val="1"/>
          <w:iCs w:val="1"/>
          <w:color w:val="auto"/>
        </w:rPr>
        <w:t xml:space="preserve">Ronald T. Kadish </w:t>
      </w:r>
      <w:r>
        <w:rPr>
          <w:rFonts w:ascii="Arial" w:cs="Arial" w:eastAsia="Arial" w:hAnsi="Arial"/>
          <w:sz w:val="17"/>
          <w:szCs w:val="17"/>
          <w:color w:val="auto"/>
        </w:rPr>
        <w:t>is a Senior Vice President of our company and is the lead for the Engineering and Operations capability. Previously, he led the Aerospace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Group within our defense business. Mr. Kadish joined our company in 2005 as an officer after serving 34 years in the US Air Force attaining the rank of Lieutenant General with extensive experience leading large, complex Department of Defense development programs.</w:t>
      </w:r>
    </w:p>
    <w:p>
      <w:pPr>
        <w:spacing w:after="0" w:line="128" w:lineRule="exact"/>
        <w:rPr>
          <w:sz w:val="20"/>
          <w:szCs w:val="20"/>
          <w:color w:val="auto"/>
        </w:rPr>
      </w:pPr>
    </w:p>
    <w:p>
      <w:pPr>
        <w:jc w:val="both"/>
        <w:ind w:right="160" w:firstLine="457"/>
        <w:spacing w:after="0" w:line="284" w:lineRule="auto"/>
        <w:rPr>
          <w:sz w:val="20"/>
          <w:szCs w:val="20"/>
          <w:color w:val="auto"/>
        </w:rPr>
      </w:pPr>
      <w:r>
        <w:rPr>
          <w:rFonts w:ascii="Arial" w:cs="Arial" w:eastAsia="Arial" w:hAnsi="Arial"/>
          <w:sz w:val="17"/>
          <w:szCs w:val="17"/>
          <w:i w:val="1"/>
          <w:iCs w:val="1"/>
          <w:color w:val="auto"/>
        </w:rPr>
        <w:t xml:space="preserve">Gary D. Labovich </w:t>
      </w:r>
      <w:r>
        <w:rPr>
          <w:rFonts w:ascii="Arial" w:cs="Arial" w:eastAsia="Arial" w:hAnsi="Arial"/>
          <w:sz w:val="17"/>
          <w:szCs w:val="17"/>
          <w:color w:val="auto"/>
        </w:rPr>
        <w:t>is a Senior Vice President of our company and is the lead for our Technology capability. He joined the company in 2004. Mr. Labovich is a</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the Board of Trustees for the National Capital Chapter of the National Multiple Sclerosis Society.</w:t>
      </w:r>
    </w:p>
    <w:p>
      <w:pPr>
        <w:spacing w:after="0" w:line="117"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i w:val="1"/>
          <w:iCs w:val="1"/>
          <w:color w:val="auto"/>
        </w:rPr>
        <w:t xml:space="preserve">Joseph Logue </w:t>
      </w:r>
      <w:r>
        <w:rPr>
          <w:rFonts w:ascii="Arial" w:cs="Arial" w:eastAsia="Arial" w:hAnsi="Arial"/>
          <w:sz w:val="17"/>
          <w:szCs w:val="17"/>
          <w:color w:val="auto"/>
        </w:rPr>
        <w:t>is an Executive Vice President of our company and is the market lead for the Defense business. Mr. Logue joined our company in 1997 and</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Executive Vice President in 2009. Previously, he led our former commercial Information Technology practice.</w:t>
      </w:r>
    </w:p>
    <w:p>
      <w:pPr>
        <w:spacing w:after="0" w:line="117" w:lineRule="exact"/>
        <w:rPr>
          <w:sz w:val="20"/>
          <w:szCs w:val="20"/>
          <w:color w:val="auto"/>
        </w:rPr>
      </w:pPr>
    </w:p>
    <w:p>
      <w:pPr>
        <w:jc w:val="both"/>
        <w:ind w:right="140" w:firstLine="457"/>
        <w:spacing w:after="0" w:line="296" w:lineRule="auto"/>
        <w:rPr>
          <w:sz w:val="20"/>
          <w:szCs w:val="20"/>
          <w:color w:val="auto"/>
        </w:rPr>
      </w:pPr>
      <w:r>
        <w:rPr>
          <w:rFonts w:ascii="Arial" w:cs="Arial" w:eastAsia="Arial" w:hAnsi="Arial"/>
          <w:sz w:val="16"/>
          <w:szCs w:val="16"/>
          <w:i w:val="1"/>
          <w:iCs w:val="1"/>
          <w:color w:val="auto"/>
        </w:rPr>
        <w:t xml:space="preserve">Joseph W. Mahaffee </w:t>
      </w:r>
      <w:r>
        <w:rPr>
          <w:rFonts w:ascii="Arial" w:cs="Arial" w:eastAsia="Arial" w:hAnsi="Arial"/>
          <w:sz w:val="16"/>
          <w:szCs w:val="16"/>
          <w:color w:val="auto"/>
        </w:rPr>
        <w:t>is an Executive Vice President of our company and is our Chief Information Security Officer. Mr. Mahaffee joined our company in 1981</w:t>
      </w:r>
      <w:r>
        <w:rPr>
          <w:rFonts w:ascii="Arial" w:cs="Arial" w:eastAsia="Arial" w:hAnsi="Arial"/>
          <w:sz w:val="16"/>
          <w:szCs w:val="16"/>
          <w:i w:val="1"/>
          <w:iCs w:val="1"/>
          <w:color w:val="auto"/>
        </w:rPr>
        <w:t xml:space="preserve"> </w:t>
      </w:r>
      <w:r>
        <w:rPr>
          <w:rFonts w:ascii="Arial" w:cs="Arial" w:eastAsia="Arial" w:hAnsi="Arial"/>
          <w:sz w:val="16"/>
          <w:szCs w:val="16"/>
          <w:color w:val="auto"/>
        </w:rPr>
        <w:t>and became an Executive Vice President in 2007. He is a member of the Technology Capability Leadership Team and the CIO Council. He is a member of the board of directors of the Independent College Fund of Maryland where he serves as the Chairman of the National Security Scholarship Program.</w:t>
      </w:r>
    </w:p>
    <w:p>
      <w:pPr>
        <w:spacing w:after="0" w:line="109" w:lineRule="exact"/>
        <w:rPr>
          <w:sz w:val="20"/>
          <w:szCs w:val="20"/>
          <w:color w:val="auto"/>
        </w:rPr>
      </w:pPr>
    </w:p>
    <w:p>
      <w:pPr>
        <w:jc w:val="both"/>
        <w:ind w:right="160" w:firstLine="457"/>
        <w:spacing w:after="0" w:line="267" w:lineRule="auto"/>
        <w:rPr>
          <w:sz w:val="20"/>
          <w:szCs w:val="20"/>
          <w:color w:val="auto"/>
        </w:rPr>
      </w:pPr>
      <w:r>
        <w:rPr>
          <w:rFonts w:ascii="Arial" w:cs="Arial" w:eastAsia="Arial" w:hAnsi="Arial"/>
          <w:sz w:val="17"/>
          <w:szCs w:val="17"/>
          <w:i w:val="1"/>
          <w:iCs w:val="1"/>
          <w:color w:val="auto"/>
        </w:rPr>
        <w:t xml:space="preserve">John D. Mayer </w:t>
      </w:r>
      <w:r>
        <w:rPr>
          <w:rFonts w:ascii="Arial" w:cs="Arial" w:eastAsia="Arial" w:hAnsi="Arial"/>
          <w:sz w:val="17"/>
          <w:szCs w:val="17"/>
          <w:color w:val="auto"/>
        </w:rPr>
        <w:t>is an Executive Vice President of our company and is the lead for the Strategy and Organization capability. Mr. Mayer joined our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1997 and became an Executive Vice President in 2009. He is chairman of the board of directors of the Homeland Security and Defense Business Council, a member of the board of the Washington Education and Tennis Foundation, and was a former member of the Corporate Advisory Board for the Darden School of Business at the University of Virginia.</w:t>
      </w:r>
    </w:p>
    <w:p>
      <w:pPr>
        <w:spacing w:after="0" w:line="131"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i w:val="1"/>
          <w:iCs w:val="1"/>
          <w:color w:val="auto"/>
        </w:rPr>
        <w:t xml:space="preserve">John M. McConnell </w:t>
      </w:r>
      <w:r>
        <w:rPr>
          <w:rFonts w:ascii="Arial" w:cs="Arial" w:eastAsia="Arial" w:hAnsi="Arial"/>
          <w:sz w:val="15"/>
          <w:szCs w:val="15"/>
          <w:color w:val="auto"/>
        </w:rPr>
        <w:t>is Vice Chairman and an Executive Vice President of our company and leads the company’s Cyber initiative firmwide. Previously, he was</w:t>
      </w:r>
      <w:r>
        <w:rPr>
          <w:rFonts w:ascii="Arial" w:cs="Arial" w:eastAsia="Arial" w:hAnsi="Arial"/>
          <w:sz w:val="15"/>
          <w:szCs w:val="15"/>
          <w:i w:val="1"/>
          <w:iCs w:val="1"/>
          <w:color w:val="auto"/>
        </w:rPr>
        <w:t xml:space="preserve"> </w:t>
      </w:r>
      <w:r>
        <w:rPr>
          <w:rFonts w:ascii="Arial" w:cs="Arial" w:eastAsia="Arial" w:hAnsi="Arial"/>
          <w:sz w:val="15"/>
          <w:szCs w:val="15"/>
          <w:color w:val="auto"/>
        </w:rPr>
        <w:t>the firm’s market lead for the Intelligence business. Mr. McConnell previously served from 2007 through 2009 in the Cabinet-level position of U.S. Director of</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51"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317" w:lineRule="auto"/>
        <w:rPr>
          <w:sz w:val="20"/>
          <w:szCs w:val="20"/>
          <w:color w:val="auto"/>
        </w:rPr>
      </w:pPr>
      <w:r>
        <w:rPr>
          <w:rFonts w:ascii="Arial" w:cs="Arial" w:eastAsia="Arial" w:hAnsi="Arial"/>
          <w:sz w:val="16"/>
          <w:szCs w:val="16"/>
          <w:color w:val="auto"/>
        </w:rPr>
        <w:t>National Intelligence. From 1996 through 2007, Mr. McConnell served as an officer of our company and became an Executive Vice President in 2009. He served in the U.S. Navy for 29 years, achieving the rank of Vice Admiral. While on active duty, Mr. McConnell was Director of the National Security Agency.</w:t>
      </w:r>
    </w:p>
    <w:p>
      <w:pPr>
        <w:spacing w:after="0" w:line="93" w:lineRule="exact"/>
        <w:rPr>
          <w:sz w:val="20"/>
          <w:szCs w:val="20"/>
          <w:color w:val="auto"/>
        </w:rPr>
      </w:pPr>
    </w:p>
    <w:p>
      <w:pPr>
        <w:ind w:right="60" w:firstLine="457"/>
        <w:spacing w:after="0" w:line="288" w:lineRule="auto"/>
        <w:rPr>
          <w:sz w:val="20"/>
          <w:szCs w:val="20"/>
          <w:color w:val="auto"/>
        </w:rPr>
      </w:pPr>
      <w:r>
        <w:rPr>
          <w:rFonts w:ascii="Arial" w:cs="Arial" w:eastAsia="Arial" w:hAnsi="Arial"/>
          <w:sz w:val="16"/>
          <w:szCs w:val="16"/>
          <w:i w:val="1"/>
          <w:iCs w:val="1"/>
          <w:color w:val="auto"/>
        </w:rPr>
        <w:t xml:space="preserve">Robert S. Osborne </w:t>
      </w:r>
      <w:r>
        <w:rPr>
          <w:rFonts w:ascii="Arial" w:cs="Arial" w:eastAsia="Arial" w:hAnsi="Arial"/>
          <w:sz w:val="16"/>
          <w:szCs w:val="16"/>
          <w:color w:val="auto"/>
        </w:rPr>
        <w:t>is an Executive Vice President of our company and our General Counsel. Mr. Osborne joined our company in 2010 as a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From 2006 to 2009, Mr. Osborne served as Group Vice President and General Counsel of General Motors Corporation, which filed for Chapter 11 bankruptcy proceedings in 2009. From 2002 to 2006, Mr. Osborne was chair of the corporate department of Jenner &amp; Block LLP, and he returned to practice there as a partner from late 2009 to early 2010. Prior to 2002, Mr. Osborne was a partner of Kirkland &amp; Ellis LLP, where he had practiced law since 1979.</w:t>
      </w:r>
    </w:p>
    <w:p>
      <w:pPr>
        <w:spacing w:after="0" w:line="118"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i w:val="1"/>
          <w:iCs w:val="1"/>
          <w:color w:val="auto"/>
        </w:rPr>
        <w:t xml:space="preserve">Patrick F. Peck </w:t>
      </w:r>
      <w:r>
        <w:rPr>
          <w:rFonts w:ascii="Arial" w:cs="Arial" w:eastAsia="Arial" w:hAnsi="Arial"/>
          <w:sz w:val="17"/>
          <w:szCs w:val="17"/>
          <w:color w:val="auto"/>
        </w:rPr>
        <w:t>is an Executive Vice President of our company and leads the company’s initiative in Enterprise Effectiveness and Efficiency. Previously, he led</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Commercial business and Technology capability. Mr. Peck joined our company in 1984 and became an Executive Vice President in 2008. He serves on the board of directors of Junior Achievement’s National Capital Area.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Elizabeth M. Thompson </w:t>
      </w:r>
      <w:r>
        <w:rPr>
          <w:rFonts w:ascii="Arial" w:cs="Arial" w:eastAsia="Arial" w:hAnsi="Arial"/>
          <w:sz w:val="16"/>
          <w:szCs w:val="16"/>
          <w:color w:val="auto"/>
        </w:rPr>
        <w:t>a Senior Vice President of our company and serves as our Chief Personnel Officer. Ms. Thompson joined our company in 2008.</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Ms. Thompson served as Vice President of Human Resources for Fannie Mae from 2000 to 2008.</w:t>
      </w:r>
    </w:p>
    <w:p>
      <w:pPr>
        <w:spacing w:after="0" w:line="167"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i w:val="1"/>
          <w:iCs w:val="1"/>
          <w:color w:val="auto"/>
        </w:rPr>
        <w:t xml:space="preserve">Richard J. Wilhelm </w:t>
      </w:r>
      <w:r>
        <w:rPr>
          <w:rFonts w:ascii="Arial" w:cs="Arial" w:eastAsia="Arial" w:hAnsi="Arial"/>
          <w:sz w:val="17"/>
          <w:szCs w:val="17"/>
          <w:color w:val="auto"/>
        </w:rPr>
        <w:t>is an Executive Vice President of the company and the Market lead for our Intelligence business. He previously served as the leader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Analytics capability. He joined our company in 1998 and became an Executive Vice President in 2009. He serves on the board of directors of the World Affairs Council of America, is a member of the Markle Foundation Task Force on National Security in the Age of Terrorism, and is on the Board of Advisors of the Maxwell School of Public Citizenship at Syracuse University.</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13"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00" w:lineRule="exact"/>
        <w:rPr>
          <w:sz w:val="20"/>
          <w:szCs w:val="20"/>
          <w:color w:val="auto"/>
        </w:rPr>
      </w:pPr>
    </w:p>
    <w:p>
      <w:pPr>
        <w:jc w:val="both"/>
        <w:ind w:right="80" w:firstLine="457"/>
        <w:spacing w:after="0" w:line="265" w:lineRule="auto"/>
        <w:rPr>
          <w:sz w:val="20"/>
          <w:szCs w:val="20"/>
          <w:color w:val="auto"/>
        </w:rPr>
      </w:pPr>
      <w:r>
        <w:rPr>
          <w:rFonts w:ascii="Arial" w:cs="Arial" w:eastAsia="Arial" w:hAnsi="Arial"/>
          <w:sz w:val="17"/>
          <w:szCs w:val="17"/>
          <w:color w:val="auto"/>
        </w:rPr>
        <w:t>Our Class A Common Stock began trading on the New York Stock Exchange on November 17, 2010. There is no established trading market for each of our Class B Non-Voting Common Stock, Class C Restricted Common Stock or Class E Special Voting Common Stock. On May 14, 2012, there were 9,552, 44, 34 and 102 beneficial holders of our Class A Common Stock, Class B Non-Voting Common Stock, Class C Restricted Common Stock and Class E Special Voting Common Stock, respectively. The following table sets forth, for the periods indicated, the high and low sales price per share of our Class A Common Stock as reported by the New York Stock Exchange: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80" w:type="dxa"/>
            <w:vAlign w:val="bottom"/>
          </w:tcPr>
          <w:p>
            <w:pPr>
              <w:jc w:val="right"/>
              <w:ind w:right="34"/>
              <w:spacing w:after="0"/>
              <w:rPr>
                <w:sz w:val="20"/>
                <w:szCs w:val="20"/>
                <w:color w:val="auto"/>
              </w:rPr>
            </w:pPr>
            <w:r>
              <w:rPr>
                <w:rFonts w:ascii="Arial" w:cs="Arial" w:eastAsia="Arial" w:hAnsi="Arial"/>
                <w:sz w:val="13"/>
                <w:szCs w:val="13"/>
                <w:b w:val="1"/>
                <w:bCs w:val="1"/>
                <w:color w:val="auto"/>
              </w:rPr>
              <w:t>High</w:t>
            </w:r>
          </w:p>
        </w:tc>
        <w:tc>
          <w:tcPr>
            <w:tcW w:w="620" w:type="dxa"/>
            <w:vAlign w:val="bottom"/>
          </w:tcPr>
          <w:p>
            <w:pPr>
              <w:spacing w:after="0"/>
              <w:rPr>
                <w:sz w:val="13"/>
                <w:szCs w:val="13"/>
                <w:color w:val="auto"/>
              </w:rPr>
            </w:pPr>
          </w:p>
        </w:tc>
        <w:tc>
          <w:tcPr>
            <w:tcW w:w="580" w:type="dxa"/>
            <w:vAlign w:val="bottom"/>
            <w:gridSpan w:val="2"/>
          </w:tcPr>
          <w:p>
            <w:pPr>
              <w:ind w:left="100"/>
              <w:spacing w:after="0"/>
              <w:rPr>
                <w:sz w:val="20"/>
                <w:szCs w:val="20"/>
                <w:color w:val="auto"/>
              </w:rPr>
            </w:pPr>
            <w:r>
              <w:rPr>
                <w:rFonts w:ascii="Arial" w:cs="Arial" w:eastAsia="Arial" w:hAnsi="Arial"/>
                <w:sz w:val="13"/>
                <w:szCs w:val="13"/>
                <w:b w:val="1"/>
                <w:bCs w:val="1"/>
                <w:color w:val="auto"/>
              </w:rPr>
              <w:t>Low</w:t>
            </w:r>
          </w:p>
        </w:tc>
      </w:tr>
      <w:tr>
        <w:trPr>
          <w:trHeight w:val="191"/>
        </w:trPr>
        <w:tc>
          <w:tcPr>
            <w:tcW w:w="386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b w:val="1"/>
                <w:bCs w:val="1"/>
                <w:color w:val="auto"/>
              </w:rPr>
              <w:t>Fiscal 2012</w:t>
            </w:r>
          </w:p>
        </w:tc>
        <w:tc>
          <w:tcPr>
            <w:tcW w:w="31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3860" w:type="dxa"/>
            <w:vAlign w:val="bottom"/>
          </w:tcPr>
          <w:p>
            <w:pPr>
              <w:ind w:left="420"/>
              <w:spacing w:after="0"/>
              <w:rPr>
                <w:sz w:val="20"/>
                <w:szCs w:val="20"/>
                <w:color w:val="auto"/>
              </w:rPr>
            </w:pPr>
            <w:r>
              <w:rPr>
                <w:rFonts w:ascii="Arial" w:cs="Arial" w:eastAsia="Arial" w:hAnsi="Arial"/>
                <w:sz w:val="17"/>
                <w:szCs w:val="17"/>
                <w:color w:val="auto"/>
              </w:rPr>
              <w:t>1</w:t>
            </w:r>
            <w:r>
              <w:rPr>
                <w:rFonts w:ascii="Arial" w:cs="Arial" w:eastAsia="Arial" w:hAnsi="Arial"/>
                <w:sz w:val="10"/>
                <w:szCs w:val="10"/>
                <w:color w:val="auto"/>
              </w:rPr>
              <w:t>st</w:t>
            </w:r>
            <w:r>
              <w:rPr>
                <w:rFonts w:ascii="Arial" w:cs="Arial" w:eastAsia="Arial" w:hAnsi="Arial"/>
                <w:sz w:val="17"/>
                <w:szCs w:val="17"/>
                <w:color w:val="auto"/>
              </w:rPr>
              <w:t xml:space="preserve"> Quarter</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$17.39</w:t>
            </w:r>
          </w:p>
        </w:tc>
        <w:tc>
          <w:tcPr>
            <w:tcW w:w="100" w:type="dxa"/>
            <w:vAlign w:val="bottom"/>
          </w:tcPr>
          <w:p>
            <w:pPr>
              <w:spacing w:after="0"/>
              <w:rPr>
                <w:sz w:val="18"/>
                <w:szCs w:val="18"/>
                <w:color w:val="auto"/>
              </w:rPr>
            </w:pPr>
          </w:p>
        </w:tc>
      </w:tr>
      <w:tr>
        <w:trPr>
          <w:trHeight w:val="211"/>
        </w:trPr>
        <w:tc>
          <w:tcPr>
            <w:tcW w:w="3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2</w:t>
            </w:r>
            <w:r>
              <w:rPr>
                <w:rFonts w:ascii="Arial" w:cs="Arial" w:eastAsia="Arial" w:hAnsi="Arial"/>
                <w:sz w:val="10"/>
                <w:szCs w:val="10"/>
                <w:color w:val="auto"/>
              </w:rPr>
              <w:t>nd</w:t>
            </w:r>
            <w:r>
              <w:rPr>
                <w:rFonts w:ascii="Arial" w:cs="Arial" w:eastAsia="Arial" w:hAnsi="Arial"/>
                <w:sz w:val="17"/>
                <w:szCs w:val="17"/>
                <w:color w:val="auto"/>
              </w:rPr>
              <w:t xml:space="preserve">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100" w:type="dxa"/>
            <w:vAlign w:val="bottom"/>
            <w:shd w:val="clear" w:color="auto" w:fill="CCEEFF"/>
          </w:tcPr>
          <w:p>
            <w:pPr>
              <w:spacing w:after="0"/>
              <w:rPr>
                <w:sz w:val="18"/>
                <w:szCs w:val="18"/>
                <w:color w:val="auto"/>
              </w:rPr>
            </w:pPr>
          </w:p>
        </w:tc>
      </w:tr>
      <w:tr>
        <w:trPr>
          <w:trHeight w:val="211"/>
        </w:trPr>
        <w:tc>
          <w:tcPr>
            <w:tcW w:w="3860" w:type="dxa"/>
            <w:vAlign w:val="bottom"/>
          </w:tcPr>
          <w:p>
            <w:pPr>
              <w:ind w:left="420"/>
              <w:spacing w:after="0"/>
              <w:rPr>
                <w:sz w:val="20"/>
                <w:szCs w:val="20"/>
                <w:color w:val="auto"/>
              </w:rPr>
            </w:pPr>
            <w:r>
              <w:rPr>
                <w:rFonts w:ascii="Arial" w:cs="Arial" w:eastAsia="Arial" w:hAnsi="Arial"/>
                <w:sz w:val="17"/>
                <w:szCs w:val="17"/>
                <w:color w:val="auto"/>
              </w:rPr>
              <w:t>3</w:t>
            </w:r>
            <w:r>
              <w:rPr>
                <w:rFonts w:ascii="Arial" w:cs="Arial" w:eastAsia="Arial" w:hAnsi="Arial"/>
                <w:sz w:val="10"/>
                <w:szCs w:val="10"/>
                <w:color w:val="auto"/>
              </w:rPr>
              <w:t>rd</w:t>
            </w:r>
            <w:r>
              <w:rPr>
                <w:rFonts w:ascii="Arial" w:cs="Arial" w:eastAsia="Arial" w:hAnsi="Arial"/>
                <w:sz w:val="17"/>
                <w:szCs w:val="17"/>
                <w:color w:val="auto"/>
              </w:rPr>
              <w:t xml:space="preserve"> Quarter</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18.24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8"/>
                <w:szCs w:val="18"/>
                <w:color w:val="auto"/>
              </w:rPr>
            </w:pPr>
          </w:p>
        </w:tc>
      </w:tr>
      <w:tr>
        <w:trPr>
          <w:trHeight w:val="211"/>
        </w:trPr>
        <w:tc>
          <w:tcPr>
            <w:tcW w:w="3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w:t>
            </w:r>
            <w:r>
              <w:rPr>
                <w:rFonts w:ascii="Arial" w:cs="Arial" w:eastAsia="Arial" w:hAnsi="Arial"/>
                <w:sz w:val="10"/>
                <w:szCs w:val="10"/>
                <w:color w:val="auto"/>
              </w:rPr>
              <w:t>th</w:t>
            </w:r>
            <w:r>
              <w:rPr>
                <w:rFonts w:ascii="Arial" w:cs="Arial" w:eastAsia="Arial" w:hAnsi="Arial"/>
                <w:sz w:val="17"/>
                <w:szCs w:val="17"/>
                <w:color w:val="auto"/>
              </w:rPr>
              <w:t xml:space="preserve"> Quarter</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16.71</w:t>
            </w:r>
          </w:p>
        </w:tc>
        <w:tc>
          <w:tcPr>
            <w:tcW w:w="100" w:type="dxa"/>
            <w:vAlign w:val="bottom"/>
            <w:shd w:val="clear" w:color="auto" w:fill="CCEEFF"/>
          </w:tcPr>
          <w:p>
            <w:pPr>
              <w:spacing w:after="0"/>
              <w:rPr>
                <w:sz w:val="18"/>
                <w:szCs w:val="18"/>
                <w:color w:val="auto"/>
              </w:rPr>
            </w:pPr>
          </w:p>
        </w:tc>
      </w:tr>
      <w:tr>
        <w:trPr>
          <w:trHeight w:val="211"/>
        </w:trPr>
        <w:tc>
          <w:tcPr>
            <w:tcW w:w="3860" w:type="dxa"/>
            <w:vAlign w:val="bottom"/>
          </w:tcPr>
          <w:p>
            <w:pPr>
              <w:spacing w:after="0"/>
              <w:rPr>
                <w:sz w:val="20"/>
                <w:szCs w:val="20"/>
                <w:color w:val="auto"/>
              </w:rPr>
            </w:pPr>
            <w:r>
              <w:rPr>
                <w:rFonts w:ascii="Arial" w:cs="Arial" w:eastAsia="Arial" w:hAnsi="Arial"/>
                <w:sz w:val="17"/>
                <w:szCs w:val="17"/>
                <w:b w:val="1"/>
                <w:bCs w:val="1"/>
                <w:color w:val="auto"/>
              </w:rPr>
              <w:t>Fiscal 2011</w:t>
            </w:r>
          </w:p>
        </w:tc>
        <w:tc>
          <w:tcPr>
            <w:tcW w:w="3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3</w:t>
            </w:r>
            <w:r>
              <w:rPr>
                <w:rFonts w:ascii="Arial" w:cs="Arial" w:eastAsia="Arial" w:hAnsi="Arial"/>
                <w:sz w:val="10"/>
                <w:szCs w:val="10"/>
                <w:color w:val="auto"/>
              </w:rPr>
              <w:t>rd</w:t>
            </w:r>
            <w:r>
              <w:rPr>
                <w:rFonts w:ascii="Arial" w:cs="Arial" w:eastAsia="Arial" w:hAnsi="Arial"/>
                <w:sz w:val="17"/>
                <w:szCs w:val="17"/>
                <w:color w:val="auto"/>
              </w:rPr>
              <w:t xml:space="preserve"> Quarter (starting on November 17, 2010)</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100" w:type="dxa"/>
            <w:vAlign w:val="bottom"/>
            <w:shd w:val="clear" w:color="auto" w:fill="CCEEFF"/>
          </w:tcPr>
          <w:p>
            <w:pPr>
              <w:spacing w:after="0"/>
              <w:rPr>
                <w:sz w:val="18"/>
                <w:szCs w:val="18"/>
                <w:color w:val="auto"/>
              </w:rPr>
            </w:pPr>
          </w:p>
        </w:tc>
      </w:tr>
      <w:tr>
        <w:trPr>
          <w:trHeight w:val="217"/>
        </w:trPr>
        <w:tc>
          <w:tcPr>
            <w:tcW w:w="3860" w:type="dxa"/>
            <w:vAlign w:val="bottom"/>
          </w:tcPr>
          <w:p>
            <w:pPr>
              <w:ind w:left="420"/>
              <w:spacing w:after="0"/>
              <w:rPr>
                <w:sz w:val="20"/>
                <w:szCs w:val="20"/>
                <w:color w:val="auto"/>
              </w:rPr>
            </w:pPr>
            <w:r>
              <w:rPr>
                <w:rFonts w:ascii="Arial" w:cs="Arial" w:eastAsia="Arial" w:hAnsi="Arial"/>
                <w:sz w:val="17"/>
                <w:szCs w:val="17"/>
                <w:color w:val="auto"/>
              </w:rPr>
              <w:t>4</w:t>
            </w:r>
            <w:r>
              <w:rPr>
                <w:rFonts w:ascii="Arial" w:cs="Arial" w:eastAsia="Arial" w:hAnsi="Arial"/>
                <w:sz w:val="10"/>
                <w:szCs w:val="10"/>
                <w:color w:val="auto"/>
              </w:rPr>
              <w:t>th</w:t>
            </w:r>
            <w:r>
              <w:rPr>
                <w:rFonts w:ascii="Arial" w:cs="Arial" w:eastAsia="Arial" w:hAnsi="Arial"/>
                <w:sz w:val="17"/>
                <w:szCs w:val="17"/>
                <w:color w:val="auto"/>
              </w:rPr>
              <w:t xml:space="preserve"> Quarter</w:t>
            </w:r>
          </w:p>
        </w:tc>
        <w:tc>
          <w:tcPr>
            <w:tcW w:w="3620" w:type="dxa"/>
            <w:vAlign w:val="bottom"/>
            <w:gridSpan w:val="2"/>
          </w:tcPr>
          <w:p>
            <w:pPr>
              <w:jc w:val="right"/>
              <w:spacing w:after="0"/>
              <w:rPr>
                <w:sz w:val="20"/>
                <w:szCs w:val="20"/>
                <w:color w:val="auto"/>
              </w:rPr>
            </w:pPr>
            <w:r>
              <w:rPr>
                <w:rFonts w:ascii="Arial" w:cs="Arial" w:eastAsia="Arial" w:hAnsi="Arial"/>
                <w:sz w:val="17"/>
                <w:szCs w:val="17"/>
                <w:color w:val="auto"/>
              </w:rPr>
              <w:t>20.29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17.60</w:t>
            </w:r>
          </w:p>
        </w:tc>
        <w:tc>
          <w:tcPr>
            <w:tcW w:w="100" w:type="dxa"/>
            <w:vAlign w:val="bottom"/>
          </w:tcPr>
          <w:p>
            <w:pPr>
              <w:spacing w:after="0"/>
              <w:rPr>
                <w:sz w:val="18"/>
                <w:szCs w:val="18"/>
                <w:color w:val="auto"/>
              </w:rPr>
            </w:pPr>
          </w:p>
        </w:tc>
      </w:tr>
      <w:tr>
        <w:trPr>
          <w:trHeight w:val="347"/>
        </w:trPr>
        <w:tc>
          <w:tcPr>
            <w:tcW w:w="3860" w:type="dxa"/>
            <w:vAlign w:val="bottom"/>
          </w:tcPr>
          <w:p>
            <w:pPr>
              <w:spacing w:after="0"/>
              <w:rPr>
                <w:sz w:val="24"/>
                <w:szCs w:val="24"/>
                <w:color w:val="auto"/>
              </w:rPr>
            </w:pPr>
          </w:p>
        </w:tc>
        <w:tc>
          <w:tcPr>
            <w:tcW w:w="3140" w:type="dxa"/>
            <w:vAlign w:val="bottom"/>
          </w:tcPr>
          <w:p>
            <w:pPr>
              <w:jc w:val="right"/>
              <w:ind w:right="2494"/>
              <w:spacing w:after="0"/>
              <w:rPr>
                <w:sz w:val="20"/>
                <w:szCs w:val="20"/>
                <w:color w:val="auto"/>
              </w:rPr>
            </w:pPr>
            <w:r>
              <w:rPr>
                <w:rFonts w:ascii="Arial" w:cs="Arial" w:eastAsia="Arial" w:hAnsi="Arial"/>
                <w:sz w:val="17"/>
                <w:szCs w:val="17"/>
                <w:color w:val="auto"/>
              </w:rPr>
              <w:t>45</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1" w:right="29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00" w:lineRule="exact"/>
        <w:rPr>
          <w:sz w:val="20"/>
          <w:szCs w:val="20"/>
          <w:color w:val="auto"/>
        </w:rPr>
      </w:pPr>
    </w:p>
    <w:p>
      <w:pPr>
        <w:ind w:right="460" w:firstLine="457"/>
        <w:spacing w:after="0" w:line="267" w:lineRule="auto"/>
        <w:rPr>
          <w:sz w:val="20"/>
          <w:szCs w:val="20"/>
          <w:color w:val="auto"/>
        </w:rPr>
      </w:pPr>
      <w:r>
        <w:rPr>
          <w:rFonts w:ascii="Arial" w:cs="Arial" w:eastAsia="Arial" w:hAnsi="Arial"/>
          <w:sz w:val="17"/>
          <w:szCs w:val="17"/>
          <w:color w:val="auto"/>
        </w:rPr>
        <w:t>On February 1, 2012, we declared a $0.09 per share cash dividend on all issued and outstanding shares of Class A Common Stock, Class B Non-Voting Common Stock, and Class C Restricted Common Stock payable to holders of record as of February 13, 2012. We expect to continue to declare or pay similar or special dividends in the foreseeable future. See “Item 7. Management’s Discussion and Analysis of Financial Condition and Results of Operations — Recent Developments” for further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00"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During the first quarter of fiscal 2012, we issued (i) 295,911 shares of our Class A Common Stock to certain officers and other employees in connection with the exercise of options for aggregate consideration of $1,266,499.08 and (ii) 20,231 shares of our Class A Common Stock to certain directors in lieu of payment of fees for their services as directors. These sales and issuances were effected in reliance on the exemptions for sales of securities not involving a public offering, as set forth in Rule 506 and Rule 701 promulgated under the Securities Act of 1933, as amended.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Registered Securities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information concerning the securities authorized for issuance pursuant to our equity compensation plans as of March 31,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r>
      <w:tr>
        <w:trPr>
          <w:trHeight w:val="145"/>
        </w:trPr>
        <w:tc>
          <w:tcPr>
            <w:tcW w:w="7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86"/>
              </w:rPr>
              <w:t>Securities</w:t>
            </w:r>
          </w:p>
        </w:tc>
      </w:tr>
      <w:tr>
        <w:trPr>
          <w:trHeight w:val="145"/>
        </w:trPr>
        <w:tc>
          <w:tcPr>
            <w:tcW w:w="7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3"/>
              </w:rPr>
              <w:t>Remaining</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74"/>
              <w:spacing w:after="0" w:line="145" w:lineRule="exact"/>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2"/>
                <w:szCs w:val="12"/>
                <w:color w:val="auto"/>
              </w:rPr>
            </w:pPr>
          </w:p>
        </w:tc>
        <w:tc>
          <w:tcPr>
            <w:tcW w:w="1380" w:type="dxa"/>
            <w:vAlign w:val="bottom"/>
            <w:gridSpan w:val="2"/>
          </w:tcPr>
          <w:p>
            <w:pPr>
              <w:jc w:val="center"/>
              <w:ind w:right="800"/>
              <w:spacing w:after="0" w:line="145" w:lineRule="exact"/>
              <w:rPr>
                <w:sz w:val="20"/>
                <w:szCs w:val="20"/>
                <w:color w:val="auto"/>
              </w:rPr>
            </w:pPr>
            <w:r>
              <w:rPr>
                <w:rFonts w:ascii="Arial" w:cs="Arial" w:eastAsia="Arial" w:hAnsi="Arial"/>
                <w:sz w:val="13"/>
                <w:szCs w:val="13"/>
                <w:b w:val="1"/>
                <w:bCs w:val="1"/>
                <w:color w:val="auto"/>
                <w:w w:val="92"/>
              </w:rPr>
              <w:t>Weighted</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4"/>
              </w:rPr>
              <w:t>Available for</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74"/>
              <w:spacing w:after="0" w:line="145" w:lineRule="exact"/>
              <w:rPr>
                <w:sz w:val="20"/>
                <w:szCs w:val="20"/>
                <w:color w:val="auto"/>
              </w:rPr>
            </w:pPr>
            <w:r>
              <w:rPr>
                <w:rFonts w:ascii="Arial" w:cs="Arial" w:eastAsia="Arial" w:hAnsi="Arial"/>
                <w:sz w:val="13"/>
                <w:szCs w:val="13"/>
                <w:b w:val="1"/>
                <w:bCs w:val="1"/>
                <w:color w:val="auto"/>
                <w:w w:val="89"/>
              </w:rPr>
              <w:t>Securities to Be</w:t>
            </w:r>
          </w:p>
        </w:tc>
        <w:tc>
          <w:tcPr>
            <w:tcW w:w="120" w:type="dxa"/>
            <w:vAlign w:val="bottom"/>
          </w:tcPr>
          <w:p>
            <w:pPr>
              <w:spacing w:after="0"/>
              <w:rPr>
                <w:sz w:val="12"/>
                <w:szCs w:val="12"/>
                <w:color w:val="auto"/>
              </w:rPr>
            </w:pPr>
          </w:p>
        </w:tc>
        <w:tc>
          <w:tcPr>
            <w:tcW w:w="1380" w:type="dxa"/>
            <w:vAlign w:val="bottom"/>
            <w:gridSpan w:val="2"/>
          </w:tcPr>
          <w:p>
            <w:pPr>
              <w:jc w:val="center"/>
              <w:ind w:right="800"/>
              <w:spacing w:after="0" w:line="145" w:lineRule="exact"/>
              <w:rPr>
                <w:sz w:val="20"/>
                <w:szCs w:val="20"/>
                <w:color w:val="auto"/>
              </w:rPr>
            </w:pPr>
            <w:r>
              <w:rPr>
                <w:rFonts w:ascii="Arial" w:cs="Arial" w:eastAsia="Arial" w:hAnsi="Arial"/>
                <w:sz w:val="13"/>
                <w:szCs w:val="13"/>
                <w:b w:val="1"/>
                <w:bCs w:val="1"/>
                <w:color w:val="auto"/>
                <w:w w:val="89"/>
              </w:rPr>
              <w:t>Average</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0"/>
              </w:rPr>
              <w:t>Future Issuance</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94"/>
              <w:spacing w:after="0" w:line="145" w:lineRule="exact"/>
              <w:rPr>
                <w:sz w:val="20"/>
                <w:szCs w:val="20"/>
                <w:color w:val="auto"/>
              </w:rPr>
            </w:pPr>
            <w:r>
              <w:rPr>
                <w:rFonts w:ascii="Arial" w:cs="Arial" w:eastAsia="Arial" w:hAnsi="Arial"/>
                <w:sz w:val="13"/>
                <w:szCs w:val="13"/>
                <w:b w:val="1"/>
                <w:bCs w:val="1"/>
                <w:color w:val="auto"/>
                <w:w w:val="89"/>
              </w:rPr>
              <w:t>Issued Upon</w:t>
            </w:r>
          </w:p>
        </w:tc>
        <w:tc>
          <w:tcPr>
            <w:tcW w:w="120" w:type="dxa"/>
            <w:vAlign w:val="bottom"/>
          </w:tcPr>
          <w:p>
            <w:pPr>
              <w:spacing w:after="0"/>
              <w:rPr>
                <w:sz w:val="12"/>
                <w:szCs w:val="12"/>
                <w:color w:val="auto"/>
              </w:rPr>
            </w:pPr>
          </w:p>
        </w:tc>
        <w:tc>
          <w:tcPr>
            <w:tcW w:w="1380" w:type="dxa"/>
            <w:vAlign w:val="bottom"/>
            <w:gridSpan w:val="2"/>
          </w:tcPr>
          <w:p>
            <w:pPr>
              <w:jc w:val="center"/>
              <w:ind w:right="820"/>
              <w:spacing w:after="0" w:line="145" w:lineRule="exact"/>
              <w:rPr>
                <w:sz w:val="20"/>
                <w:szCs w:val="20"/>
                <w:color w:val="auto"/>
              </w:rPr>
            </w:pPr>
            <w:r>
              <w:rPr>
                <w:rFonts w:ascii="Arial" w:cs="Arial" w:eastAsia="Arial" w:hAnsi="Arial"/>
                <w:sz w:val="13"/>
                <w:szCs w:val="13"/>
                <w:b w:val="1"/>
                <w:bCs w:val="1"/>
                <w:color w:val="auto"/>
                <w:w w:val="89"/>
              </w:rPr>
              <w:t>Exercise</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6"/>
              </w:rPr>
              <w:t>Under Equity</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94"/>
              <w:spacing w:after="0" w:line="145" w:lineRule="exact"/>
              <w:rPr>
                <w:sz w:val="20"/>
                <w:szCs w:val="20"/>
                <w:color w:val="auto"/>
              </w:rPr>
            </w:pPr>
            <w:r>
              <w:rPr>
                <w:rFonts w:ascii="Arial" w:cs="Arial" w:eastAsia="Arial" w:hAnsi="Arial"/>
                <w:sz w:val="13"/>
                <w:szCs w:val="13"/>
                <w:b w:val="1"/>
                <w:bCs w:val="1"/>
                <w:color w:val="auto"/>
                <w:w w:val="89"/>
              </w:rPr>
              <w:t>Exercise of</w:t>
            </w:r>
          </w:p>
        </w:tc>
        <w:tc>
          <w:tcPr>
            <w:tcW w:w="120" w:type="dxa"/>
            <w:vAlign w:val="bottom"/>
          </w:tcPr>
          <w:p>
            <w:pPr>
              <w:spacing w:after="0"/>
              <w:rPr>
                <w:sz w:val="12"/>
                <w:szCs w:val="12"/>
                <w:color w:val="auto"/>
              </w:rPr>
            </w:pPr>
          </w:p>
        </w:tc>
        <w:tc>
          <w:tcPr>
            <w:tcW w:w="1380" w:type="dxa"/>
            <w:vAlign w:val="bottom"/>
            <w:gridSpan w:val="2"/>
          </w:tcPr>
          <w:p>
            <w:pPr>
              <w:jc w:val="center"/>
              <w:ind w:right="820"/>
              <w:spacing w:after="0" w:line="145" w:lineRule="exact"/>
              <w:rPr>
                <w:sz w:val="20"/>
                <w:szCs w:val="20"/>
                <w:color w:val="auto"/>
              </w:rPr>
            </w:pPr>
            <w:r>
              <w:rPr>
                <w:rFonts w:ascii="Arial" w:cs="Arial" w:eastAsia="Arial" w:hAnsi="Arial"/>
                <w:sz w:val="13"/>
                <w:szCs w:val="13"/>
                <w:b w:val="1"/>
                <w:bCs w:val="1"/>
                <w:color w:val="auto"/>
                <w:w w:val="92"/>
              </w:rPr>
              <w:t>Price of</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0"/>
              </w:rPr>
              <w:t>Compensation</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94"/>
              <w:spacing w:after="0" w:line="145" w:lineRule="exact"/>
              <w:rPr>
                <w:sz w:val="20"/>
                <w:szCs w:val="20"/>
                <w:color w:val="auto"/>
              </w:rPr>
            </w:pPr>
            <w:r>
              <w:rPr>
                <w:rFonts w:ascii="Arial" w:cs="Arial" w:eastAsia="Arial" w:hAnsi="Arial"/>
                <w:sz w:val="13"/>
                <w:szCs w:val="13"/>
                <w:b w:val="1"/>
                <w:bCs w:val="1"/>
                <w:color w:val="auto"/>
                <w:w w:val="91"/>
              </w:rPr>
              <w:t>Outstanding</w:t>
            </w:r>
          </w:p>
        </w:tc>
        <w:tc>
          <w:tcPr>
            <w:tcW w:w="1500" w:type="dxa"/>
            <w:vAlign w:val="bottom"/>
            <w:gridSpan w:val="3"/>
          </w:tcPr>
          <w:p>
            <w:pPr>
              <w:jc w:val="center"/>
              <w:ind w:right="680"/>
              <w:spacing w:after="0" w:line="145" w:lineRule="exact"/>
              <w:rPr>
                <w:sz w:val="20"/>
                <w:szCs w:val="20"/>
                <w:color w:val="auto"/>
              </w:rPr>
            </w:pPr>
            <w:r>
              <w:rPr>
                <w:rFonts w:ascii="Arial" w:cs="Arial" w:eastAsia="Arial" w:hAnsi="Arial"/>
                <w:sz w:val="13"/>
                <w:szCs w:val="13"/>
                <w:b w:val="1"/>
                <w:bCs w:val="1"/>
                <w:color w:val="auto"/>
                <w:w w:val="91"/>
              </w:rPr>
              <w:t>Outstanding</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89"/>
              </w:rPr>
              <w:t>Plans (Excluding</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74"/>
              <w:spacing w:after="0" w:line="145" w:lineRule="exact"/>
              <w:rPr>
                <w:sz w:val="20"/>
                <w:szCs w:val="20"/>
                <w:color w:val="auto"/>
              </w:rPr>
            </w:pPr>
            <w:r>
              <w:rPr>
                <w:rFonts w:ascii="Arial" w:cs="Arial" w:eastAsia="Arial" w:hAnsi="Arial"/>
                <w:sz w:val="13"/>
                <w:szCs w:val="13"/>
                <w:b w:val="1"/>
                <w:bCs w:val="1"/>
                <w:color w:val="auto"/>
                <w:w w:val="90"/>
              </w:rPr>
              <w:t>Options,</w:t>
            </w:r>
          </w:p>
        </w:tc>
        <w:tc>
          <w:tcPr>
            <w:tcW w:w="120" w:type="dxa"/>
            <w:vAlign w:val="bottom"/>
          </w:tcPr>
          <w:p>
            <w:pPr>
              <w:spacing w:after="0"/>
              <w:rPr>
                <w:sz w:val="12"/>
                <w:szCs w:val="12"/>
                <w:color w:val="auto"/>
              </w:rPr>
            </w:pPr>
          </w:p>
        </w:tc>
        <w:tc>
          <w:tcPr>
            <w:tcW w:w="1380" w:type="dxa"/>
            <w:vAlign w:val="bottom"/>
            <w:gridSpan w:val="2"/>
          </w:tcPr>
          <w:p>
            <w:pPr>
              <w:jc w:val="center"/>
              <w:ind w:right="820"/>
              <w:spacing w:after="0" w:line="145" w:lineRule="exact"/>
              <w:rPr>
                <w:sz w:val="20"/>
                <w:szCs w:val="20"/>
                <w:color w:val="auto"/>
              </w:rPr>
            </w:pPr>
            <w:r>
              <w:rPr>
                <w:rFonts w:ascii="Arial" w:cs="Arial" w:eastAsia="Arial" w:hAnsi="Arial"/>
                <w:sz w:val="13"/>
                <w:szCs w:val="13"/>
                <w:b w:val="1"/>
                <w:bCs w:val="1"/>
                <w:color w:val="auto"/>
                <w:w w:val="90"/>
              </w:rPr>
              <w:t>Options,</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86"/>
              </w:rPr>
              <w:t>Securities</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74"/>
              <w:spacing w:after="0" w:line="145" w:lineRule="exact"/>
              <w:rPr>
                <w:sz w:val="20"/>
                <w:szCs w:val="20"/>
                <w:color w:val="auto"/>
              </w:rPr>
            </w:pPr>
            <w:r>
              <w:rPr>
                <w:rFonts w:ascii="Arial" w:cs="Arial" w:eastAsia="Arial" w:hAnsi="Arial"/>
                <w:sz w:val="13"/>
                <w:szCs w:val="13"/>
                <w:b w:val="1"/>
                <w:bCs w:val="1"/>
                <w:color w:val="auto"/>
                <w:w w:val="96"/>
              </w:rPr>
              <w:t>Warrants and</w:t>
            </w:r>
          </w:p>
        </w:tc>
        <w:tc>
          <w:tcPr>
            <w:tcW w:w="1500" w:type="dxa"/>
            <w:vAlign w:val="bottom"/>
            <w:gridSpan w:val="3"/>
          </w:tcPr>
          <w:p>
            <w:pPr>
              <w:jc w:val="center"/>
              <w:ind w:right="700"/>
              <w:spacing w:after="0" w:line="145" w:lineRule="exact"/>
              <w:rPr>
                <w:sz w:val="20"/>
                <w:szCs w:val="20"/>
                <w:color w:val="auto"/>
              </w:rPr>
            </w:pPr>
            <w:r>
              <w:rPr>
                <w:rFonts w:ascii="Arial" w:cs="Arial" w:eastAsia="Arial" w:hAnsi="Arial"/>
                <w:sz w:val="13"/>
                <w:szCs w:val="13"/>
                <w:b w:val="1"/>
                <w:bCs w:val="1"/>
                <w:color w:val="auto"/>
                <w:w w:val="96"/>
              </w:rPr>
              <w:t>Warrants and</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89"/>
              </w:rPr>
              <w:t>Reflected in</w:t>
            </w:r>
          </w:p>
        </w:tc>
      </w:tr>
      <w:tr>
        <w:trPr>
          <w:trHeight w:val="145"/>
        </w:trPr>
        <w:tc>
          <w:tcPr>
            <w:tcW w:w="7120" w:type="dxa"/>
            <w:vAlign w:val="bottom"/>
          </w:tcPr>
          <w:p>
            <w:pPr>
              <w:spacing w:after="0"/>
              <w:rPr>
                <w:sz w:val="12"/>
                <w:szCs w:val="12"/>
                <w:color w:val="auto"/>
              </w:rPr>
            </w:pPr>
          </w:p>
        </w:tc>
        <w:tc>
          <w:tcPr>
            <w:tcW w:w="1740" w:type="dxa"/>
            <w:vAlign w:val="bottom"/>
            <w:gridSpan w:val="2"/>
          </w:tcPr>
          <w:p>
            <w:pPr>
              <w:jc w:val="center"/>
              <w:ind w:right="774"/>
              <w:spacing w:after="0" w:line="145" w:lineRule="exact"/>
              <w:rPr>
                <w:sz w:val="20"/>
                <w:szCs w:val="20"/>
                <w:color w:val="auto"/>
              </w:rPr>
            </w:pPr>
            <w:r>
              <w:rPr>
                <w:rFonts w:ascii="Arial" w:cs="Arial" w:eastAsia="Arial" w:hAnsi="Arial"/>
                <w:sz w:val="13"/>
                <w:szCs w:val="13"/>
                <w:b w:val="1"/>
                <w:bCs w:val="1"/>
                <w:color w:val="auto"/>
                <w:w w:val="88"/>
              </w:rPr>
              <w:t>Rights</w:t>
            </w:r>
          </w:p>
        </w:tc>
        <w:tc>
          <w:tcPr>
            <w:tcW w:w="120" w:type="dxa"/>
            <w:vAlign w:val="bottom"/>
          </w:tcPr>
          <w:p>
            <w:pPr>
              <w:spacing w:after="0"/>
              <w:rPr>
                <w:sz w:val="12"/>
                <w:szCs w:val="12"/>
                <w:color w:val="auto"/>
              </w:rPr>
            </w:pPr>
          </w:p>
        </w:tc>
        <w:tc>
          <w:tcPr>
            <w:tcW w:w="1380" w:type="dxa"/>
            <w:vAlign w:val="bottom"/>
            <w:gridSpan w:val="2"/>
          </w:tcPr>
          <w:p>
            <w:pPr>
              <w:jc w:val="center"/>
              <w:ind w:right="820"/>
              <w:spacing w:after="0" w:line="145" w:lineRule="exact"/>
              <w:rPr>
                <w:sz w:val="20"/>
                <w:szCs w:val="20"/>
                <w:color w:val="auto"/>
              </w:rPr>
            </w:pPr>
            <w:r>
              <w:rPr>
                <w:rFonts w:ascii="Arial" w:cs="Arial" w:eastAsia="Arial" w:hAnsi="Arial"/>
                <w:sz w:val="13"/>
                <w:szCs w:val="13"/>
                <w:b w:val="1"/>
                <w:bCs w:val="1"/>
                <w:color w:val="auto"/>
                <w:w w:val="88"/>
              </w:rPr>
              <w:t>Rights</w:t>
            </w:r>
          </w:p>
        </w:tc>
        <w:tc>
          <w:tcPr>
            <w:tcW w:w="106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96"/>
              </w:rPr>
              <w:t>Column (a))</w:t>
            </w:r>
          </w:p>
        </w:tc>
      </w:tr>
      <w:tr>
        <w:trPr>
          <w:trHeight w:val="158"/>
        </w:trPr>
        <w:tc>
          <w:tcPr>
            <w:tcW w:w="712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1740" w:type="dxa"/>
            <w:vAlign w:val="bottom"/>
            <w:gridSpan w:val="2"/>
          </w:tcPr>
          <w:p>
            <w:pPr>
              <w:jc w:val="center"/>
              <w:ind w:right="774"/>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13"/>
                <w:szCs w:val="13"/>
                <w:color w:val="auto"/>
              </w:rPr>
            </w:pPr>
          </w:p>
        </w:tc>
        <w:tc>
          <w:tcPr>
            <w:tcW w:w="1380" w:type="dxa"/>
            <w:vAlign w:val="bottom"/>
            <w:gridSpan w:val="2"/>
          </w:tcPr>
          <w:p>
            <w:pPr>
              <w:jc w:val="center"/>
              <w:ind w:right="820"/>
              <w:spacing w:after="0"/>
              <w:rPr>
                <w:sz w:val="20"/>
                <w:szCs w:val="20"/>
                <w:color w:val="auto"/>
              </w:rPr>
            </w:pPr>
            <w:r>
              <w:rPr>
                <w:rFonts w:ascii="Arial" w:cs="Arial" w:eastAsia="Arial" w:hAnsi="Arial"/>
                <w:sz w:val="13"/>
                <w:szCs w:val="13"/>
                <w:b w:val="1"/>
                <w:bCs w:val="1"/>
                <w:color w:val="auto"/>
                <w:w w:val="96"/>
              </w:rPr>
              <w:t>(b)</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(c)</w:t>
            </w:r>
          </w:p>
        </w:tc>
      </w:tr>
      <w:tr>
        <w:trPr>
          <w:trHeight w:val="204"/>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securityholders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20,778,259</w:t>
            </w:r>
          </w:p>
        </w:tc>
        <w:tc>
          <w:tcPr>
            <w:tcW w:w="860" w:type="dxa"/>
            <w:vAlign w:val="bottom"/>
            <w:tcBorders>
              <w:top w:val="single" w:sz="8" w:color="CCEEFF"/>
            </w:tcBorders>
            <w:shd w:val="clear" w:color="auto" w:fill="CCEEFF"/>
          </w:tcPr>
          <w:p>
            <w:pPr>
              <w:jc w:val="right"/>
              <w:ind w:right="574"/>
              <w:spacing w:after="0"/>
              <w:rPr>
                <w:sz w:val="20"/>
                <w:szCs w:val="20"/>
                <w:color w:val="auto"/>
              </w:rPr>
            </w:pPr>
            <w:r>
              <w:rPr>
                <w:rFonts w:ascii="Arial" w:cs="Arial" w:eastAsia="Arial" w:hAnsi="Arial"/>
                <w:sz w:val="17"/>
                <w:szCs w:val="17"/>
                <w:color w:val="auto"/>
                <w:w w:val="86"/>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84"/>
              </w:rPr>
              <w:t>4.92</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11,616,000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7"/>
        </w:trPr>
        <w:tc>
          <w:tcPr>
            <w:tcW w:w="7120" w:type="dxa"/>
            <w:vAlign w:val="bottom"/>
          </w:tcPr>
          <w:p>
            <w:pPr>
              <w:spacing w:after="0"/>
              <w:rPr>
                <w:sz w:val="20"/>
                <w:szCs w:val="20"/>
                <w:color w:val="auto"/>
              </w:rPr>
            </w:pPr>
            <w:r>
              <w:rPr>
                <w:rFonts w:ascii="Arial" w:cs="Arial" w:eastAsia="Arial" w:hAnsi="Arial"/>
                <w:sz w:val="17"/>
                <w:szCs w:val="17"/>
                <w:color w:val="auto"/>
              </w:rPr>
              <w:t>Equity compensation plans not approved by securityholders</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w w:val="98"/>
              </w:rPr>
              <w:t>N/A</w:t>
            </w:r>
          </w:p>
        </w:tc>
        <w:tc>
          <w:tcPr>
            <w:tcW w:w="700" w:type="dxa"/>
            <w:vAlign w:val="bottom"/>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740" w:type="dxa"/>
            <w:vAlign w:val="bottom"/>
            <w:gridSpan w:val="2"/>
            <w:shd w:val="clear" w:color="auto" w:fill="CCEEFF"/>
          </w:tcPr>
          <w:p>
            <w:pPr>
              <w:jc w:val="right"/>
              <w:ind w:right="574"/>
              <w:spacing w:after="0"/>
              <w:rPr>
                <w:sz w:val="20"/>
                <w:szCs w:val="20"/>
                <w:color w:val="auto"/>
              </w:rPr>
            </w:pPr>
            <w:r>
              <w:rPr>
                <w:rFonts w:ascii="Arial" w:cs="Arial" w:eastAsia="Arial" w:hAnsi="Arial"/>
                <w:sz w:val="17"/>
                <w:szCs w:val="17"/>
                <w:color w:val="auto"/>
              </w:rPr>
              <w:t>20,778,259(1)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84"/>
              </w:rPr>
              <w:t>4.92</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11,616,000</w:t>
            </w:r>
          </w:p>
        </w:tc>
        <w:tc>
          <w:tcPr>
            <w:tcW w:w="80" w:type="dxa"/>
            <w:vAlign w:val="bottom"/>
            <w:shd w:val="clear" w:color="auto" w:fill="CCEEFF"/>
          </w:tcPr>
          <w:p>
            <w:pPr>
              <w:spacing w:after="0"/>
              <w:rPr>
                <w:sz w:val="18"/>
                <w:szCs w:val="18"/>
                <w:color w:val="auto"/>
              </w:rPr>
            </w:pPr>
          </w:p>
        </w:tc>
      </w:tr>
    </w:tbl>
    <w:p>
      <w:pPr>
        <w:spacing w:after="0" w:line="71" w:lineRule="exact"/>
        <w:rPr>
          <w:sz w:val="20"/>
          <w:szCs w:val="20"/>
          <w:color w:val="auto"/>
        </w:rPr>
      </w:pPr>
    </w:p>
    <w:p>
      <w:pPr>
        <w:ind w:left="460" w:right="300" w:hanging="455"/>
        <w:spacing w:after="0" w:line="284"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the exercise of all outstanding options, we will issue approximately 20,777,407 shares of Class A Common Stock and will redeem approximately 852 fractional shares for cash.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51"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w:t>
      </w:r>
    </w:p>
    <w:p>
      <w:pPr>
        <w:spacing w:after="0" w:line="100"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graph set forth below compares the cumulative shareholder return on our common stock between November 17, 2010 (the date our Class A common stock began trading on the New York Stock Exchange) and March 31, 2012, to the cumulative return of (i) the Russell 1000 Index and (ii) the Dow Jones US Computer Services Index over the same period. This graph assumes an initial investment of $100 on November 17, 2010 in our common stock, the Russell 1000 Index, and the Dow Jones US Computer Services Index and assumes the reinvestment of dividends, if any. The stock price performance included in this graph is not necessarily indicative of future stock price performance.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CUMULATIVE TOTAL RETURNS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244475</wp:posOffset>
            </wp:positionV>
            <wp:extent cx="5109210" cy="2684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0921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$100 INVESTED ON NOV. 17, 2010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ASSUMES DIVIDEND REINVESTED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FISCAL YEAR ENDING MARCH 31, 2012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Company/Market/Peer Group</w:t>
            </w:r>
          </w:p>
        </w:tc>
        <w:tc>
          <w:tcPr>
            <w:tcW w:w="216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3"/>
                <w:szCs w:val="13"/>
                <w:color w:val="auto"/>
              </w:rPr>
              <w:t>11/17/2010</w:t>
            </w: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12/31/2010</w:t>
            </w:r>
          </w:p>
        </w:tc>
        <w:tc>
          <w:tcPr>
            <w:tcW w:w="3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w w:val="93"/>
              </w:rPr>
              <w:t>3/31/2011</w:t>
            </w:r>
          </w:p>
        </w:tc>
        <w:tc>
          <w:tcPr>
            <w:tcW w:w="860" w:type="dxa"/>
            <w:vAlign w:val="bottom"/>
            <w:gridSpan w:val="3"/>
          </w:tcPr>
          <w:p>
            <w:pPr>
              <w:ind w:left="320"/>
              <w:spacing w:after="0"/>
              <w:rPr>
                <w:sz w:val="20"/>
                <w:szCs w:val="20"/>
                <w:color w:val="auto"/>
              </w:rPr>
            </w:pPr>
            <w:r>
              <w:rPr>
                <w:rFonts w:ascii="Arial" w:cs="Arial" w:eastAsia="Arial" w:hAnsi="Arial"/>
                <w:sz w:val="13"/>
                <w:szCs w:val="13"/>
                <w:color w:val="auto"/>
                <w:w w:val="89"/>
              </w:rPr>
              <w:t>6/30/2011</w:t>
            </w:r>
          </w:p>
        </w:tc>
        <w:tc>
          <w:tcPr>
            <w:tcW w:w="160" w:type="dxa"/>
            <w:vAlign w:val="bottom"/>
          </w:tcPr>
          <w:p>
            <w:pPr>
              <w:spacing w:after="0"/>
              <w:rPr>
                <w:sz w:val="15"/>
                <w:szCs w:val="15"/>
                <w:color w:val="auto"/>
              </w:rPr>
            </w:pPr>
          </w:p>
        </w:tc>
        <w:tc>
          <w:tcPr>
            <w:tcW w:w="720" w:type="dxa"/>
            <w:vAlign w:val="bottom"/>
            <w:gridSpan w:val="3"/>
          </w:tcPr>
          <w:p>
            <w:pPr>
              <w:ind w:left="160"/>
              <w:spacing w:after="0"/>
              <w:rPr>
                <w:sz w:val="20"/>
                <w:szCs w:val="20"/>
                <w:color w:val="auto"/>
              </w:rPr>
            </w:pPr>
            <w:r>
              <w:rPr>
                <w:rFonts w:ascii="Arial" w:cs="Arial" w:eastAsia="Arial" w:hAnsi="Arial"/>
                <w:sz w:val="13"/>
                <w:szCs w:val="13"/>
                <w:color w:val="auto"/>
                <w:w w:val="93"/>
              </w:rPr>
              <w:t>9/30/2011</w:t>
            </w:r>
          </w:p>
        </w:tc>
        <w:tc>
          <w:tcPr>
            <w:tcW w:w="3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w w:val="89"/>
              </w:rPr>
              <w:t>12/31/2011</w:t>
            </w:r>
          </w:p>
        </w:tc>
        <w:tc>
          <w:tcPr>
            <w:tcW w:w="160" w:type="dxa"/>
            <w:vAlign w:val="bottom"/>
          </w:tcPr>
          <w:p>
            <w:pPr>
              <w:spacing w:after="0"/>
              <w:rPr>
                <w:sz w:val="15"/>
                <w:szCs w:val="15"/>
                <w:color w:val="auto"/>
              </w:rPr>
            </w:pPr>
          </w:p>
        </w:tc>
        <w:tc>
          <w:tcPr>
            <w:tcW w:w="720" w:type="dxa"/>
            <w:vAlign w:val="bottom"/>
            <w:gridSpan w:val="3"/>
          </w:tcPr>
          <w:p>
            <w:pPr>
              <w:ind w:left="160"/>
              <w:spacing w:after="0"/>
              <w:rPr>
                <w:sz w:val="20"/>
                <w:szCs w:val="20"/>
                <w:color w:val="auto"/>
              </w:rPr>
            </w:pPr>
            <w:r>
              <w:rPr>
                <w:rFonts w:ascii="Arial" w:cs="Arial" w:eastAsia="Arial" w:hAnsi="Arial"/>
                <w:sz w:val="13"/>
                <w:szCs w:val="13"/>
                <w:color w:val="auto"/>
                <w:w w:val="93"/>
              </w:rPr>
              <w:t>3/31/2012</w:t>
            </w:r>
          </w:p>
        </w:tc>
        <w:tc>
          <w:tcPr>
            <w:tcW w:w="80" w:type="dxa"/>
            <w:vAlign w:val="bottom"/>
          </w:tcPr>
          <w:p>
            <w:pPr>
              <w:spacing w:after="0"/>
              <w:rPr>
                <w:sz w:val="15"/>
                <w:szCs w:val="15"/>
                <w:color w:val="auto"/>
              </w:rPr>
            </w:pPr>
          </w:p>
        </w:tc>
      </w:tr>
      <w:tr>
        <w:trPr>
          <w:trHeight w:val="197"/>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Booz Allen Hamilton Holding Corp</w:t>
            </w:r>
          </w:p>
        </w:tc>
        <w:tc>
          <w:tcPr>
            <w:tcW w:w="1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$ 100.00</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$ 100.94</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93.56</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88.91</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3960" w:type="dxa"/>
            <w:vAlign w:val="bottom"/>
            <w:gridSpan w:val="2"/>
          </w:tcPr>
          <w:p>
            <w:pPr>
              <w:spacing w:after="0"/>
              <w:rPr>
                <w:sz w:val="20"/>
                <w:szCs w:val="20"/>
                <w:color w:val="auto"/>
              </w:rPr>
            </w:pPr>
            <w:r>
              <w:rPr>
                <w:rFonts w:ascii="Arial" w:cs="Arial" w:eastAsia="Arial" w:hAnsi="Arial"/>
                <w:sz w:val="17"/>
                <w:szCs w:val="17"/>
                <w:color w:val="auto"/>
              </w:rPr>
              <w:t>Russell 1000 Index</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$ 100.00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7"/>
              </w:rPr>
              <w:t>$ 107.16</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113.85</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w w:val="88"/>
              </w:rPr>
              <w:t>114.00</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97.26</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w w:val="92"/>
              </w:rPr>
              <w:t>108.80</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122.85</w:t>
            </w:r>
          </w:p>
        </w:tc>
        <w:tc>
          <w:tcPr>
            <w:tcW w:w="80" w:type="dxa"/>
            <w:vAlign w:val="bottom"/>
          </w:tcPr>
          <w:p>
            <w:pPr>
              <w:spacing w:after="0"/>
              <w:rPr>
                <w:sz w:val="18"/>
                <w:szCs w:val="18"/>
                <w:color w:val="auto"/>
              </w:rPr>
            </w:pPr>
          </w:p>
        </w:tc>
      </w:tr>
      <w:tr>
        <w:trPr>
          <w:trHeight w:val="211"/>
        </w:trPr>
        <w:tc>
          <w:tcPr>
            <w:tcW w:w="3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DJ US Computer Services Index</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$ 100.00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$ 104.77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117.02</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121.00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8"/>
              </w:rPr>
              <w:t>118.46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124.33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144.08</w:t>
            </w:r>
          </w:p>
        </w:tc>
        <w:tc>
          <w:tcPr>
            <w:tcW w:w="80" w:type="dxa"/>
            <w:vAlign w:val="bottom"/>
            <w:shd w:val="clear" w:color="auto" w:fill="CCEEFF"/>
          </w:tcPr>
          <w:p>
            <w:pPr>
              <w:spacing w:after="0"/>
              <w:rPr>
                <w:sz w:val="18"/>
                <w:szCs w:val="18"/>
                <w:color w:val="auto"/>
              </w:rPr>
            </w:pPr>
          </w:p>
        </w:tc>
      </w:tr>
    </w:tbl>
    <w:p>
      <w:pPr>
        <w:spacing w:after="0" w:line="71" w:lineRule="exact"/>
        <w:rPr>
          <w:sz w:val="20"/>
          <w:szCs w:val="20"/>
          <w:color w:val="auto"/>
        </w:rPr>
      </w:pPr>
    </w:p>
    <w:p>
      <w:pPr>
        <w:ind w:left="5620" w:right="1660" w:hanging="5615"/>
        <w:spacing w:after="0" w:line="462" w:lineRule="auto"/>
        <w:tabs>
          <w:tab w:leader="none" w:pos="22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Note: BAH base values reflect the closing price of $19.25 on the first day of trading and index base values are as of 11/17/2010 end of day. 47</w:t>
      </w:r>
    </w:p>
    <w:p>
      <w:pPr>
        <w:sectPr>
          <w:pgSz w:w="11900" w:h="16838" w:orient="portrait"/>
          <w:cols w:equalWidth="0" w:num="1">
            <w:col w:w="11420"/>
          </w:cols>
          <w:pgMar w:left="240" w:top="451"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0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selected consolidated statements of operations data for fiscal 2012, fiscal 2011, and fiscal 2010 and the selected consolidated balance sheet data as of March 31, 2012, 2011 and 2010 have been derived from our audited consolidated financial statements included elsewhere in this Annual Report. The selected consolidated statement of operations data for the eight months ended March 31, 2009, and the four months ended July 31, 2008 and fiscal 2008 and the selected consolidated balance sheet data as of March 31, 2010, 2009 and 2008 have been derived from audited consolidated financial statements which are not included in this Annual Report.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133"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Booz Allen Hamilton was indirectly acquired by Carlyle on July 31, 2008. Immediately prior to the acquisition, Booz Allen Hamilton spun off its commercial and international business and retained its U.S. government business. The accompanying consolidated financial statements are presented for (1) the “Predecessor,” which are the financial statements of Booz Allen Hamilton and its consolidated subsidiaries for the period preceding the acquisition, and (2) the “Company,” which are the financial statements of Booz Allen Holding and its consolidated subsidiaries for the period following the acquisition. Prior to the acquisition, Booz Allen Hamilton’s U.S. government business is presented as the continuing operations of the Predecessor. The Predecessor’s consolidated financial statements have been presented for the four months ended July 31, 2008 and fiscal 2008. The operating results of the commercial and international business that was spun off by Booz Allen Hamilton effective July 31, 2008 have been presented as discontinued operations in the accompanying consolidated financial statements. The Company’s consolidated financial statements for periods subsequent to the acquisition have been presented for fiscal 2012, fiscal 2011, fiscal 2010, and from August 1, 2008 through March 31, 2009. The Predecessor’s financial statements may not necessarily be indicative of the cost structure or results of operations that would have existed if the U.S. government business operated as a stand-alone, independent business. The acquisition was accounted for as a business combination, which resulted in a new basis of accounting. The Predecessor’s and the Company’s financial statements are not comparable as a result of applying a new basis of accounting.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1"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Included in the table below are unaudited pro forma results of operations for the twelve months ended March 31, 2009, or “pro forma 2009,” assuming the acquisition had been completed as of April 1, 2008. The unaudited pro forma consolidated results of operations for fiscal 2009 are based on our historical audited consolidated financial statements which are not included in this Annual Report, adjusted to give pro forma effect to the acquisition. The unaudited pro forma consolidated results of operations for fiscal 2009 are presented because management believes it provides a meaningful comparison of operating results enabling twelve months of fiscal 2009, adjusted for the impact of the acquisition, to be compared with fiscal 2010. The unaudited pro forma consolidated financial statements are for informational purposes only and do not purport to represent what our actual results of operations would have been if the acquisition had been completed as of April 1, 2008 or that may be achieved in the future.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3"/>
                <w:szCs w:val="13"/>
                <w:b w:val="1"/>
                <w:bCs w:val="1"/>
                <w:color w:val="auto"/>
              </w:rPr>
              <w:t>The Company</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w w:val="84"/>
              </w:rPr>
              <w:t>Predecessor</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2"/>
              </w:rPr>
              <w:t>Pro Forma</w:t>
            </w:r>
          </w:p>
        </w:tc>
        <w:tc>
          <w:tcPr>
            <w:tcW w:w="300" w:type="dxa"/>
            <w:vAlign w:val="bottom"/>
          </w:tcPr>
          <w:p>
            <w:pPr>
              <w:spacing w:after="0"/>
              <w:rPr>
                <w:sz w:val="10"/>
                <w:szCs w:val="10"/>
                <w:color w:val="auto"/>
              </w:rPr>
            </w:pPr>
          </w:p>
        </w:tc>
        <w:tc>
          <w:tcPr>
            <w:tcW w:w="6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Eight</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80"/>
              <w:spacing w:after="0" w:line="126" w:lineRule="exact"/>
              <w:rPr>
                <w:sz w:val="20"/>
                <w:szCs w:val="20"/>
                <w:color w:val="auto"/>
              </w:rPr>
            </w:pPr>
            <w:r>
              <w:rPr>
                <w:rFonts w:ascii="Arial" w:cs="Arial" w:eastAsia="Arial" w:hAnsi="Arial"/>
                <w:sz w:val="13"/>
                <w:szCs w:val="13"/>
                <w:b w:val="1"/>
                <w:bCs w:val="1"/>
                <w:color w:val="auto"/>
                <w:w w:val="96"/>
              </w:rPr>
              <w:t>Four</w:t>
            </w:r>
          </w:p>
        </w:tc>
        <w:tc>
          <w:tcPr>
            <w:tcW w:w="320" w:type="dxa"/>
            <w:vAlign w:val="bottom"/>
          </w:tcPr>
          <w:p>
            <w:pPr>
              <w:spacing w:after="0"/>
              <w:rPr>
                <w:sz w:val="10"/>
                <w:szCs w:val="10"/>
                <w:color w:val="auto"/>
              </w:rPr>
            </w:pPr>
          </w:p>
        </w:tc>
        <w:tc>
          <w:tcPr>
            <w:tcW w:w="5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Fiscal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0"/>
              </w:rPr>
              <w:t>Fiscal Year</w:t>
            </w:r>
          </w:p>
        </w:tc>
        <w:tc>
          <w:tcPr>
            <w:tcW w:w="300" w:type="dxa"/>
            <w:vAlign w:val="bottom"/>
          </w:tcPr>
          <w:p>
            <w:pPr>
              <w:spacing w:after="0"/>
              <w:rPr>
                <w:sz w:val="12"/>
                <w:szCs w:val="12"/>
                <w:color w:val="auto"/>
              </w:rPr>
            </w:pPr>
          </w:p>
        </w:tc>
        <w:tc>
          <w:tcPr>
            <w:tcW w:w="1180" w:type="dxa"/>
            <w:vAlign w:val="bottom"/>
            <w:gridSpan w:val="2"/>
          </w:tcPr>
          <w:p>
            <w:pPr>
              <w:jc w:val="center"/>
              <w:ind w:right="560"/>
              <w:spacing w:after="0" w:line="145" w:lineRule="exact"/>
              <w:rPr>
                <w:sz w:val="20"/>
                <w:szCs w:val="20"/>
                <w:color w:val="auto"/>
              </w:rPr>
            </w:pPr>
            <w:r>
              <w:rPr>
                <w:rFonts w:ascii="Arial" w:cs="Arial" w:eastAsia="Arial" w:hAnsi="Arial"/>
                <w:sz w:val="13"/>
                <w:szCs w:val="13"/>
                <w:b w:val="1"/>
                <w:bCs w:val="1"/>
                <w:color w:val="auto"/>
                <w:w w:val="90"/>
              </w:rPr>
              <w:t>Fiscal Year</w:t>
            </w:r>
          </w:p>
        </w:tc>
        <w:tc>
          <w:tcPr>
            <w:tcW w:w="1160" w:type="dxa"/>
            <w:vAlign w:val="bottom"/>
            <w:gridSpan w:val="3"/>
          </w:tcPr>
          <w:p>
            <w:pPr>
              <w:jc w:val="center"/>
              <w:ind w:right="460"/>
              <w:spacing w:after="0" w:line="145" w:lineRule="exact"/>
              <w:rPr>
                <w:sz w:val="20"/>
                <w:szCs w:val="20"/>
                <w:color w:val="auto"/>
              </w:rPr>
            </w:pPr>
            <w:r>
              <w:rPr>
                <w:rFonts w:ascii="Arial" w:cs="Arial" w:eastAsia="Arial" w:hAnsi="Arial"/>
                <w:sz w:val="13"/>
                <w:szCs w:val="13"/>
                <w:b w:val="1"/>
                <w:bCs w:val="1"/>
                <w:color w:val="auto"/>
                <w:w w:val="90"/>
              </w:rPr>
              <w:t>Fiscal Year</w:t>
            </w: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87"/>
              </w:rPr>
              <w:t>Fiscal Year</w:t>
            </w:r>
          </w:p>
        </w:tc>
        <w:tc>
          <w:tcPr>
            <w:tcW w:w="300" w:type="dxa"/>
            <w:vAlign w:val="bottom"/>
          </w:tcPr>
          <w:p>
            <w:pPr>
              <w:spacing w:after="0"/>
              <w:rPr>
                <w:sz w:val="12"/>
                <w:szCs w:val="12"/>
                <w:color w:val="auto"/>
              </w:rPr>
            </w:pPr>
          </w:p>
        </w:tc>
        <w:tc>
          <w:tcPr>
            <w:tcW w:w="9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5"/>
              </w:rPr>
              <w:t>Months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0"/>
              </w:rPr>
              <w:t>Months</w:t>
            </w: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2"/>
              </w:rPr>
              <w:t>Year</w:t>
            </w:r>
          </w:p>
        </w:tc>
        <w:tc>
          <w:tcPr>
            <w:tcW w:w="0" w:type="dxa"/>
            <w:vAlign w:val="bottom"/>
          </w:tcPr>
          <w:p>
            <w:pPr>
              <w:spacing w:after="0"/>
              <w:rPr>
                <w:sz w:val="1"/>
                <w:szCs w:val="1"/>
                <w:color w:val="auto"/>
              </w:rPr>
            </w:pPr>
          </w:p>
        </w:tc>
      </w:tr>
      <w:tr>
        <w:trPr>
          <w:trHeight w:val="145"/>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2"/>
                <w:szCs w:val="12"/>
                <w:color w:val="auto"/>
              </w:rPr>
            </w:pPr>
          </w:p>
        </w:tc>
        <w:tc>
          <w:tcPr>
            <w:tcW w:w="1180" w:type="dxa"/>
            <w:vAlign w:val="bottom"/>
            <w:gridSpan w:val="2"/>
          </w:tcPr>
          <w:p>
            <w:pPr>
              <w:jc w:val="center"/>
              <w:ind w:right="580"/>
              <w:spacing w:after="0" w:line="145" w:lineRule="exact"/>
              <w:rPr>
                <w:sz w:val="20"/>
                <w:szCs w:val="20"/>
                <w:color w:val="auto"/>
              </w:rPr>
            </w:pPr>
            <w:r>
              <w:rPr>
                <w:rFonts w:ascii="Arial" w:cs="Arial" w:eastAsia="Arial" w:hAnsi="Arial"/>
                <w:sz w:val="13"/>
                <w:szCs w:val="13"/>
                <w:b w:val="1"/>
                <w:bCs w:val="1"/>
                <w:color w:val="auto"/>
                <w:w w:val="90"/>
              </w:rPr>
              <w:t>Ended</w:t>
            </w:r>
          </w:p>
        </w:tc>
        <w:tc>
          <w:tcPr>
            <w:tcW w:w="60" w:type="dxa"/>
            <w:vAlign w:val="bottom"/>
          </w:tcPr>
          <w:p>
            <w:pPr>
              <w:spacing w:after="0"/>
              <w:rPr>
                <w:sz w:val="12"/>
                <w:szCs w:val="12"/>
                <w:color w:val="auto"/>
              </w:rPr>
            </w:pPr>
          </w:p>
        </w:tc>
        <w:tc>
          <w:tcPr>
            <w:tcW w:w="1100" w:type="dxa"/>
            <w:vAlign w:val="bottom"/>
            <w:gridSpan w:val="2"/>
          </w:tcPr>
          <w:p>
            <w:pPr>
              <w:jc w:val="center"/>
              <w:ind w:right="500"/>
              <w:spacing w:after="0" w:line="145"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94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5"/>
              </w:rPr>
              <w:t>Ended</w:t>
            </w:r>
          </w:p>
        </w:tc>
        <w:tc>
          <w:tcPr>
            <w:tcW w:w="300" w:type="dxa"/>
            <w:vAlign w:val="bottom"/>
          </w:tcPr>
          <w:p>
            <w:pPr>
              <w:spacing w:after="0"/>
              <w:rPr>
                <w:sz w:val="12"/>
                <w:szCs w:val="12"/>
                <w:color w:val="auto"/>
              </w:rPr>
            </w:pPr>
          </w:p>
        </w:tc>
        <w:tc>
          <w:tcPr>
            <w:tcW w:w="9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0"/>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5"/>
              </w:rPr>
              <w:t>Ended</w:t>
            </w: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5" w:lineRule="exact"/>
              <w:rPr>
                <w:sz w:val="20"/>
                <w:szCs w:val="20"/>
                <w:color w:val="auto"/>
              </w:rPr>
            </w:pPr>
            <w:r>
              <w:rPr>
                <w:rFonts w:ascii="Arial" w:cs="Arial" w:eastAsia="Arial" w:hAnsi="Arial"/>
                <w:sz w:val="13"/>
                <w:szCs w:val="13"/>
                <w:b w:val="1"/>
                <w:bCs w:val="1"/>
                <w:color w:val="auto"/>
                <w:w w:val="95"/>
              </w:rPr>
              <w:t>Ended</w:t>
            </w:r>
          </w:p>
        </w:tc>
        <w:tc>
          <w:tcPr>
            <w:tcW w:w="0" w:type="dxa"/>
            <w:vAlign w:val="bottom"/>
          </w:tcPr>
          <w:p>
            <w:pPr>
              <w:spacing w:after="0"/>
              <w:rPr>
                <w:sz w:val="1"/>
                <w:szCs w:val="1"/>
                <w:color w:val="auto"/>
              </w:rPr>
            </w:pPr>
          </w:p>
        </w:tc>
      </w:tr>
      <w:tr>
        <w:trPr>
          <w:trHeight w:val="145"/>
        </w:trPr>
        <w:tc>
          <w:tcPr>
            <w:tcW w:w="3140" w:type="dxa"/>
            <w:vAlign w:val="bottom"/>
          </w:tcPr>
          <w:p>
            <w:pPr>
              <w:spacing w:after="0" w:line="145" w:lineRule="exact"/>
              <w:rPr>
                <w:sz w:val="20"/>
                <w:szCs w:val="20"/>
                <w:color w:val="auto"/>
              </w:rPr>
            </w:pPr>
            <w:r>
              <w:rPr>
                <w:rFonts w:ascii="Arial" w:cs="Arial" w:eastAsia="Arial" w:hAnsi="Arial"/>
                <w:sz w:val="13"/>
                <w:szCs w:val="13"/>
                <w:b w:val="1"/>
                <w:bCs w:val="1"/>
                <w:color w:val="auto"/>
              </w:rPr>
              <w:t>(In thousands, except share and</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3"/>
              </w:rPr>
              <w:t>March 31,</w:t>
            </w:r>
          </w:p>
        </w:tc>
        <w:tc>
          <w:tcPr>
            <w:tcW w:w="300" w:type="dxa"/>
            <w:vAlign w:val="bottom"/>
          </w:tcPr>
          <w:p>
            <w:pPr>
              <w:spacing w:after="0"/>
              <w:rPr>
                <w:sz w:val="12"/>
                <w:szCs w:val="12"/>
                <w:color w:val="auto"/>
              </w:rPr>
            </w:pPr>
          </w:p>
        </w:tc>
        <w:tc>
          <w:tcPr>
            <w:tcW w:w="1180" w:type="dxa"/>
            <w:vAlign w:val="bottom"/>
            <w:gridSpan w:val="2"/>
          </w:tcPr>
          <w:p>
            <w:pPr>
              <w:jc w:val="center"/>
              <w:ind w:right="580"/>
              <w:spacing w:after="0" w:line="145" w:lineRule="exact"/>
              <w:rPr>
                <w:sz w:val="20"/>
                <w:szCs w:val="20"/>
                <w:color w:val="auto"/>
              </w:rPr>
            </w:pPr>
            <w:r>
              <w:rPr>
                <w:rFonts w:ascii="Arial" w:cs="Arial" w:eastAsia="Arial" w:hAnsi="Arial"/>
                <w:sz w:val="13"/>
                <w:szCs w:val="13"/>
                <w:b w:val="1"/>
                <w:bCs w:val="1"/>
                <w:color w:val="auto"/>
                <w:w w:val="93"/>
              </w:rPr>
              <w:t>March 31,</w:t>
            </w:r>
          </w:p>
        </w:tc>
        <w:tc>
          <w:tcPr>
            <w:tcW w:w="60" w:type="dxa"/>
            <w:vAlign w:val="bottom"/>
          </w:tcPr>
          <w:p>
            <w:pPr>
              <w:spacing w:after="0"/>
              <w:rPr>
                <w:sz w:val="12"/>
                <w:szCs w:val="12"/>
                <w:color w:val="auto"/>
              </w:rPr>
            </w:pPr>
          </w:p>
        </w:tc>
        <w:tc>
          <w:tcPr>
            <w:tcW w:w="1100" w:type="dxa"/>
            <w:vAlign w:val="bottom"/>
            <w:gridSpan w:val="2"/>
          </w:tcPr>
          <w:p>
            <w:pPr>
              <w:jc w:val="center"/>
              <w:ind w:right="520"/>
              <w:spacing w:after="0" w:line="145" w:lineRule="exact"/>
              <w:rPr>
                <w:sz w:val="20"/>
                <w:szCs w:val="20"/>
                <w:color w:val="auto"/>
              </w:rPr>
            </w:pPr>
            <w:r>
              <w:rPr>
                <w:rFonts w:ascii="Arial" w:cs="Arial" w:eastAsia="Arial" w:hAnsi="Arial"/>
                <w:sz w:val="13"/>
                <w:szCs w:val="13"/>
                <w:b w:val="1"/>
                <w:bCs w:val="1"/>
                <w:color w:val="auto"/>
                <w:w w:val="96"/>
              </w:rPr>
              <w:t>March 31,</w:t>
            </w:r>
          </w:p>
        </w:tc>
        <w:tc>
          <w:tcPr>
            <w:tcW w:w="220" w:type="dxa"/>
            <w:vAlign w:val="bottom"/>
          </w:tcPr>
          <w:p>
            <w:pPr>
              <w:spacing w:after="0"/>
              <w:rPr>
                <w:sz w:val="12"/>
                <w:szCs w:val="12"/>
                <w:color w:val="auto"/>
              </w:rPr>
            </w:pPr>
          </w:p>
        </w:tc>
        <w:tc>
          <w:tcPr>
            <w:tcW w:w="940" w:type="dxa"/>
            <w:vAlign w:val="bottom"/>
            <w:gridSpan w:val="2"/>
          </w:tcPr>
          <w:p>
            <w:pPr>
              <w:jc w:val="center"/>
              <w:ind w:right="360"/>
              <w:spacing w:after="0" w:line="145" w:lineRule="exact"/>
              <w:rPr>
                <w:sz w:val="20"/>
                <w:szCs w:val="20"/>
                <w:color w:val="auto"/>
              </w:rPr>
            </w:pPr>
            <w:r>
              <w:rPr>
                <w:rFonts w:ascii="Arial" w:cs="Arial" w:eastAsia="Arial" w:hAnsi="Arial"/>
                <w:sz w:val="13"/>
                <w:szCs w:val="13"/>
                <w:b w:val="1"/>
                <w:bCs w:val="1"/>
                <w:color w:val="auto"/>
                <w:w w:val="96"/>
              </w:rPr>
              <w:t>March 31,</w:t>
            </w:r>
          </w:p>
        </w:tc>
        <w:tc>
          <w:tcPr>
            <w:tcW w:w="300" w:type="dxa"/>
            <w:vAlign w:val="bottom"/>
          </w:tcPr>
          <w:p>
            <w:pPr>
              <w:spacing w:after="0"/>
              <w:rPr>
                <w:sz w:val="12"/>
                <w:szCs w:val="12"/>
                <w:color w:val="auto"/>
              </w:rPr>
            </w:pPr>
          </w:p>
        </w:tc>
        <w:tc>
          <w:tcPr>
            <w:tcW w:w="960" w:type="dxa"/>
            <w:vAlign w:val="bottom"/>
            <w:gridSpan w:val="2"/>
          </w:tcPr>
          <w:p>
            <w:pPr>
              <w:jc w:val="center"/>
              <w:ind w:right="340"/>
              <w:spacing w:after="0" w:line="145" w:lineRule="exact"/>
              <w:rPr>
                <w:sz w:val="20"/>
                <w:szCs w:val="20"/>
                <w:color w:val="auto"/>
              </w:rPr>
            </w:pPr>
            <w:r>
              <w:rPr>
                <w:rFonts w:ascii="Arial" w:cs="Arial" w:eastAsia="Arial" w:hAnsi="Arial"/>
                <w:sz w:val="13"/>
                <w:szCs w:val="13"/>
                <w:b w:val="1"/>
                <w:bCs w:val="1"/>
                <w:color w:val="auto"/>
                <w:w w:val="96"/>
              </w:rPr>
              <w:t>March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380"/>
              <w:spacing w:after="0" w:line="145" w:lineRule="exact"/>
              <w:rPr>
                <w:sz w:val="20"/>
                <w:szCs w:val="20"/>
                <w:color w:val="auto"/>
              </w:rPr>
            </w:pPr>
            <w:r>
              <w:rPr>
                <w:rFonts w:ascii="Arial" w:cs="Arial" w:eastAsia="Arial" w:hAnsi="Arial"/>
                <w:sz w:val="13"/>
                <w:szCs w:val="13"/>
                <w:b w:val="1"/>
                <w:bCs w:val="1"/>
                <w:color w:val="auto"/>
                <w:w w:val="92"/>
              </w:rPr>
              <w:t>July 31,</w:t>
            </w:r>
          </w:p>
        </w:tc>
        <w:tc>
          <w:tcPr>
            <w:tcW w:w="320" w:type="dxa"/>
            <w:vAlign w:val="bottom"/>
          </w:tcPr>
          <w:p>
            <w:pPr>
              <w:spacing w:after="0"/>
              <w:rPr>
                <w:sz w:val="12"/>
                <w:szCs w:val="12"/>
                <w:color w:val="auto"/>
              </w:rPr>
            </w:pPr>
          </w:p>
        </w:tc>
        <w:tc>
          <w:tcPr>
            <w:tcW w:w="60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58"/>
        </w:trPr>
        <w:tc>
          <w:tcPr>
            <w:tcW w:w="31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per share data)</w:t>
            </w: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2012</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c>
          <w:tcPr>
            <w:tcW w:w="5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2010</w:t>
            </w:r>
          </w:p>
        </w:tc>
        <w:tc>
          <w:tcPr>
            <w:tcW w:w="4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4"/>
              </w:rPr>
              <w:t>2009 (1)</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2009</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2008</w:t>
            </w: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2008</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140" w:type="dxa"/>
            <w:vAlign w:val="bottom"/>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Consolidated Statements of Operations:</w:t>
            </w:r>
          </w:p>
        </w:tc>
        <w:tc>
          <w:tcPr>
            <w:tcW w:w="18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line="145" w:lineRule="exact"/>
              <w:rPr>
                <w:sz w:val="20"/>
                <w:szCs w:val="20"/>
                <w:color w:val="auto"/>
              </w:rPr>
            </w:pPr>
            <w:r>
              <w:rPr>
                <w:rFonts w:ascii="Arial" w:cs="Arial" w:eastAsia="Arial" w:hAnsi="Arial"/>
                <w:sz w:val="13"/>
                <w:szCs w:val="13"/>
                <w:color w:val="auto"/>
              </w:rPr>
              <w:t>Revenue</w:t>
            </w:r>
          </w:p>
        </w:tc>
        <w:tc>
          <w:tcPr>
            <w:tcW w:w="1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5,859,218</w:t>
            </w:r>
          </w:p>
        </w:tc>
        <w:tc>
          <w:tcPr>
            <w:tcW w:w="3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5,591,296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5,122,633</w:t>
            </w:r>
          </w:p>
        </w:tc>
        <w:tc>
          <w:tcPr>
            <w:tcW w:w="44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4,351,218</w:t>
            </w:r>
          </w:p>
        </w:tc>
        <w:tc>
          <w:tcPr>
            <w:tcW w:w="3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2,941,275</w:t>
            </w:r>
          </w:p>
        </w:tc>
        <w:tc>
          <w:tcPr>
            <w:tcW w:w="3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w w:val="96"/>
              </w:rPr>
              <w:t>1,409,943</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w w:val="86"/>
              </w:rPr>
              <w:t>3,625,055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Operating costs and expenses:</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Cost of revenue</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2,934,378</w:t>
            </w:r>
          </w:p>
        </w:tc>
        <w:tc>
          <w:tcPr>
            <w:tcW w:w="300" w:type="dxa"/>
            <w:vAlign w:val="bottom"/>
          </w:tcPr>
          <w:p>
            <w:pPr>
              <w:spacing w:after="0"/>
              <w:rPr>
                <w:sz w:val="12"/>
                <w:szCs w:val="12"/>
                <w:color w:val="auto"/>
              </w:rPr>
            </w:pP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2,836,955</w:t>
            </w: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2,654,143</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2,296,335</w:t>
            </w:r>
          </w:p>
        </w:tc>
        <w:tc>
          <w:tcPr>
            <w:tcW w:w="30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1,566,763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722,986</w:t>
            </w:r>
          </w:p>
        </w:tc>
        <w:tc>
          <w:tcPr>
            <w:tcW w:w="3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w w:val="86"/>
              </w:rPr>
              <w:t>2,028,848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Billable expenses</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1,542,822</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1,473,266</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1,361,229</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1,158,320</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3"/>
                <w:szCs w:val="13"/>
                <w:color w:val="auto"/>
              </w:rPr>
              <w:t>756,933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401,387</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935,459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General and administrative expenses</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903,721</w:t>
            </w:r>
          </w:p>
        </w:tc>
        <w:tc>
          <w:tcPr>
            <w:tcW w:w="300" w:type="dxa"/>
            <w:vAlign w:val="bottom"/>
          </w:tcPr>
          <w:p>
            <w:pPr>
              <w:spacing w:after="0"/>
              <w:rPr>
                <w:sz w:val="12"/>
                <w:szCs w:val="12"/>
                <w:color w:val="auto"/>
              </w:rPr>
            </w:pP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881,028</w:t>
            </w: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811,944</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723,827</w:t>
            </w:r>
          </w:p>
        </w:tc>
        <w:tc>
          <w:tcPr>
            <w:tcW w:w="30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505,226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726,929</w:t>
            </w:r>
          </w:p>
        </w:tc>
        <w:tc>
          <w:tcPr>
            <w:tcW w:w="3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474,188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Depreciation and amortization</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75,205</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80,603</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95,763</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106,335</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3"/>
                <w:szCs w:val="13"/>
                <w:color w:val="auto"/>
              </w:rPr>
              <w:t>79,665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11,930</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33,079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Restructuring charge</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15,660</w:t>
            </w:r>
          </w:p>
        </w:tc>
        <w:tc>
          <w:tcPr>
            <w:tcW w:w="300" w:type="dxa"/>
            <w:vAlign w:val="bottom"/>
          </w:tcPr>
          <w:p>
            <w:pPr>
              <w:spacing w:after="0"/>
              <w:rPr>
                <w:sz w:val="12"/>
                <w:szCs w:val="12"/>
                <w:color w:val="auto"/>
              </w:rPr>
            </w:pPr>
          </w:p>
        </w:tc>
        <w:tc>
          <w:tcPr>
            <w:tcW w:w="118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500"/>
              <w:spacing w:after="0" w:line="14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960" w:type="dxa"/>
            <w:vAlign w:val="bottom"/>
            <w:gridSpan w:val="2"/>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0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shd w:val="clear" w:color="auto" w:fill="CCEEFF"/>
          </w:tcPr>
          <w:p>
            <w:pPr>
              <w:ind w:left="840"/>
              <w:spacing w:after="0" w:line="145" w:lineRule="exact"/>
              <w:rPr>
                <w:sz w:val="20"/>
                <w:szCs w:val="20"/>
                <w:color w:val="auto"/>
              </w:rPr>
            </w:pPr>
            <w:r>
              <w:rPr>
                <w:rFonts w:ascii="Arial" w:cs="Arial" w:eastAsia="Arial" w:hAnsi="Arial"/>
                <w:sz w:val="13"/>
                <w:szCs w:val="13"/>
                <w:color w:val="auto"/>
              </w:rPr>
              <w:t>Total operating costs and expenses</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5,471,786</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5,271,852</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4,923,079</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4,284,817</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3"/>
                <w:szCs w:val="13"/>
                <w:color w:val="auto"/>
              </w:rPr>
              <w:t>2,908,587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w w:val="96"/>
              </w:rPr>
              <w:t>1,863,232</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6"/>
              </w:rPr>
              <w:t>3,471,574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387,432</w:t>
            </w:r>
          </w:p>
        </w:tc>
        <w:tc>
          <w:tcPr>
            <w:tcW w:w="300" w:type="dxa"/>
            <w:vAlign w:val="bottom"/>
          </w:tcPr>
          <w:p>
            <w:pPr>
              <w:spacing w:after="0"/>
              <w:rPr>
                <w:sz w:val="13"/>
                <w:szCs w:val="13"/>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color w:val="auto"/>
              </w:rPr>
              <w:t>319,444</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199,554</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66,401</w:t>
            </w:r>
          </w:p>
        </w:tc>
        <w:tc>
          <w:tcPr>
            <w:tcW w:w="30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32,688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(453,289)</w:t>
            </w:r>
          </w:p>
        </w:tc>
        <w:tc>
          <w:tcPr>
            <w:tcW w:w="3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153,481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Interest expense</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(48,078)</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5" w:lineRule="exact"/>
              <w:rPr>
                <w:sz w:val="20"/>
                <w:szCs w:val="20"/>
                <w:color w:val="auto"/>
              </w:rPr>
            </w:pPr>
            <w:r>
              <w:rPr>
                <w:rFonts w:ascii="Arial" w:cs="Arial" w:eastAsia="Arial" w:hAnsi="Arial"/>
                <w:sz w:val="13"/>
                <w:szCs w:val="13"/>
                <w:color w:val="auto"/>
              </w:rPr>
              <w:t>(131,892)</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5" w:lineRule="exact"/>
              <w:rPr>
                <w:sz w:val="20"/>
                <w:szCs w:val="20"/>
                <w:color w:val="auto"/>
              </w:rPr>
            </w:pPr>
            <w:r>
              <w:rPr>
                <w:rFonts w:ascii="Arial" w:cs="Arial" w:eastAsia="Arial" w:hAnsi="Arial"/>
                <w:sz w:val="13"/>
                <w:szCs w:val="13"/>
                <w:color w:val="auto"/>
              </w:rPr>
              <w:t>(150,734)</w:t>
            </w: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(146,803)</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(98,068)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(1,044)</w:t>
            </w:r>
          </w:p>
        </w:tc>
        <w:tc>
          <w:tcPr>
            <w:tcW w:w="32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(2,319)</w:t>
            </w:r>
          </w:p>
        </w:tc>
        <w:tc>
          <w:tcPr>
            <w:tcW w:w="0" w:type="dxa"/>
            <w:vAlign w:val="bottom"/>
          </w:tcPr>
          <w:p>
            <w:pPr>
              <w:spacing w:after="0"/>
              <w:rPr>
                <w:sz w:val="1"/>
                <w:szCs w:val="1"/>
                <w:color w:val="auto"/>
              </w:rPr>
            </w:pPr>
          </w:p>
        </w:tc>
      </w:tr>
      <w:tr>
        <w:trPr>
          <w:trHeight w:val="151"/>
        </w:trPr>
        <w:tc>
          <w:tcPr>
            <w:tcW w:w="3140" w:type="dxa"/>
            <w:vAlign w:val="bottom"/>
          </w:tcPr>
          <w:p>
            <w:pPr>
              <w:spacing w:after="0" w:line="145" w:lineRule="exact"/>
              <w:rPr>
                <w:sz w:val="20"/>
                <w:szCs w:val="20"/>
                <w:color w:val="auto"/>
              </w:rPr>
            </w:pPr>
            <w:r>
              <w:rPr>
                <w:rFonts w:ascii="Arial" w:cs="Arial" w:eastAsia="Arial" w:hAnsi="Arial"/>
                <w:sz w:val="13"/>
                <w:szCs w:val="13"/>
                <w:color w:val="auto"/>
              </w:rPr>
              <w:t>Other income, net</w:t>
            </w:r>
          </w:p>
        </w:tc>
        <w:tc>
          <w:tcPr>
            <w:tcW w:w="180" w:type="dxa"/>
            <w:vAlign w:val="bottom"/>
          </w:tcPr>
          <w:p>
            <w:pPr>
              <w:spacing w:after="0"/>
              <w:rPr>
                <w:sz w:val="13"/>
                <w:szCs w:val="13"/>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4,520</w:t>
            </w:r>
          </w:p>
        </w:tc>
        <w:tc>
          <w:tcPr>
            <w:tcW w:w="300" w:type="dxa"/>
            <w:vAlign w:val="bottom"/>
          </w:tcPr>
          <w:p>
            <w:pPr>
              <w:spacing w:after="0"/>
              <w:rPr>
                <w:sz w:val="13"/>
                <w:szCs w:val="13"/>
                <w:color w:val="auto"/>
              </w:rPr>
            </w:pPr>
          </w:p>
        </w:tc>
        <w:tc>
          <w:tcPr>
            <w:tcW w:w="1180" w:type="dxa"/>
            <w:vAlign w:val="bottom"/>
            <w:gridSpan w:val="2"/>
          </w:tcPr>
          <w:p>
            <w:pPr>
              <w:jc w:val="right"/>
              <w:ind w:right="480"/>
              <w:spacing w:after="0" w:line="145" w:lineRule="exact"/>
              <w:rPr>
                <w:sz w:val="20"/>
                <w:szCs w:val="20"/>
                <w:color w:val="auto"/>
              </w:rPr>
            </w:pPr>
            <w:r>
              <w:rPr>
                <w:rFonts w:ascii="Arial" w:cs="Arial" w:eastAsia="Arial" w:hAnsi="Arial"/>
                <w:sz w:val="13"/>
                <w:szCs w:val="13"/>
                <w:color w:val="auto"/>
              </w:rPr>
              <w:t>(59,488)</w:t>
            </w:r>
          </w:p>
        </w:tc>
        <w:tc>
          <w:tcPr>
            <w:tcW w:w="60" w:type="dxa"/>
            <w:vAlign w:val="bottom"/>
          </w:tcPr>
          <w:p>
            <w:pPr>
              <w:spacing w:after="0"/>
              <w:rPr>
                <w:sz w:val="13"/>
                <w:szCs w:val="13"/>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174</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5,130</w:t>
            </w:r>
          </w:p>
        </w:tc>
        <w:tc>
          <w:tcPr>
            <w:tcW w:w="300" w:type="dxa"/>
            <w:vAlign w:val="bottom"/>
          </w:tcPr>
          <w:p>
            <w:pPr>
              <w:spacing w:after="0"/>
              <w:rPr>
                <w:sz w:val="13"/>
                <w:szCs w:val="13"/>
                <w:color w:val="auto"/>
              </w:rPr>
            </w:pPr>
          </w:p>
        </w:tc>
        <w:tc>
          <w:tcPr>
            <w:tcW w:w="9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rPr>
              <w:t>4,450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680</w:t>
            </w:r>
          </w:p>
        </w:tc>
        <w:tc>
          <w:tcPr>
            <w:tcW w:w="320" w:type="dxa"/>
            <w:vAlign w:val="bottom"/>
          </w:tcPr>
          <w:p>
            <w:pPr>
              <w:spacing w:after="0"/>
              <w:rPr>
                <w:sz w:val="13"/>
                <w:szCs w:val="13"/>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511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14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Income (loss) from continuing operations and before</w:t>
            </w:r>
          </w:p>
        </w:tc>
        <w:tc>
          <w:tcPr>
            <w:tcW w:w="18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1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w:t>
            </w:r>
          </w:p>
        </w:tc>
        <w:tc>
          <w:tcPr>
            <w:tcW w:w="180" w:type="dxa"/>
            <w:vAlign w:val="bottom"/>
            <w:tcBorders>
              <w:right w:val="single" w:sz="8" w:color="CCEEFF"/>
            </w:tcBorders>
            <w:shd w:val="clear" w:color="auto" w:fill="CCEEFF"/>
          </w:tcPr>
          <w:p>
            <w:pPr>
              <w:spacing w:after="0"/>
              <w:rPr>
                <w:sz w:val="13"/>
                <w:szCs w:val="13"/>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343,874</w:t>
            </w:r>
          </w:p>
        </w:tc>
        <w:tc>
          <w:tcPr>
            <w:tcW w:w="300" w:type="dxa"/>
            <w:vAlign w:val="bottom"/>
            <w:tcBorders>
              <w:right w:val="single" w:sz="8" w:color="CCEEFF"/>
            </w:tcBorders>
            <w:shd w:val="clear" w:color="auto" w:fill="CCEEFF"/>
          </w:tcPr>
          <w:p>
            <w:pPr>
              <w:spacing w:after="0"/>
              <w:rPr>
                <w:sz w:val="13"/>
                <w:szCs w:val="13"/>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128,064</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48,994</w:t>
            </w:r>
          </w:p>
        </w:tc>
        <w:tc>
          <w:tcPr>
            <w:tcW w:w="4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(75,272)</w:t>
            </w:r>
          </w:p>
        </w:tc>
        <w:tc>
          <w:tcPr>
            <w:tcW w:w="300" w:type="dxa"/>
            <w:vAlign w:val="bottom"/>
            <w:tcBorders>
              <w:right w:val="single" w:sz="8" w:color="CCEEFF"/>
            </w:tcBorders>
            <w:shd w:val="clear" w:color="auto" w:fill="CCEEFF"/>
          </w:tcPr>
          <w:p>
            <w:pPr>
              <w:spacing w:after="0"/>
              <w:rPr>
                <w:sz w:val="13"/>
                <w:szCs w:val="1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(60,930)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(453,653)</w:t>
            </w:r>
          </w:p>
        </w:tc>
        <w:tc>
          <w:tcPr>
            <w:tcW w:w="3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line="145" w:lineRule="exact"/>
              <w:rPr>
                <w:sz w:val="20"/>
                <w:szCs w:val="20"/>
                <w:color w:val="auto"/>
              </w:rPr>
            </w:pPr>
            <w:r>
              <w:rPr>
                <w:rFonts w:ascii="Arial" w:cs="Arial" w:eastAsia="Arial" w:hAnsi="Arial"/>
                <w:sz w:val="13"/>
                <w:szCs w:val="13"/>
                <w:color w:val="auto"/>
                <w:w w:val="96"/>
              </w:rPr>
              <w:t>Income tax expense (benefit) from continuing operations</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103,919</w:t>
            </w:r>
          </w:p>
        </w:tc>
        <w:tc>
          <w:tcPr>
            <w:tcW w:w="300" w:type="dxa"/>
            <w:vAlign w:val="bottom"/>
          </w:tcPr>
          <w:p>
            <w:pPr>
              <w:spacing w:after="0"/>
              <w:rPr>
                <w:sz w:val="12"/>
                <w:szCs w:val="12"/>
                <w:color w:val="auto"/>
              </w:rPr>
            </w:pP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43,370</w:t>
            </w: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23,575</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(25,831)</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(22,147)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(56,109)</w:t>
            </w:r>
          </w:p>
        </w:tc>
        <w:tc>
          <w:tcPr>
            <w:tcW w:w="3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62,693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Income (loss) from continuing operations</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239,955</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84,694</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25,419</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(49,441)</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(38,783)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(397,544)</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88,980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3"/>
                <w:szCs w:val="13"/>
                <w:color w:val="auto"/>
              </w:rPr>
              <w:t>Loss from discontinued operations, net of taxes</w:t>
            </w:r>
          </w:p>
        </w:tc>
        <w:tc>
          <w:tcPr>
            <w:tcW w:w="180" w:type="dxa"/>
            <w:vAlign w:val="bottom"/>
          </w:tcPr>
          <w:p>
            <w:pPr>
              <w:spacing w:after="0" w:line="20" w:lineRule="exact"/>
              <w:rPr>
                <w:sz w:val="1"/>
                <w:szCs w:val="1"/>
                <w:color w:val="auto"/>
              </w:rPr>
            </w:pPr>
          </w:p>
        </w:tc>
        <w:tc>
          <w:tcPr>
            <w:tcW w:w="66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(848,371)</w:t>
            </w:r>
          </w:p>
        </w:tc>
        <w:tc>
          <w:tcPr>
            <w:tcW w:w="320" w:type="dxa"/>
            <w:vAlign w:val="bottom"/>
          </w:tcPr>
          <w:p>
            <w:pPr>
              <w:spacing w:after="0" w:line="20" w:lineRule="exact"/>
              <w:rPr>
                <w:sz w:val="1"/>
                <w:szCs w:val="1"/>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(71,106)</w:t>
            </w:r>
          </w:p>
        </w:tc>
        <w:tc>
          <w:tcPr>
            <w:tcW w:w="0" w:type="dxa"/>
            <w:vAlign w:val="bottom"/>
          </w:tcPr>
          <w:p>
            <w:pPr>
              <w:spacing w:after="0" w:line="20" w:lineRule="exact"/>
              <w:rPr>
                <w:sz w:val="1"/>
                <w:szCs w:val="1"/>
                <w:color w:val="auto"/>
              </w:rPr>
            </w:pPr>
          </w:p>
        </w:tc>
      </w:tr>
      <w:tr>
        <w:trPr>
          <w:trHeight w:val="138"/>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Net income (loss)</w:t>
            </w:r>
          </w:p>
        </w:tc>
        <w:tc>
          <w:tcPr>
            <w:tcW w:w="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239,955</w:t>
            </w: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84,694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25,419</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(38,783)</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u w:val="single" w:color="auto"/>
                <w:color w:val="auto"/>
              </w:rPr>
              <w:t>$</w:t>
            </w:r>
          </w:p>
        </w:tc>
        <w:tc>
          <w:tcPr>
            <w:tcW w:w="8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w w:val="90"/>
              </w:rPr>
              <w:t>(1,245,915)</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17,874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3"/>
                <w:szCs w:val="13"/>
                <w:color w:val="auto"/>
                <w:w w:val="97"/>
              </w:rPr>
              <w:t>Earnings (loss) from continuing operations per common</w:t>
            </w: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140" w:type="dxa"/>
            <w:vAlign w:val="bottom"/>
          </w:tcPr>
          <w:p>
            <w:pPr>
              <w:ind w:left="220"/>
              <w:spacing w:after="0"/>
              <w:rPr>
                <w:sz w:val="20"/>
                <w:szCs w:val="20"/>
                <w:color w:val="auto"/>
              </w:rPr>
            </w:pPr>
            <w:r>
              <w:rPr>
                <w:rFonts w:ascii="Arial" w:cs="Arial" w:eastAsia="Arial" w:hAnsi="Arial"/>
                <w:sz w:val="13"/>
                <w:szCs w:val="13"/>
                <w:color w:val="auto"/>
              </w:rPr>
              <w:t>share (2)(3):</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Basic</w:t>
            </w:r>
          </w:p>
        </w:tc>
        <w:tc>
          <w:tcPr>
            <w:tcW w:w="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1.83</w:t>
            </w: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0.74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0.24</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(0.47)</w:t>
            </w: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(0.37)</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(181.28)</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50.64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1.70</w:t>
            </w:r>
          </w:p>
        </w:tc>
        <w:tc>
          <w:tcPr>
            <w:tcW w:w="300" w:type="dxa"/>
            <w:vAlign w:val="bottom"/>
          </w:tcPr>
          <w:p>
            <w:pPr>
              <w:spacing w:after="0"/>
              <w:rPr>
                <w:sz w:val="12"/>
                <w:szCs w:val="12"/>
                <w:color w:val="auto"/>
              </w:rPr>
            </w:pP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0.66</w:t>
            </w: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0.22</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(0.47)</w:t>
            </w:r>
          </w:p>
        </w:tc>
        <w:tc>
          <w:tcPr>
            <w:tcW w:w="300" w:type="dxa"/>
            <w:vAlign w:val="bottom"/>
          </w:tcPr>
          <w:p>
            <w:pPr>
              <w:spacing w:after="0"/>
              <w:rPr>
                <w:sz w:val="12"/>
                <w:szCs w:val="12"/>
                <w:color w:val="auto"/>
              </w:rPr>
            </w:pPr>
          </w:p>
        </w:tc>
        <w:tc>
          <w:tcPr>
            <w:tcW w:w="96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(0.37)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(181.28)</w:t>
            </w:r>
          </w:p>
        </w:tc>
        <w:tc>
          <w:tcPr>
            <w:tcW w:w="3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43.33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Earnings (loss) per common share (2)(3):</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Basic</w:t>
            </w:r>
          </w:p>
        </w:tc>
        <w:tc>
          <w:tcPr>
            <w:tcW w:w="1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rPr>
              <w:t>1.83</w:t>
            </w:r>
          </w:p>
        </w:tc>
        <w:tc>
          <w:tcPr>
            <w:tcW w:w="3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0.74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rPr>
              <w:t>0.24</w:t>
            </w:r>
          </w:p>
        </w:tc>
        <w:tc>
          <w:tcPr>
            <w:tcW w:w="44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5" w:lineRule="exact"/>
              <w:rPr>
                <w:sz w:val="20"/>
                <w:szCs w:val="20"/>
                <w:color w:val="auto"/>
              </w:rPr>
            </w:pPr>
            <w:r>
              <w:rPr>
                <w:rFonts w:ascii="Arial" w:cs="Arial" w:eastAsia="Arial" w:hAnsi="Arial"/>
                <w:sz w:val="13"/>
                <w:szCs w:val="13"/>
                <w:color w:val="auto"/>
              </w:rPr>
              <w:t>(0.37)</w:t>
            </w:r>
          </w:p>
        </w:tc>
        <w:tc>
          <w:tcPr>
            <w:tcW w:w="3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5" w:lineRule="exact"/>
              <w:rPr>
                <w:sz w:val="20"/>
                <w:szCs w:val="20"/>
                <w:color w:val="auto"/>
              </w:rPr>
            </w:pPr>
            <w:r>
              <w:rPr>
                <w:rFonts w:ascii="Arial" w:cs="Arial" w:eastAsia="Arial" w:hAnsi="Arial"/>
                <w:sz w:val="13"/>
                <w:szCs w:val="13"/>
                <w:color w:val="auto"/>
              </w:rPr>
              <w:t>(568.13)</w:t>
            </w:r>
          </w:p>
        </w:tc>
        <w:tc>
          <w:tcPr>
            <w:tcW w:w="320" w:type="dxa"/>
            <w:vAlign w:val="bottom"/>
          </w:tcPr>
          <w:p>
            <w:pPr>
              <w:ind w:left="260"/>
              <w:spacing w:after="0"/>
              <w:rPr>
                <w:sz w:val="20"/>
                <w:szCs w:val="20"/>
                <w:color w:val="auto"/>
              </w:rPr>
            </w:pPr>
            <w:r>
              <w:rPr>
                <w:rFonts w:ascii="Arial" w:cs="Arial" w:eastAsia="Arial" w:hAnsi="Arial"/>
                <w:sz w:val="5"/>
                <w:szCs w:val="5"/>
                <w:color w:val="auto"/>
                <w:w w:val="70"/>
              </w:rPr>
              <w:t>$</w:t>
            </w: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rPr>
              <w:t>10.17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Diluted</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1.70</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0.66</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0.22</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(0.37)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Arial" w:cs="Arial" w:eastAsia="Arial" w:hAnsi="Arial"/>
                <w:sz w:val="13"/>
                <w:szCs w:val="13"/>
                <w:color w:val="auto"/>
              </w:rPr>
              <w:t>(568.13)</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spacing w:after="0" w:line="145" w:lineRule="exact"/>
              <w:rPr>
                <w:sz w:val="20"/>
                <w:szCs w:val="20"/>
                <w:color w:val="auto"/>
              </w:rPr>
            </w:pPr>
            <w:r>
              <w:rPr>
                <w:rFonts w:ascii="Arial" w:cs="Arial" w:eastAsia="Arial" w:hAnsi="Arial"/>
                <w:sz w:val="13"/>
                <w:szCs w:val="13"/>
                <w:color w:val="auto"/>
              </w:rPr>
              <w:t>Weighted average common shares outstanding (2)(3):</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Basic</w:t>
            </w:r>
          </w:p>
        </w:tc>
        <w:tc>
          <w:tcPr>
            <w:tcW w:w="18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w w:val="88"/>
              </w:rPr>
              <w:t>130,145,689</w:t>
            </w:r>
          </w:p>
        </w:tc>
        <w:tc>
          <w:tcPr>
            <w:tcW w:w="300" w:type="dxa"/>
            <w:vAlign w:val="bottom"/>
            <w:tcBorders>
              <w:right w:val="single" w:sz="8" w:color="CCEEFF"/>
            </w:tcBorders>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w w:val="88"/>
              </w:rPr>
              <w:t>114,478,947</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8"/>
              </w:rPr>
              <w:t>106,477,650</w:t>
            </w:r>
          </w:p>
        </w:tc>
        <w:tc>
          <w:tcPr>
            <w:tcW w:w="4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w w:val="88"/>
              </w:rPr>
              <w:t>105,695,340</w:t>
            </w:r>
          </w:p>
        </w:tc>
        <w:tc>
          <w:tcPr>
            <w:tcW w:w="30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5" w:lineRule="exact"/>
              <w:rPr>
                <w:sz w:val="20"/>
                <w:szCs w:val="20"/>
                <w:color w:val="auto"/>
              </w:rPr>
            </w:pPr>
            <w:r>
              <w:rPr>
                <w:rFonts w:ascii="Arial" w:cs="Arial" w:eastAsia="Arial" w:hAnsi="Arial"/>
                <w:sz w:val="13"/>
                <w:szCs w:val="13"/>
                <w:color w:val="auto"/>
                <w:w w:val="88"/>
              </w:rPr>
              <w:t>105,695,340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w w:val="96"/>
              </w:rPr>
              <w:t>2,193,000</w:t>
            </w:r>
          </w:p>
        </w:tc>
        <w:tc>
          <w:tcPr>
            <w:tcW w:w="32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6"/>
              </w:rPr>
              <w:t>1,757,000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tcPr>
          <w:p>
            <w:pPr>
              <w:ind w:left="420"/>
              <w:spacing w:after="0" w:line="145" w:lineRule="exact"/>
              <w:rPr>
                <w:sz w:val="20"/>
                <w:szCs w:val="20"/>
                <w:color w:val="auto"/>
              </w:rPr>
            </w:pPr>
            <w:r>
              <w:rPr>
                <w:rFonts w:ascii="Arial" w:cs="Arial" w:eastAsia="Arial" w:hAnsi="Arial"/>
                <w:sz w:val="13"/>
                <w:szCs w:val="13"/>
                <w:color w:val="auto"/>
              </w:rPr>
              <w:t>Diluted</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w w:val="88"/>
              </w:rPr>
              <w:t>140,812,012</w:t>
            </w:r>
          </w:p>
        </w:tc>
        <w:tc>
          <w:tcPr>
            <w:tcW w:w="300" w:type="dxa"/>
            <w:vAlign w:val="bottom"/>
          </w:tcPr>
          <w:p>
            <w:pPr>
              <w:spacing w:after="0"/>
              <w:rPr>
                <w:sz w:val="12"/>
                <w:szCs w:val="12"/>
                <w:color w:val="auto"/>
              </w:rPr>
            </w:pPr>
          </w:p>
        </w:tc>
        <w:tc>
          <w:tcPr>
            <w:tcW w:w="118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w w:val="88"/>
              </w:rPr>
              <w:t>127,448,700</w:t>
            </w:r>
          </w:p>
        </w:tc>
        <w:tc>
          <w:tcPr>
            <w:tcW w:w="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Arial" w:cs="Arial" w:eastAsia="Arial" w:hAnsi="Arial"/>
                <w:sz w:val="13"/>
                <w:szCs w:val="13"/>
                <w:color w:val="auto"/>
                <w:w w:val="88"/>
              </w:rPr>
              <w:t>116,228,380</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w w:val="88"/>
              </w:rPr>
              <w:t>105,695,340</w:t>
            </w:r>
          </w:p>
        </w:tc>
        <w:tc>
          <w:tcPr>
            <w:tcW w:w="30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Arial" w:cs="Arial" w:eastAsia="Arial" w:hAnsi="Arial"/>
                <w:sz w:val="13"/>
                <w:szCs w:val="13"/>
                <w:color w:val="auto"/>
                <w:w w:val="88"/>
              </w:rPr>
              <w:t>105,695,340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5" w:lineRule="exact"/>
              <w:rPr>
                <w:sz w:val="20"/>
                <w:szCs w:val="20"/>
                <w:color w:val="auto"/>
              </w:rPr>
            </w:pPr>
            <w:r>
              <w:rPr>
                <w:rFonts w:ascii="Arial" w:cs="Arial" w:eastAsia="Arial" w:hAnsi="Arial"/>
                <w:sz w:val="13"/>
                <w:szCs w:val="13"/>
                <w:color w:val="auto"/>
                <w:w w:val="96"/>
              </w:rPr>
              <w:t>2,193,000</w:t>
            </w:r>
          </w:p>
        </w:tc>
        <w:tc>
          <w:tcPr>
            <w:tcW w:w="320" w:type="dxa"/>
            <w:vAlign w:val="bottom"/>
          </w:tcPr>
          <w:p>
            <w:pPr>
              <w:spacing w:after="0"/>
              <w:rPr>
                <w:sz w:val="12"/>
                <w:szCs w:val="12"/>
                <w:color w:val="auto"/>
              </w:rPr>
            </w:pPr>
          </w:p>
        </w:tc>
        <w:tc>
          <w:tcPr>
            <w:tcW w:w="520" w:type="dxa"/>
            <w:vAlign w:val="bottom"/>
          </w:tcPr>
          <w:p>
            <w:pPr>
              <w:jc w:val="right"/>
              <w:spacing w:after="0" w:line="145" w:lineRule="exact"/>
              <w:rPr>
                <w:sz w:val="20"/>
                <w:szCs w:val="20"/>
                <w:color w:val="auto"/>
              </w:rPr>
            </w:pPr>
            <w:r>
              <w:rPr>
                <w:rFonts w:ascii="Arial" w:cs="Arial" w:eastAsia="Arial" w:hAnsi="Arial"/>
                <w:sz w:val="13"/>
                <w:szCs w:val="13"/>
                <w:color w:val="auto"/>
                <w:w w:val="86"/>
              </w:rPr>
              <w:t>2,053,338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4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Dividends declared per share</w:t>
            </w:r>
          </w:p>
        </w:tc>
        <w:tc>
          <w:tcPr>
            <w:tcW w:w="18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80"/>
              <w:spacing w:after="0" w:line="145" w:lineRule="exact"/>
              <w:rPr>
                <w:sz w:val="20"/>
                <w:szCs w:val="20"/>
                <w:color w:val="auto"/>
              </w:rPr>
            </w:pPr>
            <w:r>
              <w:rPr>
                <w:rFonts w:ascii="Arial" w:cs="Arial" w:eastAsia="Arial" w:hAnsi="Arial"/>
                <w:sz w:val="13"/>
                <w:szCs w:val="13"/>
                <w:color w:val="auto"/>
              </w:rPr>
              <w:t>0.09</w:t>
            </w: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5.73(3)(4)</w:t>
            </w:r>
          </w:p>
        </w:tc>
        <w:tc>
          <w:tcPr>
            <w:tcW w:w="22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line="145" w:lineRule="exact"/>
              <w:rPr>
                <w:sz w:val="20"/>
                <w:szCs w:val="20"/>
                <w:color w:val="auto"/>
              </w:rPr>
            </w:pPr>
            <w:r>
              <w:rPr>
                <w:rFonts w:ascii="Arial" w:cs="Arial" w:eastAsia="Arial" w:hAnsi="Arial"/>
                <w:sz w:val="13"/>
                <w:szCs w:val="13"/>
                <w:color w:val="auto"/>
              </w:rPr>
              <w:t>—</w:t>
            </w:r>
          </w:p>
        </w:tc>
        <w:tc>
          <w:tcPr>
            <w:tcW w:w="3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51"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93"/>
              </w:rPr>
              <w:t>The Company</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Predecessor</w:t>
            </w:r>
          </w:p>
        </w:tc>
        <w:tc>
          <w:tcPr>
            <w:tcW w:w="0" w:type="dxa"/>
            <w:vAlign w:val="bottom"/>
          </w:tcPr>
          <w:p>
            <w:pPr>
              <w:spacing w:after="0"/>
              <w:rPr>
                <w:sz w:val="1"/>
                <w:szCs w:val="1"/>
                <w:color w:val="auto"/>
              </w:rPr>
            </w:pPr>
          </w:p>
        </w:tc>
      </w:tr>
      <w:tr>
        <w:trPr>
          <w:trHeight w:val="138"/>
        </w:trPr>
        <w:tc>
          <w:tcPr>
            <w:tcW w:w="38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88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4"/>
          </w:tcPr>
          <w:p>
            <w:pPr>
              <w:jc w:val="center"/>
              <w:ind w:right="600"/>
              <w:spacing w:after="0" w:line="138" w:lineRule="exact"/>
              <w:rPr>
                <w:sz w:val="20"/>
                <w:szCs w:val="20"/>
                <w:color w:val="auto"/>
              </w:rPr>
            </w:pPr>
            <w:r>
              <w:rPr>
                <w:rFonts w:ascii="Arial" w:cs="Arial" w:eastAsia="Arial" w:hAnsi="Arial"/>
                <w:sz w:val="13"/>
                <w:szCs w:val="13"/>
                <w:b w:val="1"/>
                <w:bCs w:val="1"/>
                <w:color w:val="auto"/>
                <w:w w:val="93"/>
              </w:rPr>
              <w:t>As of March 31,</w:t>
            </w:r>
          </w:p>
        </w:tc>
        <w:tc>
          <w:tcPr>
            <w:tcW w:w="580" w:type="dxa"/>
            <w:vAlign w:val="bottom"/>
            <w:tcBorders>
              <w:top w:val="single" w:sz="8" w:color="auto"/>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As of March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80" w:type="dxa"/>
            <w:vAlign w:val="bottom"/>
            <w:tcBorders>
              <w:bottom w:val="single" w:sz="8" w:color="CCEEFF"/>
            </w:tcBorders>
            <w:vMerge w:val="continue"/>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114"/>
              <w:spacing w:after="0" w:line="138" w:lineRule="exact"/>
              <w:rPr>
                <w:sz w:val="20"/>
                <w:szCs w:val="20"/>
                <w:color w:val="auto"/>
              </w:rPr>
            </w:pPr>
            <w:r>
              <w:rPr>
                <w:rFonts w:ascii="Arial" w:cs="Arial" w:eastAsia="Arial" w:hAnsi="Arial"/>
                <w:sz w:val="13"/>
                <w:szCs w:val="13"/>
                <w:b w:val="1"/>
                <w:bCs w:val="1"/>
                <w:color w:val="auto"/>
              </w:rPr>
              <w:t>2012</w:t>
            </w:r>
          </w:p>
        </w:tc>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5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5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94"/>
              <w:spacing w:after="0" w:line="138" w:lineRule="exact"/>
              <w:rPr>
                <w:sz w:val="20"/>
                <w:szCs w:val="20"/>
                <w:color w:val="auto"/>
              </w:rPr>
            </w:pPr>
            <w:r>
              <w:rPr>
                <w:rFonts w:ascii="Arial" w:cs="Arial" w:eastAsia="Arial" w:hAnsi="Arial"/>
                <w:sz w:val="13"/>
                <w:szCs w:val="13"/>
                <w:b w:val="1"/>
                <w:bCs w:val="1"/>
                <w:color w:val="auto"/>
              </w:rPr>
              <w:t>2009</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4"/>
              <w:spacing w:after="0" w:line="138" w:lineRule="exact"/>
              <w:rPr>
                <w:sz w:val="20"/>
                <w:szCs w:val="20"/>
                <w:color w:val="auto"/>
              </w:rPr>
            </w:pPr>
            <w:r>
              <w:rPr>
                <w:rFonts w:ascii="Arial" w:cs="Arial" w:eastAsia="Arial" w:hAnsi="Arial"/>
                <w:sz w:val="13"/>
                <w:szCs w:val="13"/>
                <w:b w:val="1"/>
                <w:bCs w:val="1"/>
                <w:color w:val="auto"/>
                <w:w w:val="89"/>
              </w:rPr>
              <w:t>2008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880" w:type="dxa"/>
            <w:vAlign w:val="bottom"/>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Consolidated Balance Sheets:</w:t>
            </w:r>
          </w:p>
        </w:tc>
        <w:tc>
          <w:tcPr>
            <w:tcW w:w="18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880" w:type="dxa"/>
            <w:vAlign w:val="bottom"/>
          </w:tcPr>
          <w:p>
            <w:pPr>
              <w:spacing w:after="0" w:line="145" w:lineRule="exact"/>
              <w:rPr>
                <w:sz w:val="20"/>
                <w:szCs w:val="20"/>
                <w:color w:val="auto"/>
              </w:rPr>
            </w:pPr>
            <w:r>
              <w:rPr>
                <w:rFonts w:ascii="Arial" w:cs="Arial" w:eastAsia="Arial" w:hAnsi="Arial"/>
                <w:sz w:val="13"/>
                <w:szCs w:val="13"/>
                <w:color w:val="auto"/>
              </w:rPr>
              <w:t>Cash and cash equivalents</w:t>
            </w:r>
          </w:p>
        </w:tc>
        <w:tc>
          <w:tcPr>
            <w:tcW w:w="24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  484,368</w:t>
            </w:r>
          </w:p>
        </w:tc>
        <w:tc>
          <w:tcPr>
            <w:tcW w:w="580" w:type="dxa"/>
            <w:vAlign w:val="bottom"/>
          </w:tcPr>
          <w:p>
            <w:pPr>
              <w:spacing w:after="0"/>
              <w:rPr>
                <w:sz w:val="12"/>
                <w:szCs w:val="12"/>
                <w:color w:val="auto"/>
              </w:rPr>
            </w:pPr>
          </w:p>
        </w:tc>
        <w:tc>
          <w:tcPr>
            <w:tcW w:w="116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w w:val="91"/>
              </w:rPr>
              <w:t>$  192,631</w:t>
            </w:r>
          </w:p>
        </w:tc>
        <w:tc>
          <w:tcPr>
            <w:tcW w:w="118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w w:val="94"/>
              </w:rPr>
              <w:t>$  307,835</w:t>
            </w:r>
          </w:p>
        </w:tc>
        <w:tc>
          <w:tcPr>
            <w:tcW w:w="116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w w:val="91"/>
              </w:rPr>
              <w:t>$  420,902</w:t>
            </w:r>
          </w:p>
        </w:tc>
        <w:tc>
          <w:tcPr>
            <w:tcW w:w="100" w:type="dxa"/>
            <w:vAlign w:val="bottom"/>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7,123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Working capital</w:t>
            </w:r>
          </w:p>
        </w:tc>
        <w:tc>
          <w:tcPr>
            <w:tcW w:w="24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743,217</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494,308</w:t>
            </w:r>
          </w:p>
        </w:tc>
        <w:tc>
          <w:tcPr>
            <w:tcW w:w="118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584,248</w:t>
            </w:r>
          </w:p>
        </w:tc>
        <w:tc>
          <w:tcPr>
            <w:tcW w:w="116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789,308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1,113,656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80" w:type="dxa"/>
            <w:vAlign w:val="bottom"/>
          </w:tcPr>
          <w:p>
            <w:pPr>
              <w:spacing w:after="0" w:line="145" w:lineRule="exact"/>
              <w:rPr>
                <w:sz w:val="20"/>
                <w:szCs w:val="20"/>
                <w:color w:val="auto"/>
              </w:rPr>
            </w:pPr>
            <w:r>
              <w:rPr>
                <w:rFonts w:ascii="Arial" w:cs="Arial" w:eastAsia="Arial" w:hAnsi="Arial"/>
                <w:sz w:val="13"/>
                <w:szCs w:val="13"/>
                <w:color w:val="auto"/>
              </w:rPr>
              <w:t>Total assets</w:t>
            </w:r>
          </w:p>
        </w:tc>
        <w:tc>
          <w:tcPr>
            <w:tcW w:w="248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3,314,791</w:t>
            </w:r>
          </w:p>
        </w:tc>
        <w:tc>
          <w:tcPr>
            <w:tcW w:w="580" w:type="dxa"/>
            <w:vAlign w:val="bottom"/>
          </w:tcPr>
          <w:p>
            <w:pPr>
              <w:spacing w:after="0"/>
              <w:rPr>
                <w:sz w:val="12"/>
                <w:szCs w:val="12"/>
                <w:color w:val="auto"/>
              </w:rPr>
            </w:pPr>
          </w:p>
        </w:tc>
        <w:tc>
          <w:tcPr>
            <w:tcW w:w="116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w w:val="96"/>
              </w:rPr>
              <w:t>3,024,023</w:t>
            </w:r>
          </w:p>
        </w:tc>
        <w:tc>
          <w:tcPr>
            <w:tcW w:w="118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rPr>
              <w:t>3,062,223</w:t>
            </w:r>
          </w:p>
        </w:tc>
        <w:tc>
          <w:tcPr>
            <w:tcW w:w="1160" w:type="dxa"/>
            <w:vAlign w:val="bottom"/>
            <w:gridSpan w:val="2"/>
          </w:tcPr>
          <w:p>
            <w:pPr>
              <w:jc w:val="right"/>
              <w:ind w:right="580"/>
              <w:spacing w:after="0" w:line="145" w:lineRule="exact"/>
              <w:rPr>
                <w:sz w:val="20"/>
                <w:szCs w:val="20"/>
                <w:color w:val="auto"/>
              </w:rPr>
            </w:pPr>
            <w:r>
              <w:rPr>
                <w:rFonts w:ascii="Arial" w:cs="Arial" w:eastAsia="Arial" w:hAnsi="Arial"/>
                <w:sz w:val="13"/>
                <w:szCs w:val="13"/>
                <w:color w:val="auto"/>
                <w:w w:val="96"/>
              </w:rPr>
              <w:t>3,182,249</w:t>
            </w:r>
          </w:p>
        </w:tc>
        <w:tc>
          <w:tcPr>
            <w:tcW w:w="10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Arial" w:cs="Arial" w:eastAsia="Arial" w:hAnsi="Arial"/>
                <w:sz w:val="13"/>
                <w:szCs w:val="13"/>
                <w:color w:val="auto"/>
              </w:rPr>
              <w:t>1,891,375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8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Long-term debt, net of current portion</w:t>
            </w:r>
          </w:p>
        </w:tc>
        <w:tc>
          <w:tcPr>
            <w:tcW w:w="24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922,925</w:t>
            </w:r>
          </w:p>
        </w:tc>
        <w:tc>
          <w:tcPr>
            <w:tcW w:w="5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964,328</w:t>
            </w:r>
          </w:p>
        </w:tc>
        <w:tc>
          <w:tcPr>
            <w:tcW w:w="118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rPr>
              <w:t>1,546,782</w:t>
            </w:r>
          </w:p>
        </w:tc>
        <w:tc>
          <w:tcPr>
            <w:tcW w:w="1160" w:type="dxa"/>
            <w:vAlign w:val="bottom"/>
            <w:gridSpan w:val="2"/>
            <w:shd w:val="clear" w:color="auto" w:fill="CCEEFF"/>
          </w:tcPr>
          <w:p>
            <w:pPr>
              <w:jc w:val="right"/>
              <w:ind w:right="580"/>
              <w:spacing w:after="0" w:line="145" w:lineRule="exact"/>
              <w:rPr>
                <w:sz w:val="20"/>
                <w:szCs w:val="20"/>
                <w:color w:val="auto"/>
              </w:rPr>
            </w:pPr>
            <w:r>
              <w:rPr>
                <w:rFonts w:ascii="Arial" w:cs="Arial" w:eastAsia="Arial" w:hAnsi="Arial"/>
                <w:sz w:val="13"/>
                <w:szCs w:val="13"/>
                <w:color w:val="auto"/>
                <w:w w:val="96"/>
              </w:rPr>
              <w:t>1,220,502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3880" w:type="dxa"/>
            <w:vAlign w:val="bottom"/>
          </w:tcPr>
          <w:p>
            <w:pPr>
              <w:spacing w:after="0"/>
              <w:rPr>
                <w:sz w:val="20"/>
                <w:szCs w:val="20"/>
                <w:color w:val="auto"/>
              </w:rPr>
            </w:pPr>
            <w:r>
              <w:rPr>
                <w:rFonts w:ascii="Arial" w:cs="Arial" w:eastAsia="Arial" w:hAnsi="Arial"/>
                <w:sz w:val="13"/>
                <w:szCs w:val="13"/>
                <w:color w:val="auto"/>
              </w:rPr>
              <w:t>Stockholders’ equity</w:t>
            </w:r>
          </w:p>
        </w:tc>
        <w:tc>
          <w:tcPr>
            <w:tcW w:w="2480" w:type="dxa"/>
            <w:vAlign w:val="bottom"/>
            <w:gridSpan w:val="2"/>
          </w:tcPr>
          <w:p>
            <w:pPr>
              <w:jc w:val="right"/>
              <w:spacing w:after="0"/>
              <w:rPr>
                <w:sz w:val="20"/>
                <w:szCs w:val="20"/>
                <w:color w:val="auto"/>
              </w:rPr>
            </w:pPr>
            <w:r>
              <w:rPr>
                <w:rFonts w:ascii="Arial" w:cs="Arial" w:eastAsia="Arial" w:hAnsi="Arial"/>
                <w:sz w:val="13"/>
                <w:szCs w:val="13"/>
                <w:color w:val="auto"/>
              </w:rPr>
              <w:t>1,185,185</w:t>
            </w:r>
          </w:p>
        </w:tc>
        <w:tc>
          <w:tcPr>
            <w:tcW w:w="58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3"/>
                <w:szCs w:val="13"/>
                <w:color w:val="auto"/>
              </w:rPr>
              <w:t>907,250</w:t>
            </w:r>
          </w:p>
        </w:tc>
        <w:tc>
          <w:tcPr>
            <w:tcW w:w="1180" w:type="dxa"/>
            <w:vAlign w:val="bottom"/>
            <w:gridSpan w:val="2"/>
          </w:tcPr>
          <w:p>
            <w:pPr>
              <w:jc w:val="right"/>
              <w:ind w:right="580"/>
              <w:spacing w:after="0"/>
              <w:rPr>
                <w:sz w:val="20"/>
                <w:szCs w:val="20"/>
                <w:color w:val="auto"/>
              </w:rPr>
            </w:pPr>
            <w:r>
              <w:rPr>
                <w:rFonts w:ascii="Arial" w:cs="Arial" w:eastAsia="Arial" w:hAnsi="Arial"/>
                <w:sz w:val="13"/>
                <w:szCs w:val="13"/>
                <w:color w:val="auto"/>
              </w:rPr>
              <w:t>509,583</w:t>
            </w:r>
          </w:p>
        </w:tc>
        <w:tc>
          <w:tcPr>
            <w:tcW w:w="1160" w:type="dxa"/>
            <w:vAlign w:val="bottom"/>
            <w:gridSpan w:val="2"/>
          </w:tcPr>
          <w:p>
            <w:pPr>
              <w:jc w:val="right"/>
              <w:ind w:right="580"/>
              <w:spacing w:after="0"/>
              <w:rPr>
                <w:sz w:val="20"/>
                <w:szCs w:val="20"/>
                <w:color w:val="auto"/>
              </w:rPr>
            </w:pPr>
            <w:r>
              <w:rPr>
                <w:rFonts w:ascii="Arial" w:cs="Arial" w:eastAsia="Arial" w:hAnsi="Arial"/>
                <w:sz w:val="13"/>
                <w:szCs w:val="13"/>
                <w:color w:val="auto"/>
                <w:w w:val="96"/>
              </w:rPr>
              <w:t>1,060,343</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313,065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right="80" w:hanging="335"/>
        <w:spacing w:after="0" w:line="257"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table below presents the pro forma adjustments attributable to the acquisition. The pro forma adjustments are described in the accompanying footnotes and are based upon available information and certain assumptions that we believe are reasonable.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8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5"/>
              </w:rPr>
              <w:t>Pro Forma</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center"/>
              <w:ind w:right="560"/>
              <w:spacing w:after="0" w:line="145" w:lineRule="exact"/>
              <w:rPr>
                <w:sz w:val="20"/>
                <w:szCs w:val="20"/>
                <w:color w:val="auto"/>
              </w:rPr>
            </w:pPr>
            <w:r>
              <w:rPr>
                <w:rFonts w:ascii="Arial" w:cs="Arial" w:eastAsia="Arial" w:hAnsi="Arial"/>
                <w:sz w:val="13"/>
                <w:szCs w:val="13"/>
                <w:b w:val="1"/>
                <w:bCs w:val="1"/>
                <w:color w:val="auto"/>
                <w:w w:val="90"/>
              </w:rPr>
              <w:t>Fiscal Year</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gridSpan w:val="3"/>
          </w:tcPr>
          <w:p>
            <w:pPr>
              <w:jc w:val="center"/>
              <w:ind w:right="560"/>
              <w:spacing w:after="0" w:line="145" w:lineRule="exact"/>
              <w:rPr>
                <w:sz w:val="20"/>
                <w:szCs w:val="20"/>
                <w:color w:val="auto"/>
              </w:rPr>
            </w:pPr>
            <w:r>
              <w:rPr>
                <w:rFonts w:ascii="Arial" w:cs="Arial" w:eastAsia="Arial" w:hAnsi="Arial"/>
                <w:sz w:val="13"/>
                <w:szCs w:val="13"/>
                <w:b w:val="1"/>
                <w:bCs w:val="1"/>
                <w:color w:val="auto"/>
                <w:w w:val="94"/>
              </w:rPr>
              <w:t>Eight Months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620"/>
              <w:spacing w:after="0" w:line="145" w:lineRule="exact"/>
              <w:rPr>
                <w:sz w:val="20"/>
                <w:szCs w:val="20"/>
                <w:color w:val="auto"/>
              </w:rPr>
            </w:pPr>
            <w:r>
              <w:rPr>
                <w:rFonts w:ascii="Arial" w:cs="Arial" w:eastAsia="Arial" w:hAnsi="Arial"/>
                <w:sz w:val="13"/>
                <w:szCs w:val="13"/>
                <w:b w:val="1"/>
                <w:bCs w:val="1"/>
                <w:color w:val="auto"/>
                <w:w w:val="90"/>
              </w:rPr>
              <w:t>Ended</w:t>
            </w: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40"/>
              <w:spacing w:after="0" w:line="145" w:lineRule="exact"/>
              <w:rPr>
                <w:sz w:val="20"/>
                <w:szCs w:val="20"/>
                <w:color w:val="auto"/>
              </w:rPr>
            </w:pPr>
            <w:r>
              <w:rPr>
                <w:rFonts w:ascii="Arial" w:cs="Arial" w:eastAsia="Arial" w:hAnsi="Arial"/>
                <w:sz w:val="13"/>
                <w:szCs w:val="13"/>
                <w:b w:val="1"/>
                <w:bCs w:val="1"/>
                <w:color w:val="auto"/>
                <w:w w:val="95"/>
              </w:rPr>
              <w:t>Ended</w:t>
            </w:r>
          </w:p>
        </w:tc>
        <w:tc>
          <w:tcPr>
            <w:tcW w:w="820" w:type="dxa"/>
            <w:vAlign w:val="bottom"/>
            <w:gridSpan w:val="3"/>
          </w:tcPr>
          <w:p>
            <w:pPr>
              <w:spacing w:after="0" w:line="145" w:lineRule="exact"/>
              <w:rPr>
                <w:sz w:val="20"/>
                <w:szCs w:val="20"/>
                <w:color w:val="auto"/>
              </w:rPr>
            </w:pPr>
            <w:r>
              <w:rPr>
                <w:rFonts w:ascii="Arial" w:cs="Arial" w:eastAsia="Arial" w:hAnsi="Arial"/>
                <w:sz w:val="13"/>
                <w:szCs w:val="13"/>
                <w:b w:val="1"/>
                <w:bCs w:val="1"/>
                <w:color w:val="auto"/>
              </w:rPr>
              <w:t>Four Months</w:t>
            </w:r>
          </w:p>
        </w:tc>
        <w:tc>
          <w:tcPr>
            <w:tcW w:w="0" w:type="dxa"/>
            <w:vAlign w:val="bottom"/>
          </w:tcPr>
          <w:p>
            <w:pPr>
              <w:spacing w:after="0"/>
              <w:rPr>
                <w:sz w:val="1"/>
                <w:szCs w:val="1"/>
                <w:color w:val="auto"/>
              </w:rPr>
            </w:pPr>
          </w:p>
        </w:tc>
      </w:tr>
      <w:tr>
        <w:trPr>
          <w:trHeight w:val="145"/>
        </w:trPr>
        <w:tc>
          <w:tcPr>
            <w:tcW w:w="4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3"/>
          </w:tcPr>
          <w:p>
            <w:pPr>
              <w:jc w:val="center"/>
              <w:ind w:right="560"/>
              <w:spacing w:after="0" w:line="145" w:lineRule="exact"/>
              <w:rPr>
                <w:sz w:val="20"/>
                <w:szCs w:val="20"/>
                <w:color w:val="auto"/>
              </w:rPr>
            </w:pPr>
            <w:r>
              <w:rPr>
                <w:rFonts w:ascii="Arial" w:cs="Arial" w:eastAsia="Arial" w:hAnsi="Arial"/>
                <w:sz w:val="13"/>
                <w:szCs w:val="13"/>
                <w:b w:val="1"/>
                <w:bCs w:val="1"/>
                <w:color w:val="auto"/>
                <w:w w:val="96"/>
              </w:rPr>
              <w:t>March 31,</w:t>
            </w:r>
          </w:p>
        </w:tc>
        <w:tc>
          <w:tcPr>
            <w:tcW w:w="1440" w:type="dxa"/>
            <w:vAlign w:val="bottom"/>
            <w:gridSpan w:val="2"/>
          </w:tcPr>
          <w:p>
            <w:pPr>
              <w:jc w:val="right"/>
              <w:ind w:right="760"/>
              <w:spacing w:after="0" w:line="145"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2"/>
                <w:szCs w:val="12"/>
                <w:color w:val="auto"/>
              </w:rPr>
            </w:pPr>
          </w:p>
        </w:tc>
        <w:tc>
          <w:tcPr>
            <w:tcW w:w="1260" w:type="dxa"/>
            <w:vAlign w:val="bottom"/>
            <w:gridSpan w:val="2"/>
          </w:tcPr>
          <w:p>
            <w:pPr>
              <w:jc w:val="center"/>
              <w:ind w:right="640"/>
              <w:spacing w:after="0" w:line="145" w:lineRule="exact"/>
              <w:rPr>
                <w:sz w:val="20"/>
                <w:szCs w:val="20"/>
                <w:color w:val="auto"/>
              </w:rPr>
            </w:pPr>
            <w:r>
              <w:rPr>
                <w:rFonts w:ascii="Arial" w:cs="Arial" w:eastAsia="Arial" w:hAnsi="Arial"/>
                <w:sz w:val="13"/>
                <w:szCs w:val="13"/>
                <w:b w:val="1"/>
                <w:bCs w:val="1"/>
                <w:color w:val="auto"/>
                <w:w w:val="96"/>
              </w:rPr>
              <w:t>March 31,</w:t>
            </w: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5" w:lineRule="exact"/>
              <w:rPr>
                <w:sz w:val="20"/>
                <w:szCs w:val="20"/>
                <w:color w:val="auto"/>
              </w:rPr>
            </w:pPr>
            <w:r>
              <w:rPr>
                <w:rFonts w:ascii="Arial" w:cs="Arial" w:eastAsia="Arial" w:hAnsi="Arial"/>
                <w:sz w:val="13"/>
                <w:szCs w:val="13"/>
                <w:b w:val="1"/>
                <w:bCs w:val="1"/>
                <w:color w:val="auto"/>
              </w:rPr>
              <w:t>Ended</w:t>
            </w:r>
          </w:p>
        </w:tc>
        <w:tc>
          <w:tcPr>
            <w:tcW w:w="0" w:type="dxa"/>
            <w:vAlign w:val="bottom"/>
          </w:tcPr>
          <w:p>
            <w:pPr>
              <w:spacing w:after="0"/>
              <w:rPr>
                <w:sz w:val="1"/>
                <w:szCs w:val="1"/>
                <w:color w:val="auto"/>
              </w:rPr>
            </w:pPr>
          </w:p>
        </w:tc>
      </w:tr>
      <w:tr>
        <w:trPr>
          <w:trHeight w:val="158"/>
        </w:trPr>
        <w:tc>
          <w:tcPr>
            <w:tcW w:w="45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2009</w:t>
            </w:r>
          </w:p>
        </w:tc>
        <w:tc>
          <w:tcPr>
            <w:tcW w:w="540" w:type="dxa"/>
            <w:vAlign w:val="bottom"/>
          </w:tcPr>
          <w:p>
            <w:pPr>
              <w:spacing w:after="0"/>
              <w:rPr>
                <w:sz w:val="13"/>
                <w:szCs w:val="13"/>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w w:val="88"/>
              </w:rPr>
              <w:t>Adjustments</w:t>
            </w:r>
          </w:p>
        </w:tc>
        <w:tc>
          <w:tcPr>
            <w:tcW w:w="80" w:type="dxa"/>
            <w:vAlign w:val="bottom"/>
          </w:tcPr>
          <w:p>
            <w:pPr>
              <w:spacing w:after="0"/>
              <w:rPr>
                <w:sz w:val="13"/>
                <w:szCs w:val="13"/>
                <w:color w:val="auto"/>
              </w:rPr>
            </w:pPr>
          </w:p>
        </w:tc>
        <w:tc>
          <w:tcPr>
            <w:tcW w:w="700" w:type="dxa"/>
            <w:vAlign w:val="bottom"/>
          </w:tcPr>
          <w:p>
            <w:pPr>
              <w:jc w:val="center"/>
              <w:ind w:right="14"/>
              <w:spacing w:after="0"/>
              <w:rPr>
                <w:sz w:val="20"/>
                <w:szCs w:val="20"/>
                <w:color w:val="auto"/>
              </w:rPr>
            </w:pPr>
            <w:r>
              <w:rPr>
                <w:rFonts w:ascii="Arial" w:cs="Arial" w:eastAsia="Arial" w:hAnsi="Arial"/>
                <w:sz w:val="13"/>
                <w:szCs w:val="13"/>
                <w:b w:val="1"/>
                <w:bCs w:val="1"/>
                <w:color w:val="auto"/>
                <w:w w:val="89"/>
              </w:rPr>
              <w:t>2009</w:t>
            </w:r>
          </w:p>
        </w:tc>
        <w:tc>
          <w:tcPr>
            <w:tcW w:w="56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9"/>
              </w:rPr>
              <w:t>July 31, 2008</w:t>
            </w:r>
          </w:p>
        </w:tc>
        <w:tc>
          <w:tcPr>
            <w:tcW w:w="0" w:type="dxa"/>
            <w:vAlign w:val="bottom"/>
          </w:tcPr>
          <w:p>
            <w:pPr>
              <w:spacing w:after="0"/>
              <w:rPr>
                <w:sz w:val="1"/>
                <w:szCs w:val="1"/>
                <w:color w:val="auto"/>
              </w:rPr>
            </w:pPr>
          </w:p>
        </w:tc>
      </w:tr>
      <w:tr>
        <w:trPr>
          <w:trHeight w:val="125"/>
        </w:trPr>
        <w:tc>
          <w:tcPr>
            <w:tcW w:w="458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3"/>
                <w:szCs w:val="13"/>
                <w:b w:val="1"/>
                <w:bCs w:val="1"/>
                <w:color w:val="auto"/>
              </w:rPr>
              <w:t>Consolidated Statements of Operations:</w:t>
            </w:r>
          </w:p>
        </w:tc>
        <w:tc>
          <w:tcPr>
            <w:tcW w:w="1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580" w:type="dxa"/>
            <w:vAlign w:val="bottom"/>
          </w:tcPr>
          <w:p>
            <w:pPr>
              <w:spacing w:after="0" w:line="145" w:lineRule="exact"/>
              <w:rPr>
                <w:sz w:val="20"/>
                <w:szCs w:val="20"/>
                <w:color w:val="auto"/>
              </w:rPr>
            </w:pPr>
            <w:r>
              <w:rPr>
                <w:rFonts w:ascii="Arial" w:cs="Arial" w:eastAsia="Arial" w:hAnsi="Arial"/>
                <w:sz w:val="13"/>
                <w:szCs w:val="13"/>
                <w:color w:val="auto"/>
              </w:rPr>
              <w:t>Revenue</w:t>
            </w:r>
          </w:p>
        </w:tc>
        <w:tc>
          <w:tcPr>
            <w:tcW w:w="122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540"/>
              <w:spacing w:after="0" w:line="145" w:lineRule="exact"/>
              <w:rPr>
                <w:sz w:val="20"/>
                <w:szCs w:val="20"/>
                <w:color w:val="auto"/>
              </w:rPr>
            </w:pPr>
            <w:r>
              <w:rPr>
                <w:rFonts w:ascii="Arial" w:cs="Arial" w:eastAsia="Arial" w:hAnsi="Arial"/>
                <w:sz w:val="13"/>
                <w:szCs w:val="13"/>
                <w:color w:val="auto"/>
                <w:w w:val="93"/>
              </w:rPr>
              <w:t>4,351,218</w:t>
            </w:r>
          </w:p>
        </w:tc>
        <w:tc>
          <w:tcPr>
            <w:tcW w:w="1440" w:type="dxa"/>
            <w:vAlign w:val="bottom"/>
            <w:gridSpan w:val="2"/>
          </w:tcPr>
          <w:p>
            <w:pPr>
              <w:jc w:val="right"/>
              <w:ind w:right="78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2,941,275</w:t>
            </w:r>
          </w:p>
        </w:tc>
        <w:tc>
          <w:tcPr>
            <w:tcW w:w="560" w:type="dxa"/>
            <w:vAlign w:val="bottom"/>
          </w:tcPr>
          <w:p>
            <w:pPr>
              <w:spacing w:after="0"/>
              <w:rPr>
                <w:sz w:val="12"/>
                <w:szCs w:val="12"/>
                <w:color w:val="auto"/>
              </w:rPr>
            </w:pPr>
          </w:p>
        </w:tc>
        <w:tc>
          <w:tcPr>
            <w:tcW w:w="12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1,409,943</w:t>
            </w:r>
          </w:p>
        </w:tc>
        <w:tc>
          <w:tcPr>
            <w:tcW w:w="0" w:type="dxa"/>
            <w:vAlign w:val="bottom"/>
          </w:tcPr>
          <w:p>
            <w:pPr>
              <w:spacing w:after="0"/>
              <w:rPr>
                <w:sz w:val="1"/>
                <w:szCs w:val="1"/>
                <w:color w:val="auto"/>
              </w:rPr>
            </w:pPr>
          </w:p>
        </w:tc>
      </w:tr>
      <w:tr>
        <w:trPr>
          <w:trHeight w:val="145"/>
        </w:trPr>
        <w:tc>
          <w:tcPr>
            <w:tcW w:w="45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Operating costs and expenses: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80" w:type="dxa"/>
            <w:vAlign w:val="bottom"/>
          </w:tcPr>
          <w:p>
            <w:pPr>
              <w:ind w:left="420"/>
              <w:spacing w:after="0" w:line="145" w:lineRule="exact"/>
              <w:rPr>
                <w:sz w:val="20"/>
                <w:szCs w:val="20"/>
                <w:color w:val="auto"/>
              </w:rPr>
            </w:pPr>
            <w:r>
              <w:rPr>
                <w:rFonts w:ascii="Arial" w:cs="Arial" w:eastAsia="Arial" w:hAnsi="Arial"/>
                <w:sz w:val="13"/>
                <w:szCs w:val="13"/>
                <w:color w:val="auto"/>
              </w:rPr>
              <w:t>Cost of revenue</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40"/>
              <w:spacing w:after="0" w:line="145" w:lineRule="exact"/>
              <w:rPr>
                <w:sz w:val="20"/>
                <w:szCs w:val="20"/>
                <w:color w:val="auto"/>
              </w:rPr>
            </w:pPr>
            <w:r>
              <w:rPr>
                <w:rFonts w:ascii="Arial" w:cs="Arial" w:eastAsia="Arial" w:hAnsi="Arial"/>
                <w:sz w:val="13"/>
                <w:szCs w:val="13"/>
                <w:color w:val="auto"/>
                <w:w w:val="93"/>
              </w:rPr>
              <w:t>2,296,335</w:t>
            </w:r>
          </w:p>
        </w:tc>
        <w:tc>
          <w:tcPr>
            <w:tcW w:w="1440" w:type="dxa"/>
            <w:vAlign w:val="bottom"/>
            <w:gridSpan w:val="2"/>
          </w:tcPr>
          <w:p>
            <w:pPr>
              <w:jc w:val="right"/>
              <w:ind w:right="560"/>
              <w:spacing w:after="0" w:line="145" w:lineRule="exact"/>
              <w:rPr>
                <w:sz w:val="20"/>
                <w:szCs w:val="20"/>
                <w:color w:val="auto"/>
              </w:rPr>
            </w:pPr>
            <w:r>
              <w:rPr>
                <w:rFonts w:ascii="Arial" w:cs="Arial" w:eastAsia="Arial" w:hAnsi="Arial"/>
                <w:sz w:val="13"/>
                <w:szCs w:val="13"/>
                <w:color w:val="auto"/>
              </w:rPr>
              <w:t>6,586(a)</w:t>
            </w: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1,566,763</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722,986</w:t>
            </w:r>
          </w:p>
        </w:tc>
        <w:tc>
          <w:tcPr>
            <w:tcW w:w="0" w:type="dxa"/>
            <w:vAlign w:val="bottom"/>
          </w:tcPr>
          <w:p>
            <w:pPr>
              <w:spacing w:after="0"/>
              <w:rPr>
                <w:sz w:val="1"/>
                <w:szCs w:val="1"/>
                <w:color w:val="auto"/>
              </w:rPr>
            </w:pPr>
          </w:p>
        </w:tc>
      </w:tr>
      <w:tr>
        <w:trPr>
          <w:trHeight w:val="145"/>
        </w:trPr>
        <w:tc>
          <w:tcPr>
            <w:tcW w:w="45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Billable expenses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40"/>
              <w:spacing w:after="0" w:line="145" w:lineRule="exact"/>
              <w:rPr>
                <w:sz w:val="20"/>
                <w:szCs w:val="20"/>
                <w:color w:val="auto"/>
              </w:rPr>
            </w:pPr>
            <w:r>
              <w:rPr>
                <w:rFonts w:ascii="Arial" w:cs="Arial" w:eastAsia="Arial" w:hAnsi="Arial"/>
                <w:sz w:val="13"/>
                <w:szCs w:val="13"/>
                <w:color w:val="auto"/>
                <w:w w:val="93"/>
              </w:rPr>
              <w:t>1,158,320</w:t>
            </w:r>
          </w:p>
        </w:tc>
        <w:tc>
          <w:tcPr>
            <w:tcW w:w="1440" w:type="dxa"/>
            <w:vAlign w:val="bottom"/>
            <w:gridSpan w:val="2"/>
            <w:shd w:val="clear" w:color="auto" w:fill="CCEEFF"/>
          </w:tcPr>
          <w:p>
            <w:pPr>
              <w:jc w:val="right"/>
              <w:ind w:right="78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756,933</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401,387</w:t>
            </w:r>
          </w:p>
        </w:tc>
        <w:tc>
          <w:tcPr>
            <w:tcW w:w="0" w:type="dxa"/>
            <w:vAlign w:val="bottom"/>
          </w:tcPr>
          <w:p>
            <w:pPr>
              <w:spacing w:after="0"/>
              <w:rPr>
                <w:sz w:val="1"/>
                <w:szCs w:val="1"/>
                <w:color w:val="auto"/>
              </w:rPr>
            </w:pPr>
          </w:p>
        </w:tc>
      </w:tr>
      <w:tr>
        <w:trPr>
          <w:trHeight w:val="145"/>
        </w:trPr>
        <w:tc>
          <w:tcPr>
            <w:tcW w:w="4580" w:type="dxa"/>
            <w:vAlign w:val="bottom"/>
          </w:tcPr>
          <w:p>
            <w:pPr>
              <w:ind w:left="420"/>
              <w:spacing w:after="0" w:line="145" w:lineRule="exact"/>
              <w:rPr>
                <w:sz w:val="20"/>
                <w:szCs w:val="20"/>
                <w:color w:val="auto"/>
              </w:rPr>
            </w:pPr>
            <w:r>
              <w:rPr>
                <w:rFonts w:ascii="Arial" w:cs="Arial" w:eastAsia="Arial" w:hAnsi="Arial"/>
                <w:sz w:val="13"/>
                <w:szCs w:val="13"/>
                <w:color w:val="auto"/>
              </w:rPr>
              <w:t>General and administrative expenses</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40"/>
              <w:spacing w:after="0" w:line="145" w:lineRule="exact"/>
              <w:rPr>
                <w:sz w:val="20"/>
                <w:szCs w:val="20"/>
                <w:color w:val="auto"/>
              </w:rPr>
            </w:pPr>
            <w:r>
              <w:rPr>
                <w:rFonts w:ascii="Arial" w:cs="Arial" w:eastAsia="Arial" w:hAnsi="Arial"/>
                <w:sz w:val="13"/>
                <w:szCs w:val="13"/>
                <w:color w:val="auto"/>
              </w:rPr>
              <w:t>723,827</w:t>
            </w:r>
          </w:p>
        </w:tc>
        <w:tc>
          <w:tcPr>
            <w:tcW w:w="144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(508,328)(b)</w:t>
            </w:r>
          </w:p>
        </w:tc>
        <w:tc>
          <w:tcPr>
            <w:tcW w:w="8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3"/>
                <w:szCs w:val="13"/>
                <w:color w:val="auto"/>
              </w:rPr>
              <w:t>505,226</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5" w:lineRule="exact"/>
              <w:rPr>
                <w:sz w:val="20"/>
                <w:szCs w:val="20"/>
                <w:color w:val="auto"/>
              </w:rPr>
            </w:pPr>
            <w:r>
              <w:rPr>
                <w:rFonts w:ascii="Arial" w:cs="Arial" w:eastAsia="Arial" w:hAnsi="Arial"/>
                <w:sz w:val="13"/>
                <w:szCs w:val="13"/>
                <w:color w:val="auto"/>
              </w:rPr>
              <w:t>726,929</w:t>
            </w:r>
          </w:p>
        </w:tc>
        <w:tc>
          <w:tcPr>
            <w:tcW w:w="0" w:type="dxa"/>
            <w:vAlign w:val="bottom"/>
          </w:tcPr>
          <w:p>
            <w:pPr>
              <w:spacing w:after="0"/>
              <w:rPr>
                <w:sz w:val="1"/>
                <w:szCs w:val="1"/>
                <w:color w:val="auto"/>
              </w:rPr>
            </w:pPr>
          </w:p>
        </w:tc>
      </w:tr>
      <w:tr>
        <w:trPr>
          <w:trHeight w:val="145"/>
        </w:trPr>
        <w:tc>
          <w:tcPr>
            <w:tcW w:w="45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Depreciation and amortization</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106,335</w:t>
            </w:r>
          </w:p>
        </w:tc>
        <w:tc>
          <w:tcPr>
            <w:tcW w:w="5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14,740(c)</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79,665</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11,930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840"/>
              <w:spacing w:after="0"/>
              <w:rPr>
                <w:sz w:val="20"/>
                <w:szCs w:val="20"/>
                <w:color w:val="auto"/>
              </w:rPr>
            </w:pPr>
            <w:r>
              <w:rPr>
                <w:rFonts w:ascii="Arial" w:cs="Arial" w:eastAsia="Arial" w:hAnsi="Arial"/>
                <w:sz w:val="13"/>
                <w:szCs w:val="13"/>
                <w:color w:val="auto"/>
              </w:rPr>
              <w:t>Total operating costs and expenses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4,284,817</w:t>
            </w:r>
          </w:p>
        </w:tc>
        <w:tc>
          <w:tcPr>
            <w:tcW w:w="5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2,908,587</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1,863,232</w:t>
            </w:r>
          </w:p>
        </w:tc>
        <w:tc>
          <w:tcPr>
            <w:tcW w:w="0" w:type="dxa"/>
            <w:vAlign w:val="bottom"/>
          </w:tcPr>
          <w:p>
            <w:pPr>
              <w:spacing w:after="0"/>
              <w:rPr>
                <w:sz w:val="1"/>
                <w:szCs w:val="1"/>
                <w:color w:val="auto"/>
              </w:rPr>
            </w:pPr>
          </w:p>
        </w:tc>
      </w:tr>
      <w:tr>
        <w:trPr>
          <w:trHeight w:val="26"/>
        </w:trPr>
        <w:tc>
          <w:tcPr>
            <w:tcW w:w="4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45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Operating income (loss)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66,401</w:t>
            </w:r>
          </w:p>
        </w:tc>
        <w:tc>
          <w:tcPr>
            <w:tcW w:w="5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32,688</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(453,289)</w:t>
            </w:r>
          </w:p>
        </w:tc>
        <w:tc>
          <w:tcPr>
            <w:tcW w:w="0" w:type="dxa"/>
            <w:vAlign w:val="bottom"/>
          </w:tcPr>
          <w:p>
            <w:pPr>
              <w:spacing w:after="0"/>
              <w:rPr>
                <w:sz w:val="1"/>
                <w:szCs w:val="1"/>
                <w:color w:val="auto"/>
              </w:rPr>
            </w:pPr>
          </w:p>
        </w:tc>
      </w:tr>
      <w:tr>
        <w:trPr>
          <w:trHeight w:val="145"/>
        </w:trPr>
        <w:tc>
          <w:tcPr>
            <w:tcW w:w="4580" w:type="dxa"/>
            <w:vAlign w:val="bottom"/>
          </w:tcPr>
          <w:p>
            <w:pPr>
              <w:ind w:left="420"/>
              <w:spacing w:after="0" w:line="145" w:lineRule="exact"/>
              <w:rPr>
                <w:sz w:val="20"/>
                <w:szCs w:val="20"/>
                <w:color w:val="auto"/>
              </w:rPr>
            </w:pPr>
            <w:r>
              <w:rPr>
                <w:rFonts w:ascii="Arial" w:cs="Arial" w:eastAsia="Arial" w:hAnsi="Arial"/>
                <w:sz w:val="13"/>
                <w:szCs w:val="13"/>
                <w:color w:val="auto"/>
              </w:rPr>
              <w:t>Interest expense</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5" w:lineRule="exact"/>
              <w:rPr>
                <w:sz w:val="20"/>
                <w:szCs w:val="20"/>
                <w:color w:val="auto"/>
              </w:rPr>
            </w:pPr>
            <w:r>
              <w:rPr>
                <w:rFonts w:ascii="Arial" w:cs="Arial" w:eastAsia="Arial" w:hAnsi="Arial"/>
                <w:sz w:val="13"/>
                <w:szCs w:val="13"/>
                <w:color w:val="auto"/>
              </w:rPr>
              <w:t>(146,803)</w:t>
            </w:r>
          </w:p>
        </w:tc>
        <w:tc>
          <w:tcPr>
            <w:tcW w:w="144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(47,691)(d)</w:t>
            </w:r>
          </w:p>
        </w:tc>
        <w:tc>
          <w:tcPr>
            <w:tcW w:w="80" w:type="dxa"/>
            <w:vAlign w:val="bottom"/>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3"/>
                <w:szCs w:val="13"/>
                <w:color w:val="auto"/>
              </w:rPr>
              <w:t>(98,068)</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45"/>
        </w:trPr>
        <w:tc>
          <w:tcPr>
            <w:tcW w:w="45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Other income, net</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5,130</w:t>
            </w:r>
          </w:p>
        </w:tc>
        <w:tc>
          <w:tcPr>
            <w:tcW w:w="5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80"/>
              <w:spacing w:after="0" w:line="14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4,450</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3"/>
                <w:szCs w:val="13"/>
                <w:color w:val="auto"/>
              </w:rPr>
              <w:t>Loss from continuing operations before income taxes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color w:val="auto"/>
              </w:rPr>
              <w:t>(75,272)</w:t>
            </w: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3"/>
                <w:szCs w:val="13"/>
                <w:color w:val="auto"/>
              </w:rPr>
              <w:t>(60,930)</w:t>
            </w: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(453,653)</w:t>
            </w:r>
          </w:p>
        </w:tc>
        <w:tc>
          <w:tcPr>
            <w:tcW w:w="0" w:type="dxa"/>
            <w:vAlign w:val="bottom"/>
          </w:tcPr>
          <w:p>
            <w:pPr>
              <w:spacing w:after="0"/>
              <w:rPr>
                <w:sz w:val="1"/>
                <w:szCs w:val="1"/>
                <w:color w:val="auto"/>
              </w:rPr>
            </w:pPr>
          </w:p>
        </w:tc>
      </w:tr>
      <w:tr>
        <w:trPr>
          <w:trHeight w:val="145"/>
        </w:trPr>
        <w:tc>
          <w:tcPr>
            <w:tcW w:w="458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Income tax (benefit) expense from continuing operations</w:t>
            </w: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5" w:lineRule="exact"/>
              <w:rPr>
                <w:sz w:val="20"/>
                <w:szCs w:val="20"/>
                <w:color w:val="auto"/>
              </w:rPr>
            </w:pPr>
            <w:r>
              <w:rPr>
                <w:rFonts w:ascii="Arial" w:cs="Arial" w:eastAsia="Arial" w:hAnsi="Arial"/>
                <w:sz w:val="13"/>
                <w:szCs w:val="13"/>
                <w:color w:val="auto"/>
              </w:rPr>
              <w:t>(25,831)</w:t>
            </w:r>
          </w:p>
        </w:tc>
        <w:tc>
          <w:tcPr>
            <w:tcW w:w="14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52,425(e)</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5" w:lineRule="exact"/>
              <w:rPr>
                <w:sz w:val="20"/>
                <w:szCs w:val="20"/>
                <w:color w:val="auto"/>
              </w:rPr>
            </w:pPr>
            <w:r>
              <w:rPr>
                <w:rFonts w:ascii="Arial" w:cs="Arial" w:eastAsia="Arial" w:hAnsi="Arial"/>
                <w:sz w:val="13"/>
                <w:szCs w:val="13"/>
                <w:color w:val="auto"/>
              </w:rPr>
              <w:t>(22,147)</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(56,109)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3"/>
                <w:szCs w:val="13"/>
                <w:color w:val="auto"/>
              </w:rPr>
              <w:t>Loss from continuing operations</w:t>
            </w:r>
          </w:p>
        </w:tc>
        <w:tc>
          <w:tcPr>
            <w:tcW w:w="1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vMerge w:val="restart"/>
          </w:tcPr>
          <w:p>
            <w:pPr>
              <w:jc w:val="right"/>
              <w:ind w:right="780"/>
              <w:spacing w:after="0"/>
              <w:rPr>
                <w:sz w:val="20"/>
                <w:szCs w:val="20"/>
                <w:color w:val="auto"/>
              </w:rPr>
            </w:pPr>
            <w:r>
              <w:rPr>
                <w:rFonts w:ascii="Arial" w:cs="Arial" w:eastAsia="Arial" w:hAnsi="Arial"/>
                <w:sz w:val="13"/>
                <w:szCs w:val="13"/>
                <w:color w:val="auto"/>
              </w:rPr>
              <w:t>—</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3"/>
                <w:szCs w:val="13"/>
                <w:color w:val="auto"/>
              </w:rPr>
              <w:t>(49,441)</w:t>
            </w: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3"/>
                <w:szCs w:val="13"/>
                <w:color w:val="auto"/>
              </w:rPr>
              <w:t>(38,783)</w:t>
            </w:r>
          </w:p>
        </w:tc>
        <w:tc>
          <w:tcPr>
            <w:tcW w:w="12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(397,544)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580" w:type="dxa"/>
            <w:vAlign w:val="bottom"/>
            <w:shd w:val="clear" w:color="auto" w:fill="CCEEFF"/>
          </w:tcPr>
          <w:p>
            <w:pPr>
              <w:ind w:left="420"/>
              <w:spacing w:after="0" w:line="138" w:lineRule="exact"/>
              <w:rPr>
                <w:sz w:val="20"/>
                <w:szCs w:val="20"/>
                <w:color w:val="auto"/>
              </w:rPr>
            </w:pPr>
            <w:r>
              <w:rPr>
                <w:rFonts w:ascii="Arial" w:cs="Arial" w:eastAsia="Arial" w:hAnsi="Arial"/>
                <w:sz w:val="13"/>
                <w:szCs w:val="13"/>
                <w:color w:val="auto"/>
              </w:rPr>
              <w:t>Loss from discontinued operations, net of taxes</w:t>
            </w:r>
          </w:p>
        </w:tc>
        <w:tc>
          <w:tcPr>
            <w:tcW w:w="1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(848,371)</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20"/>
              <w:spacing w:after="0"/>
              <w:rPr>
                <w:sz w:val="20"/>
                <w:szCs w:val="20"/>
                <w:color w:val="auto"/>
              </w:rPr>
            </w:pPr>
            <w:r>
              <w:rPr>
                <w:rFonts w:ascii="Arial" w:cs="Arial" w:eastAsia="Arial" w:hAnsi="Arial"/>
                <w:sz w:val="13"/>
                <w:szCs w:val="13"/>
                <w:color w:val="auto"/>
              </w:rPr>
              <w:t>Net loss</w:t>
            </w: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520"/>
              <w:spacing w:after="0"/>
              <w:rPr>
                <w:sz w:val="20"/>
                <w:szCs w:val="20"/>
                <w:color w:val="auto"/>
              </w:rPr>
            </w:pPr>
            <w:r>
              <w:rPr>
                <w:rFonts w:ascii="Arial" w:cs="Arial" w:eastAsia="Arial" w:hAnsi="Arial"/>
                <w:sz w:val="13"/>
                <w:szCs w:val="13"/>
                <w:color w:val="auto"/>
              </w:rPr>
              <w:t>(38,783)</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w w:val="96"/>
              </w:rPr>
              <w:t>(1,245,915)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75565</wp:posOffset>
            </wp:positionV>
            <wp:extent cx="727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29" w:lineRule="exact"/>
        <w:rPr>
          <w:sz w:val="20"/>
          <w:szCs w:val="20"/>
          <w:color w:val="auto"/>
        </w:rPr>
      </w:pPr>
    </w:p>
    <w:p>
      <w:pPr>
        <w:ind w:left="800" w:right="140" w:hanging="452"/>
        <w:spacing w:after="0"/>
        <w:tabs>
          <w:tab w:leader="none" w:pos="8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Reflects additional stock-based compensation expense associated with options issued in exchange for stock rights under the stock rights plan that existed prior to the closing of the acquisition for $6.6 million (see Note 17 to our consolidated financial statements for additional information on our stock-based compensation).</w:t>
      </w:r>
    </w:p>
    <w:p>
      <w:pPr>
        <w:ind w:left="800" w:hanging="452"/>
        <w:spacing w:after="0"/>
        <w:tabs>
          <w:tab w:leader="none" w:pos="8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64" w:lineRule="exact"/>
        <w:rPr>
          <w:rFonts w:ascii="Arial" w:cs="Arial" w:eastAsia="Arial" w:hAnsi="Arial"/>
          <w:sz w:val="13"/>
          <w:szCs w:val="13"/>
          <w:color w:val="auto"/>
        </w:rPr>
      </w:pPr>
    </w:p>
    <w:p>
      <w:pPr>
        <w:ind w:left="900" w:right="640" w:hanging="447"/>
        <w:spacing w:after="0" w:line="257" w:lineRule="auto"/>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Increase to rent expense of $1.8 million due to the elimination of the July 31, 2008 deferred rent liability in accordance with the accounting treatment of leases associated with the business combination;</w:t>
      </w:r>
    </w:p>
    <w:p>
      <w:pPr>
        <w:spacing w:after="0" w:line="48" w:lineRule="exact"/>
        <w:rPr>
          <w:rFonts w:ascii="Arial" w:cs="Arial" w:eastAsia="Arial" w:hAnsi="Arial"/>
          <w:sz w:val="13"/>
          <w:szCs w:val="13"/>
          <w:color w:val="auto"/>
        </w:rPr>
      </w:pPr>
    </w:p>
    <w:p>
      <w:pPr>
        <w:ind w:left="900" w:hanging="447"/>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Increase to management fees paid to Carlyle of $333,000 (see Note 18 to our consolidated financial statements for additional information regarding the management fees);</w:t>
      </w:r>
    </w:p>
    <w:p>
      <w:pPr>
        <w:spacing w:after="0" w:line="74" w:lineRule="exact"/>
        <w:rPr>
          <w:rFonts w:ascii="Arial" w:cs="Arial" w:eastAsia="Arial" w:hAnsi="Arial"/>
          <w:sz w:val="13"/>
          <w:szCs w:val="13"/>
          <w:color w:val="auto"/>
        </w:rPr>
      </w:pPr>
    </w:p>
    <w:p>
      <w:pPr>
        <w:ind w:left="900" w:right="20" w:hanging="447"/>
        <w:spacing w:after="0" w:line="257" w:lineRule="auto"/>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Additional stock-based compensation expense of $13.4 million associated with options issued in exchange for stock rights under the stock rights plan that existed prior to the closing of the acquisition (see Note 17 to our consolidated financial statements for additional information on our stock-based compensation);</w:t>
      </w:r>
    </w:p>
    <w:p>
      <w:pPr>
        <w:spacing w:after="0" w:line="48" w:lineRule="exact"/>
        <w:rPr>
          <w:rFonts w:ascii="Arial" w:cs="Arial" w:eastAsia="Arial" w:hAnsi="Arial"/>
          <w:sz w:val="13"/>
          <w:szCs w:val="13"/>
          <w:color w:val="auto"/>
        </w:rPr>
      </w:pPr>
    </w:p>
    <w:p>
      <w:pPr>
        <w:ind w:left="900" w:hanging="447"/>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Reversal of $511.7 million for a one-time acceleration of stock rights and the fair value mark-up of redeemable common shares immediately prior to the acquisition; and</w:t>
      </w:r>
    </w:p>
    <w:p>
      <w:pPr>
        <w:spacing w:after="0" w:line="74" w:lineRule="exact"/>
        <w:rPr>
          <w:rFonts w:ascii="Arial" w:cs="Arial" w:eastAsia="Arial" w:hAnsi="Arial"/>
          <w:sz w:val="13"/>
          <w:szCs w:val="13"/>
          <w:color w:val="auto"/>
        </w:rPr>
      </w:pPr>
    </w:p>
    <w:p>
      <w:pPr>
        <w:ind w:left="900" w:hanging="447"/>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Reversal of certain related transaction costs of $12.2 million.</w:t>
      </w:r>
    </w:p>
    <w:p>
      <w:pPr>
        <w:spacing w:after="0" w:line="74" w:lineRule="exact"/>
        <w:rPr>
          <w:rFonts w:ascii="Arial" w:cs="Arial" w:eastAsia="Arial" w:hAnsi="Arial"/>
          <w:sz w:val="13"/>
          <w:szCs w:val="13"/>
          <w:color w:val="auto"/>
        </w:rPr>
      </w:pPr>
    </w:p>
    <w:p>
      <w:pPr>
        <w:ind w:left="800" w:hanging="452"/>
        <w:spacing w:after="0"/>
        <w:tabs>
          <w:tab w:leader="none" w:pos="8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Reflects $14.7 million of intangible assets amortization and depreciation of the fair value write-up on fixed assets recorded with the acquisition.</w:t>
      </w:r>
    </w:p>
    <w:p>
      <w:pPr>
        <w:spacing w:after="0" w:line="5" w:lineRule="exact"/>
        <w:rPr>
          <w:rFonts w:ascii="Arial" w:cs="Arial" w:eastAsia="Arial" w:hAnsi="Arial"/>
          <w:sz w:val="13"/>
          <w:szCs w:val="13"/>
          <w:color w:val="auto"/>
        </w:rPr>
      </w:pPr>
    </w:p>
    <w:p>
      <w:pPr>
        <w:ind w:left="800" w:hanging="452"/>
        <w:spacing w:after="0"/>
        <w:tabs>
          <w:tab w:leader="none" w:pos="8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Consists of the following adjustments:</w:t>
      </w:r>
    </w:p>
    <w:p>
      <w:pPr>
        <w:spacing w:after="0" w:line="64" w:lineRule="exact"/>
        <w:rPr>
          <w:rFonts w:ascii="Arial" w:cs="Arial" w:eastAsia="Arial" w:hAnsi="Arial"/>
          <w:sz w:val="13"/>
          <w:szCs w:val="13"/>
          <w:color w:val="auto"/>
        </w:rPr>
      </w:pPr>
    </w:p>
    <w:p>
      <w:pPr>
        <w:ind w:left="900" w:hanging="447"/>
        <w:spacing w:after="0"/>
        <w:tabs>
          <w:tab w:leader="none" w:pos="9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Reversal of interest expense of $1.0 million recorded during the four months ended July 31, 2008 related to the Predecessor’s previous debt outstanding prior to the acquisition;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1"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hanging="447"/>
        <w:spacing w:after="0"/>
        <w:tabs>
          <w:tab w:leader="none" w:pos="900" w:val="left"/>
        </w:tabs>
        <w:numPr>
          <w:ilvl w:val="2"/>
          <w:numId w:val="43"/>
        </w:numPr>
        <w:rPr>
          <w:rFonts w:ascii="Arial" w:cs="Arial" w:eastAsia="Arial" w:hAnsi="Arial"/>
          <w:sz w:val="12"/>
          <w:szCs w:val="12"/>
          <w:color w:val="auto"/>
        </w:rPr>
      </w:pPr>
      <w:r>
        <w:rPr>
          <w:rFonts w:ascii="Arial" w:cs="Arial" w:eastAsia="Arial" w:hAnsi="Arial"/>
          <w:sz w:val="12"/>
          <w:szCs w:val="12"/>
          <w:color w:val="auto"/>
        </w:rPr>
        <w:t>Incurrence of additional interest expense of $48.7 million associated with our new senior secured loan facilities and mezzanine credit facility established in conjunction with the acquisition.</w:t>
      </w:r>
    </w:p>
    <w:p>
      <w:pPr>
        <w:spacing w:after="0" w:line="85" w:lineRule="exact"/>
        <w:rPr>
          <w:rFonts w:ascii="Arial" w:cs="Arial" w:eastAsia="Arial" w:hAnsi="Arial"/>
          <w:sz w:val="12"/>
          <w:szCs w:val="12"/>
          <w:color w:val="auto"/>
        </w:rPr>
      </w:pPr>
    </w:p>
    <w:p>
      <w:pPr>
        <w:ind w:left="800" w:hanging="452"/>
        <w:spacing w:after="0"/>
        <w:tabs>
          <w:tab w:leader="none" w:pos="8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Reflects tax effect of the cumulative pro forma adjustments.</w:t>
      </w:r>
    </w:p>
    <w:p>
      <w:pPr>
        <w:spacing w:after="0" w:line="74" w:lineRule="exact"/>
        <w:rPr>
          <w:rFonts w:ascii="Arial" w:cs="Arial" w:eastAsia="Arial" w:hAnsi="Arial"/>
          <w:sz w:val="13"/>
          <w:szCs w:val="13"/>
          <w:color w:val="auto"/>
        </w:rPr>
      </w:pPr>
    </w:p>
    <w:p>
      <w:pPr>
        <w:ind w:left="340" w:right="200" w:hanging="335"/>
        <w:spacing w:after="0" w:line="293" w:lineRule="auto"/>
        <w:tabs>
          <w:tab w:leader="none" w:pos="3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Basic earnings per share for the Company has been computed using the weighted average number of shares of Class A Common Stock, Class B Non-Voting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31" w:lineRule="exact"/>
        <w:rPr>
          <w:rFonts w:ascii="Arial" w:cs="Arial" w:eastAsia="Arial" w:hAnsi="Arial"/>
          <w:sz w:val="11"/>
          <w:szCs w:val="11"/>
          <w:color w:val="auto"/>
        </w:rPr>
      </w:pPr>
    </w:p>
    <w:p>
      <w:pPr>
        <w:ind w:left="340" w:right="80"/>
        <w:spacing w:after="0" w:line="257" w:lineRule="auto"/>
        <w:rPr>
          <w:rFonts w:ascii="Arial" w:cs="Arial" w:eastAsia="Arial" w:hAnsi="Arial"/>
          <w:sz w:val="11"/>
          <w:szCs w:val="11"/>
          <w:color w:val="auto"/>
        </w:rPr>
      </w:pPr>
      <w:r>
        <w:rPr>
          <w:rFonts w:ascii="Arial" w:cs="Arial" w:eastAsia="Arial" w:hAnsi="Arial"/>
          <w:sz w:val="13"/>
          <w:szCs w:val="13"/>
          <w:color w:val="auto"/>
        </w:rPr>
        <w:t>Basic earnings per share for the Predecessor have been computed using the weighted average number of shares of Class A Common Stock outstanding during the period. The Predecessor’s diluted earnings per share have been computed using the weighted average number of shares of Class A Common Stock including the dilutive effect of outstanding stock-based awards.</w:t>
      </w:r>
    </w:p>
    <w:p>
      <w:pPr>
        <w:spacing w:after="0" w:line="48" w:lineRule="exact"/>
        <w:rPr>
          <w:rFonts w:ascii="Arial" w:cs="Arial" w:eastAsia="Arial" w:hAnsi="Arial"/>
          <w:sz w:val="11"/>
          <w:szCs w:val="11"/>
          <w:color w:val="auto"/>
        </w:rPr>
      </w:pPr>
    </w:p>
    <w:p>
      <w:pPr>
        <w:ind w:left="340" w:hanging="335"/>
        <w:spacing w:after="0"/>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Amounts for the Company have been adjusted to reflect a 10-for-1 split of our common stock in connection with the initial public offering.</w:t>
      </w:r>
    </w:p>
    <w:p>
      <w:pPr>
        <w:spacing w:after="0" w:line="5" w:lineRule="exact"/>
        <w:rPr>
          <w:rFonts w:ascii="Arial" w:cs="Arial" w:eastAsia="Arial" w:hAnsi="Arial"/>
          <w:sz w:val="13"/>
          <w:szCs w:val="13"/>
          <w:color w:val="auto"/>
        </w:rPr>
      </w:pPr>
    </w:p>
    <w:p>
      <w:pPr>
        <w:ind w:left="340" w:right="200" w:hanging="335"/>
        <w:spacing w:after="0" w:line="241" w:lineRule="auto"/>
        <w:tabs>
          <w:tab w:leader="none" w:pos="34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Reflects the payment of special dividends in the aggregate amount of $497.5 million and $114.9 million to holders of record of our Class A Common Stock, Class B Non-Voting Common Stock, and Class C Restricted Common Stock as of December 8, 2009 and July 29, 2009, respectively.</w:t>
      </w:r>
    </w:p>
    <w:p>
      <w:pPr>
        <w:spacing w:after="0" w:line="25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100" w:lineRule="exact"/>
        <w:rPr>
          <w:sz w:val="20"/>
          <w:szCs w:val="20"/>
          <w:color w:val="auto"/>
        </w:rPr>
      </w:pPr>
    </w:p>
    <w:p>
      <w:pPr>
        <w:ind w:right="200" w:firstLine="457"/>
        <w:spacing w:after="0" w:line="271"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8" w:lineRule="exact"/>
        <w:rPr>
          <w:sz w:val="20"/>
          <w:szCs w:val="20"/>
          <w:color w:val="auto"/>
        </w:rPr>
      </w:pPr>
    </w:p>
    <w:p>
      <w:pPr>
        <w:ind w:right="340" w:firstLine="457"/>
        <w:spacing w:after="0" w:line="288"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Our fiscal year ends March 31 and, unless otherwise noted, references to years or fiscal are for fiscal years ended March 31. See “—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0" w:lineRule="exact"/>
        <w:rPr>
          <w:sz w:val="20"/>
          <w:szCs w:val="20"/>
          <w:color w:val="auto"/>
        </w:rPr>
      </w:pPr>
    </w:p>
    <w:p>
      <w:pPr>
        <w:ind w:right="140" w:firstLine="457"/>
        <w:spacing w:after="0" w:line="294" w:lineRule="auto"/>
        <w:rPr>
          <w:sz w:val="20"/>
          <w:szCs w:val="20"/>
          <w:color w:val="auto"/>
        </w:rPr>
      </w:pPr>
      <w:r>
        <w:rPr>
          <w:rFonts w:ascii="Arial" w:cs="Arial" w:eastAsia="Arial" w:hAnsi="Arial"/>
          <w:sz w:val="15"/>
          <w:szCs w:val="15"/>
          <w:color w:val="auto"/>
        </w:rPr>
        <w:t>We are a leading provider of management and technology consulting services to the U.S. government in the defense, intelligence, and civil markets. Additionally, we provide management and technology consulting services to major corporations, institutions, and not for profit organizations. As the needs of our clients have grown more complex, we have developed deep expertise in technology, engineering, and analytics. Leveraging our 98-year consulting heritage and a talent base of approximately 25,000 people, we deploy our deep domain knowledge, functional expertise, and experience to help our clients achieve their objectives. We serve substantially all of the cabinet-level departments of the U.S. government. Our major clients include the Department of Defense, all branches of the</w:t>
      </w:r>
    </w:p>
    <w:p>
      <w:pPr>
        <w:spacing w:after="0" w:line="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w:t>
      </w:r>
    </w:p>
    <w:p>
      <w:pPr>
        <w:spacing w:after="0" w:line="135"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We have a collaborative culture, supported by our operating model, which helps our professionals identify and respond to emerging trends across the markets we serve and deliver enduring results for our clients.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51"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and Other Highlights</w:t>
      </w:r>
    </w:p>
    <w:p>
      <w:pPr>
        <w:spacing w:after="0" w:line="100" w:lineRule="exact"/>
        <w:rPr>
          <w:sz w:val="20"/>
          <w:szCs w:val="20"/>
          <w:color w:val="auto"/>
        </w:rPr>
      </w:pPr>
    </w:p>
    <w:p>
      <w:pPr>
        <w:ind w:right="180" w:firstLine="457"/>
        <w:spacing w:after="0" w:line="303" w:lineRule="auto"/>
        <w:rPr>
          <w:sz w:val="20"/>
          <w:szCs w:val="20"/>
          <w:color w:val="auto"/>
        </w:rPr>
      </w:pPr>
      <w:r>
        <w:rPr>
          <w:rFonts w:ascii="Arial" w:cs="Arial" w:eastAsia="Arial" w:hAnsi="Arial"/>
          <w:sz w:val="15"/>
          <w:szCs w:val="15"/>
          <w:color w:val="auto"/>
        </w:rPr>
        <w:t>Revenue grew 4.8% from fiscal 2011 to fiscal 2012 while revenue generated by our direct consulting staff labor grew 4.8% over the same period. Direct consulting staff labor represents our consulting staff’s labor under contracts for which we act as the prime contractor or subcontractor. Total backlog decreased by 1.1% to $10.8 billion from fiscal 2011 to fiscal 2012. Substantially all of our revenue and backlog is derived from services and solutions provided to client organizations across the U.S. government, primarily by our consulting staff and, to a lesser extent, our subcontractors. The mix of revenue generated by consulting staff and subcontractors affects our operating margin, substantially all of which is derived from direct consulting staff labor, as the portion of our operating margin derived from fees we earn on services provided by our subcontractors is not significant. The fiscal 2012 revenue growth occurred across all served markets with the highest growth in areas relating to finance and health consulting services for civil government agencies and classified services to the U.S. Intelligence community.</w:t>
      </w:r>
    </w:p>
    <w:p>
      <w:pPr>
        <w:spacing w:after="0" w:line="109" w:lineRule="exact"/>
        <w:rPr>
          <w:sz w:val="20"/>
          <w:szCs w:val="20"/>
          <w:color w:val="auto"/>
        </w:rPr>
      </w:pPr>
    </w:p>
    <w:p>
      <w:pPr>
        <w:ind w:right="80" w:firstLine="457"/>
        <w:spacing w:after="0" w:line="305" w:lineRule="auto"/>
        <w:rPr>
          <w:sz w:val="20"/>
          <w:szCs w:val="20"/>
          <w:color w:val="auto"/>
        </w:rPr>
      </w:pPr>
      <w:r>
        <w:rPr>
          <w:rFonts w:ascii="Arial" w:cs="Arial" w:eastAsia="Arial" w:hAnsi="Arial"/>
          <w:sz w:val="15"/>
          <w:szCs w:val="15"/>
          <w:color w:val="auto"/>
        </w:rPr>
        <w:t>Operating income grew 21.3% to $387.4 million in fiscal 2012 from $319.4 million in fiscal 2011, which reflects a 90 basis point increase in operating margin to 6.6% from 5.7% in the comparable periods. The improvement in operating margin was driven by the continued growth in revenue and increased profitability resulting from decreases in incentive and stock-based compensation costs and lower amortization of our intangible assets. The factors contributing to the increased operating margin were partially offset by increases in business development costs including marketing and bid and proposal activity as well as additional administrative costs associated with delays in deploying certain direct consulting staff labor against funded backlog. In addition, in fiscal 2012 the Company recognized approximately $11.2 million (net of revenue) of charges associated with a restructuring plan to reduce certain personnel and infrastructure costs.</w:t>
      </w:r>
    </w:p>
    <w:p>
      <w:pPr>
        <w:spacing w:after="0" w:line="107" w:lineRule="exact"/>
        <w:rPr>
          <w:sz w:val="20"/>
          <w:szCs w:val="20"/>
          <w:color w:val="auto"/>
        </w:rPr>
      </w:pPr>
    </w:p>
    <w:p>
      <w:pPr>
        <w:jc w:val="both"/>
        <w:ind w:right="20" w:firstLine="457"/>
        <w:spacing w:after="0" w:line="305" w:lineRule="auto"/>
        <w:rPr>
          <w:sz w:val="20"/>
          <w:szCs w:val="20"/>
          <w:color w:val="auto"/>
        </w:rPr>
      </w:pPr>
      <w:r>
        <w:rPr>
          <w:rFonts w:ascii="Arial" w:cs="Arial" w:eastAsia="Arial" w:hAnsi="Arial"/>
          <w:sz w:val="15"/>
          <w:szCs w:val="15"/>
          <w:color w:val="auto"/>
        </w:rPr>
        <w:t>Cash provided by operations increased $63.7 million to $360.0 million from $296.4 million. The increase in cash provided by operations was a result of overall profitability of our contracts, our ability to invoice and collect from clients in a timely manner, and our effective management of vendor payments. Our tax payments increased by approximately $81.6 million during fiscal 2012 principally due to the utilization of our entire Federal and the majority of our State net operating loss, or NOL, carryforward. In the current year, approximately 3.8 million of stock options were exercised resulting in a cash tax benefit of approximately $16.5 million. The Company reviewed its Federal and State tax elections as part of its overall cash tax planning strategy and determined to make a significant prepayment of fiscal 2013 income taxes in the amount of $46.8 million. The Company anticipates utilizing this prepayment as an offset to its fiscal 2013 cash taxes to be paid.</w:t>
      </w:r>
    </w:p>
    <w:p>
      <w:pPr>
        <w:spacing w:after="0" w:line="107" w:lineRule="exact"/>
        <w:rPr>
          <w:sz w:val="20"/>
          <w:szCs w:val="20"/>
          <w:color w:val="auto"/>
        </w:rPr>
      </w:pPr>
    </w:p>
    <w:p>
      <w:pPr>
        <w:jc w:val="both"/>
        <w:ind w:firstLine="457"/>
        <w:spacing w:after="0" w:line="284" w:lineRule="auto"/>
        <w:rPr>
          <w:sz w:val="20"/>
          <w:szCs w:val="20"/>
          <w:color w:val="auto"/>
        </w:rPr>
      </w:pPr>
      <w:r>
        <w:rPr>
          <w:rFonts w:ascii="Arial" w:cs="Arial" w:eastAsia="Arial" w:hAnsi="Arial"/>
          <w:sz w:val="17"/>
          <w:szCs w:val="17"/>
          <w:color w:val="auto"/>
        </w:rPr>
        <w:t>As a result of the refinancing of our credit facilities in February 2011, which resulted in a reduction of our outstanding debt at lower interest rates, we realized a reduction in interest expense from fiscal 2011 to fiscal 2012 of $83.8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00" w:lineRule="exact"/>
        <w:rPr>
          <w:sz w:val="20"/>
          <w:szCs w:val="20"/>
          <w:color w:val="auto"/>
        </w:rPr>
      </w:pPr>
    </w:p>
    <w:p>
      <w:pPr>
        <w:ind w:right="100" w:firstLine="457"/>
        <w:spacing w:after="0" w:line="300" w:lineRule="auto"/>
        <w:rPr>
          <w:sz w:val="20"/>
          <w:szCs w:val="20"/>
          <w:color w:val="auto"/>
        </w:rPr>
      </w:pPr>
      <w:r>
        <w:rPr>
          <w:rFonts w:ascii="Arial" w:cs="Arial" w:eastAsia="Arial" w:hAnsi="Arial"/>
          <w:sz w:val="15"/>
          <w:szCs w:val="15"/>
          <w:color w:val="auto"/>
        </w:rPr>
        <w:t>We publically disclose certain non-GAAP financial measurements, including Adjusted Operating Income, Adjusted EBITDA, Adjusted Net Income, and Adjusted Diluted Earnings Per Share, or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51" w:right="2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cash flows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generated from operating activities as a measure of liquidity, each as defined under GAAP. We have defined the aforementioned non-GAAP measures as follows:</w:t>
      </w:r>
    </w:p>
    <w:p>
      <w:pPr>
        <w:spacing w:after="0" w:line="57" w:lineRule="exact"/>
        <w:rPr>
          <w:sz w:val="20"/>
          <w:szCs w:val="20"/>
          <w:color w:val="auto"/>
        </w:rPr>
      </w:pPr>
    </w:p>
    <w:p>
      <w:pPr>
        <w:ind w:left="900" w:hanging="447"/>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w:t>
      </w:r>
    </w:p>
    <w:p>
      <w:pPr>
        <w:spacing w:after="0" w:line="32" w:lineRule="exact"/>
        <w:rPr>
          <w:rFonts w:ascii="Arial" w:cs="Arial" w:eastAsia="Arial" w:hAnsi="Arial"/>
          <w:sz w:val="16"/>
          <w:szCs w:val="16"/>
          <w:color w:val="auto"/>
        </w:rPr>
      </w:pPr>
    </w:p>
    <w:p>
      <w:pPr>
        <w:jc w:val="both"/>
        <w:ind w:left="900" w:right="560" w:firstLine="1"/>
        <w:spacing w:after="0" w:line="268" w:lineRule="auto"/>
        <w:tabs>
          <w:tab w:leader="none" w:pos="1152" w:val="left"/>
        </w:tabs>
        <w:numPr>
          <w:ilvl w:val="1"/>
          <w:numId w:val="45"/>
        </w:numPr>
        <w:rPr>
          <w:rFonts w:ascii="Arial" w:cs="Arial" w:eastAsia="Arial" w:hAnsi="Arial"/>
          <w:sz w:val="17"/>
          <w:szCs w:val="17"/>
          <w:color w:val="auto"/>
        </w:rPr>
      </w:pPr>
      <w:r>
        <w:rPr>
          <w:rFonts w:ascii="Arial" w:cs="Arial" w:eastAsia="Arial" w:hAnsi="Arial"/>
          <w:sz w:val="17"/>
          <w:szCs w:val="17"/>
          <w:color w:val="auto"/>
        </w:rPr>
        <w:t>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7"/>
          <w:szCs w:val="17"/>
          <w:color w:val="auto"/>
        </w:rPr>
      </w:pPr>
    </w:p>
    <w:p>
      <w:pPr>
        <w:ind w:left="900" w:right="20" w:hanging="447"/>
        <w:spacing w:after="0" w:line="265"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53" w:lineRule="exact"/>
        <w:rPr>
          <w:rFonts w:ascii="Arial" w:cs="Arial" w:eastAsia="Arial" w:hAnsi="Arial"/>
          <w:sz w:val="17"/>
          <w:szCs w:val="17"/>
          <w:color w:val="auto"/>
        </w:rPr>
      </w:pPr>
    </w:p>
    <w:p>
      <w:pPr>
        <w:ind w:left="900" w:hanging="447"/>
        <w:spacing w:after="0" w:line="27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w:t>
      </w:r>
    </w:p>
    <w:p>
      <w:pPr>
        <w:spacing w:after="0" w:line="1" w:lineRule="exact"/>
        <w:rPr>
          <w:rFonts w:ascii="Arial" w:cs="Arial" w:eastAsia="Arial" w:hAnsi="Arial"/>
          <w:sz w:val="16"/>
          <w:szCs w:val="16"/>
          <w:color w:val="auto"/>
        </w:rPr>
      </w:pPr>
    </w:p>
    <w:p>
      <w:pPr>
        <w:ind w:left="900" w:firstLine="1"/>
        <w:spacing w:after="0" w:line="264" w:lineRule="auto"/>
        <w:tabs>
          <w:tab w:leader="none" w:pos="119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55" w:lineRule="exact"/>
        <w:rPr>
          <w:rFonts w:ascii="Arial" w:cs="Arial" w:eastAsia="Arial" w:hAnsi="Arial"/>
          <w:sz w:val="17"/>
          <w:szCs w:val="17"/>
          <w:color w:val="auto"/>
        </w:rPr>
      </w:pPr>
    </w:p>
    <w:p>
      <w:pPr>
        <w:ind w:left="900" w:hanging="447"/>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“Adjusted Diluted EPS” represents diluted EPS calculated using Adjusted Net Income as opposed to net income.</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51"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vMerge w:val="restart"/>
          </w:tcPr>
          <w:p>
            <w:pPr>
              <w:spacing w:after="0"/>
              <w:rPr>
                <w:sz w:val="20"/>
                <w:szCs w:val="20"/>
                <w:color w:val="auto"/>
              </w:rPr>
            </w:pPr>
            <w:r>
              <w:rPr>
                <w:rFonts w:ascii="Arial" w:cs="Arial" w:eastAsia="Arial" w:hAnsi="Arial"/>
                <w:sz w:val="13"/>
                <w:szCs w:val="13"/>
                <w:b w:val="1"/>
                <w:bCs w:val="1"/>
                <w:color w:val="auto"/>
              </w:rPr>
              <w:t>(Amounts in thousands, except share and per share data)</w:t>
            </w:r>
          </w:p>
        </w:tc>
        <w:tc>
          <w:tcPr>
            <w:tcW w:w="5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93"/>
              </w:rPr>
              <w:t>Fiscal Year Ended March 31,</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3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center"/>
              <w:ind w:right="880"/>
              <w:spacing w:after="0" w:line="138" w:lineRule="exact"/>
              <w:rPr>
                <w:sz w:val="20"/>
                <w:szCs w:val="20"/>
                <w:color w:val="auto"/>
              </w:rPr>
            </w:pPr>
            <w:r>
              <w:rPr>
                <w:rFonts w:ascii="Arial" w:cs="Arial" w:eastAsia="Arial" w:hAnsi="Arial"/>
                <w:sz w:val="13"/>
                <w:szCs w:val="13"/>
                <w:b w:val="1"/>
                <w:bCs w:val="1"/>
                <w:color w:val="auto"/>
                <w:w w:val="94"/>
              </w:rPr>
              <w:t>(Unaudited)</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Adjusted Operating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Operating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387,432</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319,444</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199,554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Certain stock-based compensation expense (a)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14,241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Purchase accounting adjustments (b)</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Amortization of intangible assets (c)</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16,364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Net restructuring charge (i)</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11,182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Transaction expenses (d)</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4,448</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840"/>
              <w:spacing w:after="0"/>
              <w:rPr>
                <w:sz w:val="20"/>
                <w:szCs w:val="20"/>
                <w:color w:val="auto"/>
              </w:rPr>
            </w:pPr>
            <w:r>
              <w:rPr>
                <w:rFonts w:ascii="Arial" w:cs="Arial" w:eastAsia="Arial" w:hAnsi="Arial"/>
                <w:sz w:val="17"/>
                <w:szCs w:val="17"/>
                <w:color w:val="auto"/>
              </w:rPr>
              <w:t>Adjusted Operating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429,219</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392,480</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4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EBITDA &amp; Adjusted EBITDA</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239,955</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84,694</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tax expense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103,919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Interest and other,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43,558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191,380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75,205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80,603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840"/>
              <w:spacing w:after="0"/>
              <w:rPr>
                <w:sz w:val="20"/>
                <w:szCs w:val="20"/>
                <w:color w:val="auto"/>
              </w:rPr>
            </w:pPr>
            <w:r>
              <w:rPr>
                <w:rFonts w:ascii="Arial" w:cs="Arial" w:eastAsia="Arial" w:hAnsi="Arial"/>
                <w:sz w:val="17"/>
                <w:szCs w:val="17"/>
                <w:color w:val="auto"/>
              </w:rPr>
              <w:t>EBITDA</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462,637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400,047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295,317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Certain stock-based compensation expense (a)</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14,241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Net restructuring charge (i)</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11,182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Transaction expenses (d)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4,448</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tcPr>
          <w:p>
            <w:pPr>
              <w:ind w:left="420"/>
              <w:spacing w:after="0"/>
              <w:rPr>
                <w:sz w:val="20"/>
                <w:szCs w:val="20"/>
                <w:color w:val="auto"/>
              </w:rPr>
            </w:pPr>
            <w:r>
              <w:rPr>
                <w:rFonts w:ascii="Arial" w:cs="Arial" w:eastAsia="Arial" w:hAnsi="Arial"/>
                <w:sz w:val="17"/>
                <w:szCs w:val="17"/>
                <w:color w:val="auto"/>
              </w:rPr>
              <w:t>Purchase accounting adjustments (b)</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Adjusted 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488,060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444,442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Adjusted Net Income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239,955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84,694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Certain stock-based compensation expense (a)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14,241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39,947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restructuring charge (i)</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11,182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Transaction expenses (e)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20,948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 accounting adjustments (b)</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Amortization of intangible assets (c)</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16,364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28,641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Amortization or write-off of debt issuance costs and write-off of original issue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discount</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4,783</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50,102</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Net gain on sale of state and local transportation business (f)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(5,681)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Release of income tax reserves (g)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(35,022)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(10,966)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Adjustments for tax effect (h)</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(18,628)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7"/>
                <w:szCs w:val="17"/>
                <w:color w:val="auto"/>
              </w:rPr>
              <w:t>(55,855)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(47,721)</w:t>
            </w:r>
          </w:p>
        </w:tc>
        <w:tc>
          <w:tcPr>
            <w:tcW w:w="0" w:type="dxa"/>
            <w:vAlign w:val="bottom"/>
          </w:tcPr>
          <w:p>
            <w:pPr>
              <w:spacing w:after="0"/>
              <w:rPr>
                <w:sz w:val="1"/>
                <w:szCs w:val="1"/>
                <w:color w:val="auto"/>
              </w:rPr>
            </w:pPr>
          </w:p>
        </w:tc>
      </w:tr>
      <w:tr>
        <w:trPr>
          <w:trHeight w:val="26"/>
        </w:trPr>
        <w:tc>
          <w:tcPr>
            <w:tcW w:w="6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6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Adjusted 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227,194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157,511</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Adjusted Diluted Earnings Per Share</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Weighted-average number of diluted shares outstanding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140,812,012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127,448,700</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116,228,380</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420"/>
              <w:spacing w:after="0"/>
              <w:rPr>
                <w:sz w:val="20"/>
                <w:szCs w:val="20"/>
                <w:color w:val="auto"/>
              </w:rPr>
            </w:pPr>
            <w:r>
              <w:rPr>
                <w:rFonts w:ascii="Arial" w:cs="Arial" w:eastAsia="Arial" w:hAnsi="Arial"/>
                <w:sz w:val="17"/>
                <w:szCs w:val="17"/>
                <w:color w:val="auto"/>
              </w:rPr>
              <w:t>Adjusted Net Income Per Diluted Share</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1.61</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1.24</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34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Free Cash Flow</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360,046</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296,339</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270,484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Purchases of property and equipment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(76,925)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(88,784)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(49,271)</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840"/>
              <w:spacing w:after="0"/>
              <w:rPr>
                <w:sz w:val="20"/>
                <w:szCs w:val="20"/>
                <w:color w:val="auto"/>
              </w:rPr>
            </w:pPr>
            <w:r>
              <w:rPr>
                <w:rFonts w:ascii="Arial" w:cs="Arial" w:eastAsia="Arial" w:hAnsi="Arial"/>
                <w:sz w:val="17"/>
                <w:szCs w:val="17"/>
                <w:color w:val="auto"/>
              </w:rPr>
              <w:t>Free Cash Flow</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340" w:type="dxa"/>
            <w:vAlign w:val="bottom"/>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283,121</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207,555</w:t>
            </w:r>
          </w:p>
        </w:tc>
        <w:tc>
          <w:tcPr>
            <w:tcW w:w="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221,213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5620"/>
              <w:spacing w:after="0"/>
              <w:rPr>
                <w:sz w:val="20"/>
                <w:szCs w:val="20"/>
                <w:color w:val="auto"/>
              </w:rPr>
            </w:pPr>
            <w:r>
              <w:rPr>
                <w:rFonts w:ascii="Arial" w:cs="Arial" w:eastAsia="Arial" w:hAnsi="Arial"/>
                <w:sz w:val="17"/>
                <w:szCs w:val="17"/>
                <w:color w:val="auto"/>
              </w:rPr>
              <w:t>54</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1"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7277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60" w:right="20" w:hanging="455"/>
        <w:spacing w:after="0" w:line="261"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stock-based compensation expense for options for Class A Common Stock and restricted shares, in each case, issued in connection with the acquisition of our Company by The Carlyle Group under the Officers’ Rollover Stock Plan. Also reflects stock-based compensation expense for Equity Incentive Plan Class A Common Stock options issued in connection with the acquisition under the Equity Incentive Plan.</w:t>
      </w:r>
    </w:p>
    <w:p>
      <w:pPr>
        <w:ind w:left="460" w:right="520" w:hanging="455"/>
        <w:spacing w:after="0" w:line="25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adjustments resulting from the application of purchase accounting in connection with the acquisition not otherwise included in depreciation and amortization.</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amortization of intangible assets resulting from the acquisition.</w:t>
      </w:r>
    </w:p>
    <w:p>
      <w:pPr>
        <w:spacing w:after="0" w:line="15" w:lineRule="exact"/>
        <w:rPr>
          <w:rFonts w:ascii="Arial" w:cs="Arial" w:eastAsia="Arial" w:hAnsi="Arial"/>
          <w:sz w:val="17"/>
          <w:szCs w:val="17"/>
          <w:color w:val="auto"/>
        </w:rPr>
      </w:pPr>
    </w:p>
    <w:p>
      <w:pPr>
        <w:jc w:val="both"/>
        <w:ind w:left="460" w:right="420" w:hanging="455"/>
        <w:spacing w:after="0" w:line="274"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Fiscal 2011 reflects debt refinancing costs incurred in connection with the Refinancing Transaction and certain external administrative and other expenses incurred in connection with the initial public offering. Fiscal 2010 reflects costs related to the modification of our credit facilities, the establishment of the Tranche C term loan facility under our senior secured credit facilities and the related payment of special dividends.</w:t>
      </w:r>
    </w:p>
    <w:p>
      <w:pPr>
        <w:spacing w:after="0" w:line="1" w:lineRule="exact"/>
        <w:rPr>
          <w:rFonts w:ascii="Arial" w:cs="Arial" w:eastAsia="Arial" w:hAnsi="Arial"/>
          <w:sz w:val="16"/>
          <w:szCs w:val="16"/>
          <w:color w:val="auto"/>
        </w:rPr>
      </w:pPr>
    </w:p>
    <w:p>
      <w:pPr>
        <w:ind w:left="460" w:right="400" w:hanging="455"/>
        <w:spacing w:after="0" w:line="293"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Fiscal 2011 reflects debt refinancing costs and prepayment fees incurred in connection with the Refinancing Transaction as well as certain external administrative and other expenses incurred in connection with the initial public offering. Fiscal 2010 reflects costs related to the modification of our credit facilities, the establishment of the Tranche C term loan facility under our senior secured credit facilities and the related payment of special dividends.</w:t>
      </w:r>
    </w:p>
    <w:p>
      <w:pPr>
        <w:ind w:left="460" w:hanging="455"/>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Fiscal 2012 reflects the gain on sale of our state and local transportation business, net of the associated tax benefit of $1.6 million.</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the release of income tax reserves.</w:t>
      </w:r>
    </w:p>
    <w:p>
      <w:pPr>
        <w:spacing w:after="0" w:line="15" w:lineRule="exact"/>
        <w:rPr>
          <w:rFonts w:ascii="Arial" w:cs="Arial" w:eastAsia="Arial" w:hAnsi="Arial"/>
          <w:sz w:val="17"/>
          <w:szCs w:val="17"/>
          <w:color w:val="auto"/>
        </w:rPr>
      </w:pPr>
    </w:p>
    <w:p>
      <w:pPr>
        <w:ind w:left="460" w:hanging="455"/>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Reflects tax effect of adjustments at an assumed marginal tax rate of 40%.</w:t>
      </w:r>
    </w:p>
    <w:p>
      <w:pPr>
        <w:spacing w:after="0" w:line="15" w:lineRule="exact"/>
        <w:rPr>
          <w:rFonts w:ascii="Arial" w:cs="Arial" w:eastAsia="Arial" w:hAnsi="Arial"/>
          <w:sz w:val="17"/>
          <w:szCs w:val="17"/>
          <w:color w:val="auto"/>
        </w:rPr>
      </w:pPr>
    </w:p>
    <w:p>
      <w:pPr>
        <w:ind w:left="460" w:right="300" w:hanging="455"/>
        <w:spacing w:after="0" w:line="346"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Reflects restructuring charges of approximately $15.7 million incurred during the three months ended March 31, 2012, net of approximately $4.5 million of revenue recognized on recoverable expenses, associated with the cost of a restructuring plan to reduce certain personnel and infrastructure costs.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00"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On May 29, 2012, our Board of Directors authorized and declared a regular quarterly cash dividend in the amount of $0.09 per share. In addition, the Board of Directors declared a special cash dividend of $1.50 per share. Both the quarterly and special dividend are payable on June 29, 2012 to shareholders of record on June 11, 2012. The Compensation Committee, as the Administrator of the Officers’ Rollover Stock Plan and the Amended and Restated Equity Incentive Plan, made a determination to adjust the outstanding options under each plan by reducing the exercise price of the Rollover Options by the amount of the special dividend and by granting the holders of EIP options a dividend equivalent equal to the special dividend and payable on June 29, 2012 or the vesting of the EIP option, whichever is later. We intend to continue to pay regular quarterly cash dividends; however, the actual declaration of any such future dividends and the establishment of the per share amount, record dates, and payment dates for any such future dividends are subject to the discretion of the Board of Directors taking into account future earnings, cash flows, financial requirements, and other factors.</w:t>
      </w:r>
    </w:p>
    <w:p>
      <w:pPr>
        <w:spacing w:after="0" w:line="126"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On May 29, 2012, our Board of Directors also authorized the payment of the accrued interest on the DPO as of July 31, 2012. We expect approximately $3.4 million will be paid on that date.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and Trends Affecting Our Results of Operations</w:t>
      </w:r>
    </w:p>
    <w:p>
      <w:pPr>
        <w:spacing w:after="0" w:line="100"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Business Environment and Key Trends in Our Markets</w:t>
      </w:r>
    </w:p>
    <w:p>
      <w:pPr>
        <w:spacing w:after="0" w:line="94" w:lineRule="exact"/>
        <w:rPr>
          <w:sz w:val="20"/>
          <w:szCs w:val="20"/>
          <w:color w:val="auto"/>
        </w:rPr>
      </w:pPr>
    </w:p>
    <w:p>
      <w:pPr>
        <w:ind w:right="800" w:firstLine="457"/>
        <w:spacing w:after="0" w:line="284" w:lineRule="auto"/>
        <w:rPr>
          <w:sz w:val="20"/>
          <w:szCs w:val="20"/>
          <w:color w:val="auto"/>
        </w:rPr>
      </w:pPr>
      <w:r>
        <w:rPr>
          <w:rFonts w:ascii="Arial" w:cs="Arial" w:eastAsia="Arial" w:hAnsi="Arial"/>
          <w:sz w:val="17"/>
          <w:szCs w:val="17"/>
          <w:color w:val="auto"/>
        </w:rPr>
        <w:t>We believe that the following trends and developments in the U.S. government services industry and our markets may influence our future results of operations:</w:t>
      </w:r>
    </w:p>
    <w:p>
      <w:pPr>
        <w:spacing w:after="0" w:line="38" w:lineRule="exact"/>
        <w:rPr>
          <w:sz w:val="20"/>
          <w:szCs w:val="20"/>
          <w:color w:val="auto"/>
        </w:rPr>
      </w:pPr>
    </w:p>
    <w:p>
      <w:pPr>
        <w:ind w:left="900" w:right="340" w:hanging="447"/>
        <w:spacing w:after="0" w:line="284"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51"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00" w:right="180" w:hanging="447"/>
        <w:spacing w:after="0" w:line="27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48" w:lineRule="exact"/>
        <w:rPr>
          <w:rFonts w:ascii="Arial" w:cs="Arial" w:eastAsia="Arial" w:hAnsi="Arial"/>
          <w:sz w:val="17"/>
          <w:szCs w:val="17"/>
          <w:color w:val="auto"/>
        </w:rPr>
      </w:pPr>
    </w:p>
    <w:p>
      <w:pPr>
        <w:ind w:left="900" w:right="280" w:hanging="447"/>
        <w:spacing w:after="0" w:line="27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cost cutting and efficiency initiatives and other efforts to streamline the U.S. defense and intelligence infrastructure, including the initiatives implemented by the Secretary of Defense or reductions in defense budgets resulting from Congressional action or automatic sequestration as required under the Budget Control Act of 2011;</w:t>
      </w:r>
    </w:p>
    <w:p>
      <w:pPr>
        <w:spacing w:after="0" w:line="48" w:lineRule="exact"/>
        <w:rPr>
          <w:rFonts w:ascii="Arial" w:cs="Arial" w:eastAsia="Arial" w:hAnsi="Arial"/>
          <w:sz w:val="17"/>
          <w:szCs w:val="17"/>
          <w:color w:val="auto"/>
        </w:rPr>
      </w:pPr>
    </w:p>
    <w:p>
      <w:pPr>
        <w:ind w:left="900" w:right="460" w:hanging="447"/>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delays in the completion of the U.S. government’s budget process, which has in the past and could in the future delay procurement of the products, services, and solutions we provide;</w:t>
      </w:r>
    </w:p>
    <w:p>
      <w:pPr>
        <w:spacing w:after="0" w:line="37" w:lineRule="exact"/>
        <w:rPr>
          <w:rFonts w:ascii="Arial" w:cs="Arial" w:eastAsia="Arial" w:hAnsi="Arial"/>
          <w:sz w:val="17"/>
          <w:szCs w:val="17"/>
          <w:color w:val="auto"/>
        </w:rPr>
      </w:pPr>
    </w:p>
    <w:p>
      <w:pPr>
        <w:ind w:left="900" w:hanging="447"/>
        <w:spacing w:after="0" w:line="267"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existing and proposed fiscal constraints by the U.S. government and uncertainty about the size of future budget reductions may cause clients to invest appropriated funds on a less consistent or rapid basis, or not at all, particularly when considering long-term initiatives, not issue task orders in sufficient volume to reach current contract ceilings, and delay requests for new proposals and contract awards, relying on short-term extensions of current contracts instead;</w:t>
      </w:r>
    </w:p>
    <w:p>
      <w:pPr>
        <w:spacing w:after="0" w:line="51" w:lineRule="exact"/>
        <w:rPr>
          <w:rFonts w:ascii="Arial" w:cs="Arial" w:eastAsia="Arial" w:hAnsi="Arial"/>
          <w:sz w:val="17"/>
          <w:szCs w:val="17"/>
          <w:color w:val="auto"/>
        </w:rPr>
      </w:pPr>
    </w:p>
    <w:p>
      <w:pPr>
        <w:ind w:left="900" w:right="740" w:hanging="447"/>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focus on refining the definition of “inherently governmental” work will continue to drive pockets of insourcing in various agencies, particularly in the intelligence market;</w:t>
      </w:r>
    </w:p>
    <w:p>
      <w:pPr>
        <w:spacing w:after="0" w:line="37" w:lineRule="exact"/>
        <w:rPr>
          <w:rFonts w:ascii="Arial" w:cs="Arial" w:eastAsia="Arial" w:hAnsi="Arial"/>
          <w:sz w:val="17"/>
          <w:szCs w:val="17"/>
          <w:color w:val="auto"/>
        </w:rPr>
      </w:pPr>
    </w:p>
    <w:p>
      <w:pPr>
        <w:jc w:val="both"/>
        <w:ind w:left="900" w:right="140" w:hanging="447"/>
        <w:spacing w:after="0" w:line="29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the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0" w:lineRule="exact"/>
        <w:rPr>
          <w:rFonts w:ascii="Arial" w:cs="Arial" w:eastAsia="Arial" w:hAnsi="Arial"/>
          <w:sz w:val="16"/>
          <w:szCs w:val="16"/>
          <w:color w:val="auto"/>
        </w:rPr>
      </w:pPr>
    </w:p>
    <w:p>
      <w:pPr>
        <w:ind w:left="900" w:right="300" w:hanging="447"/>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U.S. government agencies awarding contracts on a technically acceptable/lowest cost basis, which could have a negative impact on our ability to win certain contracts;</w:t>
      </w:r>
    </w:p>
    <w:p>
      <w:pPr>
        <w:spacing w:after="0" w:line="37" w:lineRule="exact"/>
        <w:rPr>
          <w:rFonts w:ascii="Arial" w:cs="Arial" w:eastAsia="Arial" w:hAnsi="Arial"/>
          <w:sz w:val="17"/>
          <w:szCs w:val="17"/>
          <w:color w:val="auto"/>
        </w:rPr>
      </w:pPr>
    </w:p>
    <w:p>
      <w:pPr>
        <w:ind w:left="900" w:right="500" w:hanging="447"/>
        <w:spacing w:after="0" w:line="317"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4" w:lineRule="exact"/>
        <w:rPr>
          <w:rFonts w:ascii="Arial" w:cs="Arial" w:eastAsia="Arial" w:hAnsi="Arial"/>
          <w:sz w:val="16"/>
          <w:szCs w:val="16"/>
          <w:color w:val="auto"/>
        </w:rPr>
      </w:pPr>
    </w:p>
    <w:p>
      <w:pPr>
        <w:ind w:left="900" w:right="420" w:hanging="447"/>
        <w:spacing w:after="0" w:line="271"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48" w:lineRule="exact"/>
        <w:rPr>
          <w:rFonts w:ascii="Arial" w:cs="Arial" w:eastAsia="Arial" w:hAnsi="Arial"/>
          <w:sz w:val="17"/>
          <w:szCs w:val="17"/>
          <w:color w:val="auto"/>
        </w:rPr>
      </w:pPr>
    </w:p>
    <w:p>
      <w:pPr>
        <w:ind w:left="900" w:hanging="447"/>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increased competition from other government contractors and market entrants seeking to take advantage of the trends identified above; and</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efforts by the U.S. government to address organizational conflicts of interest and related issues and the impact of those efforts on us and our competitors.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Revenue</w:t>
      </w:r>
    </w:p>
    <w:p>
      <w:pPr>
        <w:spacing w:after="0" w:line="94" w:lineRule="exact"/>
        <w:rPr>
          <w:sz w:val="20"/>
          <w:szCs w:val="20"/>
          <w:color w:val="auto"/>
        </w:rPr>
      </w:pPr>
    </w:p>
    <w:p>
      <w:pPr>
        <w:ind w:right="180" w:firstLine="457"/>
        <w:spacing w:after="0" w:line="278"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U.S. government agencies and departments. We provide services under a large portfolio of contracts and contract vehicles to a broad client base, and we believe that our diversified contract and client base lessens potential volatility in our business. We have historically grown and continued through fiscal 2012 to grow, our revenue organically without relying on acquisitions.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51"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Types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generate revenue under the following three basic types of contracts:</w:t>
      </w:r>
    </w:p>
    <w:p>
      <w:pPr>
        <w:spacing w:after="0" w:line="94" w:lineRule="exact"/>
        <w:rPr>
          <w:sz w:val="20"/>
          <w:szCs w:val="20"/>
          <w:color w:val="auto"/>
        </w:rPr>
      </w:pPr>
    </w:p>
    <w:p>
      <w:pPr>
        <w:ind w:left="900" w:hanging="447"/>
        <w:spacing w:after="0" w:line="305"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Cost-Reimbursable Contracts. </w:t>
      </w:r>
      <w:r>
        <w:rPr>
          <w:rFonts w:ascii="Arial" w:cs="Arial" w:eastAsia="Arial" w:hAnsi="Arial"/>
          <w:sz w:val="15"/>
          <w:szCs w:val="15"/>
          <w:color w:val="auto"/>
        </w:rPr>
        <w:t>Cost-reimbursable contracts provide for the payment of allowable costs incurred during performance of the contract, up to</w:t>
      </w:r>
      <w:r>
        <w:rPr>
          <w:rFonts w:ascii="Arial" w:cs="Arial" w:eastAsia="Arial" w:hAnsi="Arial"/>
          <w:sz w:val="15"/>
          <w:szCs w:val="15"/>
          <w:i w:val="1"/>
          <w:iCs w:val="1"/>
          <w:color w:val="auto"/>
        </w:rPr>
        <w:t xml:space="preserve"> </w:t>
      </w:r>
      <w:r>
        <w:rPr>
          <w:rFonts w:ascii="Arial" w:cs="Arial" w:eastAsia="Arial" w:hAnsi="Arial"/>
          <w:sz w:val="15"/>
          <w:szCs w:val="15"/>
          <w:color w:val="auto"/>
        </w:rPr>
        <w:t>a ceiling based on the amount that has been funded, plus a fee.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28" w:lineRule="exact"/>
        <w:rPr>
          <w:rFonts w:ascii="Arial" w:cs="Arial" w:eastAsia="Arial" w:hAnsi="Arial"/>
          <w:sz w:val="15"/>
          <w:szCs w:val="15"/>
          <w:color w:val="auto"/>
        </w:rPr>
      </w:pPr>
    </w:p>
    <w:p>
      <w:pPr>
        <w:ind w:left="900" w:right="120" w:hanging="447"/>
        <w:spacing w:after="0" w:line="29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Time-and-Materials Contracts. </w:t>
      </w:r>
      <w:r>
        <w:rPr>
          <w:rFonts w:ascii="Arial" w:cs="Arial" w:eastAsia="Arial" w:hAnsi="Arial"/>
          <w:sz w:val="16"/>
          <w:szCs w:val="16"/>
          <w:color w:val="auto"/>
        </w:rPr>
        <w:t>Under a time-and-materials contract, we are paid a fixed hourly rate for each direct labor hour expended, and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reimbursed for allowable material costs and allowable out-of-pocket expenses. To the extent our actual direct labor and associated costs vary in relation to the fixed hourly billing rates provided in the contract, we will generate more or less profit, or could incur a loss.</w:t>
      </w:r>
    </w:p>
    <w:p>
      <w:pPr>
        <w:spacing w:after="0" w:line="30" w:lineRule="exact"/>
        <w:rPr>
          <w:rFonts w:ascii="Arial" w:cs="Arial" w:eastAsia="Arial" w:hAnsi="Arial"/>
          <w:sz w:val="16"/>
          <w:szCs w:val="16"/>
          <w:color w:val="auto"/>
        </w:rPr>
      </w:pPr>
    </w:p>
    <w:p>
      <w:pPr>
        <w:ind w:left="900" w:right="40" w:hanging="447"/>
        <w:spacing w:after="0" w:line="313"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Fixed-Price Contracts. </w:t>
      </w:r>
      <w:r>
        <w:rPr>
          <w:rFonts w:ascii="Arial" w:cs="Arial" w:eastAsia="Arial" w:hAnsi="Arial"/>
          <w:sz w:val="15"/>
          <w:szCs w:val="15"/>
          <w:color w:val="auto"/>
        </w:rPr>
        <w:t>Under a fixed-price contract, we agree to perform the specified work for a pre-determined price. To the extent our actual costs</w:t>
      </w:r>
      <w:r>
        <w:rPr>
          <w:rFonts w:ascii="Arial" w:cs="Arial" w:eastAsia="Arial" w:hAnsi="Arial"/>
          <w:sz w:val="15"/>
          <w:szCs w:val="15"/>
          <w:i w:val="1"/>
          <w:iCs w:val="1"/>
          <w:color w:val="auto"/>
        </w:rPr>
        <w:t xml:space="preserve"> </w:t>
      </w:r>
      <w:r>
        <w:rPr>
          <w:rFonts w:ascii="Arial" w:cs="Arial" w:eastAsia="Arial" w:hAnsi="Arial"/>
          <w:sz w:val="15"/>
          <w:szCs w:val="15"/>
          <w:color w:val="auto"/>
        </w:rPr>
        <w:t>vary from the estimates upon which the price was negotiated, we will generate more or less profit,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01"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time we have experienced a relatively stable contract mix.</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percentage of total revenue for each type of contract:</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6"/>
              </w:rPr>
              <w:t>Fiscal Year Ended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3"/>
                <w:szCs w:val="13"/>
                <w:b w:val="1"/>
                <w:bCs w:val="1"/>
                <w:color w:val="auto"/>
              </w:rPr>
              <w:t>March 31,</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w w:val="75"/>
              </w:rPr>
              <w:t>2012</w:t>
            </w:r>
          </w:p>
        </w:tc>
        <w:tc>
          <w:tcPr>
            <w:tcW w:w="220" w:type="dxa"/>
            <w:vAlign w:val="bottom"/>
          </w:tcPr>
          <w:p>
            <w:pPr>
              <w:spacing w:after="0"/>
              <w:rPr>
                <w:sz w:val="12"/>
                <w:szCs w:val="12"/>
                <w:color w:val="auto"/>
              </w:rPr>
            </w:pP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520" w:type="dxa"/>
            <w:vAlign w:val="bottom"/>
          </w:tcPr>
          <w:p>
            <w:pPr>
              <w:spacing w:after="0"/>
              <w:rPr>
                <w:sz w:val="12"/>
                <w:szCs w:val="12"/>
                <w:color w:val="auto"/>
              </w:rPr>
            </w:pPr>
          </w:p>
        </w:tc>
        <w:tc>
          <w:tcPr>
            <w:tcW w:w="4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Cost-reimbursable (1)</w:t>
            </w:r>
          </w:p>
        </w:tc>
        <w:tc>
          <w:tcPr>
            <w:tcW w:w="28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vMerge w:val="continue"/>
            <w:shd w:val="clear" w:color="auto" w:fill="CCEEFF"/>
          </w:tcPr>
          <w:p>
            <w:pPr>
              <w:spacing w:after="0"/>
              <w:rPr>
                <w:sz w:val="17"/>
                <w:szCs w:val="17"/>
                <w:color w:val="auto"/>
              </w:rPr>
            </w:pPr>
          </w:p>
        </w:tc>
        <w:tc>
          <w:tcPr>
            <w:tcW w:w="2860" w:type="dxa"/>
            <w:vAlign w:val="bottom"/>
            <w:vMerge w:val="continue"/>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c>
          <w:tcPr>
            <w:tcW w:w="4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51%</w:t>
            </w:r>
          </w:p>
        </w:tc>
        <w:tc>
          <w:tcPr>
            <w:tcW w:w="180" w:type="dxa"/>
            <w:vAlign w:val="bottom"/>
            <w:vMerge w:val="continue"/>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Arial" w:cs="Arial" w:eastAsia="Arial" w:hAnsi="Arial"/>
                <w:sz w:val="17"/>
                <w:szCs w:val="17"/>
                <w:color w:val="auto"/>
              </w:rPr>
              <w:t>Time-and-materials</w:t>
            </w:r>
          </w:p>
        </w:tc>
        <w:tc>
          <w:tcPr>
            <w:tcW w:w="3340" w:type="dxa"/>
            <w:vAlign w:val="bottom"/>
            <w:gridSpan w:val="3"/>
          </w:tcPr>
          <w:p>
            <w:pPr>
              <w:jc w:val="right"/>
              <w:ind w:right="100"/>
              <w:spacing w:after="0"/>
              <w:rPr>
                <w:sz w:val="20"/>
                <w:szCs w:val="20"/>
                <w:color w:val="auto"/>
              </w:rPr>
            </w:pPr>
            <w:r>
              <w:rPr>
                <w:rFonts w:ascii="Arial" w:cs="Arial" w:eastAsia="Arial" w:hAnsi="Arial"/>
                <w:sz w:val="17"/>
                <w:szCs w:val="17"/>
                <w:color w:val="auto"/>
              </w:rPr>
              <w:t>31%</w:t>
            </w:r>
          </w:p>
        </w:tc>
        <w:tc>
          <w:tcPr>
            <w:tcW w:w="1260" w:type="dxa"/>
            <w:vAlign w:val="bottom"/>
            <w:gridSpan w:val="3"/>
          </w:tcPr>
          <w:p>
            <w:pPr>
              <w:jc w:val="right"/>
              <w:ind w:right="380"/>
              <w:spacing w:after="0"/>
              <w:rPr>
                <w:sz w:val="20"/>
                <w:szCs w:val="20"/>
                <w:color w:val="auto"/>
              </w:rPr>
            </w:pPr>
            <w:r>
              <w:rPr>
                <w:rFonts w:ascii="Arial" w:cs="Arial" w:eastAsia="Arial" w:hAnsi="Arial"/>
                <w:sz w:val="17"/>
                <w:szCs w:val="17"/>
                <w:color w:val="auto"/>
              </w:rPr>
              <w:t>35%</w:t>
            </w:r>
          </w:p>
        </w:tc>
        <w:tc>
          <w:tcPr>
            <w:tcW w:w="640" w:type="dxa"/>
            <w:vAlign w:val="bottom"/>
            <w:gridSpan w:val="3"/>
          </w:tcPr>
          <w:p>
            <w:pPr>
              <w:jc w:val="right"/>
              <w:ind w:right="6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Fixed-price (2)</w:t>
            </w:r>
          </w:p>
        </w:tc>
        <w:tc>
          <w:tcPr>
            <w:tcW w:w="3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14%</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w:t>
        <w:tab/>
        <w:t>Includes both cost-plus fixed fee and cost-plus-award fee contracts.</w:t>
      </w:r>
    </w:p>
    <w:p>
      <w:pPr>
        <w:spacing w:after="0" w:line="21"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(2)</w:t>
        <w:tab/>
        <w:t>Includes fixed price level of effort contracts.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451"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3810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Diversity and Revenue Mix</w:t>
      </w:r>
    </w:p>
    <w:p>
      <w:pPr>
        <w:spacing w:after="0" w:line="94" w:lineRule="exact"/>
        <w:rPr>
          <w:sz w:val="20"/>
          <w:szCs w:val="20"/>
          <w:color w:val="auto"/>
        </w:rPr>
      </w:pPr>
    </w:p>
    <w:p>
      <w:pPr>
        <w:ind w:right="120" w:firstLine="457"/>
        <w:spacing w:after="0" w:line="280" w:lineRule="auto"/>
        <w:rPr>
          <w:sz w:val="20"/>
          <w:szCs w:val="20"/>
          <w:color w:val="auto"/>
        </w:rPr>
      </w:pPr>
      <w:r>
        <w:rPr>
          <w:rFonts w:ascii="Arial" w:cs="Arial" w:eastAsia="Arial" w:hAnsi="Arial"/>
          <w:sz w:val="16"/>
          <w:szCs w:val="16"/>
          <w:color w:val="auto"/>
        </w:rPr>
        <w:t>We provide services to our clients through a large number of single award contracts and contract vehicles and multiple award contract vehicles. In fiscal 2012, the revenue from our top ten single award contracts or contract vehicles based on revenue represented 8% of our revenue. Most of our revenue is generated under ID/IQ contract vehicles, which include multiple award GWACs and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In fiscal 2012, 2011, and 2010, our revenue under GWACs and GSA schedules collectively represented 20%, 20%, and 23% of our total revenue, respectively. No single task order under any contract represented more than 1.2% of our revenue in fiscal 2012, fiscal 2011, or fiscal 2010. No single contract accounted for more than 10% of our revenue in fiscal 2012, fiscal 2011, or fiscal 2010.</w:t>
      </w:r>
    </w:p>
    <w:p>
      <w:pPr>
        <w:spacing w:after="0" w:line="126"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2012, fiscal 2011, and fiscal 2010, 90%, 89%, and 87%, respectively, of our revenue was generated by contracts and task orders for which we served as a prime contractor; 10%, 11%, and 13%, respectively, of our revenue was generated by contracts and task orders for which we served as a subcontractor; and 21%, 23%, and 22%, respectively, of our revenue was generated by services provided by our subcontractors. The mix of these types of revenue affects our operating margin. Substantially all of our operating margin is derived from direct consulting staff labor and the portion of our operating margin derived from fees we earn on services provided by our subcontractors is not significant. We view growth in direct consulting staff labor as the primary measure of earnings growth. Direct consulting staff labor growth is driven by consulting staff headcount growth, after attrition, and total backlog growth.</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Our People</w:t>
      </w:r>
    </w:p>
    <w:p>
      <w:pPr>
        <w:spacing w:after="0" w:line="9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contains an optimal mix of skills to meet the rapidly evolving needs of our clients and we seek to achieve that result through recruitment and capacity management. As of March 31, 2012 and 2011 we employed approximately 25,000 people and as of March 31, 2010 we employed approximately 23,300 people, of which approximately 22,500, 22,600, and 21,100 respectively were consulting staff. Attrition for consulting staff was 21%, 19%, and 14% in fiscal 2012, fiscal 2011, and fiscal 2010, respectively. For fiscal 2012, approximately 1.8% of the 21% attrition was due to the Company’s restructuring that occurred during the fourth quarter of fiscal 2012.</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Contract Backlog</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define backlog to include the following three components:</w:t>
      </w:r>
    </w:p>
    <w:p>
      <w:pPr>
        <w:spacing w:after="0" w:line="94" w:lineRule="exact"/>
        <w:rPr>
          <w:sz w:val="20"/>
          <w:szCs w:val="20"/>
          <w:color w:val="auto"/>
        </w:rPr>
      </w:pPr>
    </w:p>
    <w:p>
      <w:pPr>
        <w:ind w:left="900" w:right="520" w:hanging="447"/>
        <w:spacing w:after="0" w:line="284"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represents the revenue value of orders for services under existing contracts for which funding is appropriated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authorized less revenue previously recognized on these contracts.</w:t>
      </w:r>
    </w:p>
    <w:p>
      <w:pPr>
        <w:spacing w:after="0" w:line="37" w:lineRule="exact"/>
        <w:rPr>
          <w:rFonts w:ascii="Arial" w:cs="Arial" w:eastAsia="Arial" w:hAnsi="Arial"/>
          <w:sz w:val="17"/>
          <w:szCs w:val="17"/>
          <w:color w:val="auto"/>
        </w:rPr>
      </w:pPr>
    </w:p>
    <w:p>
      <w:pPr>
        <w:ind w:left="900" w:right="540" w:hanging="447"/>
        <w:spacing w:after="0" w:line="284"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Unfunded Backlog. </w:t>
      </w:r>
      <w:r>
        <w:rPr>
          <w:rFonts w:ascii="Arial" w:cs="Arial" w:eastAsia="Arial" w:hAnsi="Arial"/>
          <w:sz w:val="17"/>
          <w:szCs w:val="17"/>
          <w:color w:val="auto"/>
        </w:rPr>
        <w:t>Unfunded backlog represents the revenue value of orders for services under existing contracts for which funding has not been</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appropriated or otherwise authorized.</w:t>
      </w:r>
    </w:p>
    <w:p>
      <w:pPr>
        <w:spacing w:after="0" w:line="37" w:lineRule="exact"/>
        <w:rPr>
          <w:rFonts w:ascii="Arial" w:cs="Arial" w:eastAsia="Arial" w:hAnsi="Arial"/>
          <w:sz w:val="17"/>
          <w:szCs w:val="17"/>
          <w:color w:val="auto"/>
        </w:rPr>
      </w:pPr>
    </w:p>
    <w:p>
      <w:pPr>
        <w:ind w:left="900" w:right="280" w:hanging="447"/>
        <w:spacing w:after="0" w:line="284"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 that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at our clients’ option and for which funding has not been appropriated or otherwise authorized.</w:t>
      </w:r>
    </w:p>
    <w:p>
      <w:pPr>
        <w:spacing w:after="0" w:line="11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Backlog does not include any task orders under ID/IQ contracts, including GWACs and GSA schedules, except to the extent that task orders have been awarded to us under those contracts.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51"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value of our contract backlog at the respective dates presented:</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42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left="44"/>
              <w:spacing w:after="0"/>
              <w:rPr>
                <w:sz w:val="20"/>
                <w:szCs w:val="20"/>
                <w:color w:val="auto"/>
              </w:rPr>
            </w:pPr>
            <w:r>
              <w:rPr>
                <w:rFonts w:ascii="Arial" w:cs="Arial" w:eastAsia="Arial" w:hAnsi="Arial"/>
                <w:sz w:val="13"/>
                <w:szCs w:val="13"/>
                <w:b w:val="1"/>
                <w:bCs w:val="1"/>
                <w:color w:val="auto"/>
                <w:w w:val="93"/>
              </w:rPr>
              <w:t>As of March 31,</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4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2011</w:t>
            </w: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r>
      <w:tr>
        <w:trPr>
          <w:trHeight w:val="138"/>
        </w:trPr>
        <w:tc>
          <w:tcPr>
            <w:tcW w:w="4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4"/>
          </w:tcPr>
          <w:p>
            <w:pPr>
              <w:jc w:val="center"/>
              <w:ind w:left="44"/>
              <w:spacing w:after="0" w:line="138" w:lineRule="exact"/>
              <w:rPr>
                <w:sz w:val="20"/>
                <w:szCs w:val="20"/>
                <w:color w:val="auto"/>
              </w:rPr>
            </w:pPr>
            <w:r>
              <w:rPr>
                <w:rFonts w:ascii="Arial" w:cs="Arial" w:eastAsia="Arial" w:hAnsi="Arial"/>
                <w:sz w:val="13"/>
                <w:szCs w:val="13"/>
                <w:b w:val="1"/>
                <w:bCs w:val="1"/>
                <w:color w:val="auto"/>
                <w:w w:val="95"/>
              </w:rPr>
              <w:t>(In millions)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Backlog:</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4280" w:type="dxa"/>
            <w:vAlign w:val="bottom"/>
          </w:tcPr>
          <w:p>
            <w:pPr>
              <w:ind w:left="420"/>
              <w:spacing w:after="0"/>
              <w:rPr>
                <w:sz w:val="20"/>
                <w:szCs w:val="20"/>
                <w:color w:val="auto"/>
              </w:rPr>
            </w:pPr>
            <w:r>
              <w:rPr>
                <w:rFonts w:ascii="Arial" w:cs="Arial" w:eastAsia="Arial" w:hAnsi="Arial"/>
                <w:sz w:val="17"/>
                <w:szCs w:val="17"/>
                <w:color w:val="auto"/>
              </w:rPr>
              <w:t>Funded</w:t>
            </w:r>
          </w:p>
        </w:tc>
        <w:tc>
          <w:tcPr>
            <w:tcW w:w="2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2,898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2,392</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$2,528</w:t>
            </w:r>
          </w:p>
        </w:tc>
        <w:tc>
          <w:tcPr>
            <w:tcW w:w="100" w:type="dxa"/>
            <w:vAlign w:val="bottom"/>
          </w:tcPr>
          <w:p>
            <w:pPr>
              <w:spacing w:after="0"/>
              <w:rPr>
                <w:sz w:val="18"/>
                <w:szCs w:val="18"/>
                <w:color w:val="auto"/>
              </w:rPr>
            </w:pPr>
          </w:p>
        </w:tc>
      </w:tr>
      <w:tr>
        <w:trPr>
          <w:trHeight w:val="211"/>
        </w:trPr>
        <w:tc>
          <w:tcPr>
            <w:tcW w:w="42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Unfunded (1)</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2,453</w:t>
            </w:r>
          </w:p>
        </w:tc>
        <w:tc>
          <w:tcPr>
            <w:tcW w:w="100" w:type="dxa"/>
            <w:vAlign w:val="bottom"/>
            <w:shd w:val="clear" w:color="auto" w:fill="CCEEFF"/>
          </w:tcPr>
          <w:p>
            <w:pPr>
              <w:spacing w:after="0"/>
              <w:rPr>
                <w:sz w:val="18"/>
                <w:szCs w:val="18"/>
                <w:color w:val="auto"/>
              </w:rPr>
            </w:pPr>
          </w:p>
        </w:tc>
      </w:tr>
      <w:tr>
        <w:trPr>
          <w:trHeight w:val="217"/>
        </w:trPr>
        <w:tc>
          <w:tcPr>
            <w:tcW w:w="4280" w:type="dxa"/>
            <w:vAlign w:val="bottom"/>
          </w:tcPr>
          <w:p>
            <w:pPr>
              <w:ind w:left="420"/>
              <w:spacing w:after="0"/>
              <w:rPr>
                <w:sz w:val="20"/>
                <w:szCs w:val="20"/>
                <w:color w:val="auto"/>
              </w:rPr>
            </w:pPr>
            <w:r>
              <w:rPr>
                <w:rFonts w:ascii="Arial" w:cs="Arial" w:eastAsia="Arial" w:hAnsi="Arial"/>
                <w:sz w:val="17"/>
                <w:szCs w:val="17"/>
                <w:color w:val="auto"/>
              </w:rPr>
              <w:t>Priced options (2)</w:t>
            </w:r>
          </w:p>
        </w:tc>
        <w:tc>
          <w:tcPr>
            <w:tcW w:w="2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5,225</w:t>
            </w:r>
          </w:p>
        </w:tc>
        <w:tc>
          <w:tcPr>
            <w:tcW w:w="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100" w:type="dxa"/>
            <w:vAlign w:val="bottom"/>
          </w:tcPr>
          <w:p>
            <w:pPr>
              <w:spacing w:after="0"/>
              <w:rPr>
                <w:sz w:val="18"/>
                <w:szCs w:val="18"/>
                <w:color w:val="auto"/>
              </w:rPr>
            </w:pPr>
          </w:p>
        </w:tc>
      </w:tr>
      <w:tr>
        <w:trPr>
          <w:trHeight w:val="211"/>
        </w:trPr>
        <w:tc>
          <w:tcPr>
            <w:tcW w:w="42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backlog</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10,804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10,924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9,013</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5"/>
        <w:spacing w:after="0" w:line="262"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Reflects a reduction by management to the revenue value of orders for services under two existing single award ID/IQ contracts based on an established pattern of funding under these contracts by the U.S. government.</w:t>
      </w:r>
    </w:p>
    <w:p>
      <w:pPr>
        <w:ind w:left="460" w:hanging="455"/>
        <w:spacing w:after="0"/>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Amounts shown reflect 100% of the undiscounted revenue value of all priced options.</w:t>
      </w:r>
    </w:p>
    <w:p>
      <w:pPr>
        <w:spacing w:after="0" w:line="167"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3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decreased by 1.1% from March 31, 2011 to March 31, 2012 and grew 21% from March 31, 2010 to March 31, 2011. Additions to funded backlog during fiscal 2012 and 2011 totaled $6.4 billion and $7.5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33"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4.9% of funded backlog as of the end of any of the eight fiscal quarters preceding the fiscal quarter ended March 31, 2012.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451" w:right="2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Operating Costs and Expenses</w:t>
      </w:r>
    </w:p>
    <w:p>
      <w:pPr>
        <w:spacing w:after="0" w:line="94" w:lineRule="exact"/>
        <w:rPr>
          <w:sz w:val="20"/>
          <w:szCs w:val="20"/>
          <w:color w:val="auto"/>
        </w:rPr>
      </w:pPr>
    </w:p>
    <w:p>
      <w:pPr>
        <w:ind w:right="80" w:firstLine="457"/>
        <w:spacing w:after="0" w:line="308" w:lineRule="auto"/>
        <w:rPr>
          <w:sz w:val="20"/>
          <w:szCs w:val="20"/>
          <w:color w:val="auto"/>
        </w:rPr>
      </w:pPr>
      <w:r>
        <w:rPr>
          <w:rFonts w:ascii="Arial" w:cs="Arial" w:eastAsia="Arial" w:hAnsi="Arial"/>
          <w:sz w:val="15"/>
          <w:szCs w:val="15"/>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 In conjunction with our initial public offering, our Board of Directors adopted a new equity compensation plan. The equity compensation component of the new plan has reduced officer-related compensation expense included in cost of revenue and general and administrative expenses over the near term with such expense reduction to reverse over time.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most significant operating costs and expenses are described below.</w:t>
      </w:r>
    </w:p>
    <w:p>
      <w:pPr>
        <w:spacing w:after="0" w:line="94" w:lineRule="exact"/>
        <w:rPr>
          <w:sz w:val="20"/>
          <w:szCs w:val="20"/>
          <w:color w:val="auto"/>
        </w:rPr>
      </w:pPr>
    </w:p>
    <w:p>
      <w:pPr>
        <w:ind w:left="900" w:right="180" w:hanging="447"/>
        <w:spacing w:after="0" w:line="284"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includes direct labor, related employee benefits, and overhead. Overhead consists of indirect costs, including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labor relating to infrastructure, management and administration, and other expenses.</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Billable Expenses. </w:t>
      </w:r>
      <w:r>
        <w:rPr>
          <w:rFonts w:ascii="Arial" w:cs="Arial" w:eastAsia="Arial" w:hAnsi="Arial"/>
          <w:sz w:val="16"/>
          <w:szCs w:val="16"/>
          <w:color w:val="auto"/>
        </w:rPr>
        <w:t>Billable expenses include direct subcontractor expenses, travel expenses, and other expenses incurred to perform on contracts.</w:t>
      </w:r>
    </w:p>
    <w:p>
      <w:pPr>
        <w:spacing w:after="0" w:line="105" w:lineRule="exact"/>
        <w:rPr>
          <w:rFonts w:ascii="Arial" w:cs="Arial" w:eastAsia="Arial" w:hAnsi="Arial"/>
          <w:sz w:val="16"/>
          <w:szCs w:val="16"/>
          <w:color w:val="auto"/>
        </w:rPr>
      </w:pPr>
    </w:p>
    <w:p>
      <w:pPr>
        <w:ind w:left="900" w:right="20" w:hanging="447"/>
        <w:spacing w:after="0" w:line="284"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marketing and bid and proposal costs, and other discretionary spending.</w:t>
      </w:r>
    </w:p>
    <w:p>
      <w:pPr>
        <w:spacing w:after="0" w:line="37" w:lineRule="exact"/>
        <w:rPr>
          <w:rFonts w:ascii="Arial" w:cs="Arial" w:eastAsia="Arial" w:hAnsi="Arial"/>
          <w:sz w:val="17"/>
          <w:szCs w:val="17"/>
          <w:color w:val="auto"/>
        </w:rPr>
      </w:pPr>
    </w:p>
    <w:p>
      <w:pPr>
        <w:ind w:left="900" w:right="300" w:hanging="447"/>
        <w:spacing w:after="0" w:line="27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includes the depreciation of computers, leasehold improvements, furniture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the amortization of internally developed software, as well as third-party software that we use internally, and of identifiable long-lived intangible assets over their estimated useful lives.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Seasonality</w:t>
      </w:r>
    </w:p>
    <w:p>
      <w:pPr>
        <w:spacing w:after="0" w:line="94"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19"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Seasonality is just one of a number of factors, many of which are outside of our control, which may affect our results in any period. See “Item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 and Policies</w:t>
      </w:r>
    </w:p>
    <w:p>
      <w:pPr>
        <w:spacing w:after="0" w:line="100"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or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121" w:lineRule="exact"/>
        <w:rPr>
          <w:sz w:val="20"/>
          <w:szCs w:val="20"/>
          <w:color w:val="auto"/>
        </w:rPr>
      </w:pPr>
    </w:p>
    <w:p>
      <w:pPr>
        <w:ind w:right="680" w:firstLine="457"/>
        <w:spacing w:after="0" w:line="284" w:lineRule="auto"/>
        <w:rPr>
          <w:sz w:val="20"/>
          <w:szCs w:val="20"/>
          <w:color w:val="auto"/>
        </w:rPr>
      </w:pPr>
      <w:r>
        <w:rPr>
          <w:rFonts w:ascii="Arial" w:cs="Arial" w:eastAsia="Arial" w:hAnsi="Arial"/>
          <w:sz w:val="17"/>
          <w:szCs w:val="17"/>
          <w:color w:val="auto"/>
        </w:rPr>
        <w:t>Our significant accounting policies, including the critical policies and practices listed below, are more fully described and discussed in the notes to the consolidated financial statements. We consider the following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51"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 and are the most important to our financial condition and operating results.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 and Cost Estimation</w:t>
      </w:r>
    </w:p>
    <w:p>
      <w:pPr>
        <w:spacing w:after="0" w:line="94"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cost-plus-fixed-fee contracts with the U.S. government as hours are worked based on reimbursable and allowable costs, recoverable indirect costs and an accrual for the fixed fee component of these contracts. Many of our U.S. government contracts include award fees, which are earned based on the client’s evaluation of our performance. We have significant history with the client for the majority of contracts on which we earn award fees. That history and management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financial statements in periods in which they are identified.</w:t>
      </w:r>
    </w:p>
    <w:p>
      <w:pPr>
        <w:spacing w:after="0" w:line="125"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Revenue earned under time-and-materials contracts is recognized as hours are worked based on contractually billable rates to the client. Costs on time-and-materials contracts are expensed as incurred.</w:t>
      </w:r>
    </w:p>
    <w:p>
      <w:pPr>
        <w:spacing w:after="0" w:line="117" w:lineRule="exact"/>
        <w:rPr>
          <w:sz w:val="20"/>
          <w:szCs w:val="20"/>
          <w:color w:val="auto"/>
        </w:rPr>
      </w:pPr>
    </w:p>
    <w:p>
      <w:pPr>
        <w:ind w:right="20" w:firstLine="457"/>
        <w:spacing w:after="0" w:line="298" w:lineRule="auto"/>
        <w:rPr>
          <w:sz w:val="20"/>
          <w:szCs w:val="20"/>
          <w:color w:val="auto"/>
        </w:rPr>
      </w:pPr>
      <w:r>
        <w:rPr>
          <w:rFonts w:ascii="Arial" w:cs="Arial" w:eastAsia="Arial" w:hAnsi="Arial"/>
          <w:sz w:val="15"/>
          <w:szCs w:val="15"/>
          <w:color w:val="auto"/>
        </w:rPr>
        <w:t>For fixed-price contracts, we recognize revenue on the percentage-of-completion basis with progress toward completion of a particular contract based on actual costs incurred relative to total estimated costs to be incurred over the life of the contract. Profits on fixed-price contracts result from the difference between the incurred costs and the revenue earned. This method is followed where reasonably dependable estimates of revenue and costs under the contract can be made. Estimates of total contract revenue and costs are regularly reviewed and recorded revenue and costs are subject to revision as the contract progresses. Such revisions may result in increases or decreases to revenue and income, and are reflected 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Goodwill and Intangible Assets Impairment</w:t>
      </w:r>
    </w:p>
    <w:p>
      <w:pPr>
        <w:spacing w:after="0" w:line="94"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color w:val="auto"/>
        </w:rPr>
        <w:t>We test goodwill for impairment at the reporting unit level on an annual basis or if an event occurs or circumstances change that would more likely than not reduce the fair value of a reporting unit below its carrying value. As the consolidated entity represents the only component that constitutes a business whereby discrete financial information is available, we concluded that we have one reporting unit, which is the same as our single operating segment. We test the trade name for impairment using the royalty relief method. We perform our annual testing for impairment of goodwill and the trade name as of January 1 of each year.</w:t>
      </w:r>
    </w:p>
    <w:p>
      <w:pPr>
        <w:spacing w:after="0" w:line="115"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We performed an annual impairment test of goodwill and the trade name as of January 1, 2012 and 2011. On December 31, 2011, we adopted new Goodwill impairment guidance whereby we performed a qualitative assessment of whether it was more likely than not the fair value of the reporting unit was less than the carrying value of equity. In making this assessment we considered all relevant events and circumstances. These include, but are not limited to, macroeconomic conditions, industry and market considerations, and the reporting unit’s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51"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overall financial performance. Based on our qualitative assessment at January 1, 2012, we believe that it was not likely (i.e., a likelihood of more than 50 percent) that the fair value of our reporting unit was less than the carrying amount. During the fiscal years ended March 31, 2012 and 2011, we did not record any goodwill impairment or any impairment of our trade name. Further, we do not consider any of the goodwill or trade name at risk of impairment.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94"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We use the Black-Scholes option-pricing model to determine the estimated fair value for stock options. Critical inputs into the Black-Scholes option-pricing model include the following: option exercise price; fair value of the stock price; expected life of the option; annualized volatility of the stock; annual rate of quarterly dividends on the stock; and risk-free interest rate.</w:t>
      </w:r>
    </w:p>
    <w:p>
      <w:pPr>
        <w:spacing w:after="0" w:line="128"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On February 1, 2012, the Company’s Board of Directors authorized and declared a cash dividend in the amount of $0.09 per share to holders of Booz Allen Holding’s Class A Common Stock, Class B Non-Voting Common Stock and Class C Restricted Common Stock. Therefore, an annualized dividend yield of approximately 2% was used in the Black-Scholes option-pricing model for all grants issued after February 1, 2012. Prior to this, the company did not issue recurring dividends and a dividend yield of zero was used in the Black-Scholes option-pricing model. 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 While we are not aware of any news or disclosures by our peers that may impact their respective volatility, there is a risk that peer group volatility may increase, potentially increasing any prospective future compensation expense that will result from future option grants.</w:t>
      </w:r>
    </w:p>
    <w:p>
      <w:pPr>
        <w:spacing w:after="0" w:line="126"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The risk-free interest rate used in the Black-Scholes option-pricing model is determined by referencing the U.S. Treasury yield curve rates with the remaining term equal to the expected life assumed at the date of grant.</w:t>
      </w:r>
    </w:p>
    <w:p>
      <w:pPr>
        <w:spacing w:after="0" w:line="117" w:lineRule="exact"/>
        <w:rPr>
          <w:sz w:val="20"/>
          <w:szCs w:val="20"/>
          <w:color w:val="auto"/>
        </w:rPr>
      </w:pPr>
    </w:p>
    <w:p>
      <w:pPr>
        <w:ind w:right="380" w:firstLine="457"/>
        <w:spacing w:after="0" w:line="317" w:lineRule="auto"/>
        <w:rPr>
          <w:sz w:val="20"/>
          <w:szCs w:val="20"/>
          <w:color w:val="auto"/>
        </w:rPr>
      </w:pPr>
      <w:r>
        <w:rPr>
          <w:rFonts w:ascii="Arial" w:cs="Arial" w:eastAsia="Arial" w:hAnsi="Arial"/>
          <w:sz w:val="16"/>
          <w:szCs w:val="16"/>
          <w:color w:val="auto"/>
        </w:rPr>
        <w:t>Forfeitures are estimated based on our historical analysis of attrition levels. Forfeiture estimates will be updated quarterly for actual forfeitures. We do not expect this assumption to change materially, as attrition levels associated with new option grants have not materially changed.</w:t>
      </w:r>
    </w:p>
    <w:p>
      <w:pPr>
        <w:spacing w:after="0" w:line="93" w:lineRule="exact"/>
        <w:rPr>
          <w:sz w:val="20"/>
          <w:szCs w:val="20"/>
          <w:color w:val="auto"/>
        </w:rPr>
      </w:pPr>
    </w:p>
    <w:p>
      <w:pPr>
        <w:ind w:right="80" w:firstLine="457"/>
        <w:spacing w:after="0" w:line="280" w:lineRule="auto"/>
        <w:rPr>
          <w:sz w:val="20"/>
          <w:szCs w:val="20"/>
          <w:color w:val="auto"/>
        </w:rPr>
      </w:pPr>
      <w:r>
        <w:rPr>
          <w:rFonts w:ascii="Arial" w:cs="Arial" w:eastAsia="Arial" w:hAnsi="Arial"/>
          <w:sz w:val="16"/>
          <w:szCs w:val="16"/>
          <w:color w:val="auto"/>
        </w:rPr>
        <w:t>As our Class A Common Stock was not publicly traded until November 16, 2010, we previously obtained contemporaneous valuations by an independent valuation specialist for our fair value determinations. The valuations were based on several generally accepted valuation techniques: a discounted cash flow analysis, a comparable public company analysis, and for the most recent valuation, a comparative transaction analysis. Estimates used in connection with the discounted cash flow analysis were consistent with the plans and estimates that we use to manage the business although there is inherent uncertainty in these estimates. The valuation analysis resulted in a range of derived values with the final value selected and approved by our Compensation Committee. The completion of the initial public offering has added value to the shares due to, among other things, increased liquidity and marketability; however, the extent (if any) of such additional value cannot be measured with precision or certainty and the shares could suffer a decrease in value. As a public company, we now use the closing price of our Class A Common Stock on the grant date for valuation purposes.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94"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Provisions for federal and state income taxes are calculated from the income reported on our financial statements based on current tax law and also include the cumulative effect of any changes in tax rates from those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451"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80"/>
        <w:spacing w:after="0" w:line="317" w:lineRule="auto"/>
        <w:rPr>
          <w:sz w:val="20"/>
          <w:szCs w:val="20"/>
          <w:color w:val="auto"/>
        </w:rPr>
      </w:pPr>
      <w:r>
        <w:rPr>
          <w:rFonts w:ascii="Arial" w:cs="Arial" w:eastAsia="Arial" w:hAnsi="Arial"/>
          <w:sz w:val="16"/>
          <w:szCs w:val="16"/>
          <w:color w:val="auto"/>
        </w:rPr>
        <w:t>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93" w:lineRule="exact"/>
        <w:rPr>
          <w:sz w:val="20"/>
          <w:szCs w:val="20"/>
          <w:color w:val="auto"/>
        </w:rPr>
      </w:pPr>
    </w:p>
    <w:p>
      <w:pPr>
        <w:ind w:right="140" w:firstLine="457"/>
        <w:spacing w:after="0" w:line="308" w:lineRule="auto"/>
        <w:rPr>
          <w:sz w:val="20"/>
          <w:szCs w:val="20"/>
          <w:color w:val="auto"/>
        </w:rPr>
      </w:pPr>
      <w:r>
        <w:rPr>
          <w:rFonts w:ascii="Arial" w:cs="Arial" w:eastAsia="Arial" w:hAnsi="Arial"/>
          <w:sz w:val="15"/>
          <w:szCs w:val="15"/>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105" w:lineRule="exact"/>
        <w:rPr>
          <w:sz w:val="20"/>
          <w:szCs w:val="20"/>
          <w:color w:val="auto"/>
        </w:rPr>
      </w:pPr>
    </w:p>
    <w:p>
      <w:pPr>
        <w:jc w:val="both"/>
        <w:ind w:right="120" w:firstLine="457"/>
        <w:spacing w:after="0" w:line="271" w:lineRule="auto"/>
        <w:rPr>
          <w:sz w:val="20"/>
          <w:szCs w:val="20"/>
          <w:color w:val="auto"/>
        </w:rPr>
      </w:pPr>
      <w:r>
        <w:rPr>
          <w:rFonts w:ascii="Arial" w:cs="Arial" w:eastAsia="Arial" w:hAnsi="Arial"/>
          <w:sz w:val="17"/>
          <w:szCs w:val="17"/>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fiscal year ended March 31, 2012, the Company adopted the following accounting pronouncements, none of which had a material impact on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Company’s consolidated financial statements:</w:t>
      </w:r>
    </w:p>
    <w:p>
      <w:pPr>
        <w:spacing w:after="0" w:line="88" w:lineRule="exact"/>
        <w:rPr>
          <w:sz w:val="20"/>
          <w:szCs w:val="20"/>
          <w:color w:val="auto"/>
        </w:rPr>
      </w:pPr>
    </w:p>
    <w:p>
      <w:pPr>
        <w:ind w:firstLine="457"/>
        <w:spacing w:after="0" w:line="303" w:lineRule="auto"/>
        <w:rPr>
          <w:sz w:val="20"/>
          <w:szCs w:val="20"/>
          <w:color w:val="auto"/>
        </w:rPr>
      </w:pPr>
      <w:r>
        <w:rPr>
          <w:rFonts w:ascii="Arial" w:cs="Arial" w:eastAsia="Arial" w:hAnsi="Arial"/>
          <w:sz w:val="15"/>
          <w:szCs w:val="15"/>
          <w:color w:val="auto"/>
        </w:rPr>
        <w:t>In June 2011, the Financial Accounting Standards Board, or FASB, issued Accounting Standards Update 2011-05, Presentation of Comprehensive Income, which amends the presentation options in Accounting Standards Codification Topic 220, Comprehensive Income. This guidance requires companies to present the components of net income and other comprehensive income either as one continuous statement or as two consecutive statements. It eliminates the option to present components of other comprehensive income as part of the statement of changes in stockholders’ equity. The guidance does not change the items which must be reported in other comprehensive income, how such items are measured, or when they must be reclassified to net income. The guidance is effective for interim and annual periods beginning after December 15, 2011, with early adoption permitted. As this guidance impacts presentation only, it will have no effect on the Company’s financial condition, results of operations, or cash flows. The Company elected early adoption effective June 30, 2011 using the two-statement approach.</w:t>
      </w:r>
    </w:p>
    <w:p>
      <w:pPr>
        <w:spacing w:after="0" w:line="109"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In September 2011, the FASB issued Accounting Standards Update 2011-08, Testing Goodwill for Impairment, which amends Topic 350, Intangibles – Goodwill and Other. This guidance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guidance is effective for interim and annual goodwill impairment tests performed for fiscal years beginning after December 15, 2011, with early adoption permitted.</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Company elected early adoption effective as of our measurement date, January 1, 2012. Based on our qualitative assessment at January 1, 2012, we believe that it was not likely (i.e., a likelihood of more than 50 percent) that the fair value of our reporting unit was less than the carrying amount.</w:t>
      </w:r>
    </w:p>
    <w:p>
      <w:pPr>
        <w:spacing w:after="0" w:line="122"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Other recent accounting pronouncements issued by the Financial Accounting Standards Board during fiscal 2012 and through the filing date did not and are not believed by management to have a material impact on the Company’s present or future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100"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We report operating results and financial data in one operating and reportable segment. We manage our business as a single profit center in order to promote collaboration, provide comprehensive functional service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51" w:right="2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00" w:lineRule="exact"/>
        <w:rPr>
          <w:sz w:val="20"/>
          <w:szCs w:val="20"/>
          <w:color w:val="auto"/>
        </w:rPr>
      </w:pPr>
    </w:p>
    <w:p>
      <w:pPr>
        <w:ind w:right="480" w:firstLine="457"/>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8" w:lineRule="exact"/>
        <w:rPr>
          <w:sz w:val="20"/>
          <w:szCs w:val="20"/>
          <w:color w:val="auto"/>
        </w:rPr>
      </w:pPr>
    </w:p>
    <w:p>
      <w:pPr>
        <w:ind w:right="720" w:firstLine="457"/>
        <w:spacing w:after="0" w:line="271" w:lineRule="auto"/>
        <w:rPr>
          <w:sz w:val="20"/>
          <w:szCs w:val="20"/>
          <w:color w:val="auto"/>
        </w:rPr>
      </w:pPr>
      <w:r>
        <w:rPr>
          <w:rFonts w:ascii="Arial" w:cs="Arial" w:eastAsia="Arial" w:hAnsi="Arial"/>
          <w:sz w:val="17"/>
          <w:szCs w:val="17"/>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2012 and 2011 and the Company’s results of operations for fiscal 2012, fiscal 2011, and fiscal 2010.</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prior year amounts have been reclassified to conform to the current year presentation.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items from our consolidated statements of operations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gridSpan w:val="4"/>
            <w:vMerge w:val="restart"/>
          </w:tcPr>
          <w:p>
            <w:pPr>
              <w:jc w:val="right"/>
              <w:ind w:right="40"/>
              <w:spacing w:after="0"/>
              <w:rPr>
                <w:sz w:val="20"/>
                <w:szCs w:val="20"/>
                <w:color w:val="auto"/>
              </w:rPr>
            </w:pPr>
            <w:r>
              <w:rPr>
                <w:rFonts w:ascii="Arial" w:cs="Arial" w:eastAsia="Arial" w:hAnsi="Arial"/>
                <w:sz w:val="13"/>
                <w:szCs w:val="13"/>
                <w:b w:val="1"/>
                <w:bCs w:val="1"/>
                <w:color w:val="auto"/>
                <w:w w:val="93"/>
              </w:rPr>
              <w:t>Fiscal Year Ended March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9"/>
              </w:rPr>
              <w:t>Fiscal 2012</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Fiscal 2011</w:t>
            </w:r>
          </w:p>
        </w:tc>
        <w:tc>
          <w:tcPr>
            <w:tcW w:w="0" w:type="dxa"/>
            <w:vAlign w:val="bottom"/>
          </w:tcPr>
          <w:p>
            <w:pPr>
              <w:spacing w:after="0"/>
              <w:rPr>
                <w:sz w:val="1"/>
                <w:szCs w:val="1"/>
                <w:color w:val="auto"/>
              </w:rPr>
            </w:pPr>
          </w:p>
        </w:tc>
      </w:tr>
      <w:tr>
        <w:trPr>
          <w:trHeight w:val="65"/>
        </w:trPr>
        <w:tc>
          <w:tcPr>
            <w:tcW w:w="530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4"/>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gridSpan w:val="2"/>
            <w:vMerge w:val="restart"/>
          </w:tcPr>
          <w:p>
            <w:pPr>
              <w:jc w:val="center"/>
              <w:ind w:right="660"/>
              <w:spacing w:after="0" w:line="145" w:lineRule="exact"/>
              <w:rPr>
                <w:sz w:val="20"/>
                <w:szCs w:val="20"/>
                <w:color w:val="auto"/>
              </w:rPr>
            </w:pPr>
            <w:r>
              <w:rPr>
                <w:rFonts w:ascii="Arial" w:cs="Arial" w:eastAsia="Arial" w:hAnsi="Arial"/>
                <w:sz w:val="13"/>
                <w:szCs w:val="13"/>
                <w:b w:val="1"/>
                <w:bCs w:val="1"/>
                <w:color w:val="auto"/>
                <w:w w:val="87"/>
              </w:rPr>
              <w:t>Versus</w:t>
            </w:r>
          </w:p>
        </w:tc>
        <w:tc>
          <w:tcPr>
            <w:tcW w:w="960" w:type="dxa"/>
            <w:vAlign w:val="bottom"/>
            <w:gridSpan w:val="2"/>
            <w:vMerge w:val="restart"/>
          </w:tcPr>
          <w:p>
            <w:pPr>
              <w:jc w:val="center"/>
              <w:ind w:right="260"/>
              <w:spacing w:after="0" w:line="145" w:lineRule="exact"/>
              <w:rPr>
                <w:sz w:val="20"/>
                <w:szCs w:val="20"/>
                <w:color w:val="auto"/>
              </w:rPr>
            </w:pPr>
            <w:r>
              <w:rPr>
                <w:rFonts w:ascii="Arial" w:cs="Arial" w:eastAsia="Arial" w:hAnsi="Arial"/>
                <w:sz w:val="13"/>
                <w:szCs w:val="13"/>
                <w:b w:val="1"/>
                <w:bCs w:val="1"/>
                <w:color w:val="auto"/>
                <w:w w:val="87"/>
              </w:rPr>
              <w:t>Versus</w:t>
            </w:r>
          </w:p>
        </w:tc>
        <w:tc>
          <w:tcPr>
            <w:tcW w:w="0" w:type="dxa"/>
            <w:vAlign w:val="bottom"/>
          </w:tcPr>
          <w:p>
            <w:pPr>
              <w:spacing w:after="0"/>
              <w:rPr>
                <w:sz w:val="1"/>
                <w:szCs w:val="1"/>
                <w:color w:val="auto"/>
              </w:rPr>
            </w:pPr>
          </w:p>
        </w:tc>
      </w:tr>
      <w:tr>
        <w:trPr>
          <w:trHeight w:val="59"/>
        </w:trPr>
        <w:tc>
          <w:tcPr>
            <w:tcW w:w="5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76"/>
              <w:spacing w:after="0"/>
              <w:rPr>
                <w:sz w:val="20"/>
                <w:szCs w:val="20"/>
                <w:color w:val="auto"/>
              </w:rPr>
            </w:pPr>
            <w:r>
              <w:rPr>
                <w:rFonts w:ascii="Arial" w:cs="Arial" w:eastAsia="Arial" w:hAnsi="Arial"/>
                <w:sz w:val="13"/>
                <w:szCs w:val="13"/>
                <w:b w:val="1"/>
                <w:bCs w:val="1"/>
                <w:color w:val="auto"/>
              </w:rPr>
              <w:t>2010</w:t>
            </w:r>
          </w:p>
        </w:tc>
        <w:tc>
          <w:tcPr>
            <w:tcW w:w="520" w:type="dxa"/>
            <w:vAlign w:val="bottom"/>
          </w:tcPr>
          <w:p>
            <w:pPr>
              <w:spacing w:after="0"/>
              <w:rPr>
                <w:sz w:val="13"/>
                <w:szCs w:val="13"/>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89"/>
              </w:rPr>
              <w:t>Fiscal 2011</w:t>
            </w: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Fiscal 2010</w:t>
            </w:r>
          </w:p>
        </w:tc>
        <w:tc>
          <w:tcPr>
            <w:tcW w:w="0" w:type="dxa"/>
            <w:vAlign w:val="bottom"/>
          </w:tcPr>
          <w:p>
            <w:pPr>
              <w:spacing w:after="0"/>
              <w:rPr>
                <w:sz w:val="1"/>
                <w:szCs w:val="1"/>
                <w:color w:val="auto"/>
              </w:rPr>
            </w:pPr>
          </w:p>
        </w:tc>
      </w:tr>
      <w:tr>
        <w:trPr>
          <w:trHeight w:val="138"/>
        </w:trPr>
        <w:tc>
          <w:tcPr>
            <w:tcW w:w="5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440"/>
              <w:spacing w:after="0" w:line="138" w:lineRule="exact"/>
              <w:rPr>
                <w:sz w:val="20"/>
                <w:szCs w:val="20"/>
                <w:color w:val="auto"/>
              </w:rPr>
            </w:pPr>
            <w:r>
              <w:rPr>
                <w:rFonts w:ascii="Arial" w:cs="Arial" w:eastAsia="Arial" w:hAnsi="Arial"/>
                <w:sz w:val="13"/>
                <w:szCs w:val="13"/>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5,859,218</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5,591,296</w:t>
            </w:r>
          </w:p>
        </w:tc>
        <w:tc>
          <w:tcPr>
            <w:tcW w:w="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5,122,633</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11"/>
        </w:trPr>
        <w:tc>
          <w:tcPr>
            <w:tcW w:w="5300" w:type="dxa"/>
            <w:vAlign w:val="bottom"/>
          </w:tcPr>
          <w:p>
            <w:pPr>
              <w:spacing w:after="0"/>
              <w:rPr>
                <w:sz w:val="20"/>
                <w:szCs w:val="20"/>
                <w:color w:val="auto"/>
              </w:rPr>
            </w:pPr>
            <w:r>
              <w:rPr>
                <w:rFonts w:ascii="Arial" w:cs="Arial" w:eastAsia="Arial" w:hAnsi="Arial"/>
                <w:sz w:val="17"/>
                <w:szCs w:val="17"/>
                <w:color w:val="auto"/>
              </w:rPr>
              <w:t>Operating costs and expenses: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revenue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2,934,378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2,836,955</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2,654,143</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Billable expenses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1,542,822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1,473,266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1,361,229</w:t>
            </w:r>
          </w:p>
        </w:tc>
        <w:tc>
          <w:tcPr>
            <w:tcW w:w="5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4.7%</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903,721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881,028</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811,944</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530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75,205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80,603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95,763</w:t>
            </w:r>
          </w:p>
        </w:tc>
        <w:tc>
          <w:tcPr>
            <w:tcW w:w="5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(6.7%)</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charge</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840"/>
              <w:spacing w:after="0"/>
              <w:rPr>
                <w:sz w:val="20"/>
                <w:szCs w:val="20"/>
                <w:color w:val="auto"/>
              </w:rPr>
            </w:pPr>
            <w:r>
              <w:rPr>
                <w:rFonts w:ascii="Arial" w:cs="Arial" w:eastAsia="Arial" w:hAnsi="Arial"/>
                <w:sz w:val="17"/>
                <w:szCs w:val="17"/>
                <w:color w:val="auto"/>
              </w:rPr>
              <w:t>Total operating costs and expenses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5,471,786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5,271,852</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4,923,079</w:t>
            </w:r>
          </w:p>
        </w:tc>
        <w:tc>
          <w:tcPr>
            <w:tcW w:w="5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3.8%</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387,432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319,444</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199,554</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11"/>
        </w:trPr>
        <w:tc>
          <w:tcPr>
            <w:tcW w:w="5300" w:type="dxa"/>
            <w:vAlign w:val="bottom"/>
          </w:tcPr>
          <w:p>
            <w:pPr>
              <w:spacing w:after="0"/>
              <w:rPr>
                <w:sz w:val="20"/>
                <w:szCs w:val="20"/>
                <w:color w:val="auto"/>
              </w:rPr>
            </w:pPr>
            <w:r>
              <w:rPr>
                <w:rFonts w:ascii="Arial" w:cs="Arial" w:eastAsia="Arial" w:hAnsi="Arial"/>
                <w:sz w:val="17"/>
                <w:szCs w:val="17"/>
                <w:color w:val="auto"/>
              </w:rPr>
              <w:t>Interest expense</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(48,078)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8"/>
              </w:rPr>
              <w:t>(131,892)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(150,734)</w:t>
            </w: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(63.5%)</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(59,488)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(107.6%)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(34,288.5%)</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420"/>
              <w:spacing w:after="0"/>
              <w:rPr>
                <w:sz w:val="20"/>
                <w:szCs w:val="20"/>
                <w:color w:val="auto"/>
              </w:rPr>
            </w:pPr>
            <w:r>
              <w:rPr>
                <w:rFonts w:ascii="Arial" w:cs="Arial" w:eastAsia="Arial" w:hAnsi="Arial"/>
                <w:sz w:val="17"/>
                <w:szCs w:val="17"/>
                <w:color w:val="auto"/>
              </w:rPr>
              <w:t>Income from operations and before income taxes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343,874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128,064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48,994</w:t>
            </w:r>
          </w:p>
        </w:tc>
        <w:tc>
          <w:tcPr>
            <w:tcW w:w="5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168.5%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103,919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23,575</w:t>
            </w: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139.6%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239,955</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84,694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25,419</w:t>
            </w:r>
          </w:p>
        </w:tc>
        <w:tc>
          <w:tcPr>
            <w:tcW w:w="5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183.3%</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233.2%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Fiscal 2012 Compared to Fiscal 2011</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w:t>
      </w:r>
    </w:p>
    <w:p>
      <w:pPr>
        <w:spacing w:after="0" w:line="94"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Revenue increased to $5,859.2 million from $5,591.3 million, or a 4.8% increase. The increase in revenue was primarily driven by improved deployment of direct consulting staff against funded backlog and increased other direct costs. We deployed during fiscal year 2012 approximately 300 net additional consulting staff, before taking into consideration the decrease in consulting staff due to the cost restructuring plan at the end of fiscal year 2012. The increase in net consulting staff during fiscal 2012 was offset by a reduction of personnel as a result of a cost restructuring plan finalized in the fourth quarter of fiscal year 2012 that was intended to reduce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51"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personnel and infrastructure costs. We implemented this in response to continued budget constraints and uncertainty in our industry and to provide funds to increase our resources dedicated to growth areas across our markets. As part of this cost restructuring plan, we reduced overall headcount by approximately 2%. Additions to funded backlog during fiscal 2012 totaled $6.4 billion, as a result of the conversion of unfunded backlog to funded backlog, the award of new contracts and task orders under which funding was appropriated, and the exercise and subsequent funding of priced options.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Cost of Revenue</w:t>
      </w:r>
    </w:p>
    <w:p>
      <w:pPr>
        <w:spacing w:after="0" w:line="94"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Cost of revenue increased to $2,934.4 million from $2,837.0 million, or a 3.4% increase. This increase was primarily due to increases in salaries and salary-related benefits of $110.3 million and employer retirement plan contributions of $12.7 million. The increase in salaries and salary-related benefits was driven by an increase in headcount growth prior to the impact of the cost restructuring plan finalized during the fourth quarter of fiscal 2012 and annual base salary increases. The increase in employer retirement plan contributions was due to an increase in the number of employees who completed one year of service and became eligible to participate in our defined contribution plan, the Employees’ Capital Accumulation Plan, or ECAP.</w:t>
      </w:r>
    </w:p>
    <w:p>
      <w:pPr>
        <w:spacing w:after="0" w:line="119" w:lineRule="exact"/>
        <w:rPr>
          <w:sz w:val="20"/>
          <w:szCs w:val="20"/>
          <w:color w:val="auto"/>
        </w:rPr>
      </w:pPr>
    </w:p>
    <w:p>
      <w:pPr>
        <w:ind w:right="100" w:firstLine="457"/>
        <w:spacing w:after="0" w:line="280" w:lineRule="auto"/>
        <w:rPr>
          <w:sz w:val="20"/>
          <w:szCs w:val="20"/>
          <w:color w:val="auto"/>
        </w:rPr>
      </w:pPr>
      <w:r>
        <w:rPr>
          <w:rFonts w:ascii="Arial" w:cs="Arial" w:eastAsia="Arial" w:hAnsi="Arial"/>
          <w:sz w:val="16"/>
          <w:szCs w:val="16"/>
          <w:color w:val="auto"/>
        </w:rPr>
        <w:t>The cost of revenue increase was partially offset by decreases of $25.2 million in incentive compensation and $5.1 million in stock-based compensation expense. The decrease in incentive compensation was due to an amendment to the Officers’ compensation plan effective October 1, 2010, such that a portion of incentive compensation is now paid via grants of restricted stock on July 1 of each year, rather than cash, and will vest over a three year period, and management’s determination to reduce incentive compensation accrual rates for fiscal year 2012 in response to higher than expected business development costs and marketing and bid and proposal activity as well as administrative costs associated with delays in deploying certain direct consulting staff labor. The decrease in stock-based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Cost of revenue as a percentage of revenue was 50.1% and 50.7% in fiscal 2012 and fiscal 2011, respectively.</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Billable Expenses</w:t>
      </w:r>
    </w:p>
    <w:p>
      <w:pPr>
        <w:spacing w:after="0" w:line="94" w:lineRule="exact"/>
        <w:rPr>
          <w:sz w:val="20"/>
          <w:szCs w:val="20"/>
          <w:color w:val="auto"/>
        </w:rPr>
      </w:pPr>
    </w:p>
    <w:p>
      <w:pPr>
        <w:ind w:right="160" w:firstLine="457"/>
        <w:spacing w:after="0" w:line="323" w:lineRule="auto"/>
        <w:rPr>
          <w:sz w:val="20"/>
          <w:szCs w:val="20"/>
          <w:color w:val="auto"/>
        </w:rPr>
      </w:pPr>
      <w:r>
        <w:rPr>
          <w:rFonts w:ascii="Arial" w:cs="Arial" w:eastAsia="Arial" w:hAnsi="Arial"/>
          <w:sz w:val="15"/>
          <w:szCs w:val="15"/>
          <w:color w:val="auto"/>
        </w:rPr>
        <w:t>Billable expenses increased to $1,542.8 million from $1,473.3 million, or a 4.7% increase. This increase was primarily due to increased subcontractor-related expenses of $80.7 million and increased travel and material expenses of $7.3 million. The increase in direct subcontractor expenses was in support of growth on existing and new contracts and task orders during fiscal 2012. Billable expenses as a percentage of revenue was 26.3% in fiscal 2012 and fiscal 2011, respectively.</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General and Administrative Expenses</w:t>
      </w:r>
    </w:p>
    <w:p>
      <w:pPr>
        <w:spacing w:after="0" w:line="94" w:lineRule="exact"/>
        <w:rPr>
          <w:sz w:val="20"/>
          <w:szCs w:val="20"/>
          <w:color w:val="auto"/>
        </w:rPr>
      </w:pPr>
    </w:p>
    <w:p>
      <w:pPr>
        <w:jc w:val="both"/>
        <w:ind w:right="440" w:firstLine="457"/>
        <w:spacing w:after="0" w:line="271" w:lineRule="auto"/>
        <w:rPr>
          <w:sz w:val="20"/>
          <w:szCs w:val="20"/>
          <w:color w:val="auto"/>
        </w:rPr>
      </w:pPr>
      <w:r>
        <w:rPr>
          <w:rFonts w:ascii="Arial" w:cs="Arial" w:eastAsia="Arial" w:hAnsi="Arial"/>
          <w:sz w:val="17"/>
          <w:szCs w:val="17"/>
          <w:color w:val="auto"/>
        </w:rPr>
        <w:t>General and administrative expenses increased to $903.7 million from $881.0 million, or a 2.6% increase. This increase was primarily due to increases in salaries and salary-related benefits of $56.6 million associated with an increase in average headcount and an increase of $15.8 million in other business-related expenses and professional fees to support the increased scale of our business.</w:t>
      </w:r>
    </w:p>
    <w:p>
      <w:pPr>
        <w:spacing w:after="0" w:line="12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increase in general and administrative expenses was partially offset by decreases of $31.3 million in incentive compensation, $12.5 million in stock-based compensation expenses and $5.9 million in employer retirement plan contributions. The decrease in incentive compensation was due to lower incentive compensation accrual rates for fiscal year 2012, and an amendment to the Officers’ compensation plan that was effective October 1, 2010, such that a portion of incentive compensation is now paid via grants of restricted stock on July 1 of each year, rather than cash, and will vest over a three year period. The decrease in stock-based compensation expense was primarily due to a decrease in expense recognition compared to the same prior year period due to the application of the accounting method for recognizing stock-based compensation, which requires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451"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60"/>
        <w:spacing w:after="0" w:line="354" w:lineRule="auto"/>
        <w:rPr>
          <w:sz w:val="20"/>
          <w:szCs w:val="20"/>
          <w:color w:val="auto"/>
        </w:rPr>
      </w:pPr>
      <w:r>
        <w:rPr>
          <w:rFonts w:ascii="Arial" w:cs="Arial" w:eastAsia="Arial" w:hAnsi="Arial"/>
          <w:sz w:val="15"/>
          <w:szCs w:val="15"/>
          <w:color w:val="auto"/>
        </w:rPr>
        <w:t>higher expenses initially and declining expenses in subsequent years. The decrease in employer retirement plan contributions was due to the associated decrease in incentive compensation. General and administrative expenses as a percentage of revenue were 15.4% and 15.8% for fiscal 2012 and fiscal 2011, respectively.</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Depreciation and Amortization</w:t>
      </w:r>
    </w:p>
    <w:p>
      <w:pPr>
        <w:spacing w:after="0" w:line="9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Depreciation and amortization decreased to $75.2 million from $80.6 million, or a 6.7% decrease. This decrease was primarily due to a decrease of $12.3 million in the amortization of our intangible assets, which includes below market rate leases and contract backlog that were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$16.4 million in fiscal 2012 compared to $28.6 million in fiscal 2011. The decrease in amortization expense was partially offset by an increase in depreciation expense associated with capital expenditures purchased during fiscal 2012 attributable to investments in facility expansion and computer equipment.</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Interest Expense</w:t>
      </w:r>
    </w:p>
    <w:p>
      <w:pPr>
        <w:spacing w:after="0" w:line="94" w:lineRule="exact"/>
        <w:rPr>
          <w:sz w:val="20"/>
          <w:szCs w:val="20"/>
          <w:color w:val="auto"/>
        </w:rPr>
      </w:pPr>
    </w:p>
    <w:p>
      <w:pPr>
        <w:jc w:val="both"/>
        <w:ind w:right="60" w:firstLine="457"/>
        <w:spacing w:after="0" w:line="284" w:lineRule="auto"/>
        <w:rPr>
          <w:sz w:val="20"/>
          <w:szCs w:val="20"/>
          <w:color w:val="auto"/>
        </w:rPr>
      </w:pPr>
      <w:r>
        <w:rPr>
          <w:rFonts w:ascii="Arial" w:cs="Arial" w:eastAsia="Arial" w:hAnsi="Arial"/>
          <w:sz w:val="17"/>
          <w:szCs w:val="17"/>
          <w:color w:val="auto"/>
        </w:rPr>
        <w:t>Interest expense decreased to $48.1 million from $131.9 million, or a 63.5% decrease. This decrease was primarily due to the refinancing of our senior secured loan facilities in February 2011 to lower interest rates during fiscal 2012.</w:t>
      </w:r>
    </w:p>
    <w:p>
      <w:pPr>
        <w:spacing w:after="0" w:line="117"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Interest is accrued on our $970.0 million outstanding debt principal balance as of March 31, 2012 at contractually specified rates ranging from 2.49% to 3.75%, and is generally required to be paid to our syndicate of lenders on a monthly or quarterly basis.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Income Tax Expense</w:t>
      </w:r>
    </w:p>
    <w:p>
      <w:pPr>
        <w:spacing w:after="0" w:line="94" w:lineRule="exact"/>
        <w:rPr>
          <w:sz w:val="20"/>
          <w:szCs w:val="20"/>
          <w:color w:val="auto"/>
        </w:rPr>
      </w:pPr>
    </w:p>
    <w:p>
      <w:pPr>
        <w:jc w:val="both"/>
        <w:ind w:right="80" w:firstLine="457"/>
        <w:spacing w:after="0" w:line="271" w:lineRule="auto"/>
        <w:rPr>
          <w:sz w:val="20"/>
          <w:szCs w:val="20"/>
          <w:color w:val="auto"/>
        </w:rPr>
      </w:pPr>
      <w:r>
        <w:rPr>
          <w:rFonts w:ascii="Arial" w:cs="Arial" w:eastAsia="Arial" w:hAnsi="Arial"/>
          <w:sz w:val="17"/>
          <w:szCs w:val="17"/>
          <w:color w:val="auto"/>
        </w:rPr>
        <w:t>Income tax expense increased to $103.9 million from $43.4 million, or a 139.6% increase. The increase was primarily due to an increase in fiscal 2012 pre-tax income as compared to fiscal 2011 partially offset by a lower effective tax rate. The effective tax rate decreased to 30.2% from 33.9% primarily due to the increase in the release of uncertain tax position reserves in fiscal 2012 as compared to fiscal 2011.</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Fiscal 2011 Compared to Fiscal 2010</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Revenue increased to $5,591.3 million from $5,122.6 million, or a 9.1% increase. The increase in revenue was primarily driven by the deployment during fiscal 2011 of approximately 1,500 net additional consulting staff against funded backlog. Consulting staff increased during the period due to recruiting efforts, resulting in additions to consulting staff in excess of attrition. Additions to funded backlog during fiscal 2011 totaled $7.5 billion, as a result of the conversion of unfunded backlog to funded backlog, the award of new contracts and task orders under which funding was appropriated, and the exercise and subsequent funding of priced options.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Cost of Revenue</w:t>
      </w:r>
    </w:p>
    <w:p>
      <w:pPr>
        <w:spacing w:after="0" w:line="94"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Cost of revenue increased to $2,837.0 million from $2,654.1 million, or a 6.9% increase. This increase was primarily due to increases in salaries and salary-related benefits of $183.3 million and employer retirement plan contributions of $13.9 million. The increase in salaries and salary-related benefits was driven by headcount growth of approximately 1,500 net additional consulting staff during fiscal 2011 and annual base salary increases. The increase in employer retirement plan contributions was due to an increase in the number of employees who completed one year of service and became eligible to participate in our defined contribution plan, the ECAP.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51"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cost of revenue increase was partially offset by decreases of $14.5 million in incentive compensation and $13.5 million in stock-based compensation expense for Rollover and EIP options for Class A Common Stock and restricted shares, in each case issued in connection with the acquisition (stock-based compensation expense related to Rollover options and restricted shares issued in connection with the acquisition and the initial grant of EIP options, collectively referred to as acquisition-related compensation expenses). The decrease in incentive compensation was primarily due to a decrease in the number of senior personnel eligible for incentive compensation engaged in day-to-day client management roles and an amendment to the officers’ compensation plan such that a portion of incentive compensation will be paid in stock-based compensation, rather than cash, and will vest over a three year period. The decrease in acquisition-related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The decrease in the number of senior personnel eligible for incentive compensation engaged in day-to-day client management roles and the related increase in the number of senior personnel eligible for incentive compensation engaged in internal management, development and strategic planning discussed under general and administrative expenses reflects an internal realignment of such senior personnel to better address the changing needs of our company primarily as a result of general business growth. Cost of revenue as a percentage of revenue was 50.7% and 51.8% in fiscal 2011 and fiscal 2010, respectively.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Billable Expenses</w:t>
      </w:r>
    </w:p>
    <w:p>
      <w:pPr>
        <w:spacing w:after="0" w:line="94"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Billable expenses increased to $1,473.3 million from $1,361.2 million, or an 8.2% increase. This increase was primarily due to increased subcontractor-related expenses of $108.6 million and was partially offset by decreases in travel and material expenses of $13.5 million. The increase in direct subcontractor expenses was primarily attributable to increased use of subcontractors. Billable expenses as a percentage of revenue were 26.3% and 26.6% in fiscal 2011 and fiscal 2010, respectively.</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General and Administrative Expenses</w:t>
      </w:r>
    </w:p>
    <w:p>
      <w:pPr>
        <w:spacing w:after="0" w:line="94"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General and administrative expenses increased to $881.0 million from $811.9 million, or an 8.5% increase. This increase was primarily due to increases in salaries and salary-related benefits of $68.6 million, incentive compensation of $6.0 million, employer retirement plan contributions of $4.4 million, and other expenses associated with increased headcount across our general corporate functions, including finance, accounting, legal, and human resources, to support our transition from a private to a public company and to support the increased scale of our business. The increase in incentive compensation was due to an increased number of senior personnel eligible for incentive compensation engaged in internal management, development, and strategic planning as a result of the internal realignment described above under Cost of Revenue. The increase in incentive compensation is net of the impact of the amendment to the officers’ compensation plan such that a portion of incentive compensation will be paid in stock-based compensation, rather than cash, and will vest over a three year period. Incentive compensation paid in cash is recognized ratably over the fiscal year, as compared to stock-based awards, which are recognized over the vesting period.</w:t>
      </w:r>
    </w:p>
    <w:p>
      <w:pPr>
        <w:spacing w:after="0" w:line="113"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The increase in general and administrative expenses was partially offset by a decrease of $22.6 million in acquisition-related compensation expenses. The decrease in acquisition-related compensation expense was primarily due to a decrease in expense recognition compared to the prior fiscal year due to the application of the accounting method for recognizing stock-based compensation, which requires higher expenses initially and declining expenses in subsequent years. General and administrative expenses as a percentage of revenue were 15.8% and 15.9% for fiscal 2011 and fiscal 2010,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Depreciation and Amortization</w:t>
      </w:r>
    </w:p>
    <w:p>
      <w:pPr>
        <w:spacing w:after="0" w:line="94"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Depreciation and amortization decreased to $80.6 million from $95.8 million, or a 15.8% decrease. This decrease was primarily due to a decrease of $12.0 million in the amortization of our intangible assets, which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0"/>
          </w:cols>
          <w:pgMar w:left="240" w:top="451" w:right="2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includes below market rate leases and contract backlog that were recorded in connection with the acquisition and are amortized based on contractual lease terms and projected future cash flows, respectively, thereby reflecting higher amortization expense initially and declining expense in subsequent periods. Intangible asset amortization expense decreased to $2.4 million per month in fiscal 2011 compared to $3.4 million per month in fiscal 2010.</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Interest Expense</w:t>
      </w:r>
    </w:p>
    <w:p>
      <w:pPr>
        <w:spacing w:after="0" w:line="94"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Interest expense decreased to $131.9 million from $150.7 million, or a 12.5% decrease. This decrease was primarily due to an $11.0 million decrease in contractually obligated interest expense as a result of the repayment of indebtedness outstanding under our mezzanine credit facility and the refinancing of our senior secured loan facilities at lower interest rates during fiscal 2011. The decrease was also due to a $5.8 million reduction in interest expense on the deferred payment obligation. In December 2009, we repaid $78.0 million of the original deferred payment obligation plus accrued interest of $22.4 million. Interest continues to be accrued subsequent to December 2009 on the remaining $80.0 million of the deferred payment obligation.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Income Tax Expense</w:t>
      </w:r>
    </w:p>
    <w:p>
      <w:pPr>
        <w:spacing w:after="0" w:line="9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effective tax rate decreased to 33.9% from 48.1% primarily due to the reduction in income tax reserves as a result of an expiring statute of limitations. Based on management’s conclusion that the uncertain tax positions related to the statute lapse were effectively settled, $11.0 million of tax reserves, including accrued interest and penalties, were released, which reduced the effective tax rate for fiscal 2011 by 8.6%.</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$484.4 million and $192.6 million in cash and cash equivalents as of March 31, 2012 and 2011, respectively. However, due to fluctuations in cash flows and the growth in operations,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53" w:lineRule="exact"/>
        <w:rPr>
          <w:sz w:val="20"/>
          <w:szCs w:val="20"/>
          <w:color w:val="auto"/>
        </w:rPr>
      </w:pPr>
    </w:p>
    <w:p>
      <w:pPr>
        <w:ind w:left="900" w:hanging="447"/>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operating expenses, including salaries;</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working capital requirements to fund the growth of our business;</w:t>
      </w:r>
    </w:p>
    <w:p>
      <w:pPr>
        <w:spacing w:after="0" w:line="94" w:lineRule="exact"/>
        <w:rPr>
          <w:rFonts w:ascii="Arial" w:cs="Arial" w:eastAsia="Arial" w:hAnsi="Arial"/>
          <w:sz w:val="17"/>
          <w:szCs w:val="17"/>
          <w:color w:val="auto"/>
        </w:rPr>
      </w:pPr>
    </w:p>
    <w:p>
      <w:pPr>
        <w:ind w:left="900" w:right="600" w:hanging="447"/>
        <w:spacing w:after="0" w:line="284"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capital expenditures which primarily relate to the purchase of computers, business systems, furniture and leasehold improvements to support our operations;</w:t>
      </w:r>
    </w:p>
    <w:p>
      <w:pPr>
        <w:spacing w:after="0" w:line="37" w:lineRule="exact"/>
        <w:rPr>
          <w:rFonts w:ascii="Arial" w:cs="Arial" w:eastAsia="Arial" w:hAnsi="Arial"/>
          <w:sz w:val="17"/>
          <w:szCs w:val="17"/>
          <w:color w:val="auto"/>
        </w:rPr>
      </w:pPr>
    </w:p>
    <w:p>
      <w:pPr>
        <w:ind w:left="900" w:hanging="447"/>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debt service requirements for borrowings under our senior secured loan facilities; and</w:t>
      </w:r>
    </w:p>
    <w:p>
      <w:pPr>
        <w:spacing w:after="0" w:line="94" w:lineRule="exact"/>
        <w:rPr>
          <w:rFonts w:ascii="Arial" w:cs="Arial" w:eastAsia="Arial" w:hAnsi="Arial"/>
          <w:sz w:val="17"/>
          <w:szCs w:val="17"/>
          <w:color w:val="auto"/>
        </w:rPr>
      </w:pPr>
    </w:p>
    <w:p>
      <w:pPr>
        <w:ind w:left="900" w:hanging="447"/>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cash taxes to be paid.</w:t>
      </w:r>
    </w:p>
    <w:p>
      <w:pPr>
        <w:spacing w:after="0" w:line="173"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Our debt totaled $965.4 million and $994.3 million as of March 31, 2012 and 2011, respectively. Our debt bears interest at specified rates and is held by a syndicate of lenders (see Note 11 in our consolidated financial statements).</w:t>
      </w:r>
    </w:p>
    <w:p>
      <w:pPr>
        <w:spacing w:after="0" w:line="117" w:lineRule="exact"/>
        <w:rPr>
          <w:sz w:val="20"/>
          <w:szCs w:val="20"/>
          <w:color w:val="auto"/>
        </w:rPr>
      </w:pPr>
    </w:p>
    <w:p>
      <w:pPr>
        <w:ind w:right="380" w:firstLine="457"/>
        <w:spacing w:after="0" w:line="267" w:lineRule="auto"/>
        <w:rPr>
          <w:sz w:val="20"/>
          <w:szCs w:val="20"/>
          <w:color w:val="auto"/>
        </w:rPr>
      </w:pPr>
      <w:r>
        <w:rPr>
          <w:rFonts w:ascii="Arial" w:cs="Arial" w:eastAsia="Arial" w:hAnsi="Arial"/>
          <w:sz w:val="17"/>
          <w:szCs w:val="17"/>
          <w:color w:val="auto"/>
        </w:rPr>
        <w:t>Our senior secured loan facilities consist of a $500.0 million Tranche A term facility, or Tranche A Loans, and a $500.0 million Tranche B term facility, or Tranche B Loans. As of March 31, 2012 we had $475.0 million and $495.0 million principal outstanding under the Tranche A term facility and Tranche B term facility, respectively. As of March 31, 2011 we had $500 million principal outstanding under both the Tranche A term facility and Tranche B term facility, respectively.</w:t>
      </w:r>
    </w:p>
    <w:p>
      <w:pPr>
        <w:spacing w:after="0" w:line="13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From time to time we evaluate alternative uses for excess cash resources including debt prepayments, payment of dividends, share repurchases or funding acquisitions. Any determination to pursue one or more of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451" w:right="2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2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On December 12, 2011, our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March 31, 2012, no shares have been repurchased under the program.</w:t>
      </w:r>
    </w:p>
    <w:p>
      <w:pPr>
        <w:spacing w:after="0" w:line="131"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On February 1, 2012, our Board of Directors authorized and declared a cash dividend in the amount of $0.09 per share to holders of Booz Allen Holding’s Class A Common Stock, Class B Non-Voting Common Stock and Class C Restricted Common Stock. The dividend was paid in cash on February 29, 2012 to stockholders of record at the close of business on February 13, 2012. On February 1, 2012, our Board of Directors also authorized the payment of the accrued interest on the DPO as of February 29, 2012. Approximately $19.4 million was paid.</w:t>
      </w:r>
    </w:p>
    <w:p>
      <w:pPr>
        <w:spacing w:after="0" w:line="131"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On May 29, 2012, our Board of Directors authorized and declared a regular quarterly cash dividend in the amount of $0.09 per share. In addition, the Board of Directors declared a special cash dividend of $1.50 per share. Both the quarterly and special dividend are payable on June 29, 2012 to shareholders of record on June 11, 2012. The Compensation Committee, as the Administrator of the Officers’ Rollover Stock Plan and the Amended and Restated Equity Incentive Plan, made a determination to adjust the outstanding options under each plan by reducing the exercise price of the Rollover Options by the amount of the special dividend and by granting the holders of EIP options a dividend equivalent equal to the special dividend and payable on June 29, 2012 or the vesting of the EIP option, whichever is later.</w:t>
      </w:r>
    </w:p>
    <w:p>
      <w:pPr>
        <w:spacing w:after="0" w:line="137"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On May 29, 2012, our Board of Directors also authorized the payment of the accrued interest on the DPO as of July 31, 2012. We expect approximately $3.4 million will be paid on that date.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9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We experienced a slight shift to fixed-price contracts year over year resulting in no material impact to operating cash flow. In addition, a number of our contracts may provide for performance-based payments, which allow us to bill and collect cash prior to completing the work.</w:t>
      </w:r>
    </w:p>
    <w:p>
      <w:pPr>
        <w:spacing w:after="0" w:line="133"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 plus-award-fee contracts. The total amount of our accounts receivable can vary significantly over time, but is generally sensitive to revenue levels. Total accounts receivable (billed and unbilled combined, net of allowance for doubtful accounts) days sales outstanding, which we calculate by dividing total accounts receivable by revenue per day during the relevant fiscal quarter, was 65 and 68 as of March 31, 2012 and 2011, respectively.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51"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our net cash flows for the periods presented:</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w w:val="94"/>
              </w:rPr>
              <w:t>Fiscal Year Ended March 31,</w:t>
            </w: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auto"/>
            </w:tcBorders>
          </w:tcPr>
          <w:p>
            <w:pPr>
              <w:jc w:val="right"/>
              <w:ind w:right="124"/>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2011</w:t>
            </w: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440"/>
              <w:spacing w:after="0" w:line="138" w:lineRule="exact"/>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$360,046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$ 296,339</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$ 270,484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(53,593)</w:t>
            </w:r>
          </w:p>
        </w:tc>
        <w:tc>
          <w:tcPr>
            <w:tcW w:w="1720" w:type="dxa"/>
            <w:vAlign w:val="bottom"/>
            <w:gridSpan w:val="3"/>
          </w:tcPr>
          <w:p>
            <w:pPr>
              <w:jc w:val="right"/>
              <w:ind w:right="480"/>
              <w:spacing w:after="0"/>
              <w:rPr>
                <w:sz w:val="20"/>
                <w:szCs w:val="20"/>
                <w:color w:val="auto"/>
              </w:rPr>
            </w:pPr>
            <w:r>
              <w:rPr>
                <w:rFonts w:ascii="Arial" w:cs="Arial" w:eastAsia="Arial" w:hAnsi="Arial"/>
                <w:sz w:val="17"/>
                <w:szCs w:val="17"/>
                <w:color w:val="auto"/>
              </w:rPr>
              <w:t>(87,400)</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(10,991)</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(14,716)</w:t>
            </w: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(324,143)</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(372,560)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rPr>
              <w:t>Total increase (decrease) in cash and cash equivalents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291,737</w:t>
            </w:r>
          </w:p>
        </w:tc>
        <w:tc>
          <w:tcPr>
            <w:tcW w:w="10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(115,204)</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 xml:space="preserve"> (113,067)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Cash from Operating Activities</w:t>
      </w:r>
    </w:p>
    <w:p>
      <w:pPr>
        <w:spacing w:after="0" w:line="94"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Net cash from operations is primarily affected by the profitability to date of our contracts, our ability to invoice and collect from clients in a timely manner, and our ability to manage our vendor payments. Net cash provided by operations was $360.0 million in fiscal 2012 compared to $296.3 million in the prior year period, or a 21.5% increase. The increase in net cash provided by operations was primarily due to net income growth and improved collections of accounts receivable, partially offset by increased cash used for accrued compensation and benefits. In addition, our tax payments increased by $81.6 million in fiscal 2012 due to the utilization of our NOL.</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Cash from Investing Activities</w:t>
      </w:r>
    </w:p>
    <w:p>
      <w:pPr>
        <w:spacing w:after="0" w:line="94" w:lineRule="exact"/>
        <w:rPr>
          <w:sz w:val="20"/>
          <w:szCs w:val="20"/>
          <w:color w:val="auto"/>
        </w:rPr>
      </w:pPr>
    </w:p>
    <w:p>
      <w:pPr>
        <w:ind w:right="60" w:firstLine="457"/>
        <w:spacing w:after="0" w:line="313" w:lineRule="auto"/>
        <w:rPr>
          <w:sz w:val="20"/>
          <w:szCs w:val="20"/>
          <w:color w:val="auto"/>
        </w:rPr>
      </w:pPr>
      <w:r>
        <w:rPr>
          <w:rFonts w:ascii="Arial" w:cs="Arial" w:eastAsia="Arial" w:hAnsi="Arial"/>
          <w:sz w:val="15"/>
          <w:szCs w:val="15"/>
          <w:color w:val="auto"/>
        </w:rPr>
        <w:t>Net cash used in investing activities was $53.6 million in fiscal 2012 compared to $87.4 million in the prior year period. The decrease in net cash used in investing activities was primarily due to cash proceeds received of $23.3 million from the sale of our state and local transportation business. Capital expenditures also decreased from $88.8 million in fiscal 2011 to $76.9 million in fiscal 2012. Capital expenditures in fiscal 2011 were higher due to the additional facility expansion and computer equipment to support the increase in headcount. We expect capital expenditures in future years to be more comparable to historical levels.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Cash from Financing Activities</w:t>
      </w:r>
    </w:p>
    <w:p>
      <w:pPr>
        <w:spacing w:after="0" w:line="94" w:lineRule="exact"/>
        <w:rPr>
          <w:sz w:val="20"/>
          <w:szCs w:val="20"/>
          <w:color w:val="auto"/>
        </w:rPr>
      </w:pPr>
    </w:p>
    <w:p>
      <w:pPr>
        <w:jc w:val="both"/>
        <w:ind w:right="20" w:firstLine="457"/>
        <w:spacing w:after="0" w:line="271" w:lineRule="auto"/>
        <w:rPr>
          <w:sz w:val="20"/>
          <w:szCs w:val="20"/>
          <w:color w:val="auto"/>
        </w:rPr>
      </w:pPr>
      <w:r>
        <w:rPr>
          <w:rFonts w:ascii="Arial" w:cs="Arial" w:eastAsia="Arial" w:hAnsi="Arial"/>
          <w:sz w:val="17"/>
          <w:szCs w:val="17"/>
          <w:color w:val="auto"/>
        </w:rPr>
        <w:t>Net cash used in financing activities was $14.8 million in fiscal 2012 compared to $324.1 million in the prior year period, or a 95.4% decrease. The decrease in net cash used in financing activities was primarily due to the repayment of debt in fiscal 2011, offset by a decrease in net proceeds from the issuance of common stock due to our initial public offering in fiscal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Indebtedness</w:t>
      </w:r>
    </w:p>
    <w:p>
      <w:pPr>
        <w:spacing w:after="0" w:line="10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On February 3, 2011, we completed the refinancing of our credit facilities, or “the Refinancing Transaction,” which included amendments of the senior secured credit agreement to amend the term loan facilities and increase our revolving credit facility. The senior secured credit agreement, as amended, provides for $1.0 billion in term loans ($500.0 million of Tranche A Loans and $500.0 million of Tranche B Loans) and a $275.0 million revolving credit facility. The loans under the senior secured credit agreement, as amended, are secured by substantially all of our assets. In connection with the Refinancing Transaction, we used $268.9 million of cash on hand to repay the remaining $222.1 million of indebtedness outstanding under the mezzanine credit facility, $21.5 million under the then effective senior secured loan facilities, and transaction fees and expenses.</w:t>
      </w:r>
    </w:p>
    <w:p>
      <w:pPr>
        <w:spacing w:after="0" w:line="137"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In accordance with the terms of the mezzanine credit facility, we paid a prepayment penalty of $6.7 million, or 3.00% of the principal repayment amount. In addition, we accelerated the amortization of ratable portions of DIC and OID associated with the senior secured loan facilities in the amount of $11.4 million and $6.4 million,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1"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respectively, and the remaining DIC and OID on the mezzanine credit facility in the amount of $8.3 million and $1.8 million, respectively. These amounts are reflected in other, net in fiscal 2011. Furthermore, we expensed third party DIC of $4.3 million that did not qualify for deferral and were recognized in general and administrative expenses in fiscal 2011.</w:t>
      </w:r>
    </w:p>
    <w:p>
      <w:pPr>
        <w:spacing w:after="0" w:line="128" w:lineRule="exact"/>
        <w:rPr>
          <w:sz w:val="20"/>
          <w:szCs w:val="20"/>
          <w:color w:val="auto"/>
        </w:rPr>
      </w:pPr>
    </w:p>
    <w:p>
      <w:pPr>
        <w:ind w:right="200" w:firstLine="457"/>
        <w:spacing w:after="0" w:line="317" w:lineRule="auto"/>
        <w:rPr>
          <w:sz w:val="20"/>
          <w:szCs w:val="20"/>
          <w:color w:val="auto"/>
        </w:rPr>
      </w:pPr>
      <w:r>
        <w:rPr>
          <w:rFonts w:ascii="Arial" w:cs="Arial" w:eastAsia="Arial" w:hAnsi="Arial"/>
          <w:sz w:val="16"/>
          <w:szCs w:val="16"/>
          <w:color w:val="auto"/>
        </w:rPr>
        <w:t>We maintain a senior secured credit agreement, as amended, with a syndicate of lenders. The senior secured credit agreement, as amended, provides for $1.0 billion in term loans ($500.0 million of Tranche A loans and $500.0 million of Tranche B loans) and a $275.0 million revolving credit facility.</w:t>
      </w:r>
    </w:p>
    <w:p>
      <w:pPr>
        <w:spacing w:after="0" w:line="93" w:lineRule="exact"/>
        <w:rPr>
          <w:sz w:val="20"/>
          <w:szCs w:val="20"/>
          <w:color w:val="auto"/>
        </w:rPr>
      </w:pPr>
    </w:p>
    <w:p>
      <w:pPr>
        <w:ind w:right="360" w:firstLine="457"/>
        <w:spacing w:after="0" w:line="267" w:lineRule="auto"/>
        <w:rPr>
          <w:sz w:val="20"/>
          <w:szCs w:val="20"/>
          <w:color w:val="auto"/>
        </w:rPr>
      </w:pPr>
      <w:r>
        <w:rPr>
          <w:rFonts w:ascii="Arial" w:cs="Arial" w:eastAsia="Arial" w:hAnsi="Arial"/>
          <w:sz w:val="17"/>
          <w:szCs w:val="17"/>
          <w:color w:val="auto"/>
        </w:rPr>
        <w:t>The senior secured credit agreement, as amended, requires quarterly principal payments of 1.25% of the stated principal amount of Tranche A Loans, with annual incremental increases to 1.875%, 2.50%, 3.125%, and 16.25%, prior to the Tranche A Loans maturity date of February 3, 2016, and 0.25% of the stated principal amount of Tranche B Loans, with the remaining balance payable on the Tranche B Loans maturity date of August 3, 2017. The revolving credit facility matures on July 31, 2014, at which time any outstanding principal balance is due in full.</w:t>
      </w:r>
    </w:p>
    <w:p>
      <w:pPr>
        <w:spacing w:after="0" w:line="131" w:lineRule="exact"/>
        <w:rPr>
          <w:sz w:val="20"/>
          <w:szCs w:val="20"/>
          <w:color w:val="auto"/>
        </w:rPr>
      </w:pPr>
    </w:p>
    <w:p>
      <w:pPr>
        <w:ind w:firstLine="457"/>
        <w:spacing w:after="0" w:line="300" w:lineRule="auto"/>
        <w:rPr>
          <w:sz w:val="20"/>
          <w:szCs w:val="20"/>
          <w:color w:val="auto"/>
        </w:rPr>
      </w:pPr>
      <w:r>
        <w:rPr>
          <w:rFonts w:ascii="Arial" w:cs="Arial" w:eastAsia="Arial" w:hAnsi="Arial"/>
          <w:sz w:val="15"/>
          <w:szCs w:val="15"/>
          <w:color w:val="auto"/>
        </w:rPr>
        <w:t>At our option, the interest rate on borrowings under the senior secured loan facilities may be based on the Eurocurrency rate or the alternate base rate, ABR plus, in each case, an applicable margin, subject to the Eurocurrency rate and ABR being no lower than 1.00% or 2.00% respectively, in the case of Tranche B Loans. Subject to a leveraged based pricing grid, the applicable margins on Tranche A Loans range from 2.00% to 2.75% with respect to Eurocurrency loans, or 1.00% to 1.75% with respect to ABR loans. The applicable margins on Tranche B Loans are 3.00% with respect to Eurocurrency loans, or 4.00% with respect to the ABR loans, stepping down, in each case to 2.75% and 3.75%, respectively, when the total leverage ratio is less than or equal to 1.75 to 1.00. The revolving credit facility margin and commitment fee are subject to the leveraged based pricing grid, as set forth in the senior secured credit agreement, as amended. As of March 31, 2012, we were contingently liable under open standby letters of credit and bank guarantees issued by our banks in favor of third parties that total $2.2 million. These letters of credit and bank guarantees primarily relate to leases and support of insurance obligations. These instruments reduce our available borrowings under the revolving credit facility. As of March 31, 2012, we had $272.8 million of capacity available for additional borrowings under the revolving credit facility.</w:t>
      </w:r>
    </w:p>
    <w:p>
      <w:pPr>
        <w:spacing w:after="0" w:line="114" w:lineRule="exact"/>
        <w:rPr>
          <w:sz w:val="20"/>
          <w:szCs w:val="20"/>
          <w:color w:val="auto"/>
        </w:rPr>
      </w:pPr>
    </w:p>
    <w:p>
      <w:pPr>
        <w:ind w:right="340" w:firstLine="457"/>
        <w:spacing w:after="0" w:line="285" w:lineRule="auto"/>
        <w:rPr>
          <w:sz w:val="20"/>
          <w:szCs w:val="20"/>
          <w:color w:val="auto"/>
        </w:rPr>
      </w:pPr>
      <w:r>
        <w:rPr>
          <w:rFonts w:ascii="Arial" w:cs="Arial" w:eastAsia="Arial" w:hAnsi="Arial"/>
          <w:sz w:val="16"/>
          <w:szCs w:val="16"/>
          <w:color w:val="auto"/>
        </w:rPr>
        <w:t>The loans under the senior secured credit agreement, as amended, are secured by substantially all of our assets and none of such assets will be available to satisfy the claims of our general creditors. The senior secured credit agreement contains customary representations and warranties and customary affirmative and negative covenants. The negative covenants are limited to the following: limitations on indebtedness and liens, mergers, consolidations or amalgamations, or liquidations, wind-ups or dissolutions; dispositions of property; restricted payments; investments; transactions with affiliates; sale and lease back transactions; negative pledges; restrictive agreements; and certain other limitations or activities.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we are required to meet the following financial covenants at each quarter end:</w:t>
      </w:r>
    </w:p>
    <w:p>
      <w:pPr>
        <w:spacing w:after="0" w:line="94" w:lineRule="exact"/>
        <w:rPr>
          <w:sz w:val="20"/>
          <w:szCs w:val="20"/>
          <w:color w:val="auto"/>
        </w:rPr>
      </w:pPr>
    </w:p>
    <w:p>
      <w:pPr>
        <w:ind w:left="900" w:hanging="447"/>
        <w:spacing w:after="0" w:line="265"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Consolidated Total Leverage Ratio </w:t>
      </w:r>
      <w:r>
        <w:rPr>
          <w:rFonts w:ascii="Arial" w:cs="Arial" w:eastAsia="Arial" w:hAnsi="Arial"/>
          <w:sz w:val="17"/>
          <w:szCs w:val="17"/>
          <w:color w:val="auto"/>
        </w:rPr>
        <w:t>— the ratio of total leverage as of the last day of the quarter (defined as the aggregate principal amount of all funded</w:t>
      </w:r>
      <w:r>
        <w:rPr>
          <w:rFonts w:ascii="Arial" w:cs="Arial" w:eastAsia="Arial" w:hAnsi="Arial"/>
          <w:sz w:val="17"/>
          <w:szCs w:val="17"/>
          <w:i w:val="1"/>
          <w:iCs w:val="1"/>
          <w:color w:val="auto"/>
        </w:rPr>
        <w:t xml:space="preserve"> </w:t>
      </w:r>
      <w:r>
        <w:rPr>
          <w:rFonts w:ascii="Arial" w:cs="Arial" w:eastAsia="Arial" w:hAnsi="Arial"/>
          <w:sz w:val="17"/>
          <w:szCs w:val="17"/>
          <w:color w:val="auto"/>
        </w:rPr>
        <w:t>debt, less cash, cash equivalents and permitted liquid investments of up to $150.0 million) to the preceding four quarters’ “Consolidated EBITDA” (as defined in the senior secured credit agreement, as amended). For the period ended March 31, 2012, this ratio was required to be less than or equal to 3.75 to 1.0 to comply with our senior secured loan facilities. As of March 31, 2012, we were in compliance with our consolidated total leverage ratio with a ratio of 1.60.</w:t>
      </w:r>
    </w:p>
    <w:p>
      <w:pPr>
        <w:spacing w:after="0" w:line="53" w:lineRule="exact"/>
        <w:rPr>
          <w:rFonts w:ascii="Arial" w:cs="Arial" w:eastAsia="Arial" w:hAnsi="Arial"/>
          <w:sz w:val="17"/>
          <w:szCs w:val="17"/>
          <w:color w:val="auto"/>
        </w:rPr>
      </w:pPr>
    </w:p>
    <w:p>
      <w:pPr>
        <w:ind w:left="900" w:hanging="447"/>
        <w:spacing w:after="0" w:line="271"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Consolidated Net Interest Coverage Ratio </w:t>
      </w:r>
      <w:r>
        <w:rPr>
          <w:rFonts w:ascii="Arial" w:cs="Arial" w:eastAsia="Arial" w:hAnsi="Arial"/>
          <w:sz w:val="17"/>
          <w:szCs w:val="17"/>
          <w:color w:val="auto"/>
        </w:rPr>
        <w:t>— the ratio of the preceding four quarters’ “Consolidated EBITDA” (as defined in the senior secured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as amended) to net interest expense for the preceding four quarters (defined as cash interest expense, less the sum of cash interest income and one-time financing fees (to the extent included in consolidated interest expense)). For the period ended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380"/>
          </w:cols>
          <w:pgMar w:left="240" w:top="451" w:right="2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20" w:right="40"/>
        <w:spacing w:after="0" w:line="284" w:lineRule="auto"/>
        <w:rPr>
          <w:sz w:val="20"/>
          <w:szCs w:val="20"/>
          <w:color w:val="auto"/>
        </w:rPr>
      </w:pPr>
      <w:r>
        <w:rPr>
          <w:rFonts w:ascii="Arial" w:cs="Arial" w:eastAsia="Arial" w:hAnsi="Arial"/>
          <w:sz w:val="17"/>
          <w:szCs w:val="17"/>
          <w:color w:val="auto"/>
        </w:rPr>
        <w:t>March 31, 2012, this ratio was required to be greater than or equal to 3.25 to 1.0 to comply with our senior secured loan facilities. As of March 31, 2012, we were in compliance with our consolidated net interest coverage ratio with a ratio of 15.85.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the February 2011 Refinancing Transaction, our then existing senior secured credit agreement provided for $1,060.0 million in term loans</w:t>
      </w:r>
    </w:p>
    <w:p>
      <w:pPr>
        <w:spacing w:after="0" w:line="21"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($125.0 million Tranche A Loans, $585.0 million Tranche B Loans, and $350.0 million Tranche C terms loans), and a $245.0 million revolving credit facility. Prior to the February 2011 Refinancing Transaction, our then existing mezzanine credit agreement provided for a $550.0 million term loan.</w:t>
      </w:r>
    </w:p>
    <w:p>
      <w:pPr>
        <w:spacing w:after="0" w:line="122" w:lineRule="exact"/>
        <w:rPr>
          <w:sz w:val="20"/>
          <w:szCs w:val="20"/>
          <w:color w:val="auto"/>
        </w:rPr>
      </w:pPr>
    </w:p>
    <w:p>
      <w:pPr>
        <w:ind w:right="120" w:firstLine="457"/>
        <w:spacing w:after="0" w:line="288" w:lineRule="auto"/>
        <w:rPr>
          <w:sz w:val="20"/>
          <w:szCs w:val="20"/>
          <w:color w:val="auto"/>
        </w:rPr>
      </w:pPr>
      <w:r>
        <w:rPr>
          <w:rFonts w:ascii="Arial" w:cs="Arial" w:eastAsia="Arial" w:hAnsi="Arial"/>
          <w:sz w:val="16"/>
          <w:szCs w:val="16"/>
          <w:color w:val="auto"/>
        </w:rPr>
        <w:t>During fiscal 2012, interest payments of $14.4 million and $20.2 million, were made for Tranche A term loans and Tranche B term loans, respectively. During fiscal 2011, interest payments of $3.9 million, $37.0 million, $19.1 million, $49.9 million, and $46,000 were made for Tranche A term loans, Tranche B term loans, Tranche C terms loans, the mezzanine term loan, and the revolving credit facility, respectively. In February 2011, we drew down $50 million on the revolving credit facility, which was fully repaid as of March 31, 2011. As of March 31, 2012, no amounts were drawn on the revolving credit facility.</w:t>
      </w:r>
    </w:p>
    <w:p>
      <w:pPr>
        <w:spacing w:after="0" w:line="118"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total outstanding debt balance is recorded in the accompanying consolidated balance sheets net of unamortized discount of $4.6 million and $5.7 million as of March 31, 2012 and 2011,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Structure and Resources</w:t>
      </w:r>
    </w:p>
    <w:p>
      <w:pPr>
        <w:spacing w:after="0" w:line="100"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Our stockholders’ equity amounted to $1,185.2 million as of March 31, 2012, an increase of $277.9 million compared to stockholders’ equity of $907.3 million as of March 31, 2011 primarily due to common stock issuances, stock option exercises, net income of $240.0 million in fiscal 2012, and stock-based compensation expense of $31.3 million.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2012, we did not have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00"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The following table summarizes our contractual obligations that require us to make future cash payments as of March 31, 2012. For contractual obligations, we included payments that we have an unconditional obligation to make.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center"/>
              <w:ind w:left="438"/>
              <w:spacing w:after="0"/>
              <w:rPr>
                <w:sz w:val="20"/>
                <w:szCs w:val="20"/>
                <w:color w:val="auto"/>
              </w:rPr>
            </w:pPr>
            <w:r>
              <w:rPr>
                <w:rFonts w:ascii="Arial" w:cs="Arial" w:eastAsia="Arial" w:hAnsi="Arial"/>
                <w:sz w:val="13"/>
                <w:szCs w:val="13"/>
                <w:color w:val="auto"/>
                <w:w w:val="90"/>
              </w:rPr>
              <w:t>Payments Due by Period</w:t>
            </w: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6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3"/>
                <w:szCs w:val="13"/>
                <w:color w:val="auto"/>
                <w:w w:val="98"/>
              </w:rPr>
              <w:t>Less Than</w:t>
            </w:r>
          </w:p>
        </w:tc>
        <w:tc>
          <w:tcPr>
            <w:tcW w:w="320" w:type="dxa"/>
            <w:vAlign w:val="bottom"/>
          </w:tcPr>
          <w:p>
            <w:pPr>
              <w:spacing w:after="0"/>
              <w:rPr>
                <w:sz w:val="11"/>
                <w:szCs w:val="11"/>
                <w:color w:val="auto"/>
              </w:rPr>
            </w:pPr>
          </w:p>
        </w:tc>
        <w:tc>
          <w:tcPr>
            <w:tcW w:w="1000" w:type="dxa"/>
            <w:vAlign w:val="bottom"/>
            <w:gridSpan w:val="2"/>
          </w:tcPr>
          <w:p>
            <w:pPr>
              <w:ind w:left="200"/>
              <w:spacing w:after="0" w:line="129" w:lineRule="exact"/>
              <w:rPr>
                <w:sz w:val="20"/>
                <w:szCs w:val="20"/>
                <w:color w:val="auto"/>
              </w:rPr>
            </w:pPr>
            <w:r>
              <w:rPr>
                <w:rFonts w:ascii="Arial" w:cs="Arial" w:eastAsia="Arial" w:hAnsi="Arial"/>
                <w:sz w:val="13"/>
                <w:szCs w:val="13"/>
                <w:color w:val="auto"/>
              </w:rPr>
              <w:t>1 to 3</w:t>
            </w:r>
          </w:p>
        </w:tc>
        <w:tc>
          <w:tcPr>
            <w:tcW w:w="20" w:type="dxa"/>
            <w:vAlign w:val="bottom"/>
          </w:tcPr>
          <w:p>
            <w:pPr>
              <w:spacing w:after="0"/>
              <w:rPr>
                <w:sz w:val="11"/>
                <w:szCs w:val="11"/>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3"/>
                <w:szCs w:val="13"/>
                <w:color w:val="auto"/>
              </w:rPr>
              <w:t>3 to 5</w:t>
            </w:r>
          </w:p>
        </w:tc>
        <w:tc>
          <w:tcPr>
            <w:tcW w:w="16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More Than</w:t>
            </w:r>
          </w:p>
        </w:tc>
        <w:tc>
          <w:tcPr>
            <w:tcW w:w="100" w:type="dxa"/>
            <w:vAlign w:val="bottom"/>
          </w:tcPr>
          <w:p>
            <w:pPr>
              <w:spacing w:after="0"/>
              <w:rPr>
                <w:sz w:val="11"/>
                <w:szCs w:val="11"/>
                <w:color w:val="auto"/>
              </w:rPr>
            </w:pPr>
          </w:p>
        </w:tc>
      </w:tr>
      <w:tr>
        <w:trPr>
          <w:trHeight w:val="154"/>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160"/>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3"/>
                <w:szCs w:val="13"/>
                <w:color w:val="auto"/>
              </w:rPr>
            </w:pPr>
          </w:p>
        </w:tc>
        <w:tc>
          <w:tcPr>
            <w:tcW w:w="580" w:type="dxa"/>
            <w:vAlign w:val="bottom"/>
          </w:tcPr>
          <w:p>
            <w:pPr>
              <w:jc w:val="right"/>
              <w:ind w:right="98"/>
              <w:spacing w:after="0"/>
              <w:rPr>
                <w:sz w:val="20"/>
                <w:szCs w:val="20"/>
                <w:color w:val="auto"/>
              </w:rPr>
            </w:pPr>
            <w:r>
              <w:rPr>
                <w:rFonts w:ascii="Arial" w:cs="Arial" w:eastAsia="Arial" w:hAnsi="Arial"/>
                <w:sz w:val="13"/>
                <w:szCs w:val="13"/>
                <w:color w:val="auto"/>
                <w:w w:val="99"/>
              </w:rPr>
              <w:t>1 Year</w:t>
            </w:r>
          </w:p>
        </w:tc>
        <w:tc>
          <w:tcPr>
            <w:tcW w:w="32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Years</w:t>
            </w:r>
          </w:p>
        </w:tc>
        <w:tc>
          <w:tcPr>
            <w:tcW w:w="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Years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color w:val="auto"/>
              </w:rPr>
              <w:t>5 years</w:t>
            </w:r>
          </w:p>
        </w:tc>
      </w:tr>
      <w:tr>
        <w:trPr>
          <w:trHeight w:val="138"/>
        </w:trPr>
        <w:tc>
          <w:tcPr>
            <w:tcW w:w="6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40"/>
              <w:spacing w:after="0" w:line="138" w:lineRule="exact"/>
              <w:rPr>
                <w:sz w:val="20"/>
                <w:szCs w:val="20"/>
                <w:color w:val="auto"/>
              </w:rPr>
            </w:pPr>
            <w:r>
              <w:rPr>
                <w:rFonts w:ascii="Arial" w:cs="Arial" w:eastAsia="Arial" w:hAnsi="Arial"/>
                <w:sz w:val="13"/>
                <w:szCs w:val="13"/>
                <w:color w:val="auto"/>
                <w:w w:val="91"/>
              </w:rPr>
              <w:t>(In thousands)</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Long-term debt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$ 122,500</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2"/>
              </w:rPr>
              <w:t>$ 335,000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470,000</w:t>
            </w:r>
          </w:p>
        </w:tc>
        <w:tc>
          <w:tcPr>
            <w:tcW w:w="100" w:type="dxa"/>
            <w:vAlign w:val="bottom"/>
            <w:shd w:val="clear" w:color="auto" w:fill="CCEEFF"/>
          </w:tcPr>
          <w:p>
            <w:pPr>
              <w:spacing w:after="0"/>
              <w:rPr>
                <w:sz w:val="18"/>
                <w:szCs w:val="18"/>
                <w:color w:val="auto"/>
              </w:rPr>
            </w:pPr>
          </w:p>
        </w:tc>
      </w:tr>
      <w:tr>
        <w:trPr>
          <w:trHeight w:val="211"/>
        </w:trPr>
        <w:tc>
          <w:tcPr>
            <w:tcW w:w="640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350,911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82,426</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142,195</w:t>
            </w:r>
          </w:p>
        </w:tc>
        <w:tc>
          <w:tcPr>
            <w:tcW w:w="3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74,748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51,542</w:t>
            </w:r>
          </w:p>
        </w:tc>
        <w:tc>
          <w:tcPr>
            <w:tcW w:w="100" w:type="dxa"/>
            <w:vAlign w:val="bottom"/>
          </w:tcPr>
          <w:p>
            <w:pPr>
              <w:spacing w:after="0"/>
              <w:rPr>
                <w:sz w:val="18"/>
                <w:szCs w:val="18"/>
                <w:color w:val="auto"/>
              </w:rPr>
            </w:pP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Interest on indebtedness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134,359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56,716</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41,044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6,115</w:t>
            </w:r>
          </w:p>
        </w:tc>
      </w:tr>
      <w:tr>
        <w:trPr>
          <w:trHeight w:val="211"/>
        </w:trPr>
        <w:tc>
          <w:tcPr>
            <w:tcW w:w="6400" w:type="dxa"/>
            <w:vAlign w:val="bottom"/>
          </w:tcPr>
          <w:p>
            <w:pPr>
              <w:spacing w:after="0"/>
              <w:rPr>
                <w:sz w:val="20"/>
                <w:szCs w:val="20"/>
                <w:color w:val="auto"/>
              </w:rPr>
            </w:pPr>
            <w:r>
              <w:rPr>
                <w:rFonts w:ascii="Arial" w:cs="Arial" w:eastAsia="Arial" w:hAnsi="Arial"/>
                <w:sz w:val="17"/>
                <w:szCs w:val="17"/>
                <w:color w:val="auto"/>
              </w:rPr>
              <w:t>Deferred payment obligation (b)</w:t>
            </w:r>
          </w:p>
        </w:tc>
        <w:tc>
          <w:tcPr>
            <w:tcW w:w="10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7"/>
                <w:szCs w:val="17"/>
                <w:color w:val="auto"/>
              </w:rPr>
              <w:t>111,780</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111,780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Liability to Rollover option holders (c)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21,960</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r>
      <w:tr>
        <w:trPr>
          <w:trHeight w:val="211"/>
        </w:trPr>
        <w:tc>
          <w:tcPr>
            <w:tcW w:w="6400" w:type="dxa"/>
            <w:vAlign w:val="bottom"/>
          </w:tcPr>
          <w:p>
            <w:pPr>
              <w:spacing w:after="0"/>
              <w:rPr>
                <w:sz w:val="20"/>
                <w:szCs w:val="20"/>
                <w:color w:val="auto"/>
              </w:rPr>
            </w:pPr>
            <w:r>
              <w:rPr>
                <w:rFonts w:ascii="Arial" w:cs="Arial" w:eastAsia="Arial" w:hAnsi="Arial"/>
                <w:sz w:val="17"/>
                <w:szCs w:val="17"/>
                <w:color w:val="auto"/>
              </w:rPr>
              <w:t>Tax liabilities for uncertain tax positions (d)</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55,282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32,889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3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22,341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7"/>
                <w:szCs w:val="17"/>
                <w:color w:val="auto"/>
              </w:rPr>
              <w:t>—</w:t>
            </w:r>
          </w:p>
        </w:tc>
      </w:tr>
      <w:tr>
        <w:trPr>
          <w:trHeight w:val="211"/>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7"/>
                <w:szCs w:val="17"/>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1,683,161</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197,238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365,863</w:t>
            </w:r>
          </w:p>
        </w:tc>
        <w:tc>
          <w:tcPr>
            <w:tcW w:w="3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7"/>
                <w:szCs w:val="17"/>
                <w:color w:val="auto"/>
              </w:rPr>
              <w:t>592,403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527,657</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3120" w:hanging="5615"/>
        <w:spacing w:after="0" w:line="462" w:lineRule="auto"/>
        <w:tabs>
          <w:tab w:leader="none" w:pos="4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 Note 11 to our consolidated financial statements for additional information regarding debt and related matters. 72</w:t>
      </w:r>
    </w:p>
    <w:p>
      <w:pPr>
        <w:sectPr>
          <w:pgSz w:w="11900" w:h="16838" w:orient="portrait"/>
          <w:cols w:equalWidth="0" w:num="1">
            <w:col w:w="11420"/>
          </w:cols>
          <w:pgMar w:left="240" w:top="451"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hanging="455"/>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Includes $62.5 million deferred payment obligation balance, plus current and future interest accruals.</w:t>
      </w:r>
    </w:p>
    <w:p>
      <w:pPr>
        <w:spacing w:after="0" w:line="21" w:lineRule="exact"/>
        <w:rPr>
          <w:rFonts w:ascii="Arial" w:cs="Arial" w:eastAsia="Arial" w:hAnsi="Arial"/>
          <w:sz w:val="17"/>
          <w:szCs w:val="17"/>
          <w:color w:val="auto"/>
        </w:rPr>
      </w:pPr>
    </w:p>
    <w:p>
      <w:pPr>
        <w:ind w:left="460" w:right="160" w:hanging="455"/>
        <w:spacing w:after="0" w:line="25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liabilities to holders of stock options issued under our Officers’ Rollover Stock Plan related to the reduction in the exercise price of such options as a result of the December 2009 dividend and the July 2009 dividend.</w:t>
      </w:r>
    </w:p>
    <w:p>
      <w:pPr>
        <w:spacing w:after="0" w:line="1" w:lineRule="exact"/>
        <w:rPr>
          <w:rFonts w:ascii="Arial" w:cs="Arial" w:eastAsia="Arial" w:hAnsi="Arial"/>
          <w:sz w:val="17"/>
          <w:szCs w:val="17"/>
          <w:color w:val="auto"/>
        </w:rPr>
      </w:pPr>
    </w:p>
    <w:p>
      <w:pPr>
        <w:ind w:left="460" w:hanging="455"/>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$17.5 million of tax liabilities offset by amounts owed under the deferred payment obligation. The remainder is related to other tax liabilities.</w:t>
      </w:r>
    </w:p>
    <w:p>
      <w:pPr>
        <w:spacing w:after="0" w:line="179"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00"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Since we do not own any of our facilities, our capital expenditure requirements primarily relate to the purchase of computers, business systems, furniture, and leasehold improvements to support our operations. Direct costs billed to clients are not treated as capital expenses. Our capital expenditures for fiscal 2012 and 2011 were $76.9 million and $88.8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00"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We are subject to a number of reviews, investigations, claims, lawsuits and other uncertainties related to our business. For a discussion of these items, refer to Note 19 to our consolidated financial statements.</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for changes in interest rates relates primarily to our outstanding debt and cash equivalents, which consist primarily of funds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invested in U.S. government insured money-market accounts and prime money-market funds. As of March 31, 2012 and 2011, we had $484.4 million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$192.6 million, respectively, in cash and cash equivalents. The interest expense associated with our term loans and any loans under our revolving credit facility will</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vary with market rates.</w:t>
      </w:r>
    </w:p>
    <w:p>
      <w:pPr>
        <w:spacing w:after="0" w:line="167"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 $3.6 million in fiscal 2012 and $3.5 million in fiscal 2011, and likewise decreased our income and cash flows. A hypothetical increase of LIBOR to 4%, the average historical three-month LIBOR, would have increased interest expense related to all term facilities under our senior secured loan facilities by approximately $32.7 million in fiscal 2012 and $33.6 million in fiscal 2011, and likewise decreased our income and cash flows. The year over year variance in interest expense is driven by lower interest rate spreads and floors related to the debt facility refinance in February 2011.</w:t>
      </w:r>
    </w:p>
    <w:p>
      <w:pPr>
        <w:spacing w:after="0" w:line="121" w:lineRule="exact"/>
        <w:rPr>
          <w:sz w:val="20"/>
          <w:szCs w:val="20"/>
          <w:color w:val="auto"/>
        </w:rPr>
      </w:pPr>
    </w:p>
    <w:p>
      <w:pPr>
        <w:ind w:right="520" w:firstLine="457"/>
        <w:spacing w:after="0" w:line="354" w:lineRule="auto"/>
        <w:rPr>
          <w:sz w:val="20"/>
          <w:szCs w:val="20"/>
          <w:color w:val="auto"/>
        </w:rPr>
      </w:pPr>
      <w:r>
        <w:rPr>
          <w:rFonts w:ascii="Arial" w:cs="Arial" w:eastAsia="Arial" w:hAnsi="Arial"/>
          <w:sz w:val="15"/>
          <w:szCs w:val="15"/>
          <w:color w:val="auto"/>
        </w:rPr>
        <w:t>The return on our cash and cash equivalents balance as of March 31, 2012 and 2011was less than 1%. Therefore, although investment interest rates may continue to decrease in the future, the corresponding impact to our interest income, and likewise to our income and cash flow, would not be material.</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do not use derivative financial instruments in our investment portfolio and have not entered into any hedging transactions.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451"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10240" w:type="dxa"/>
            <w:vAlign w:val="bottom"/>
            <w:gridSpan w:val="8"/>
          </w:tcPr>
          <w:p>
            <w:pPr>
              <w:ind w:left="260"/>
              <w:spacing w:after="0"/>
              <w:rPr>
                <w:sz w:val="20"/>
                <w:szCs w:val="20"/>
                <w:color w:val="auto"/>
              </w:rPr>
            </w:pPr>
            <w:r>
              <w:rPr>
                <w:rFonts w:ascii="Arial" w:cs="Arial" w:eastAsia="Arial" w:hAnsi="Arial"/>
                <w:sz w:val="17"/>
                <w:szCs w:val="17"/>
                <w:b w:val="1"/>
                <w:bCs w:val="1"/>
                <w:i w:val="1"/>
                <w:iCs w:val="1"/>
                <w:color w:val="auto"/>
              </w:rPr>
              <w:t>Financial Statements and Supplementary Data.</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20" w:type="dxa"/>
            <w:vAlign w:val="bottom"/>
            <w:gridSpan w:val="7"/>
          </w:tcPr>
          <w:p>
            <w:pPr>
              <w:jc w:val="center"/>
              <w:ind w:right="2600"/>
              <w:spacing w:after="0"/>
              <w:rPr>
                <w:sz w:val="20"/>
                <w:szCs w:val="20"/>
                <w:color w:val="auto"/>
              </w:rPr>
            </w:pPr>
            <w:r>
              <w:rPr>
                <w:rFonts w:ascii="Arial" w:cs="Arial" w:eastAsia="Arial" w:hAnsi="Arial"/>
                <w:sz w:val="17"/>
                <w:szCs w:val="17"/>
                <w:b w:val="1"/>
                <w:bCs w:val="1"/>
                <w:color w:val="auto"/>
              </w:rPr>
              <w:t>INDEX TO THE CONSOLIDATED FINANCIAL STATEMENTS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20" w:type="dxa"/>
            <w:vAlign w:val="bottom"/>
            <w:gridSpan w:val="3"/>
            <w:vMerge w:val="restart"/>
          </w:tcPr>
          <w:p>
            <w:pPr>
              <w:spacing w:after="0"/>
              <w:rPr>
                <w:rFonts w:ascii="Arial" w:cs="Arial" w:eastAsia="Arial" w:hAnsi="Arial"/>
                <w:sz w:val="17"/>
                <w:szCs w:val="17"/>
                <w:color w:val="0000EE"/>
                <w:w w:val="92"/>
              </w:rPr>
            </w:pPr>
            <w:hyperlink w:anchor="page77">
              <w:r>
                <w:rPr>
                  <w:rFonts w:ascii="Arial" w:cs="Arial" w:eastAsia="Arial" w:hAnsi="Arial"/>
                  <w:sz w:val="17"/>
                  <w:szCs w:val="17"/>
                  <w:color w:val="0000EE"/>
                  <w:w w:val="92"/>
                </w:rPr>
                <w:t>Report of Independent Registered Public Accounting Firm</w:t>
              </w:r>
            </w:hyperlink>
          </w:p>
        </w:tc>
        <w:tc>
          <w:tcPr>
            <w:tcW w:w="7000" w:type="dxa"/>
            <w:vAlign w:val="bottom"/>
            <w:gridSpan w:val="6"/>
            <w:vMerge w:val="restart"/>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56"/>
        </w:trPr>
        <w:tc>
          <w:tcPr>
            <w:tcW w:w="4020" w:type="dxa"/>
            <w:vAlign w:val="bottom"/>
            <w:tcBorders>
              <w:bottom w:val="single" w:sz="8" w:color="0000EE"/>
            </w:tcBorders>
            <w:gridSpan w:val="3"/>
            <w:vMerge w:val="continue"/>
          </w:tcPr>
          <w:p>
            <w:pPr>
              <w:spacing w:after="0"/>
              <w:rPr>
                <w:sz w:val="13"/>
                <w:szCs w:val="13"/>
                <w:color w:val="auto"/>
              </w:rPr>
            </w:pPr>
          </w:p>
        </w:tc>
        <w:tc>
          <w:tcPr>
            <w:tcW w:w="7000" w:type="dxa"/>
            <w:vAlign w:val="bottom"/>
            <w:gridSpan w:val="6"/>
            <w:vMerge w:val="continue"/>
          </w:tcPr>
          <w:p>
            <w:pPr>
              <w:spacing w:after="0"/>
              <w:rPr>
                <w:sz w:val="13"/>
                <w:szCs w:val="13"/>
                <w:color w:val="auto"/>
              </w:rPr>
            </w:pPr>
          </w:p>
        </w:tc>
        <w:tc>
          <w:tcPr>
            <w:tcW w:w="320" w:type="dxa"/>
            <w:vAlign w:val="bottom"/>
            <w:tcBorders>
              <w:top w:val="single" w:sz="8" w:color="auto"/>
            </w:tcBorders>
          </w:tcPr>
          <w:p>
            <w:pPr>
              <w:ind w:left="80"/>
              <w:spacing w:after="0" w:line="138"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20" w:type="dxa"/>
            <w:vAlign w:val="bottom"/>
            <w:gridSpan w:val="9"/>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Consolidated Balance Sheets as of March 31, 2012 and 2011</w:t>
              </w:r>
            </w:hyperlink>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0"/>
        </w:trPr>
        <w:tc>
          <w:tcPr>
            <w:tcW w:w="300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20" w:type="dxa"/>
            <w:vAlign w:val="bottom"/>
            <w:gridSpan w:val="9"/>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Consolidated Statements of Operations for the Fiscal Years Ended March 31, 2012, 2011 and 2010</w:t>
              </w:r>
            </w:hyperlink>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20"/>
        </w:trPr>
        <w:tc>
          <w:tcPr>
            <w:tcW w:w="3000" w:type="dxa"/>
            <w:vAlign w:val="bottom"/>
            <w:gridSpan w:val="2"/>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11020" w:type="dxa"/>
            <w:vAlign w:val="bottom"/>
            <w:gridSpan w:val="9"/>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Consolidated Statements of Comprehensive Income for the Fiscal Years Ended March 31, 2012, 2011, and 2010</w:t>
              </w:r>
            </w:hyperlink>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296"/>
        </w:trPr>
        <w:tc>
          <w:tcPr>
            <w:tcW w:w="68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0"/>
              </w:rPr>
            </w:pPr>
            <w:hyperlink w:anchor="page81">
              <w:r>
                <w:rPr>
                  <w:rFonts w:ascii="Arial" w:cs="Arial" w:eastAsia="Arial" w:hAnsi="Arial"/>
                  <w:sz w:val="17"/>
                  <w:szCs w:val="17"/>
                  <w:color w:val="0000EE"/>
                  <w:w w:val="90"/>
                </w:rPr>
                <w:t>Consolidated Statements of Cash Flows for the Fiscal Years Ended March 31, 2012, 2011, and 2010</w:t>
              </w:r>
            </w:hyperlink>
          </w:p>
        </w:tc>
        <w:tc>
          <w:tcPr>
            <w:tcW w:w="860" w:type="dxa"/>
            <w:vAlign w:val="bottom"/>
            <w:tcBorders>
              <w:top w:val="single" w:sz="8" w:color="0000EE"/>
            </w:tcBorders>
            <w:gridSpan w:val="2"/>
          </w:tcPr>
          <w:p>
            <w:pPr>
              <w:spacing w:after="0"/>
              <w:rPr>
                <w:sz w:val="24"/>
                <w:szCs w:val="24"/>
                <w:color w:val="auto"/>
              </w:rPr>
            </w:pPr>
          </w:p>
        </w:tc>
        <w:tc>
          <w:tcPr>
            <w:tcW w:w="3300" w:type="dxa"/>
            <w:vAlign w:val="bottom"/>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296"/>
        </w:trPr>
        <w:tc>
          <w:tcPr>
            <w:tcW w:w="11020" w:type="dxa"/>
            <w:vAlign w:val="bottom"/>
            <w:gridSpan w:val="9"/>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Consolidated Statements of Stockholders’ Equity for the Fiscal Years Ended March 31, 2012, 2011, and 2010</w:t>
              </w:r>
            </w:hyperlink>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296"/>
        </w:trPr>
        <w:tc>
          <w:tcPr>
            <w:tcW w:w="7540" w:type="dxa"/>
            <w:vAlign w:val="bottom"/>
            <w:tcBorders>
              <w:top w:val="single" w:sz="8" w:color="0000EE"/>
            </w:tcBorders>
            <w:gridSpan w:val="7"/>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Notes to Consolidated Financial Statements</w:t>
              </w:r>
            </w:hyperlink>
          </w:p>
        </w:tc>
        <w:tc>
          <w:tcPr>
            <w:tcW w:w="3480" w:type="dxa"/>
            <w:vAlign w:val="bottom"/>
            <w:gridSpan w:val="2"/>
          </w:tcPr>
          <w:p>
            <w:pPr>
              <w:spacing w:after="0"/>
              <w:rPr>
                <w:sz w:val="24"/>
                <w:szCs w:val="24"/>
                <w:color w:val="auto"/>
              </w:rPr>
            </w:pPr>
          </w:p>
        </w:tc>
        <w:tc>
          <w:tcPr>
            <w:tcW w:w="340" w:type="dxa"/>
            <w:vAlign w:val="bottom"/>
            <w:gridSpan w:val="2"/>
          </w:tcPr>
          <w:p>
            <w:pPr>
              <w:ind w:left="80"/>
              <w:spacing w:after="0"/>
              <w:rPr>
                <w:sz w:val="20"/>
                <w:szCs w:val="20"/>
                <w:color w:val="auto"/>
              </w:rPr>
            </w:pPr>
            <w:r>
              <w:rPr>
                <w:rFonts w:ascii="Arial" w:cs="Arial" w:eastAsia="Arial" w:hAnsi="Arial"/>
                <w:sz w:val="17"/>
                <w:szCs w:val="17"/>
                <w:color w:val="auto"/>
                <w:w w:val="93"/>
              </w:rPr>
              <w:t>F-8</w:t>
            </w:r>
          </w:p>
        </w:tc>
        <w:tc>
          <w:tcPr>
            <w:tcW w:w="0" w:type="dxa"/>
            <w:vAlign w:val="bottom"/>
          </w:tcPr>
          <w:p>
            <w:pPr>
              <w:spacing w:after="0"/>
              <w:rPr>
                <w:sz w:val="1"/>
                <w:szCs w:val="1"/>
                <w:color w:val="auto"/>
              </w:rPr>
            </w:pPr>
          </w:p>
        </w:tc>
      </w:tr>
      <w:tr>
        <w:trPr>
          <w:trHeight w:val="372"/>
        </w:trPr>
        <w:tc>
          <w:tcPr>
            <w:tcW w:w="780" w:type="dxa"/>
            <w:vAlign w:val="bottom"/>
            <w:tcBorders>
              <w:top w:val="single" w:sz="8" w:color="0000EE"/>
            </w:tcBorders>
          </w:tcPr>
          <w:p>
            <w:pPr>
              <w:spacing w:after="0"/>
              <w:rPr>
                <w:sz w:val="24"/>
                <w:szCs w:val="24"/>
                <w:color w:val="auto"/>
              </w:rPr>
            </w:pPr>
          </w:p>
        </w:tc>
        <w:tc>
          <w:tcPr>
            <w:tcW w:w="22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60" w:type="dxa"/>
            <w:vAlign w:val="bottom"/>
            <w:gridSpan w:val="5"/>
          </w:tcPr>
          <w:p>
            <w:pPr>
              <w:jc w:val="center"/>
              <w:ind w:right="3740"/>
              <w:spacing w:after="0"/>
              <w:rPr>
                <w:sz w:val="20"/>
                <w:szCs w:val="20"/>
                <w:color w:val="auto"/>
              </w:rPr>
            </w:pPr>
            <w:r>
              <w:rPr>
                <w:rFonts w:ascii="Arial" w:cs="Arial" w:eastAsia="Arial" w:hAnsi="Arial"/>
                <w:sz w:val="17"/>
                <w:szCs w:val="17"/>
                <w:color w:val="auto"/>
                <w:w w:val="93"/>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1" w:right="3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Booz Allen Hamilton Holding Corporation</w:t>
      </w:r>
    </w:p>
    <w:p>
      <w:pPr>
        <w:spacing w:after="0" w:line="88" w:lineRule="exact"/>
        <w:rPr>
          <w:sz w:val="20"/>
          <w:szCs w:val="20"/>
          <w:color w:val="auto"/>
        </w:rPr>
      </w:pPr>
    </w:p>
    <w:p>
      <w:pPr>
        <w:ind w:right="160" w:firstLine="457"/>
        <w:spacing w:after="0" w:line="297" w:lineRule="auto"/>
        <w:rPr>
          <w:sz w:val="20"/>
          <w:szCs w:val="20"/>
          <w:color w:val="auto"/>
        </w:rPr>
      </w:pPr>
      <w:r>
        <w:rPr>
          <w:rFonts w:ascii="Arial" w:cs="Arial" w:eastAsia="Arial" w:hAnsi="Arial"/>
          <w:sz w:val="15"/>
          <w:szCs w:val="15"/>
          <w:color w:val="auto"/>
        </w:rPr>
        <w:t>We have audited the accompanying consolidated balance sheets of Booz Allen Hamilton Holding Corporation as of March 31, 2012 and 2011, and the related consolidated statements of operations, comprehensive income, stockholders’ equity, and cash flows for each of the three years in the period ended March 31,</w:t>
      </w:r>
    </w:p>
    <w:p>
      <w:pPr>
        <w:ind w:right="80"/>
        <w:spacing w:after="0" w:line="277" w:lineRule="auto"/>
        <w:rPr>
          <w:sz w:val="20"/>
          <w:szCs w:val="20"/>
          <w:color w:val="auto"/>
        </w:rPr>
      </w:pPr>
      <w:r>
        <w:rPr>
          <w:rFonts w:ascii="Arial" w:cs="Arial" w:eastAsia="Arial" w:hAnsi="Arial"/>
          <w:sz w:val="17"/>
          <w:szCs w:val="17"/>
          <w:color w:val="auto"/>
        </w:rPr>
        <w:t>2012. These financial statements are the responsibility of the Company’s management. Our responsibility is to express an opinion on these financial statements based on our audits.</w:t>
      </w:r>
    </w:p>
    <w:p>
      <w:pPr>
        <w:spacing w:after="0" w:line="12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2" w:lineRule="exact"/>
        <w:rPr>
          <w:sz w:val="20"/>
          <w:szCs w:val="20"/>
          <w:color w:val="auto"/>
        </w:rPr>
      </w:pPr>
    </w:p>
    <w:p>
      <w:pPr>
        <w:jc w:val="both"/>
        <w:ind w:right="360" w:firstLine="457"/>
        <w:spacing w:after="0" w:line="271"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Booz Allen Hamilton Holding Corporation at March 31, 2012 and 2011, and the consolidated results of its operations and its cash flows for each of the three years in the period ended March 31, 2012, in conformity with U.S. generally accepted accounting principles.</w:t>
      </w:r>
    </w:p>
    <w:p>
      <w:pPr>
        <w:spacing w:after="0" w:line="128" w:lineRule="exact"/>
        <w:rPr>
          <w:sz w:val="20"/>
          <w:szCs w:val="20"/>
          <w:color w:val="auto"/>
        </w:rPr>
      </w:pPr>
    </w:p>
    <w:p>
      <w:pPr>
        <w:jc w:val="both"/>
        <w:ind w:right="300" w:firstLine="457"/>
        <w:spacing w:after="0" w:line="32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Booz Allen Hamilton Holding Corporation’s internal control over financial reporting as of March 31, 2012, based on criteria established in Internal Control-Integrated Framework issued by the Committee of Sponsoring Organizations of the Treadway Commission and our report dated May 30, 2012 expressed an unqualified opinion thereon.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30, 2012</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451"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center"/>
              <w:ind w:left="517"/>
              <w:spacing w:after="0"/>
              <w:rPr>
                <w:sz w:val="20"/>
                <w:szCs w:val="20"/>
                <w:color w:val="auto"/>
              </w:rPr>
            </w:pPr>
            <w:r>
              <w:rPr>
                <w:rFonts w:ascii="Arial" w:cs="Arial" w:eastAsia="Arial" w:hAnsi="Arial"/>
                <w:sz w:val="13"/>
                <w:szCs w:val="13"/>
                <w:b w:val="1"/>
                <w:bCs w:val="1"/>
                <w:color w:val="auto"/>
                <w:w w:val="96"/>
              </w:rPr>
              <w:t>March 31,</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9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5"/>
          </w:tcPr>
          <w:p>
            <w:pPr>
              <w:jc w:val="center"/>
              <w:spacing w:after="0" w:line="126" w:lineRule="exact"/>
              <w:rPr>
                <w:sz w:val="20"/>
                <w:szCs w:val="20"/>
                <w:color w:val="auto"/>
              </w:rPr>
            </w:pPr>
            <w:r>
              <w:rPr>
                <w:rFonts w:ascii="Arial" w:cs="Arial" w:eastAsia="Arial" w:hAnsi="Arial"/>
                <w:sz w:val="13"/>
                <w:szCs w:val="13"/>
                <w:b w:val="1"/>
                <w:bCs w:val="1"/>
                <w:color w:val="auto"/>
                <w:w w:val="88"/>
              </w:rPr>
              <w:t>(Amounts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9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0"/>
              </w:rPr>
              <w:t>share and per share data)</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534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4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484,368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192,631</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Accounts receivable, net of allowance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1,077,315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1,111,004</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32,090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33,497</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Income taxes receivable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46,794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23,311</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4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1,657,663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1,360,443</w:t>
            </w: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173,430</w:t>
            </w:r>
          </w:p>
        </w:tc>
        <w:tc>
          <w:tcPr>
            <w:tcW w:w="0" w:type="dxa"/>
            <w:vAlign w:val="bottom"/>
          </w:tcPr>
          <w:p>
            <w:pPr>
              <w:spacing w:after="0"/>
              <w:rPr>
                <w:sz w:val="1"/>
                <w:szCs w:val="1"/>
                <w:color w:val="auto"/>
              </w:rPr>
            </w:pPr>
          </w:p>
        </w:tc>
      </w:tr>
      <w:tr>
        <w:trPr>
          <w:trHeight w:val="211"/>
        </w:trPr>
        <w:tc>
          <w:tcPr>
            <w:tcW w:w="924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41,409</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223,834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240,238</w:t>
            </w:r>
          </w:p>
        </w:tc>
        <w:tc>
          <w:tcPr>
            <w:tcW w:w="0" w:type="dxa"/>
            <w:vAlign w:val="bottom"/>
          </w:tcPr>
          <w:p>
            <w:pPr>
              <w:spacing w:after="0"/>
              <w:rPr>
                <w:sz w:val="1"/>
                <w:szCs w:val="1"/>
                <w:color w:val="auto"/>
              </w:rPr>
            </w:pPr>
          </w:p>
        </w:tc>
      </w:tr>
      <w:tr>
        <w:trPr>
          <w:trHeight w:val="211"/>
        </w:trPr>
        <w:tc>
          <w:tcPr>
            <w:tcW w:w="924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1,188,004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1,163,549</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44,954</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4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3,314,791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3,024,023</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240" w:type="dxa"/>
            <w:vAlign w:val="bottom"/>
            <w:shd w:val="clear" w:color="auto" w:fill="CCEEFF"/>
          </w:tcPr>
          <w:p>
            <w:pPr>
              <w:ind w:left="3800"/>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240" w:type="dxa"/>
            <w:vAlign w:val="bottom"/>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Accounts payable and 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443,951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406,310</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357,872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396,996</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59,493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21,231</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11,598</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4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914,446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866,135</w:t>
            </w: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922,925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964,328</w:t>
            </w:r>
          </w:p>
        </w:tc>
        <w:tc>
          <w:tcPr>
            <w:tcW w:w="0" w:type="dxa"/>
            <w:vAlign w:val="bottom"/>
          </w:tcPr>
          <w:p>
            <w:pPr>
              <w:spacing w:after="0"/>
              <w:rPr>
                <w:sz w:val="1"/>
                <w:szCs w:val="1"/>
                <w:color w:val="auto"/>
              </w:rPr>
            </w:pPr>
          </w:p>
        </w:tc>
      </w:tr>
      <w:tr>
        <w:trPr>
          <w:trHeight w:val="211"/>
        </w:trPr>
        <w:tc>
          <w:tcPr>
            <w:tcW w:w="9240" w:type="dxa"/>
            <w:vAlign w:val="bottom"/>
          </w:tcPr>
          <w:p>
            <w:pPr>
              <w:spacing w:after="0"/>
              <w:rPr>
                <w:sz w:val="20"/>
                <w:szCs w:val="20"/>
                <w:color w:val="auto"/>
              </w:rPr>
            </w:pPr>
            <w:r>
              <w:rPr>
                <w:rFonts w:ascii="Arial" w:cs="Arial" w:eastAsia="Arial" w:hAnsi="Arial"/>
                <w:sz w:val="17"/>
                <w:szCs w:val="17"/>
                <w:color w:val="auto"/>
              </w:rPr>
              <w:t>Income tax reserve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55,282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90,474</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236,953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195,836</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4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2,129,606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2,116,773</w:t>
            </w: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924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Common stock, Class A — $0.01 par value — authorized, 600,000,000 shares; issued, 128,726,324 shares at March 31,</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5"/>
              </w:rPr>
              <w:t>2012 and 122,784,835 shares at March 31, 2011; outstanding, 128,392,549 shares at March 31, 2012 and 122,784,835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shares at March 31, 2011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1,227</w:t>
            </w:r>
          </w:p>
        </w:tc>
        <w:tc>
          <w:tcPr>
            <w:tcW w:w="0" w:type="dxa"/>
            <w:vAlign w:val="bottom"/>
          </w:tcPr>
          <w:p>
            <w:pPr>
              <w:spacing w:after="0"/>
              <w:rPr>
                <w:sz w:val="1"/>
                <w:szCs w:val="1"/>
                <w:color w:val="auto"/>
              </w:rPr>
            </w:pPr>
          </w:p>
        </w:tc>
      </w:tr>
      <w:tr>
        <w:trPr>
          <w:trHeight w:val="202"/>
        </w:trPr>
        <w:tc>
          <w:tcPr>
            <w:tcW w:w="9240" w:type="dxa"/>
            <w:vAlign w:val="bottom"/>
          </w:tcPr>
          <w:p>
            <w:pPr>
              <w:ind w:left="420"/>
              <w:spacing w:after="0"/>
              <w:rPr>
                <w:sz w:val="20"/>
                <w:szCs w:val="20"/>
                <w:color w:val="auto"/>
              </w:rPr>
            </w:pPr>
            <w:r>
              <w:rPr>
                <w:rFonts w:ascii="Arial" w:cs="Arial" w:eastAsia="Arial" w:hAnsi="Arial"/>
                <w:sz w:val="17"/>
                <w:szCs w:val="17"/>
                <w:color w:val="auto"/>
              </w:rPr>
              <w:t>Non-voting common stock, Class B — $0.01 par value — authorized, 16,000,000 shares; issued and outstanding,</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40" w:type="dxa"/>
            <w:vAlign w:val="bottom"/>
          </w:tcPr>
          <w:p>
            <w:pPr>
              <w:ind w:left="640"/>
              <w:spacing w:after="0"/>
              <w:rPr>
                <w:sz w:val="20"/>
                <w:szCs w:val="20"/>
                <w:color w:val="auto"/>
              </w:rPr>
            </w:pPr>
            <w:r>
              <w:rPr>
                <w:rFonts w:ascii="Arial" w:cs="Arial" w:eastAsia="Arial" w:hAnsi="Arial"/>
                <w:sz w:val="17"/>
                <w:szCs w:val="17"/>
                <w:color w:val="auto"/>
              </w:rPr>
              <w:t>2,487,125 shares at March 31, 2012 and 3,053,130 shares at March 31, 2011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4"/>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5"/>
              </w:rPr>
              <w:t>Restricted common stock, Class C — $0.01 par value — authorized, 5,000,000 shares; issued and outstanding, 1,533,020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shares at March 31, 2012 and 2,028,270 shares at March 31, 2011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2"/>
        </w:trPr>
        <w:tc>
          <w:tcPr>
            <w:tcW w:w="9240" w:type="dxa"/>
            <w:vAlign w:val="bottom"/>
          </w:tcPr>
          <w:p>
            <w:pPr>
              <w:ind w:left="420"/>
              <w:spacing w:after="0"/>
              <w:rPr>
                <w:sz w:val="20"/>
                <w:szCs w:val="20"/>
                <w:color w:val="auto"/>
              </w:rPr>
            </w:pPr>
            <w:r>
              <w:rPr>
                <w:rFonts w:ascii="Arial" w:cs="Arial" w:eastAsia="Arial" w:hAnsi="Arial"/>
                <w:sz w:val="17"/>
                <w:szCs w:val="17"/>
                <w:color w:val="auto"/>
                <w:w w:val="99"/>
              </w:rPr>
              <w:t>Special voting common stock, Class E — $0.003 par value — authorized, 25,000,000 shares; issued and outstanding,</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40" w:type="dxa"/>
            <w:vAlign w:val="bottom"/>
          </w:tcPr>
          <w:p>
            <w:pPr>
              <w:ind w:left="640"/>
              <w:spacing w:after="0"/>
              <w:rPr>
                <w:sz w:val="20"/>
                <w:szCs w:val="20"/>
                <w:color w:val="auto"/>
              </w:rPr>
            </w:pPr>
            <w:r>
              <w:rPr>
                <w:rFonts w:ascii="Arial" w:cs="Arial" w:eastAsia="Arial" w:hAnsi="Arial"/>
                <w:sz w:val="17"/>
                <w:szCs w:val="17"/>
                <w:color w:val="auto"/>
              </w:rPr>
              <w:t>10,140,067 shares at March 31, 2012 and 12,348,860 shares at March 31, 2011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12"/>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Treasury stock, at cost — 333,775 shares at March 31, 2012 and 0 shares at March 31, 2011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898,541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840,058</w:t>
            </w:r>
          </w:p>
        </w:tc>
        <w:tc>
          <w:tcPr>
            <w:tcW w:w="0" w:type="dxa"/>
            <w:vAlign w:val="bottom"/>
          </w:tcPr>
          <w:p>
            <w:pPr>
              <w:spacing w:after="0"/>
              <w:rPr>
                <w:sz w:val="1"/>
                <w:szCs w:val="1"/>
                <w:color w:val="auto"/>
              </w:rPr>
            </w:pPr>
          </w:p>
        </w:tc>
      </w:tr>
      <w:tr>
        <w:trPr>
          <w:trHeight w:val="211"/>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71,330</w:t>
            </w:r>
          </w:p>
        </w:tc>
        <w:tc>
          <w:tcPr>
            <w:tcW w:w="0" w:type="dxa"/>
            <w:vAlign w:val="bottom"/>
          </w:tcPr>
          <w:p>
            <w:pPr>
              <w:spacing w:after="0"/>
              <w:rPr>
                <w:sz w:val="1"/>
                <w:szCs w:val="1"/>
                <w:color w:val="auto"/>
              </w:rPr>
            </w:pPr>
          </w:p>
        </w:tc>
      </w:tr>
      <w:tr>
        <w:trPr>
          <w:trHeight w:val="211"/>
        </w:trPr>
        <w:tc>
          <w:tcPr>
            <w:tcW w:w="9240" w:type="dxa"/>
            <w:vAlign w:val="bottom"/>
          </w:tcPr>
          <w:p>
            <w:pPr>
              <w:ind w:left="420"/>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(8,715)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1,185,185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907,250</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3,314,791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3,024,023</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51"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3"/>
              </w:rPr>
              <w:t>Fiscal Year Ended March 31,</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6"/>
              <w:spacing w:after="0" w:line="138" w:lineRule="exact"/>
              <w:rPr>
                <w:sz w:val="20"/>
                <w:szCs w:val="20"/>
                <w:color w:val="auto"/>
              </w:rPr>
            </w:pPr>
            <w:r>
              <w:rPr>
                <w:rFonts w:ascii="Arial" w:cs="Arial" w:eastAsia="Arial" w:hAnsi="Arial"/>
                <w:sz w:val="13"/>
                <w:szCs w:val="13"/>
                <w:b w:val="1"/>
                <w:bCs w:val="1"/>
                <w:color w:val="auto"/>
                <w:w w:val="82"/>
              </w:rPr>
              <w:t>2011</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8"/>
          </w:tcPr>
          <w:p>
            <w:pPr>
              <w:jc w:val="center"/>
              <w:spacing w:after="0" w:line="138" w:lineRule="exact"/>
              <w:rPr>
                <w:sz w:val="20"/>
                <w:szCs w:val="20"/>
                <w:color w:val="auto"/>
              </w:rPr>
            </w:pPr>
            <w:r>
              <w:rPr>
                <w:rFonts w:ascii="Arial" w:cs="Arial" w:eastAsia="Arial" w:hAnsi="Arial"/>
                <w:sz w:val="13"/>
                <w:szCs w:val="13"/>
                <w:b w:val="1"/>
                <w:bCs w:val="1"/>
                <w:color w:val="auto"/>
                <w:w w:val="90"/>
              </w:rPr>
              <w:t>(Amounts 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5,859,218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5,591,296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5,122,633</w:t>
            </w:r>
          </w:p>
        </w:tc>
        <w:tc>
          <w:tcPr>
            <w:tcW w:w="0" w:type="dxa"/>
            <w:vAlign w:val="bottom"/>
          </w:tcPr>
          <w:p>
            <w:pPr>
              <w:spacing w:after="0"/>
              <w:rPr>
                <w:sz w:val="1"/>
                <w:szCs w:val="1"/>
                <w:color w:val="auto"/>
              </w:rPr>
            </w:pPr>
          </w:p>
        </w:tc>
      </w:tr>
      <w:tr>
        <w:trPr>
          <w:trHeight w:val="315"/>
        </w:trPr>
        <w:tc>
          <w:tcPr>
            <w:tcW w:w="7980" w:type="dxa"/>
            <w:vAlign w:val="bottom"/>
          </w:tcPr>
          <w:p>
            <w:pPr>
              <w:spacing w:after="0"/>
              <w:rPr>
                <w:sz w:val="20"/>
                <w:szCs w:val="20"/>
                <w:color w:val="auto"/>
              </w:rPr>
            </w:pPr>
            <w:r>
              <w:rPr>
                <w:rFonts w:ascii="Arial" w:cs="Arial" w:eastAsia="Arial" w:hAnsi="Arial"/>
                <w:sz w:val="17"/>
                <w:szCs w:val="17"/>
                <w:color w:val="auto"/>
              </w:rPr>
              <w:t>Operating costs and expenses: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2,934,378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9"/>
              </w:rPr>
              <w:t>2,836,955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2,654,143</w:t>
            </w:r>
          </w:p>
        </w:tc>
        <w:tc>
          <w:tcPr>
            <w:tcW w:w="0" w:type="dxa"/>
            <w:vAlign w:val="bottom"/>
          </w:tcPr>
          <w:p>
            <w:pPr>
              <w:spacing w:after="0"/>
              <w:rPr>
                <w:sz w:val="1"/>
                <w:szCs w:val="1"/>
                <w:color w:val="auto"/>
              </w:rPr>
            </w:pPr>
          </w:p>
        </w:tc>
      </w:tr>
      <w:tr>
        <w:trPr>
          <w:trHeight w:val="211"/>
        </w:trPr>
        <w:tc>
          <w:tcPr>
            <w:tcW w:w="7980" w:type="dxa"/>
            <w:vAlign w:val="bottom"/>
          </w:tcPr>
          <w:p>
            <w:pPr>
              <w:ind w:left="420"/>
              <w:spacing w:after="0"/>
              <w:rPr>
                <w:sz w:val="20"/>
                <w:szCs w:val="20"/>
                <w:color w:val="auto"/>
              </w:rPr>
            </w:pPr>
            <w:r>
              <w:rPr>
                <w:rFonts w:ascii="Arial" w:cs="Arial" w:eastAsia="Arial" w:hAnsi="Arial"/>
                <w:sz w:val="17"/>
                <w:szCs w:val="17"/>
                <w:color w:val="auto"/>
              </w:rPr>
              <w:t>Billable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1,542,822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89"/>
              </w:rPr>
              <w:t>1,473,266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1,361,229</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903,721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881,028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811,944</w:t>
            </w:r>
          </w:p>
        </w:tc>
        <w:tc>
          <w:tcPr>
            <w:tcW w:w="0" w:type="dxa"/>
            <w:vAlign w:val="bottom"/>
          </w:tcPr>
          <w:p>
            <w:pPr>
              <w:spacing w:after="0"/>
              <w:rPr>
                <w:sz w:val="1"/>
                <w:szCs w:val="1"/>
                <w:color w:val="auto"/>
              </w:rPr>
            </w:pPr>
          </w:p>
        </w:tc>
      </w:tr>
      <w:tr>
        <w:trPr>
          <w:trHeight w:val="211"/>
        </w:trPr>
        <w:tc>
          <w:tcPr>
            <w:tcW w:w="7980" w:type="dxa"/>
            <w:vAlign w:val="bottom"/>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80,603</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95,763</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Restructuring charge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840"/>
              <w:spacing w:after="0"/>
              <w:rPr>
                <w:sz w:val="20"/>
                <w:szCs w:val="20"/>
                <w:color w:val="auto"/>
              </w:rPr>
            </w:pPr>
            <w:r>
              <w:rPr>
                <w:rFonts w:ascii="Arial" w:cs="Arial" w:eastAsia="Arial" w:hAnsi="Arial"/>
                <w:sz w:val="17"/>
                <w:szCs w:val="17"/>
                <w:color w:val="auto"/>
              </w:rPr>
              <w:t>Total operating costs and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5,471,786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5,271,852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4,923,079</w:t>
            </w:r>
          </w:p>
        </w:tc>
        <w:tc>
          <w:tcPr>
            <w:tcW w:w="0" w:type="dxa"/>
            <w:vAlign w:val="bottom"/>
          </w:tcPr>
          <w:p>
            <w:pPr>
              <w:spacing w:after="0"/>
              <w:rPr>
                <w:sz w:val="1"/>
                <w:szCs w:val="1"/>
                <w:color w:val="auto"/>
              </w:rPr>
            </w:pPr>
          </w:p>
        </w:tc>
      </w:tr>
      <w:tr>
        <w:trPr>
          <w:trHeight w:val="28"/>
        </w:trPr>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319,444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199,554</w:t>
            </w:r>
          </w:p>
        </w:tc>
        <w:tc>
          <w:tcPr>
            <w:tcW w:w="0" w:type="dxa"/>
            <w:vAlign w:val="bottom"/>
          </w:tcPr>
          <w:p>
            <w:pPr>
              <w:spacing w:after="0"/>
              <w:rPr>
                <w:sz w:val="1"/>
                <w:szCs w:val="1"/>
                <w:color w:val="auto"/>
              </w:rPr>
            </w:pPr>
          </w:p>
        </w:tc>
      </w:tr>
      <w:tr>
        <w:trPr>
          <w:trHeight w:val="211"/>
        </w:trPr>
        <w:tc>
          <w:tcPr>
            <w:tcW w:w="798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auto"/>
              </w:rPr>
              <w:t>(48,078)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7"/>
                <w:szCs w:val="17"/>
                <w:color w:val="auto"/>
              </w:rPr>
              <w:t>(131,892)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(150,734)</w:t>
            </w: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(59,488)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343,874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128,064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48,994</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103,919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23,575</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239,955</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84,694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25,419</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9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(Note 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980" w:type="dxa"/>
            <w:vAlign w:val="bottom"/>
          </w:tcPr>
          <w:p>
            <w:pPr>
              <w:ind w:left="42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1.83</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0.74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2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7"/>
                <w:szCs w:val="17"/>
                <w:color w:val="auto"/>
              </w:rPr>
              <w:t>Dividends declared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0.09</w:t>
            </w:r>
          </w:p>
        </w:tc>
        <w:tc>
          <w:tcPr>
            <w:tcW w:w="26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51"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80" w:type="dxa"/>
            <w:vAlign w:val="bottom"/>
            <w:gridSpan w:val="8"/>
          </w:tcPr>
          <w:p>
            <w:pPr>
              <w:jc w:val="right"/>
              <w:ind w:right="620"/>
              <w:spacing w:after="0"/>
              <w:rPr>
                <w:sz w:val="20"/>
                <w:szCs w:val="20"/>
                <w:color w:val="auto"/>
              </w:rPr>
            </w:pPr>
            <w:r>
              <w:rPr>
                <w:rFonts w:ascii="Arial" w:cs="Arial" w:eastAsia="Arial" w:hAnsi="Arial"/>
                <w:sz w:val="13"/>
                <w:szCs w:val="13"/>
                <w:b w:val="1"/>
                <w:bCs w:val="1"/>
                <w:color w:val="auto"/>
              </w:rPr>
              <w:t>Fiscal Year Ended March 31,</w:t>
            </w:r>
          </w:p>
        </w:tc>
      </w:tr>
      <w:tr>
        <w:trPr>
          <w:trHeight w:val="138"/>
        </w:trPr>
        <w:tc>
          <w:tcPr>
            <w:tcW w:w="6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2011</w:t>
            </w:r>
          </w:p>
        </w:tc>
        <w:tc>
          <w:tcPr>
            <w:tcW w:w="4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r>
      <w:tr>
        <w:trPr>
          <w:trHeight w:val="138"/>
        </w:trPr>
        <w:tc>
          <w:tcPr>
            <w:tcW w:w="65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gridSpan w:val="4"/>
          </w:tcPr>
          <w:p>
            <w:pPr>
              <w:jc w:val="right"/>
              <w:ind w:right="60"/>
              <w:spacing w:after="0" w:line="138" w:lineRule="exact"/>
              <w:rPr>
                <w:sz w:val="20"/>
                <w:szCs w:val="20"/>
                <w:color w:val="auto"/>
              </w:rPr>
            </w:pPr>
            <w:r>
              <w:rPr>
                <w:rFonts w:ascii="Arial" w:cs="Arial" w:eastAsia="Arial" w:hAnsi="Arial"/>
                <w:sz w:val="13"/>
                <w:szCs w:val="13"/>
                <w:b w:val="1"/>
                <w:bCs w:val="1"/>
                <w:color w:val="auto"/>
                <w:w w:val="89"/>
              </w:rPr>
              <w:t>(Amounts in thousands)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98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$239,955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$84,694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$25,419</w:t>
            </w:r>
          </w:p>
        </w:tc>
        <w:tc>
          <w:tcPr>
            <w:tcW w:w="100" w:type="dxa"/>
            <w:vAlign w:val="bottom"/>
            <w:shd w:val="clear" w:color="auto" w:fill="CCEEFF"/>
          </w:tcPr>
          <w:p>
            <w:pPr>
              <w:spacing w:after="0"/>
              <w:rPr>
                <w:sz w:val="18"/>
                <w:szCs w:val="18"/>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7"/>
                <w:szCs w:val="17"/>
                <w:color w:val="auto"/>
              </w:rPr>
              <w:t>Actuarial loss related to employee benefits, net of taxes (Note 14)</w:t>
            </w:r>
          </w:p>
        </w:tc>
        <w:tc>
          <w:tcPr>
            <w:tcW w:w="2080" w:type="dxa"/>
            <w:vAlign w:val="bottom"/>
          </w:tcPr>
          <w:p>
            <w:pPr>
              <w:spacing w:after="0"/>
              <w:rPr>
                <w:sz w:val="18"/>
                <w:szCs w:val="18"/>
                <w:color w:val="auto"/>
              </w:rPr>
            </w:pPr>
          </w:p>
        </w:tc>
        <w:tc>
          <w:tcPr>
            <w:tcW w:w="900" w:type="dxa"/>
            <w:vAlign w:val="bottom"/>
            <w:gridSpan w:val="2"/>
          </w:tcPr>
          <w:p>
            <w:pPr>
              <w:jc w:val="right"/>
              <w:ind w:right="134"/>
              <w:spacing w:after="0"/>
              <w:rPr>
                <w:sz w:val="20"/>
                <w:szCs w:val="20"/>
                <w:color w:val="auto"/>
              </w:rPr>
            </w:pPr>
            <w:r>
              <w:rPr>
                <w:rFonts w:ascii="Arial" w:cs="Arial" w:eastAsia="Arial" w:hAnsi="Arial"/>
                <w:sz w:val="17"/>
                <w:szCs w:val="17"/>
                <w:color w:val="auto"/>
              </w:rPr>
              <w:t>(3,262)</w:t>
            </w: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(1,635)</w:t>
            </w:r>
          </w:p>
        </w:tc>
        <w:tc>
          <w:tcPr>
            <w:tcW w:w="720" w:type="dxa"/>
            <w:vAlign w:val="bottom"/>
            <w:gridSpan w:val="3"/>
          </w:tcPr>
          <w:p>
            <w:pPr>
              <w:jc w:val="right"/>
              <w:ind w:right="40"/>
              <w:spacing w:after="0"/>
              <w:rPr>
                <w:sz w:val="20"/>
                <w:szCs w:val="20"/>
                <w:color w:val="auto"/>
              </w:rPr>
            </w:pPr>
            <w:r>
              <w:rPr>
                <w:rFonts w:ascii="Arial" w:cs="Arial" w:eastAsia="Arial" w:hAnsi="Arial"/>
                <w:sz w:val="17"/>
                <w:szCs w:val="17"/>
                <w:color w:val="auto"/>
              </w:rPr>
              <w:t>(4,516)</w:t>
            </w:r>
          </w:p>
        </w:tc>
      </w:tr>
      <w:tr>
        <w:trPr>
          <w:trHeight w:val="26"/>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Comprehensive income</w:t>
            </w:r>
          </w:p>
        </w:tc>
        <w:tc>
          <w:tcPr>
            <w:tcW w:w="298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236,693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83,059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7"/>
              </w:rPr>
              <w:t>$</w:t>
            </w:r>
            <w:r>
              <w:rPr>
                <w:rFonts w:ascii="Arial" w:cs="Arial" w:eastAsia="Arial" w:hAnsi="Arial"/>
                <w:sz w:val="17"/>
                <w:szCs w:val="17"/>
                <w:color w:val="auto"/>
                <w:w w:val="97"/>
              </w:rPr>
              <w:t>20,903</w:t>
            </w:r>
          </w:p>
        </w:tc>
        <w:tc>
          <w:tcPr>
            <w:tcW w:w="100" w:type="dxa"/>
            <w:vAlign w:val="bottom"/>
            <w:shd w:val="clear" w:color="auto" w:fill="CCEEFF"/>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1"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4"/>
              </w:rPr>
              <w:t>Fiscal Year Ended March 31,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7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38"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38" w:lineRule="exact"/>
              <w:rPr>
                <w:sz w:val="20"/>
                <w:szCs w:val="20"/>
                <w:color w:val="auto"/>
              </w:rPr>
            </w:pPr>
            <w:r>
              <w:rPr>
                <w:rFonts w:ascii="Arial" w:cs="Arial" w:eastAsia="Arial" w:hAnsi="Arial"/>
                <w:sz w:val="13"/>
                <w:szCs w:val="13"/>
                <w:b w:val="1"/>
                <w:bCs w:val="1"/>
                <w:color w:val="auto"/>
              </w:rPr>
              <w:t>2011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right"/>
              <w:ind w:right="240"/>
              <w:spacing w:after="0" w:line="138" w:lineRule="exact"/>
              <w:rPr>
                <w:sz w:val="20"/>
                <w:szCs w:val="20"/>
                <w:color w:val="auto"/>
              </w:rPr>
            </w:pPr>
            <w:r>
              <w:rPr>
                <w:rFonts w:ascii="Arial" w:cs="Arial" w:eastAsia="Arial" w:hAnsi="Arial"/>
                <w:sz w:val="13"/>
                <w:szCs w:val="13"/>
                <w:b w:val="1"/>
                <w:bCs w:val="1"/>
                <w:color w:val="auto"/>
              </w:rPr>
              <w:t>(Amounts in thousands)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239,955</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84,694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Gain on sale of state and local transportation business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(4,082)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Transaction costs on sale of state and local transportation business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Depreciation and amortization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75,205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80,603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Amortization of debt issuance costs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Amortization of original issuance discount on debt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1,097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Non-cash expense of debt repayments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Excess tax benefits from the exercise of stock options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(16,461)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(15,974)</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(1,915)</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Loss on disposition of property and equipment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Deferred income taxes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7020" w:type="dxa"/>
            <w:vAlign w:val="bottom"/>
          </w:tcPr>
          <w:p>
            <w:pPr>
              <w:ind w:left="840"/>
              <w:spacing w:after="0"/>
              <w:rPr>
                <w:sz w:val="20"/>
                <w:szCs w:val="20"/>
                <w:color w:val="auto"/>
              </w:rPr>
            </w:pPr>
            <w:r>
              <w:rPr>
                <w:rFonts w:ascii="Arial" w:cs="Arial" w:eastAsia="Arial" w:hAnsi="Arial"/>
                <w:sz w:val="17"/>
                <w:szCs w:val="17"/>
                <w:color w:val="auto"/>
              </w:rPr>
              <w:t>Changes in assets and liabilities: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Accounts receivable, net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(92,693)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(92,386)</w:t>
            </w: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Income taxes receivable / payable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(31,832)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2,907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(14,429)</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Prepaid expenses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(951)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Other current assets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6,215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(12,941)</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Other long-term assets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(6,250)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(6,833)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(3,742)</w:t>
            </w: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Accrued compensation and benefits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(35,287)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33,760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Accounts payable and accrued expenses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110,265</w:t>
            </w: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Accrued interest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(11,801)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(10,633)</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Income tax reserve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(35,192)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(10,163)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1260"/>
              <w:spacing w:after="0"/>
              <w:rPr>
                <w:sz w:val="20"/>
                <w:szCs w:val="20"/>
                <w:color w:val="auto"/>
              </w:rPr>
            </w:pPr>
            <w:r>
              <w:rPr>
                <w:rFonts w:ascii="Arial" w:cs="Arial" w:eastAsia="Arial" w:hAnsi="Arial"/>
                <w:sz w:val="17"/>
                <w:szCs w:val="17"/>
                <w:color w:val="auto"/>
              </w:rPr>
              <w:t>Other current liabilities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(2,373)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(8,190)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Postretirement obligations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20" w:type="dxa"/>
            <w:vAlign w:val="bottom"/>
          </w:tcPr>
          <w:p>
            <w:pPr>
              <w:ind w:left="1260"/>
              <w:spacing w:after="0"/>
              <w:rPr>
                <w:sz w:val="20"/>
                <w:szCs w:val="20"/>
                <w:color w:val="auto"/>
              </w:rPr>
            </w:pPr>
            <w:r>
              <w:rPr>
                <w:rFonts w:ascii="Arial" w:cs="Arial" w:eastAsia="Arial" w:hAnsi="Arial"/>
                <w:sz w:val="17"/>
                <w:szCs w:val="17"/>
                <w:color w:val="auto"/>
              </w:rPr>
              <w:t>Other long-term liabilities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46,487</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1700"/>
              <w:spacing w:after="0"/>
              <w:rPr>
                <w:sz w:val="20"/>
                <w:szCs w:val="20"/>
                <w:color w:val="auto"/>
              </w:rPr>
            </w:pPr>
            <w:r>
              <w:rPr>
                <w:rFonts w:ascii="Arial" w:cs="Arial" w:eastAsia="Arial" w:hAnsi="Arial"/>
                <w:sz w:val="17"/>
                <w:szCs w:val="17"/>
                <w:color w:val="auto"/>
              </w:rPr>
              <w:t>Net cash provided by operating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360,046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296,339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270,484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70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Purchases of property and equipment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(76,925)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(88,784)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(49,271)</w:t>
            </w: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Escrow payments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sale of state and local transportation business</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1700"/>
              <w:spacing w:after="0"/>
              <w:rPr>
                <w:sz w:val="20"/>
                <w:szCs w:val="20"/>
                <w:color w:val="auto"/>
              </w:rPr>
            </w:pPr>
            <w:r>
              <w:rPr>
                <w:rFonts w:ascii="Arial" w:cs="Arial" w:eastAsia="Arial" w:hAnsi="Arial"/>
                <w:sz w:val="17"/>
                <w:szCs w:val="17"/>
                <w:color w:val="auto"/>
              </w:rPr>
              <w:t>Net cash used in investing activities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(53,593)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(87,400)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(10,991)</w:t>
            </w:r>
          </w:p>
        </w:tc>
        <w:tc>
          <w:tcPr>
            <w:tcW w:w="0" w:type="dxa"/>
            <w:vAlign w:val="bottom"/>
          </w:tcPr>
          <w:p>
            <w:pPr>
              <w:spacing w:after="0"/>
              <w:rPr>
                <w:sz w:val="1"/>
                <w:szCs w:val="1"/>
                <w:color w:val="auto"/>
              </w:rPr>
            </w:pPr>
          </w:p>
        </w:tc>
      </w:tr>
      <w:tr>
        <w:trPr>
          <w:trHeight w:val="108"/>
        </w:trPr>
        <w:tc>
          <w:tcPr>
            <w:tcW w:w="7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Net proceeds from issuance of 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251,135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 dividends paid</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(11,906)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(612,401)</w:t>
            </w: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Repayment of debt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w w:val="91"/>
              </w:rPr>
              <w:t>(1,637,850)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(16,100)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proceeds from debt</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1,041,808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330,692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Payment of deferred payment obligation</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(78,000)</w:t>
            </w: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Excess tax benefits from the exercise of stock options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Stock option exercises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7,349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Repurchases of common stock</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1700"/>
              <w:spacing w:after="0"/>
              <w:rPr>
                <w:sz w:val="20"/>
                <w:szCs w:val="20"/>
                <w:color w:val="auto"/>
              </w:rPr>
            </w:pPr>
            <w:r>
              <w:rPr>
                <w:rFonts w:ascii="Arial" w:cs="Arial" w:eastAsia="Arial" w:hAnsi="Arial"/>
                <w:sz w:val="17"/>
                <w:szCs w:val="17"/>
                <w:color w:val="auto"/>
              </w:rPr>
              <w:t>Net cash used in financing activities</w:t>
            </w: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0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(14,716)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7"/>
                <w:szCs w:val="17"/>
                <w:color w:val="auto"/>
              </w:rPr>
              <w:t>(324,143)</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(372,560)</w:t>
            </w:r>
          </w:p>
        </w:tc>
        <w:tc>
          <w:tcPr>
            <w:tcW w:w="0" w:type="dxa"/>
            <w:vAlign w:val="bottom"/>
          </w:tcPr>
          <w:p>
            <w:pPr>
              <w:spacing w:after="0"/>
              <w:rPr>
                <w:sz w:val="1"/>
                <w:szCs w:val="1"/>
                <w:color w:val="auto"/>
              </w:rPr>
            </w:pPr>
          </w:p>
        </w:tc>
      </w:tr>
      <w:tr>
        <w:trPr>
          <w:trHeight w:val="108"/>
        </w:trPr>
        <w:tc>
          <w:tcPr>
            <w:tcW w:w="7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291,737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(115,204)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(113,067)</w:t>
            </w:r>
          </w:p>
        </w:tc>
        <w:tc>
          <w:tcPr>
            <w:tcW w:w="0" w:type="dxa"/>
            <w:vAlign w:val="bottom"/>
          </w:tcPr>
          <w:p>
            <w:pPr>
              <w:spacing w:after="0"/>
              <w:rPr>
                <w:sz w:val="1"/>
                <w:szCs w:val="1"/>
                <w:color w:val="auto"/>
              </w:rPr>
            </w:pPr>
          </w:p>
        </w:tc>
      </w:tr>
      <w:tr>
        <w:trPr>
          <w:trHeight w:val="217"/>
        </w:trPr>
        <w:tc>
          <w:tcPr>
            <w:tcW w:w="7020" w:type="dxa"/>
            <w:vAlign w:val="bottom"/>
          </w:tcPr>
          <w:p>
            <w:pPr>
              <w:spacing w:after="0"/>
              <w:rPr>
                <w:sz w:val="20"/>
                <w:szCs w:val="20"/>
                <w:color w:val="auto"/>
              </w:rPr>
            </w:pPr>
            <w:r>
              <w:rPr>
                <w:rFonts w:ascii="Arial" w:cs="Arial" w:eastAsia="Arial" w:hAnsi="Arial"/>
                <w:sz w:val="17"/>
                <w:szCs w:val="17"/>
                <w:color w:val="auto"/>
              </w:rPr>
              <w:t>Cash and cash equivalents—beginning of period</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192,631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307,835</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420,902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equivalents—end of period</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484,368</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192,631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307,835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20" w:type="dxa"/>
            <w:vAlign w:val="bottom"/>
          </w:tcPr>
          <w:p>
            <w:pPr>
              <w:ind w:left="420"/>
              <w:spacing w:after="0"/>
              <w:rPr>
                <w:sz w:val="20"/>
                <w:szCs w:val="20"/>
                <w:color w:val="auto"/>
              </w:rPr>
            </w:pPr>
            <w:r>
              <w:rPr>
                <w:rFonts w:ascii="Arial" w:cs="Arial" w:eastAsia="Arial" w:hAnsi="Arial"/>
                <w:sz w:val="17"/>
                <w:szCs w:val="17"/>
                <w:color w:val="auto"/>
              </w:rPr>
              <w:t>Interest</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53,993</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109,895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126,744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taxes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89,314</w:t>
            </w: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1"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5"/>
          </w:tcPr>
          <w:p>
            <w:pPr>
              <w:ind w:left="360"/>
              <w:spacing w:after="0"/>
              <w:rPr>
                <w:sz w:val="20"/>
                <w:szCs w:val="20"/>
                <w:color w:val="auto"/>
              </w:rPr>
            </w:pPr>
            <w:r>
              <w:rPr>
                <w:rFonts w:ascii="Arial" w:cs="Arial" w:eastAsia="Arial" w:hAnsi="Arial"/>
                <w:sz w:val="13"/>
                <w:szCs w:val="13"/>
                <w:b w:val="1"/>
                <w:bCs w:val="1"/>
                <w:color w:val="auto"/>
              </w:rPr>
              <w:t>Class B</w:t>
            </w:r>
          </w:p>
        </w:tc>
        <w:tc>
          <w:tcPr>
            <w:tcW w:w="1280" w:type="dxa"/>
            <w:vAlign w:val="bottom"/>
            <w:gridSpan w:val="4"/>
          </w:tcPr>
          <w:p>
            <w:pPr>
              <w:ind w:left="360"/>
              <w:spacing w:after="0"/>
              <w:rPr>
                <w:sz w:val="20"/>
                <w:szCs w:val="20"/>
                <w:color w:val="auto"/>
              </w:rPr>
            </w:pPr>
            <w:r>
              <w:rPr>
                <w:rFonts w:ascii="Arial" w:cs="Arial" w:eastAsia="Arial" w:hAnsi="Arial"/>
                <w:sz w:val="13"/>
                <w:szCs w:val="13"/>
                <w:b w:val="1"/>
                <w:bCs w:val="1"/>
                <w:color w:val="auto"/>
              </w:rPr>
              <w:t>Class C</w:t>
            </w:r>
          </w:p>
        </w:tc>
        <w:tc>
          <w:tcPr>
            <w:tcW w:w="13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9"/>
              </w:rPr>
              <w:t>Class 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Accumulated</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3"/>
                <w:szCs w:val="13"/>
                <w:b w:val="1"/>
                <w:bCs w:val="1"/>
                <w:color w:val="auto"/>
                <w:w w:val="99"/>
              </w:rPr>
              <w:t>(Amounts in thousands,</w:t>
            </w:r>
          </w:p>
        </w:tc>
        <w:tc>
          <w:tcPr>
            <w:tcW w:w="1420" w:type="dxa"/>
            <w:vAlign w:val="bottom"/>
            <w:gridSpan w:val="5"/>
          </w:tcPr>
          <w:p>
            <w:pPr>
              <w:jc w:val="right"/>
              <w:ind w:right="560"/>
              <w:spacing w:after="0" w:line="145" w:lineRule="exact"/>
              <w:rPr>
                <w:sz w:val="20"/>
                <w:szCs w:val="20"/>
                <w:color w:val="auto"/>
              </w:rPr>
            </w:pPr>
            <w:r>
              <w:rPr>
                <w:rFonts w:ascii="Arial" w:cs="Arial" w:eastAsia="Arial" w:hAnsi="Arial"/>
                <w:sz w:val="13"/>
                <w:szCs w:val="13"/>
                <w:b w:val="1"/>
                <w:bCs w:val="1"/>
                <w:color w:val="auto"/>
              </w:rPr>
              <w:t>Class A</w:t>
            </w:r>
          </w:p>
        </w:tc>
        <w:tc>
          <w:tcPr>
            <w:tcW w:w="1280" w:type="dxa"/>
            <w:vAlign w:val="bottom"/>
            <w:gridSpan w:val="5"/>
          </w:tcPr>
          <w:p>
            <w:pPr>
              <w:ind w:left="260"/>
              <w:spacing w:after="0" w:line="145" w:lineRule="exact"/>
              <w:rPr>
                <w:sz w:val="20"/>
                <w:szCs w:val="20"/>
                <w:color w:val="auto"/>
              </w:rPr>
            </w:pPr>
            <w:r>
              <w:rPr>
                <w:rFonts w:ascii="Arial" w:cs="Arial" w:eastAsia="Arial" w:hAnsi="Arial"/>
                <w:sz w:val="13"/>
                <w:szCs w:val="13"/>
                <w:b w:val="1"/>
                <w:bCs w:val="1"/>
                <w:color w:val="auto"/>
              </w:rPr>
              <w:t>Non-Voting</w:t>
            </w:r>
          </w:p>
        </w:tc>
        <w:tc>
          <w:tcPr>
            <w:tcW w:w="1280" w:type="dxa"/>
            <w:vAlign w:val="bottom"/>
            <w:gridSpan w:val="4"/>
          </w:tcPr>
          <w:p>
            <w:pPr>
              <w:ind w:left="280"/>
              <w:spacing w:after="0" w:line="145" w:lineRule="exact"/>
              <w:rPr>
                <w:sz w:val="20"/>
                <w:szCs w:val="20"/>
                <w:color w:val="auto"/>
              </w:rPr>
            </w:pPr>
            <w:r>
              <w:rPr>
                <w:rFonts w:ascii="Arial" w:cs="Arial" w:eastAsia="Arial" w:hAnsi="Arial"/>
                <w:sz w:val="13"/>
                <w:szCs w:val="13"/>
                <w:b w:val="1"/>
                <w:bCs w:val="1"/>
                <w:color w:val="auto"/>
              </w:rPr>
              <w:t>Restricted</w:t>
            </w:r>
          </w:p>
        </w:tc>
        <w:tc>
          <w:tcPr>
            <w:tcW w:w="1340" w:type="dxa"/>
            <w:vAlign w:val="bottom"/>
            <w:gridSpan w:val="4"/>
          </w:tcPr>
          <w:p>
            <w:pPr>
              <w:jc w:val="center"/>
              <w:ind w:right="140"/>
              <w:spacing w:after="0" w:line="145" w:lineRule="exact"/>
              <w:rPr>
                <w:sz w:val="20"/>
                <w:szCs w:val="20"/>
                <w:color w:val="auto"/>
              </w:rPr>
            </w:pPr>
            <w:r>
              <w:rPr>
                <w:rFonts w:ascii="Arial" w:cs="Arial" w:eastAsia="Arial" w:hAnsi="Arial"/>
                <w:sz w:val="13"/>
                <w:szCs w:val="13"/>
                <w:b w:val="1"/>
                <w:bCs w:val="1"/>
                <w:color w:val="auto"/>
                <w:w w:val="89"/>
              </w:rPr>
              <w:t>Special Voting</w:t>
            </w:r>
          </w:p>
        </w:tc>
        <w:tc>
          <w:tcPr>
            <w:tcW w:w="1180" w:type="dxa"/>
            <w:vAlign w:val="bottom"/>
            <w:gridSpan w:val="5"/>
          </w:tcPr>
          <w:p>
            <w:pPr>
              <w:jc w:val="right"/>
              <w:ind w:right="380"/>
              <w:spacing w:after="0" w:line="145" w:lineRule="exact"/>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Arial" w:cs="Arial" w:eastAsia="Arial" w:hAnsi="Arial"/>
                <w:sz w:val="13"/>
                <w:szCs w:val="13"/>
                <w:b w:val="1"/>
                <w:bCs w:val="1"/>
                <w:color w:val="auto"/>
                <w:w w:val="91"/>
              </w:rPr>
              <w:t>Additional</w:t>
            </w:r>
          </w:p>
        </w:tc>
        <w:tc>
          <w:tcPr>
            <w:tcW w:w="88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5"/>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5" w:lineRule="exact"/>
              <w:rPr>
                <w:sz w:val="20"/>
                <w:szCs w:val="20"/>
                <w:color w:val="auto"/>
              </w:rPr>
            </w:pPr>
            <w:r>
              <w:rPr>
                <w:rFonts w:ascii="Arial" w:cs="Arial" w:eastAsia="Arial" w:hAnsi="Arial"/>
                <w:sz w:val="13"/>
                <w:szCs w:val="13"/>
                <w:b w:val="1"/>
                <w:bCs w:val="1"/>
                <w:color w:val="auto"/>
                <w:w w:val="89"/>
              </w:rPr>
              <w:t>Total</w:t>
            </w:r>
          </w:p>
        </w:tc>
      </w:tr>
      <w:tr>
        <w:trPr>
          <w:trHeight w:val="158"/>
        </w:trPr>
        <w:tc>
          <w:tcPr>
            <w:tcW w:w="1500" w:type="dxa"/>
            <w:vAlign w:val="bottom"/>
          </w:tcPr>
          <w:p>
            <w:pPr>
              <w:spacing w:after="0"/>
              <w:rPr>
                <w:sz w:val="20"/>
                <w:szCs w:val="20"/>
                <w:color w:val="auto"/>
              </w:rPr>
            </w:pPr>
            <w:r>
              <w:rPr>
                <w:rFonts w:ascii="Arial" w:cs="Arial" w:eastAsia="Arial" w:hAnsi="Arial"/>
                <w:sz w:val="13"/>
                <w:szCs w:val="13"/>
                <w:b w:val="1"/>
                <w:bCs w:val="1"/>
                <w:color w:val="auto"/>
              </w:rPr>
              <w:t>except</w:t>
            </w:r>
          </w:p>
        </w:tc>
        <w:tc>
          <w:tcPr>
            <w:tcW w:w="14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Common Stock</w:t>
            </w:r>
          </w:p>
        </w:tc>
        <w:tc>
          <w:tcPr>
            <w:tcW w:w="128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280" w:type="dxa"/>
            <w:vAlign w:val="bottom"/>
            <w:gridSpan w:val="4"/>
          </w:tcPr>
          <w:p>
            <w:pPr>
              <w:ind w:left="140"/>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c>
          <w:tcPr>
            <w:tcW w:w="118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Stock</w:t>
            </w:r>
          </w:p>
        </w:tc>
        <w:tc>
          <w:tcPr>
            <w:tcW w:w="4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Paid-In</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Retained</w:t>
            </w:r>
          </w:p>
        </w:tc>
        <w:tc>
          <w:tcPr>
            <w:tcW w:w="4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Comprehensive</w:t>
            </w:r>
          </w:p>
        </w:tc>
        <w:tc>
          <w:tcPr>
            <w:tcW w:w="4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Stockholders’</w:t>
            </w:r>
          </w:p>
        </w:tc>
      </w:tr>
      <w:tr>
        <w:trPr>
          <w:trHeight w:val="138"/>
        </w:trPr>
        <w:tc>
          <w:tcPr>
            <w:tcW w:w="1500" w:type="dxa"/>
            <w:vAlign w:val="bottom"/>
          </w:tcPr>
          <w:p>
            <w:pPr>
              <w:spacing w:after="0" w:line="138" w:lineRule="exact"/>
              <w:rPr>
                <w:sz w:val="20"/>
                <w:szCs w:val="20"/>
                <w:color w:val="auto"/>
              </w:rPr>
            </w:pPr>
            <w:r>
              <w:rPr>
                <w:rFonts w:ascii="Arial" w:cs="Arial" w:eastAsia="Arial" w:hAnsi="Arial"/>
                <w:sz w:val="13"/>
                <w:szCs w:val="13"/>
                <w:b w:val="1"/>
                <w:bCs w:val="1"/>
                <w:color w:val="auto"/>
              </w:rPr>
              <w:t>share data)</w:t>
            </w:r>
          </w:p>
        </w:tc>
        <w:tc>
          <w:tcPr>
            <w:tcW w:w="780" w:type="dxa"/>
            <w:vAlign w:val="bottom"/>
            <w:tcBorders>
              <w:top w:val="single" w:sz="8" w:color="auto"/>
            </w:tcBorders>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38"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2"/>
                <w:szCs w:val="12"/>
                <w:color w:val="auto"/>
              </w:rPr>
            </w:pPr>
          </w:p>
        </w:tc>
        <w:tc>
          <w:tcPr>
            <w:tcW w:w="640" w:type="dxa"/>
            <w:vAlign w:val="bottom"/>
            <w:tcBorders>
              <w:top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680" w:type="dxa"/>
            <w:vAlign w:val="bottom"/>
            <w:tcBorders>
              <w:top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3"/>
              </w:rPr>
              <w:t>Amount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Capital</w:t>
            </w:r>
          </w:p>
        </w:tc>
        <w:tc>
          <w:tcPr>
            <w:tcW w:w="880" w:type="dxa"/>
            <w:vAlign w:val="bottom"/>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Earnings</w:t>
            </w:r>
          </w:p>
        </w:tc>
        <w:tc>
          <w:tcPr>
            <w:tcW w:w="40" w:type="dxa"/>
            <w:vAlign w:val="bottom"/>
          </w:tcPr>
          <w:p>
            <w:pPr>
              <w:spacing w:after="0"/>
              <w:rPr>
                <w:sz w:val="12"/>
                <w:szCs w:val="12"/>
                <w:color w:val="auto"/>
              </w:rPr>
            </w:pPr>
          </w:p>
        </w:tc>
        <w:tc>
          <w:tcPr>
            <w:tcW w:w="96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88"/>
              </w:rPr>
              <w:t>Income (Loss)</w:t>
            </w: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38" w:lineRule="exact"/>
              <w:rPr>
                <w:sz w:val="20"/>
                <w:szCs w:val="20"/>
                <w:color w:val="auto"/>
              </w:rPr>
            </w:pPr>
            <w:r>
              <w:rPr>
                <w:rFonts w:ascii="Arial" w:cs="Arial" w:eastAsia="Arial" w:hAnsi="Arial"/>
                <w:sz w:val="13"/>
                <w:szCs w:val="13"/>
                <w:b w:val="1"/>
                <w:bCs w:val="1"/>
                <w:color w:val="auto"/>
                <w:w w:val="95"/>
              </w:rPr>
              <w:t>Equity</w:t>
            </w:r>
          </w:p>
        </w:tc>
      </w:tr>
      <w:tr>
        <w:trPr>
          <w:trHeight w:val="112"/>
        </w:trPr>
        <w:tc>
          <w:tcPr>
            <w:tcW w:w="150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2"/>
                <w:szCs w:val="12"/>
                <w:b w:val="1"/>
                <w:bCs w:val="1"/>
                <w:color w:val="auto"/>
              </w:rPr>
              <w:t>Balance at March 31,</w:t>
            </w: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58"/>
        </w:trPr>
        <w:tc>
          <w:tcPr>
            <w:tcW w:w="15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2009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101,316,870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1,013</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2,350,200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2,028,270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14,802,880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1,097,327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(38,783)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698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1,060,343</w:t>
            </w:r>
          </w:p>
        </w:tc>
      </w:tr>
      <w:tr>
        <w:trPr>
          <w:trHeight w:val="142"/>
        </w:trPr>
        <w:tc>
          <w:tcPr>
            <w:tcW w:w="1500" w:type="dxa"/>
            <w:vAlign w:val="bottom"/>
          </w:tcPr>
          <w:p>
            <w:pPr>
              <w:ind w:left="420"/>
              <w:spacing w:after="0" w:line="143" w:lineRule="exact"/>
              <w:rPr>
                <w:sz w:val="20"/>
                <w:szCs w:val="20"/>
                <w:color w:val="auto"/>
              </w:rPr>
            </w:pPr>
            <w:r>
              <w:rPr>
                <w:rFonts w:ascii="Arial" w:cs="Arial" w:eastAsia="Arial" w:hAnsi="Arial"/>
                <w:sz w:val="13"/>
                <w:szCs w:val="13"/>
                <w:color w:val="auto"/>
              </w:rPr>
              <w:t>Issuance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common stock</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19,070</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Stock options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1,586,960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(1,457,000)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1,322</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1,334</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Recognition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liability related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to future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option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exercises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(Note 17)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(34,408)</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(34,408)</w:t>
            </w:r>
          </w:p>
        </w:tc>
      </w:tr>
      <w:tr>
        <w:trPr>
          <w:trHeight w:val="145"/>
        </w:trPr>
        <w:tc>
          <w:tcPr>
            <w:tcW w:w="150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25,419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25,419</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Actuarial loss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related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employee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w w:val="98"/>
              </w:rPr>
              <w:t>benefits, net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1500" w:type="dxa"/>
            <w:vAlign w:val="bottom"/>
          </w:tcPr>
          <w:p>
            <w:pPr>
              <w:ind w:left="640"/>
              <w:spacing w:after="0"/>
              <w:rPr>
                <w:sz w:val="20"/>
                <w:szCs w:val="20"/>
                <w:color w:val="auto"/>
              </w:rPr>
            </w:pPr>
            <w:r>
              <w:rPr>
                <w:rFonts w:ascii="Arial" w:cs="Arial" w:eastAsia="Arial" w:hAnsi="Arial"/>
                <w:sz w:val="13"/>
                <w:szCs w:val="13"/>
                <w:color w:val="auto"/>
              </w:rPr>
              <w:t>taxes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480"/>
              <w:spacing w:after="0"/>
              <w:rPr>
                <w:sz w:val="20"/>
                <w:szCs w:val="20"/>
                <w:color w:val="auto"/>
              </w:rPr>
            </w:pPr>
            <w:r>
              <w:rPr>
                <w:rFonts w:ascii="Arial" w:cs="Arial" w:eastAsia="Arial" w:hAnsi="Arial"/>
                <w:sz w:val="13"/>
                <w:szCs w:val="13"/>
                <w:color w:val="auto"/>
                <w:w w:val="97"/>
              </w:rPr>
              <w:t>(4,516)</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(4,516)</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Comprehensive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income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20,903</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Stock-based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71,897</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71,897</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Dividends paid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(Notes 1 and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(612,401)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(612,401)</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w w:val="94"/>
              </w:rPr>
              <w:t>Excess tax benefits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from the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exercise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1500" w:type="dxa"/>
            <w:vAlign w:val="bottom"/>
          </w:tcPr>
          <w:p>
            <w:pPr>
              <w:ind w:left="640"/>
              <w:spacing w:after="0"/>
              <w:rPr>
                <w:sz w:val="20"/>
                <w:szCs w:val="20"/>
                <w:color w:val="auto"/>
              </w:rPr>
            </w:pPr>
            <w:r>
              <w:rPr>
                <w:rFonts w:ascii="Arial" w:cs="Arial" w:eastAsia="Arial" w:hAnsi="Arial"/>
                <w:sz w:val="13"/>
                <w:szCs w:val="13"/>
                <w:color w:val="auto"/>
              </w:rPr>
              <w:t>stock options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1,915</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1,915</w:t>
            </w:r>
          </w:p>
        </w:tc>
      </w:tr>
      <w:tr>
        <w:trPr>
          <w:trHeight w:val="132"/>
        </w:trPr>
        <w:tc>
          <w:tcPr>
            <w:tcW w:w="150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Balance at March 31,</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15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2010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102,922,900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1,029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2,350,200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2,028,270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13,345,880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525,652</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(13,364)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7"/>
              </w:rPr>
              <w:t>(3,818)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509,583</w:t>
            </w:r>
          </w:p>
        </w:tc>
      </w:tr>
      <w:tr>
        <w:trPr>
          <w:trHeight w:val="142"/>
        </w:trPr>
        <w:tc>
          <w:tcPr>
            <w:tcW w:w="1500" w:type="dxa"/>
            <w:vAlign w:val="bottom"/>
          </w:tcPr>
          <w:p>
            <w:pPr>
              <w:ind w:left="420"/>
              <w:spacing w:after="0" w:line="143" w:lineRule="exact"/>
              <w:rPr>
                <w:sz w:val="20"/>
                <w:szCs w:val="20"/>
                <w:color w:val="auto"/>
              </w:rPr>
            </w:pPr>
            <w:r>
              <w:rPr>
                <w:rFonts w:ascii="Arial" w:cs="Arial" w:eastAsia="Arial" w:hAnsi="Arial"/>
                <w:sz w:val="13"/>
                <w:szCs w:val="13"/>
                <w:color w:val="auto"/>
              </w:rPr>
              <w:t>Issuance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common stock</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16,189,830</w:t>
            </w:r>
          </w:p>
        </w:tc>
        <w:tc>
          <w:tcPr>
            <w:tcW w:w="640" w:type="dxa"/>
            <w:vAlign w:val="bottom"/>
            <w:gridSpan w:val="3"/>
          </w:tcPr>
          <w:p>
            <w:pPr>
              <w:ind w:left="320"/>
              <w:spacing w:after="0"/>
              <w:rPr>
                <w:sz w:val="20"/>
                <w:szCs w:val="20"/>
                <w:color w:val="auto"/>
              </w:rPr>
            </w:pPr>
            <w:r>
              <w:rPr>
                <w:rFonts w:ascii="Arial" w:cs="Arial" w:eastAsia="Arial" w:hAnsi="Arial"/>
                <w:sz w:val="13"/>
                <w:szCs w:val="13"/>
                <w:color w:val="auto"/>
              </w:rPr>
              <w:t>161</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702,930</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250,972</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251,135</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Stock options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4,375,035</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(1,699,950)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11,766</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w w:val="94"/>
              </w:rPr>
              <w:t>Excess tax benefits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from the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exercise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stock options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15,974</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15,974</w:t>
            </w:r>
          </w:p>
        </w:tc>
      </w:tr>
      <w:tr>
        <w:trPr>
          <w:trHeight w:val="145"/>
        </w:trPr>
        <w:tc>
          <w:tcPr>
            <w:tcW w:w="150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Share exchange</w:t>
            </w:r>
          </w:p>
        </w:tc>
        <w:tc>
          <w:tcPr>
            <w:tcW w:w="78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(702,930)</w:t>
            </w:r>
          </w:p>
        </w:tc>
        <w:tc>
          <w:tcPr>
            <w:tcW w:w="6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(7)</w:t>
            </w:r>
          </w:p>
        </w:tc>
        <w:tc>
          <w:tcPr>
            <w:tcW w:w="5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702,930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Recognition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liability related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to future 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option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exercises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(Note 17)</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3"/>
                <w:szCs w:val="13"/>
                <w:color w:val="auto"/>
              </w:rPr>
              <w:t>(12,945)</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(12,945)</w:t>
            </w:r>
          </w:p>
        </w:tc>
      </w:tr>
      <w:tr>
        <w:trPr>
          <w:trHeight w:val="145"/>
        </w:trPr>
        <w:tc>
          <w:tcPr>
            <w:tcW w:w="150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84,694</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84,694</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Actuarial loss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related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employee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w w:val="98"/>
              </w:rPr>
              <w:t>benefits, net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1500" w:type="dxa"/>
            <w:vAlign w:val="bottom"/>
          </w:tcPr>
          <w:p>
            <w:pPr>
              <w:ind w:left="640"/>
              <w:spacing w:after="0"/>
              <w:rPr>
                <w:sz w:val="20"/>
                <w:szCs w:val="20"/>
                <w:color w:val="auto"/>
              </w:rPr>
            </w:pPr>
            <w:r>
              <w:rPr>
                <w:rFonts w:ascii="Arial" w:cs="Arial" w:eastAsia="Arial" w:hAnsi="Arial"/>
                <w:sz w:val="13"/>
                <w:szCs w:val="13"/>
                <w:color w:val="auto"/>
              </w:rPr>
              <w:t>taxes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480"/>
              <w:spacing w:after="0"/>
              <w:rPr>
                <w:sz w:val="20"/>
                <w:szCs w:val="20"/>
                <w:color w:val="auto"/>
              </w:rPr>
            </w:pPr>
            <w:r>
              <w:rPr>
                <w:rFonts w:ascii="Arial" w:cs="Arial" w:eastAsia="Arial" w:hAnsi="Arial"/>
                <w:sz w:val="13"/>
                <w:szCs w:val="13"/>
                <w:color w:val="auto"/>
                <w:w w:val="97"/>
              </w:rPr>
              <w:t>(1,635)</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(1,635)</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Comprehensive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income</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83,059</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Stock-based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1500" w:type="dxa"/>
            <w:vAlign w:val="bottom"/>
          </w:tcPr>
          <w:p>
            <w:pPr>
              <w:ind w:left="640"/>
              <w:spacing w:after="0"/>
              <w:rPr>
                <w:sz w:val="20"/>
                <w:szCs w:val="20"/>
                <w:color w:val="auto"/>
              </w:rPr>
            </w:pPr>
            <w:r>
              <w:rPr>
                <w:rFonts w:ascii="Arial" w:cs="Arial" w:eastAsia="Arial" w:hAnsi="Arial"/>
                <w:sz w:val="13"/>
                <w:szCs w:val="13"/>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48,678</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48,678</w:t>
            </w:r>
          </w:p>
        </w:tc>
      </w:tr>
      <w:tr>
        <w:trPr>
          <w:trHeight w:val="132"/>
        </w:trPr>
        <w:tc>
          <w:tcPr>
            <w:tcW w:w="150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Balance at March 31,</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15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2011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122,784,835</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1,227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3,053,130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2,028,270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12,348,860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840,058</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71,330</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7"/>
              </w:rPr>
              <w:t>(5,453)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907,250</w:t>
            </w:r>
          </w:p>
        </w:tc>
      </w:tr>
      <w:tr>
        <w:trPr>
          <w:trHeight w:val="142"/>
        </w:trPr>
        <w:tc>
          <w:tcPr>
            <w:tcW w:w="1500" w:type="dxa"/>
            <w:vAlign w:val="bottom"/>
          </w:tcPr>
          <w:p>
            <w:pPr>
              <w:ind w:left="420"/>
              <w:spacing w:after="0" w:line="143" w:lineRule="exact"/>
              <w:rPr>
                <w:sz w:val="20"/>
                <w:szCs w:val="20"/>
                <w:color w:val="auto"/>
              </w:rPr>
            </w:pPr>
            <w:r>
              <w:rPr>
                <w:rFonts w:ascii="Arial" w:cs="Arial" w:eastAsia="Arial" w:hAnsi="Arial"/>
                <w:sz w:val="13"/>
                <w:szCs w:val="13"/>
                <w:color w:val="auto"/>
              </w:rPr>
              <w:t>Issuance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common stock</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1,080,245</w:t>
            </w:r>
          </w:p>
        </w:tc>
        <w:tc>
          <w:tcPr>
            <w:tcW w:w="640" w:type="dxa"/>
            <w:vAlign w:val="bottom"/>
            <w:gridSpan w:val="3"/>
          </w:tcPr>
          <w:p>
            <w:pPr>
              <w:jc w:val="right"/>
              <w:ind w:right="120"/>
              <w:spacing w:after="0"/>
              <w:rPr>
                <w:sz w:val="20"/>
                <w:szCs w:val="20"/>
                <w:color w:val="auto"/>
              </w:rPr>
            </w:pPr>
            <w:r>
              <w:rPr>
                <w:rFonts w:ascii="Arial" w:cs="Arial" w:eastAsia="Arial" w:hAnsi="Arial"/>
                <w:sz w:val="13"/>
                <w:szCs w:val="13"/>
                <w:color w:val="auto"/>
              </w:rPr>
              <w:t>11</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8,749</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8,760</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Stock options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3,799,989</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(2,208,793)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7,315</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7,346</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w w:val="94"/>
              </w:rPr>
              <w:t>Excess tax benefits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from the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exercise of</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stock options</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16,461</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16,461</w:t>
            </w:r>
          </w:p>
        </w:tc>
      </w:tr>
      <w:tr>
        <w:trPr>
          <w:trHeight w:val="145"/>
        </w:trPr>
        <w:tc>
          <w:tcPr>
            <w:tcW w:w="1500" w:type="dxa"/>
            <w:vAlign w:val="bottom"/>
            <w:shd w:val="clear" w:color="auto" w:fill="CCEEFF"/>
          </w:tcPr>
          <w:p>
            <w:pPr>
              <w:ind w:left="420"/>
              <w:spacing w:after="0" w:line="145" w:lineRule="exact"/>
              <w:rPr>
                <w:sz w:val="20"/>
                <w:szCs w:val="20"/>
                <w:color w:val="auto"/>
              </w:rPr>
            </w:pPr>
            <w:r>
              <w:rPr>
                <w:rFonts w:ascii="Arial" w:cs="Arial" w:eastAsia="Arial" w:hAnsi="Arial"/>
                <w:sz w:val="13"/>
                <w:szCs w:val="13"/>
                <w:color w:val="auto"/>
              </w:rPr>
              <w:t>Share exchange</w:t>
            </w:r>
          </w:p>
        </w:tc>
        <w:tc>
          <w:tcPr>
            <w:tcW w:w="7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1,061,255</w:t>
            </w:r>
          </w:p>
        </w:tc>
        <w:tc>
          <w:tcPr>
            <w:tcW w:w="640" w:type="dxa"/>
            <w:vAlign w:val="bottom"/>
            <w:gridSpan w:val="3"/>
            <w:shd w:val="clear" w:color="auto" w:fill="CCEEFF"/>
          </w:tcPr>
          <w:p>
            <w:pPr>
              <w:jc w:val="right"/>
              <w:ind w:right="120"/>
              <w:spacing w:after="0" w:line="145" w:lineRule="exact"/>
              <w:rPr>
                <w:sz w:val="20"/>
                <w:szCs w:val="20"/>
                <w:color w:val="auto"/>
              </w:rPr>
            </w:pPr>
            <w:r>
              <w:rPr>
                <w:rFonts w:ascii="Arial" w:cs="Arial" w:eastAsia="Arial" w:hAnsi="Arial"/>
                <w:sz w:val="13"/>
                <w:szCs w:val="13"/>
                <w:color w:val="auto"/>
              </w:rPr>
              <w:t>11</w:t>
            </w:r>
          </w:p>
        </w:tc>
        <w:tc>
          <w:tcPr>
            <w:tcW w:w="64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(566,005)</w:t>
            </w:r>
          </w:p>
        </w:tc>
        <w:tc>
          <w:tcPr>
            <w:tcW w:w="640" w:type="dxa"/>
            <w:vAlign w:val="bottom"/>
            <w:gridSpan w:val="3"/>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(6)</w:t>
            </w:r>
          </w:p>
        </w:tc>
        <w:tc>
          <w:tcPr>
            <w:tcW w:w="68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(495,250)</w:t>
            </w:r>
          </w:p>
        </w:tc>
        <w:tc>
          <w:tcPr>
            <w:tcW w:w="600" w:type="dxa"/>
            <w:vAlign w:val="bottom"/>
            <w:gridSpan w:val="2"/>
            <w:shd w:val="clear" w:color="auto" w:fill="CCEEFF"/>
          </w:tcPr>
          <w:p>
            <w:pPr>
              <w:jc w:val="right"/>
              <w:ind w:right="80"/>
              <w:spacing w:after="0" w:line="145" w:lineRule="exact"/>
              <w:rPr>
                <w:sz w:val="20"/>
                <w:szCs w:val="20"/>
                <w:color w:val="auto"/>
              </w:rPr>
            </w:pPr>
            <w:r>
              <w:rPr>
                <w:rFonts w:ascii="Arial" w:cs="Arial" w:eastAsia="Arial" w:hAnsi="Arial"/>
                <w:sz w:val="13"/>
                <w:szCs w:val="13"/>
                <w:color w:val="auto"/>
              </w:rPr>
              <w:t>(5)</w:t>
            </w:r>
          </w:p>
        </w:tc>
        <w:tc>
          <w:tcPr>
            <w:tcW w:w="74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20"/>
              <w:spacing w:after="0" w:line="14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5" w:lineRule="exact"/>
              <w:rPr>
                <w:sz w:val="20"/>
                <w:szCs w:val="20"/>
                <w:color w:val="auto"/>
              </w:rPr>
            </w:pPr>
            <w:r>
              <w:rPr>
                <w:rFonts w:ascii="Arial" w:cs="Arial" w:eastAsia="Arial" w:hAnsi="Arial"/>
                <w:sz w:val="13"/>
                <w:szCs w:val="13"/>
                <w:color w:val="auto"/>
              </w:rPr>
              <w:t>—</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Repurchase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common stock</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w w:val="96"/>
              </w:rPr>
              <w:t>(333,775)</w:t>
            </w:r>
          </w:p>
        </w:tc>
        <w:tc>
          <w:tcPr>
            <w:tcW w:w="600" w:type="dxa"/>
            <w:vAlign w:val="bottom"/>
            <w:gridSpan w:val="3"/>
          </w:tcPr>
          <w:p>
            <w:pPr>
              <w:jc w:val="right"/>
              <w:ind w:right="40"/>
              <w:spacing w:after="0"/>
              <w:rPr>
                <w:sz w:val="20"/>
                <w:szCs w:val="20"/>
                <w:color w:val="auto"/>
              </w:rPr>
            </w:pPr>
            <w:r>
              <w:rPr>
                <w:rFonts w:ascii="Arial" w:cs="Arial" w:eastAsia="Arial" w:hAnsi="Arial"/>
                <w:sz w:val="13"/>
                <w:szCs w:val="13"/>
                <w:color w:val="auto"/>
              </w:rPr>
              <w:t>(5,377)</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(5,377)</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Recognition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liability related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to future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option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exercises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(Note 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(5,305)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(5,305)</w:t>
            </w:r>
          </w:p>
        </w:tc>
      </w:tr>
      <w:tr>
        <w:trPr>
          <w:trHeight w:val="145"/>
        </w:trPr>
        <w:tc>
          <w:tcPr>
            <w:tcW w:w="1500" w:type="dxa"/>
            <w:vAlign w:val="bottom"/>
          </w:tcPr>
          <w:p>
            <w:pPr>
              <w:ind w:left="420"/>
              <w:spacing w:after="0" w:line="145" w:lineRule="exact"/>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0" w:type="dxa"/>
            <w:vAlign w:val="bottom"/>
            <w:gridSpan w:val="2"/>
          </w:tcPr>
          <w:p>
            <w:pPr>
              <w:ind w:left="28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line="14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140"/>
              <w:spacing w:after="0" w:line="14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80"/>
              <w:spacing w:after="0" w:line="14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5" w:lineRule="exact"/>
              <w:rPr>
                <w:sz w:val="20"/>
                <w:szCs w:val="20"/>
                <w:color w:val="auto"/>
              </w:rPr>
            </w:pPr>
            <w:r>
              <w:rPr>
                <w:rFonts w:ascii="Arial" w:cs="Arial" w:eastAsia="Arial" w:hAnsi="Arial"/>
                <w:sz w:val="13"/>
                <w:szCs w:val="13"/>
                <w:color w:val="auto"/>
              </w:rPr>
              <w:t>239,955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ind w:left="620"/>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239,955</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Actuarial loss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related to</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rPr>
              <w:t>employee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5"/>
        </w:trPr>
        <w:tc>
          <w:tcPr>
            <w:tcW w:w="1500" w:type="dxa"/>
            <w:vAlign w:val="bottom"/>
            <w:shd w:val="clear" w:color="auto" w:fill="CCEEFF"/>
          </w:tcPr>
          <w:p>
            <w:pPr>
              <w:ind w:left="640"/>
              <w:spacing w:after="0" w:line="145" w:lineRule="exact"/>
              <w:rPr>
                <w:sz w:val="20"/>
                <w:szCs w:val="20"/>
                <w:color w:val="auto"/>
              </w:rPr>
            </w:pPr>
            <w:r>
              <w:rPr>
                <w:rFonts w:ascii="Arial" w:cs="Arial" w:eastAsia="Arial" w:hAnsi="Arial"/>
                <w:sz w:val="13"/>
                <w:szCs w:val="13"/>
                <w:color w:val="auto"/>
                <w:w w:val="98"/>
              </w:rPr>
              <w:t>benefits, net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taxes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7"/>
              </w:rPr>
              <w:t>(3,262)</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(3,262)</w:t>
            </w:r>
          </w:p>
        </w:tc>
      </w:tr>
      <w:tr>
        <w:trPr>
          <w:trHeight w:val="142"/>
        </w:trPr>
        <w:tc>
          <w:tcPr>
            <w:tcW w:w="1500" w:type="dxa"/>
            <w:vAlign w:val="bottom"/>
          </w:tcPr>
          <w:p>
            <w:pPr>
              <w:ind w:left="420"/>
              <w:spacing w:after="0" w:line="143" w:lineRule="exact"/>
              <w:rPr>
                <w:sz w:val="20"/>
                <w:szCs w:val="20"/>
                <w:color w:val="auto"/>
              </w:rPr>
            </w:pPr>
            <w:r>
              <w:rPr>
                <w:rFonts w:ascii="Arial" w:cs="Arial" w:eastAsia="Arial" w:hAnsi="Arial"/>
                <w:sz w:val="13"/>
                <w:szCs w:val="13"/>
                <w:color w:val="auto"/>
              </w:rPr>
              <w:t>Comprehensive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1500" w:type="dxa"/>
            <w:vAlign w:val="bottom"/>
          </w:tcPr>
          <w:p>
            <w:pPr>
              <w:ind w:left="640"/>
              <w:spacing w:after="0"/>
              <w:rPr>
                <w:sz w:val="20"/>
                <w:szCs w:val="20"/>
                <w:color w:val="auto"/>
              </w:rPr>
            </w:pPr>
            <w:r>
              <w:rPr>
                <w:rFonts w:ascii="Arial" w:cs="Arial" w:eastAsia="Arial" w:hAnsi="Arial"/>
                <w:sz w:val="13"/>
                <w:szCs w:val="13"/>
                <w:color w:val="auto"/>
              </w:rPr>
              <w:t>income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236,693</w:t>
            </w:r>
          </w:p>
        </w:tc>
      </w:tr>
      <w:tr>
        <w:trPr>
          <w:trHeight w:val="136"/>
        </w:trPr>
        <w:tc>
          <w:tcPr>
            <w:tcW w:w="1500" w:type="dxa"/>
            <w:vAlign w:val="bottom"/>
            <w:shd w:val="clear" w:color="auto" w:fill="CCEEFF"/>
          </w:tcPr>
          <w:p>
            <w:pPr>
              <w:ind w:left="420"/>
              <w:spacing w:after="0" w:line="136" w:lineRule="exact"/>
              <w:rPr>
                <w:sz w:val="20"/>
                <w:szCs w:val="20"/>
                <w:color w:val="auto"/>
              </w:rPr>
            </w:pPr>
            <w:r>
              <w:rPr>
                <w:rFonts w:ascii="Arial" w:cs="Arial" w:eastAsia="Arial" w:hAnsi="Arial"/>
                <w:sz w:val="13"/>
                <w:szCs w:val="13"/>
                <w:color w:val="auto"/>
              </w:rPr>
              <w:t>Dividends paid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4"/>
        </w:trPr>
        <w:tc>
          <w:tcPr>
            <w:tcW w:w="1500" w:type="dxa"/>
            <w:vAlign w:val="bottom"/>
            <w:shd w:val="clear" w:color="auto" w:fill="CCEEFF"/>
          </w:tcPr>
          <w:p>
            <w:pPr>
              <w:ind w:left="640"/>
              <w:spacing w:after="0"/>
              <w:rPr>
                <w:sz w:val="20"/>
                <w:szCs w:val="20"/>
                <w:color w:val="auto"/>
              </w:rPr>
            </w:pPr>
            <w:r>
              <w:rPr>
                <w:rFonts w:ascii="Arial" w:cs="Arial" w:eastAsia="Arial" w:hAnsi="Arial"/>
                <w:sz w:val="13"/>
                <w:szCs w:val="13"/>
                <w:color w:val="auto"/>
              </w:rPr>
              <w:t>(Note 16)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(11,906)</w:t>
            </w:r>
          </w:p>
        </w:tc>
      </w:tr>
      <w:tr>
        <w:trPr>
          <w:trHeight w:val="136"/>
        </w:trPr>
        <w:tc>
          <w:tcPr>
            <w:tcW w:w="1500" w:type="dxa"/>
            <w:vAlign w:val="bottom"/>
          </w:tcPr>
          <w:p>
            <w:pPr>
              <w:ind w:left="420"/>
              <w:spacing w:after="0" w:line="136" w:lineRule="exact"/>
              <w:rPr>
                <w:sz w:val="20"/>
                <w:szCs w:val="20"/>
                <w:color w:val="auto"/>
              </w:rPr>
            </w:pPr>
            <w:r>
              <w:rPr>
                <w:rFonts w:ascii="Arial" w:cs="Arial" w:eastAsia="Arial" w:hAnsi="Arial"/>
                <w:sz w:val="13"/>
                <w:szCs w:val="13"/>
                <w:color w:val="auto"/>
              </w:rPr>
              <w:t>Stock-based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1500" w:type="dxa"/>
            <w:vAlign w:val="bottom"/>
          </w:tcPr>
          <w:p>
            <w:pPr>
              <w:ind w:left="640"/>
              <w:spacing w:after="0" w:line="145" w:lineRule="exact"/>
              <w:rPr>
                <w:sz w:val="20"/>
                <w:szCs w:val="20"/>
                <w:color w:val="auto"/>
              </w:rPr>
            </w:pPr>
            <w:r>
              <w:rPr>
                <w:rFonts w:ascii="Arial" w:cs="Arial" w:eastAsia="Arial" w:hAnsi="Arial"/>
                <w:sz w:val="13"/>
                <w:szCs w:val="13"/>
                <w:color w:val="auto"/>
              </w:rPr>
              <w:t>compensation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0"/>
        </w:trPr>
        <w:tc>
          <w:tcPr>
            <w:tcW w:w="1500" w:type="dxa"/>
            <w:vAlign w:val="bottom"/>
          </w:tcPr>
          <w:p>
            <w:pPr>
              <w:ind w:left="640"/>
              <w:spacing w:after="0"/>
              <w:rPr>
                <w:sz w:val="20"/>
                <w:szCs w:val="20"/>
                <w:color w:val="auto"/>
              </w:rPr>
            </w:pPr>
            <w:r>
              <w:rPr>
                <w:rFonts w:ascii="Arial" w:cs="Arial" w:eastAsia="Arial" w:hAnsi="Arial"/>
                <w:sz w:val="13"/>
                <w:szCs w:val="13"/>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31,263</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31,263</w:t>
            </w:r>
          </w:p>
        </w:tc>
      </w:tr>
      <w:tr>
        <w:trPr>
          <w:trHeight w:val="132"/>
        </w:trPr>
        <w:tc>
          <w:tcPr>
            <w:tcW w:w="150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Balance at March 31,</w:t>
            </w: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15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2012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128,726,324</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  1,287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2,487,125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6"/>
              </w:rPr>
              <w:t>$25</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1,533,020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10,140,067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6"/>
              </w:rPr>
              <w:t>(333,775)</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(5,377)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898,541</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$299,379</w:t>
            </w:r>
          </w:p>
        </w:tc>
        <w:tc>
          <w:tcPr>
            <w:tcW w:w="8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7"/>
              </w:rPr>
              <w:t>(8,715)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1,185,185</w:t>
            </w:r>
          </w:p>
        </w:tc>
      </w:tr>
      <w:tr>
        <w:trPr>
          <w:trHeight w:val="20"/>
        </w:trPr>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520"/>
          </w:cols>
          <w:pgMar w:left="240" w:top="451" w:right="139" w:bottom="410" w:gutter="0" w:footer="0" w:header="0"/>
        </w:sectPr>
      </w:pPr>
    </w:p>
    <w:bookmarkStart w:id="82" w:name="page83"/>
    <w:bookmarkEnd w:id="82"/>
    <w:p>
      <w:pPr>
        <w:jc w:val="center"/>
        <w:ind w:right="-2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ectPr>
          <w:pgSz w:w="11900" w:h="16838" w:orient="portrait"/>
          <w:cols w:equalWidth="0" w:num="1">
            <w:col w:w="9019"/>
          </w:cols>
          <w:pgMar w:left="1440" w:top="131" w:right="1440"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9019"/>
          </w:cols>
          <w:pgMar w:left="1440" w:top="131" w:right="1440" w:bottom="1440" w:gutter="0" w:footer="0" w:header="0"/>
          <w:type w:val="continuous"/>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BOOZ ALLEN HAMILTON HOLDING CORPORATION</w:t>
      </w:r>
    </w:p>
    <w:p>
      <w:pPr>
        <w:spacing w:after="0" w:line="94"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 or unless otherwise noted)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March 31, 2012</w:t>
      </w:r>
    </w:p>
    <w:p>
      <w:pPr>
        <w:spacing w:after="0" w:line="201" w:lineRule="exact"/>
        <w:rPr>
          <w:sz w:val="20"/>
          <w:szCs w:val="20"/>
          <w:color w:val="auto"/>
        </w:rPr>
      </w:pPr>
    </w:p>
    <w:p>
      <w:pPr>
        <w:ind w:left="240" w:right="10000" w:hanging="235"/>
        <w:spacing w:after="0" w:line="359" w:lineRule="auto"/>
        <w:tabs>
          <w:tab w:leader="none" w:pos="459"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OVERVIEW </w:t>
      </w:r>
      <w:r>
        <w:rPr>
          <w:rFonts w:ascii="Arial" w:cs="Arial" w:eastAsia="Arial" w:hAnsi="Arial"/>
          <w:sz w:val="17"/>
          <w:szCs w:val="17"/>
          <w:b w:val="1"/>
          <w:bCs w:val="1"/>
          <w:i w:val="1"/>
          <w:iCs w:val="1"/>
          <w:color w:val="auto"/>
        </w:rPr>
        <w:t>Our Business</w:t>
      </w:r>
    </w:p>
    <w:p>
      <w:pPr>
        <w:spacing w:after="0" w:line="1"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and its agencies in the defense, intelligence, and civil markets. The Company offers clients functional knowledge spanning strategy and organization, analytics, technology, and operations, which it combines with specialized expertise in clients’ mission and domain areas to help solve critical problems. The Company reports operating results and financial data in one operating segment. The Company is headquartered in McLean, Virginia, with approximately 25,000 employees as of March 31, 2012.</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Refinancing Transaction</w:t>
      </w:r>
    </w:p>
    <w:p>
      <w:pPr>
        <w:spacing w:after="0" w:line="94"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On February 3, 2011, the Company completed a refinancing transaction, or Refinancing Transaction, which included amendments of the Senior Secured Credit Agreement, or Senior Secured Agreement, by the Second Amended and Restated Credit Agreement, or Senior Secured Agreement, as amended, to allow for new term loan facilities with $1.0 billion of principal and a $30.0 million increase to the Company’s revolving credit facility. In connection with the Refinancing Transaction, the Company used $268.9 million of cash on hand to repay the remaining $222.1 million of indebtedness outstanding under the mezzanine credit facility,</w:t>
      </w:r>
    </w:p>
    <w:p>
      <w:pPr>
        <w:spacing w:after="0" w:line="1"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$21.5 million on the existing senior secured loan facilities, or Senior Credit Facilities, and related prepayment penalties of $6.7 million. Refer to Notes 11 and 12 for further discussion of the Refinancing Transaction.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94" w:lineRule="exact"/>
        <w:rPr>
          <w:sz w:val="20"/>
          <w:szCs w:val="20"/>
          <w:color w:val="auto"/>
        </w:rPr>
      </w:pPr>
    </w:p>
    <w:p>
      <w:pPr>
        <w:jc w:val="both"/>
        <w:ind w:right="40" w:firstLine="457"/>
        <w:spacing w:after="0" w:line="285" w:lineRule="auto"/>
        <w:rPr>
          <w:sz w:val="20"/>
          <w:szCs w:val="20"/>
          <w:color w:val="auto"/>
        </w:rPr>
      </w:pPr>
      <w:r>
        <w:rPr>
          <w:rFonts w:ascii="Arial" w:cs="Arial" w:eastAsia="Arial" w:hAnsi="Arial"/>
          <w:sz w:val="16"/>
          <w:szCs w:val="16"/>
          <w:color w:val="auto"/>
        </w:rPr>
        <w:t>Effective November 20, 2010, the Company consummated its initial public offering whereby the Company sold 14,000,000 shares of Class A Common Stock for $17.00 per share. Effective December 20, 2010, the Company settled the underwriters’ over-allotment option and sold an additional 2,100,000 shares of Class A Common Stock for $17.00 per share. The net proceeds of the initial public offering and over-allotment of $250.2 million, after deducting underwriting discounts and other fees, were used to repay outstanding debt of $242.9 million under the Company’s mezzanine credit facility and related prepayment penalties of $7.3 million. All expenses associated with the initial public offering have been netted against the proceeds within stockholders’ equity.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Recapitalization Transaction and Repricing</w:t>
      </w:r>
    </w:p>
    <w:p>
      <w:pPr>
        <w:spacing w:after="0" w:line="94"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On December 11, 2009, the Company consummated a recapitalization transaction, or Recapitalization Transaction, which included amendments of the Senior Secured Agreement to include a new term loan, or Tranche C Loans, with $350.0 million of principal, and the mezzanine credit agreement, or Mezzanine Credit Agreement, primarily to allow for the recapitalization and payment of a special dividend. This special dividend was declared by the Company’s Board of Directors on December 7, 2009, to be paid to holders of record as of December 8, 2009. Net proceeds from Tranche C Loans of $341.3 million less transaction costs of</w:t>
      </w:r>
    </w:p>
    <w:p>
      <w:pPr>
        <w:spacing w:after="0" w:line="1"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$13.2 million, along with cash on hand of $321.9 million, were used to fund a partial payment of the Company’s deferred payment obligation, or DPO, in the amount of $100.4 million, and a dividend payment of $4.642 per share, or $497.5 million, which was paid on all issued and outstanding shares of Holding’s Class A Common Stock, Class B Non-Voting Common Stock, and Class C Restricted Common Stock. As required by the Officers’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51"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Rollover Stock Plan, or Rollover Plan, and the Equity Incentive Plan, or EIP, the exercise price per share of each outstanding option was reduced. Because the reduction in per share value exceeded the exercise price for certain of the options granted under the Rollover Plan, the exercise price for those options was reduced to the $0.01 par value of the shares issuable on exercise, and the holders became entitled to receive a cash payment equal to the excess of the reduction in per share value over the reduction in exercise price to the par value. The difference between the one cent exercise price and the reduced value for shares not yet exercised of</w:t>
      </w:r>
    </w:p>
    <w:p>
      <w:pPr>
        <w:spacing w:after="0" w:line="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$54.4 million will be accrued by the Company as the options vest and will be paid in cash upon exercise of the options. As of March 31, 2012 and 2011, the Company reported $27.7 million and $31.4 million in other long-term liabilities, respectively, and $8.9 million and $9.0 million in accrued compensation and benefits, respectively, in the accompanying consolidated balance sheets for the portion of stock-based compensation recognized, which is reflective of the options vested with an exercise price of one cent. Transaction fees incurred in connection with the Recapitalization Transaction were approximately $22.4 million, of which approximately $15.8 million were deferred financing costs and are amortized over the lives of the loans. Refer to Note 10 for further discussion of the DPO, Note 11 for further discussion of the amended credit agreements, Note 12 for further discussion of the accounting for deferred financing costs, and Note 17 for further discussion of the December 2009 dividend and associated future cash payments as related to stock options.</w:t>
      </w:r>
    </w:p>
    <w:p>
      <w:pPr>
        <w:spacing w:after="0" w:line="237" w:lineRule="exact"/>
        <w:rPr>
          <w:sz w:val="20"/>
          <w:szCs w:val="20"/>
          <w:color w:val="auto"/>
        </w:rPr>
      </w:pPr>
    </w:p>
    <w:p>
      <w:pPr>
        <w:ind w:left="240" w:right="6500" w:hanging="235"/>
        <w:spacing w:after="0" w:line="359" w:lineRule="auto"/>
        <w:tabs>
          <w:tab w:leader="none" w:pos="459"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480" w:firstLine="457"/>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8" w:lineRule="exact"/>
        <w:rPr>
          <w:sz w:val="20"/>
          <w:szCs w:val="20"/>
          <w:color w:val="auto"/>
        </w:rPr>
      </w:pPr>
    </w:p>
    <w:p>
      <w:pPr>
        <w:ind w:right="720" w:firstLine="457"/>
        <w:spacing w:after="0" w:line="271" w:lineRule="auto"/>
        <w:rPr>
          <w:sz w:val="20"/>
          <w:szCs w:val="20"/>
          <w:color w:val="auto"/>
        </w:rPr>
      </w:pPr>
      <w:r>
        <w:rPr>
          <w:rFonts w:ascii="Arial" w:cs="Arial" w:eastAsia="Arial" w:hAnsi="Arial"/>
          <w:sz w:val="17"/>
          <w:szCs w:val="17"/>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2012 and 2011 and the Company’s results of operations for fiscal 2012, fiscal 2011, and fiscal 2010.</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prior year amounts have been reclassified to conform to the current year presentation.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94"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94"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51"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Revenue on cost-reimbursable plus 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monitoring of the performance on such contracts. Contract costs, including indirect expenses, are subject to audit by the Defense Contract Audit Agency, or DCAA, and, accordingly, are subject to possible cost disallowances.</w:t>
      </w:r>
    </w:p>
    <w:p>
      <w:pPr>
        <w:spacing w:after="0" w:line="107"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Revenue for time-and-materials contracts is recognized as services are performed, generally on the basis of contract allowable labor hours worked multiplied by the contract-defined billing rates, plus allowable direct costs and indirect cost burdens associated with materials used and other direct expenses incurred in connection with the performance of the contract.</w:t>
      </w:r>
    </w:p>
    <w:p>
      <w:pPr>
        <w:spacing w:after="0" w:line="128" w:lineRule="exact"/>
        <w:rPr>
          <w:sz w:val="20"/>
          <w:szCs w:val="20"/>
          <w:color w:val="auto"/>
        </w:rPr>
      </w:pPr>
    </w:p>
    <w:p>
      <w:pPr>
        <w:jc w:val="both"/>
        <w:ind w:right="60" w:firstLine="457"/>
        <w:spacing w:after="0" w:line="296" w:lineRule="auto"/>
        <w:rPr>
          <w:sz w:val="20"/>
          <w:szCs w:val="20"/>
          <w:color w:val="auto"/>
        </w:rPr>
      </w:pPr>
      <w:r>
        <w:rPr>
          <w:rFonts w:ascii="Arial" w:cs="Arial" w:eastAsia="Arial" w:hAnsi="Arial"/>
          <w:sz w:val="16"/>
          <w:szCs w:val="16"/>
          <w:color w:val="auto"/>
        </w:rPr>
        <w:t>Revenue on fixed-price contracts is recognized using percentage-of-completion based on actual costs incurred relative to total estimated costs for the contract. These estimated costs are updated during the term of the contract, and may result in revision by the Company of recognized revenue and estimated costs in the period in which they are identified. Profits on fixed-price contracts result from the difference between incurred costs and revenue earned.</w:t>
      </w:r>
    </w:p>
    <w:p>
      <w:pPr>
        <w:spacing w:after="0" w:line="109" w:lineRule="exact"/>
        <w:rPr>
          <w:sz w:val="20"/>
          <w:szCs w:val="20"/>
          <w:color w:val="auto"/>
        </w:rPr>
      </w:pPr>
    </w:p>
    <w:p>
      <w:pPr>
        <w:ind w:right="120" w:firstLine="457"/>
        <w:spacing w:after="0" w:line="303" w:lineRule="auto"/>
        <w:rPr>
          <w:sz w:val="20"/>
          <w:szCs w:val="20"/>
          <w:color w:val="auto"/>
        </w:rPr>
      </w:pPr>
      <w:r>
        <w:rPr>
          <w:rFonts w:ascii="Arial" w:cs="Arial" w:eastAsia="Arial" w:hAnsi="Arial"/>
          <w:sz w:val="15"/>
          <w:szCs w:val="15"/>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requires the use of estimates.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109" w:lineRule="exact"/>
        <w:rPr>
          <w:sz w:val="20"/>
          <w:szCs w:val="20"/>
          <w:color w:val="auto"/>
        </w:rPr>
      </w:pPr>
    </w:p>
    <w:p>
      <w:pPr>
        <w:jc w:val="both"/>
        <w:ind w:right="380" w:firstLine="457"/>
        <w:spacing w:after="0" w:line="323" w:lineRule="auto"/>
        <w:rPr>
          <w:sz w:val="20"/>
          <w:szCs w:val="20"/>
          <w:color w:val="auto"/>
        </w:rPr>
      </w:pPr>
      <w:r>
        <w:rPr>
          <w:rFonts w:ascii="Arial" w:cs="Arial" w:eastAsia="Arial" w:hAnsi="Arial"/>
          <w:sz w:val="15"/>
          <w:szCs w:val="15"/>
          <w:color w:val="auto"/>
        </w:rPr>
        <w:t>The Company’s contracts may include the delivery of a combination of one or more of the Company’s service offerings. In these situations, the Company determines whether such arrangements with multiple elements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94"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Cash and cash equivalents include cash on hand and highly liquid investments having an original maturity of three months or less. The Company’s investments consist primarily of institutional money market funds. The Company maintains its cash and cash equivalents in bank accounts that, at times, exceed the federally insured limits. The Company has not experienced any losses in such accounts.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Valuation of Accounts Receivable</w:t>
      </w:r>
    </w:p>
    <w:p>
      <w:pPr>
        <w:spacing w:after="0" w:line="94" w:lineRule="exact"/>
        <w:rPr>
          <w:sz w:val="20"/>
          <w:szCs w:val="20"/>
          <w:color w:val="auto"/>
        </w:rPr>
      </w:pPr>
    </w:p>
    <w:p>
      <w:pPr>
        <w:ind w:right="180" w:firstLine="457"/>
        <w:spacing w:after="0" w:line="296" w:lineRule="auto"/>
        <w:rPr>
          <w:sz w:val="20"/>
          <w:szCs w:val="20"/>
          <w:color w:val="auto"/>
        </w:rPr>
      </w:pPr>
      <w:r>
        <w:rPr>
          <w:rFonts w:ascii="Arial" w:cs="Arial" w:eastAsia="Arial" w:hAnsi="Arial"/>
          <w:sz w:val="16"/>
          <w:szCs w:val="16"/>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451" w:right="25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94" w:lineRule="exact"/>
        <w:rPr>
          <w:sz w:val="20"/>
          <w:szCs w:val="20"/>
          <w:color w:val="auto"/>
        </w:rPr>
      </w:pPr>
    </w:p>
    <w:p>
      <w:pPr>
        <w:ind w:right="200" w:firstLine="457"/>
        <w:spacing w:after="0" w:line="296"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equivalents and accounts receivable. The Company’s cash equivalents are generally invested in U.S. government insured money market funds and Treasury bills, which minimizes the credit risk. The Company believes that credit risk, with respect to accounts receivable, is limited as the receivables are primarily with the U.S. government.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9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Property and equipment are recorded at cost, and the balances are presented net of depreciation. The cost of software purchased or internally developed is capitalized.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one to three years. Leasehold improvements are amortized over the shorter of the useful life of the asset or the lease term. Maintenance and repairs are charged to expense as incurred. Rent expense is recorded on a straight-line basis over the life of the respective lease. The difference between the cash payment and rent expense is recorded as deferred rent in other long-term liabilities in the consolidated balance sheets.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other long-term liabilities in the consolidated balance sheets, and are amortized on a straight line basis over the lease term.</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Goodwill</w:t>
      </w:r>
    </w:p>
    <w:p>
      <w:pPr>
        <w:spacing w:after="0" w:line="94"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Goodwill is the amount by which the cost of acquired net assets in a business acquisition exceeds the fair value of net identifiable assets on the date of purchase. The Company assesses goodwill for impairment on at least an annual basis on January 1, and whenever events or changes in circumstances indicate that the carrying value of the asset may not be recoverable. The Company operates as a single operating segment and as a single reporting unit for the purpose of evaluating goodwill. During the fiscal years ended March 31, 2012 2011 and 2010, the Company did not record any goodwill impairment. Further, the Company does not consider any of the goodwill at risk of impairment.</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94" w:lineRule="exact"/>
        <w:rPr>
          <w:sz w:val="20"/>
          <w:szCs w:val="20"/>
          <w:color w:val="auto"/>
        </w:rPr>
      </w:pPr>
    </w:p>
    <w:p>
      <w:pPr>
        <w:ind w:right="320" w:firstLine="457"/>
        <w:spacing w:after="0" w:line="271" w:lineRule="auto"/>
        <w:rPr>
          <w:sz w:val="20"/>
          <w:szCs w:val="20"/>
          <w:color w:val="auto"/>
        </w:rPr>
      </w:pPr>
      <w:r>
        <w:rPr>
          <w:rFonts w:ascii="Arial" w:cs="Arial" w:eastAsia="Arial" w:hAnsi="Arial"/>
          <w:sz w:val="17"/>
          <w:szCs w:val="17"/>
          <w:color w:val="auto"/>
        </w:rPr>
        <w:t>Intangible assets consist of trade name, contract backlog, and favorable lease terms. The trade name is not amortized, but is tested annually for impairment. Contract backlog is amortized over the expected backlog life based on projected future cash flows of approximately five to nine years. Favorable lease terms are amortized over the remaining contractual terms of approximately five years.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94"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There were no impairment charges for fiscal 2012 or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1"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Income Taxes</w:t>
      </w:r>
    </w:p>
    <w:p>
      <w:pPr>
        <w:spacing w:after="0" w:line="94"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Company provides for income taxes as a “C” corporation on income earned from operations. The Company is subject to federal, state, and foreign taxation in various jurisdictions.</w:t>
      </w:r>
    </w:p>
    <w:p>
      <w:pPr>
        <w:spacing w:after="0" w:line="117"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1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The Company periodically assesses its tax positions for all periods open to examination by tax authorities based on the latest available information. Where it is not more likely that not that the Company’s tax position will be sustained, the Company records its best estimate of the resulting tax liability and interest in the consolidated financial statements. These uncertain tax positions are recorded as a component of income tax expense. As uncertain tax positions in periods open to examination are closed out, or as the assessment of the position is changed, the resulting change is reflected in the recorded liability and income tax expense. Penalties and interest recognized related to the reserves for uncertain tax positions are recorded as a component of income tax expense.</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9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Comprehensive income is the change in equity of a business enterprise during a period from transactions and other events and circumstances from nonowner sources. Comprehensive income is presented in the consolidated statements of comprehensive income. Accumulated other comprehensive losses as of March 31, 2012 and 2011 consisted of unrealized losses on the Company’s defined and postretirement benefit plans.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94"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Share-based payments to employees are recognized in the consolidated statements of operations based on their grant date fair values with the expense recognized over the vesting period. Share-based payments to employees are subject to graded vesting schedules and are recognized in the consolidated statements of operations based on their grant date fair values with the expense recognized on an accelerated basis. The Company uses the Black-Scholes option-pricing model to determine the fair value of its awards at the time of the grant.</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Defined Benefit Plan and Other Postretirement Benefits</w:t>
      </w:r>
    </w:p>
    <w:p>
      <w:pPr>
        <w:spacing w:after="0" w:line="94"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The Company recognizes the underfunded status of pension and other postretirement benefit plans on the consolidated balance sheets. Gains and losses, prior service costs and credits, and any remaining transition amounts that have not yet been recognized through net periodic benefit cost are recognized in accumulated other comprehensive income, net of tax effects, and will continue to be amortized as a component of net periodic cost. The measurement date, the date at which the benefit obligations and plan assets are measured, is the Company’s fiscal year end.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Self-Funded Medical Plans</w:t>
      </w:r>
    </w:p>
    <w:p>
      <w:pPr>
        <w:spacing w:after="0" w:line="94"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The Company maintains self-funded medical insurance. Self-funded plans include a health maintenance organization, preferred provider organization, point of service, qualified point of service, and traditional choice.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1"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Further, self-funded plans also include prescription drug and dental benefits. The Company records an incurred but unpaid claim liability in the accrued compensation and benefits line of the consolidated balance sheets for self-funded plans based on an actuarial valuation. Data that drives this estimate is primarily based on claims and enrollment data provided by a third party valuation firm for medical and pharmacy related costs.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94" w:lineRule="exact"/>
        <w:rPr>
          <w:sz w:val="20"/>
          <w:szCs w:val="20"/>
          <w:color w:val="auto"/>
        </w:rPr>
      </w:pPr>
    </w:p>
    <w:p>
      <w:pPr>
        <w:ind w:right="320" w:firstLine="457"/>
        <w:spacing w:after="0" w:line="267" w:lineRule="auto"/>
        <w:rPr>
          <w:sz w:val="20"/>
          <w:szCs w:val="20"/>
          <w:color w:val="auto"/>
        </w:rPr>
      </w:pPr>
      <w:r>
        <w:rPr>
          <w:rFonts w:ascii="Arial" w:cs="Arial" w:eastAsia="Arial" w:hAnsi="Arial"/>
          <w:sz w:val="17"/>
          <w:szCs w:val="17"/>
          <w:color w:val="auto"/>
        </w:rPr>
        <w:t>The Company accounts for its deferred compensation plan in accordance with the terms of the underlying plan agreement. To the extent the terms of the contract attribute all or a portion of the expected future benefit to an individual year of the employee’s service, the cost of the benefits are recognized in that year. Therefore, the Company estimates the cost of future benefits that are expected to be paid and expenses the present value of those costs in the year as services are provided.</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94" w:lineRule="exact"/>
        <w:rPr>
          <w:sz w:val="20"/>
          <w:szCs w:val="20"/>
          <w:color w:val="auto"/>
        </w:rPr>
      </w:pPr>
    </w:p>
    <w:p>
      <w:pPr>
        <w:jc w:val="both"/>
        <w:ind w:right="20" w:firstLine="457"/>
        <w:spacing w:after="0" w:line="323" w:lineRule="auto"/>
        <w:rPr>
          <w:sz w:val="20"/>
          <w:szCs w:val="20"/>
          <w:color w:val="auto"/>
        </w:rPr>
      </w:pPr>
      <w:r>
        <w:rPr>
          <w:rFonts w:ascii="Arial" w:cs="Arial" w:eastAsia="Arial" w:hAnsi="Arial"/>
          <w:sz w:val="15"/>
          <w:szCs w:val="15"/>
          <w:color w:val="auto"/>
        </w:rPr>
        <w:t>The fair value of the Company’s cash and cash equivalents, trade accounts receivable and accounts payable, approximates its carrying value at March 31, 2012 and 2011 because of the short-term nature of these amounts. The fair value of the Company’s debt instruments approximates its carrying value at March 31, 2012 and 2011. The fair value of debt is determined based on interest rates available for debt with terms and maturities similar to the Company’s existing debt arrangements.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fiscal year ended March 31, 2012, the Company adopted the following accounting pronouncements, none of which had a material impact on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Company’s consolidated financial statements:</w:t>
      </w:r>
    </w:p>
    <w:p>
      <w:pPr>
        <w:spacing w:after="0" w:line="88" w:lineRule="exact"/>
        <w:rPr>
          <w:sz w:val="20"/>
          <w:szCs w:val="20"/>
          <w:color w:val="auto"/>
        </w:rPr>
      </w:pPr>
    </w:p>
    <w:p>
      <w:pPr>
        <w:ind w:right="100" w:firstLine="457"/>
        <w:spacing w:after="0" w:line="303" w:lineRule="auto"/>
        <w:rPr>
          <w:sz w:val="20"/>
          <w:szCs w:val="20"/>
          <w:color w:val="auto"/>
        </w:rPr>
      </w:pPr>
      <w:r>
        <w:rPr>
          <w:rFonts w:ascii="Arial" w:cs="Arial" w:eastAsia="Arial" w:hAnsi="Arial"/>
          <w:sz w:val="15"/>
          <w:szCs w:val="15"/>
          <w:color w:val="auto"/>
        </w:rPr>
        <w:t>In June 2011, the Financial Accounting Standards Board, or FASB, issued Accounting Standards Update 2011-05, Presentation of Comprehensive Income, which amends the presentation options in Accounting Standards Codification Topic 220, Comprehensive Income. This guidance requires companies to present the components of net income and other comprehensive income either as one continuous statement or as two consecutive statements. It eliminates the option to present components of other comprehensive income as part of the statement of changes in stockholders’ equity. The guidance does not change the items which must be reported in other comprehensive income, how such items are measured, or when they must be reclassified to net income. The guidance is effective for interim and annual periods beginning after December 15, 2011, with early adoption permitted. As this guidance impacts presentation only, it has had no effect on the Company’s financial condition, results of operations, or cash flows. The Company elected early adoption effective June 30, 2011 using the two-statement approach.</w:t>
      </w:r>
    </w:p>
    <w:p>
      <w:pPr>
        <w:spacing w:after="0" w:line="109" w:lineRule="exact"/>
        <w:rPr>
          <w:sz w:val="20"/>
          <w:szCs w:val="20"/>
          <w:color w:val="auto"/>
        </w:rPr>
      </w:pPr>
    </w:p>
    <w:p>
      <w:pPr>
        <w:ind w:right="100" w:firstLine="457"/>
        <w:spacing w:after="0" w:line="295" w:lineRule="auto"/>
        <w:rPr>
          <w:sz w:val="20"/>
          <w:szCs w:val="20"/>
          <w:color w:val="auto"/>
        </w:rPr>
      </w:pPr>
      <w:r>
        <w:rPr>
          <w:rFonts w:ascii="Arial" w:cs="Arial" w:eastAsia="Arial" w:hAnsi="Arial"/>
          <w:sz w:val="15"/>
          <w:szCs w:val="15"/>
          <w:color w:val="auto"/>
        </w:rPr>
        <w:t>In September 2011, the FASB issued Accounting Standards Update 2011-08, Testing Goodwill for Impairment, which amends Topic 350, Intangibles – Goodwill and Other. This guidance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guidance is effective for interim and annual goodwill impairment tests performed for fiscal years beginning after December 15, 2011, with early adoption permitted.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elected early adoption effective as of our measurement date, January 1, 2012. Based on our qualitative assessment at January 1, 2012, we believe that it was not more likely than not that the fair value of our reporting unit was less than the carrying amount. Accordingly, the Company concluded a two-step impairment test is not necessary.</w:t>
      </w:r>
    </w:p>
    <w:p>
      <w:pPr>
        <w:spacing w:after="0" w:line="129"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Other recent accounting pronouncements issued by the FASB during fiscal 2012 and through the filing date did not and are not believed by management to have a material impact on the Company’s present or future consolidated financial statements.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380"/>
          </w:cols>
          <w:pgMar w:left="240" w:top="451" w:right="2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hanging="455"/>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00" w:lineRule="exact"/>
        <w:rPr>
          <w:sz w:val="20"/>
          <w:szCs w:val="20"/>
          <w:color w:val="auto"/>
        </w:rPr>
      </w:pPr>
    </w:p>
    <w:p>
      <w:pPr>
        <w:ind w:right="80" w:firstLine="457"/>
        <w:spacing w:after="0" w:line="323" w:lineRule="auto"/>
        <w:rPr>
          <w:sz w:val="20"/>
          <w:szCs w:val="20"/>
          <w:color w:val="auto"/>
        </w:rPr>
      </w:pPr>
      <w:r>
        <w:rPr>
          <w:rFonts w:ascii="Arial" w:cs="Arial" w:eastAsia="Arial" w:hAnsi="Arial"/>
          <w:sz w:val="15"/>
          <w:szCs w:val="15"/>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is computed similar to basic EPS, except the weighted average number of shares outstanding is increased to include the dilutive effect of outstanding common stock options and other stock-based awards.</w:t>
      </w:r>
    </w:p>
    <w:p>
      <w:pPr>
        <w:spacing w:after="0" w:line="94"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 entitled to participate in dividends or other distributions. These unvested shares participated in the payment of the Company’s dividend declared and paid in the fourth quarter of fiscal 2012, and as such, EPS is calculated using the two-class method, whereby earnings are reduced by the dividends declared and paid to the restricted shareholders.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the income used to compute basic and diluted EPS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Fiscal Year Ended March 31,</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2012</w:t>
            </w:r>
          </w:p>
        </w:tc>
        <w:tc>
          <w:tcPr>
            <w:tcW w:w="3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38" w:lineRule="exact"/>
              <w:rPr>
                <w:sz w:val="20"/>
                <w:szCs w:val="20"/>
                <w:color w:val="auto"/>
              </w:rPr>
            </w:pPr>
            <w:r>
              <w:rPr>
                <w:rFonts w:ascii="Arial" w:cs="Arial" w:eastAsia="Arial" w:hAnsi="Arial"/>
                <w:sz w:val="13"/>
                <w:szCs w:val="13"/>
                <w:b w:val="1"/>
                <w:bCs w:val="1"/>
                <w:color w:val="auto"/>
              </w:rPr>
              <w:t>2011</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Earnings for basic computations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238,761</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84,694</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Weighted-average Class A Common Stock outstanding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125,894,644</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109,511,290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102,099,180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Class B Non-Voting Common Stock outstanding</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2,791,917</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2,939,387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Weighted-average Class C Restricted Common Stock outstanding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rPr>
              <w:t>1,459,128</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2,028,270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2,028,270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Total weighted-average common shares outstanding for basic computations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8"/>
              </w:rPr>
              <w:t>130,145,689</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114,478,947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106,477,650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5940" w:type="dxa"/>
            <w:vAlign w:val="bottom"/>
          </w:tcPr>
          <w:p>
            <w:pPr>
              <w:spacing w:after="0"/>
              <w:rPr>
                <w:sz w:val="20"/>
                <w:szCs w:val="20"/>
                <w:color w:val="auto"/>
              </w:rPr>
            </w:pPr>
            <w:r>
              <w:rPr>
                <w:rFonts w:ascii="Arial" w:cs="Arial" w:eastAsia="Arial" w:hAnsi="Arial"/>
                <w:sz w:val="17"/>
                <w:szCs w:val="17"/>
                <w:color w:val="auto"/>
              </w:rPr>
              <w:t>Earnings for diluted computations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rPr>
              <w:t>238,761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84,694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25,419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Dilutive stock options and restricted stock</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98"/>
              </w:rPr>
              <w:t>10,666,323</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12,969,753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9,750,730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20"/>
              <w:spacing w:after="0"/>
              <w:rPr>
                <w:sz w:val="20"/>
                <w:szCs w:val="20"/>
                <w:color w:val="auto"/>
              </w:rPr>
            </w:pPr>
            <w:r>
              <w:rPr>
                <w:rFonts w:ascii="Arial" w:cs="Arial" w:eastAsia="Arial" w:hAnsi="Arial"/>
                <w:sz w:val="17"/>
                <w:szCs w:val="17"/>
                <w:color w:val="auto"/>
              </w:rPr>
              <w:t>Average number of common shares outstanding for diluted computations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140,812,012</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127,448,700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116,228,380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40" w:type="dxa"/>
            <w:vAlign w:val="bottom"/>
          </w:tcPr>
          <w:p>
            <w:pPr>
              <w:ind w:left="420"/>
              <w:spacing w:after="0"/>
              <w:rPr>
                <w:sz w:val="20"/>
                <w:szCs w:val="20"/>
                <w:color w:val="auto"/>
              </w:rPr>
            </w:pPr>
            <w:r>
              <w:rPr>
                <w:rFonts w:ascii="Arial" w:cs="Arial" w:eastAsia="Arial" w:hAnsi="Arial"/>
                <w:sz w:val="17"/>
                <w:szCs w:val="17"/>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7"/>
                <w:szCs w:val="17"/>
                <w:color w:val="auto"/>
              </w:rPr>
              <w:t>1.83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0.74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60" w:hanging="455"/>
        <w:spacing w:after="0"/>
        <w:tabs>
          <w:tab w:leader="none" w:pos="4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CHARGE</w:t>
      </w:r>
    </w:p>
    <w:p>
      <w:pPr>
        <w:spacing w:after="0" w:line="100" w:lineRule="exact"/>
        <w:rPr>
          <w:sz w:val="20"/>
          <w:szCs w:val="20"/>
          <w:color w:val="auto"/>
        </w:rPr>
      </w:pPr>
    </w:p>
    <w:p>
      <w:pPr>
        <w:ind w:right="180" w:firstLine="457"/>
        <w:spacing w:after="0" w:line="271" w:lineRule="auto"/>
        <w:rPr>
          <w:sz w:val="20"/>
          <w:szCs w:val="20"/>
          <w:color w:val="auto"/>
        </w:rPr>
      </w:pPr>
      <w:r>
        <w:rPr>
          <w:rFonts w:ascii="Arial" w:cs="Arial" w:eastAsia="Arial" w:hAnsi="Arial"/>
          <w:sz w:val="17"/>
          <w:szCs w:val="17"/>
          <w:color w:val="auto"/>
        </w:rPr>
        <w:t>In the fourth quarter of fiscal 2012, the Company finalized a cost restructuring plan to reduce certain personnel and infrastructure costs. This plan was implemented in response to continued budget constraints and uncertainty in the industry and to provide funds to increase resources dedicated to growth areas across the Company’s markets. As part of this cost restructuring plan, the Company reduced overall headcount by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1"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approximately 2%, with a higher percentage of reductions in the senior ranks. The Company incurred an associated restructuring charge of $15.7 million pretax in the three months ended March 31, 2012 relating to the one-time termination benefits. The entire amount of this charge will result in future cash expenditures.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details the activity and balance of the restructuring liability for the year ended March 31, 2012:</w:t>
      </w:r>
    </w:p>
    <w:p>
      <w:pPr>
        <w:spacing w:after="0" w:line="366" w:lineRule="exact"/>
        <w:rPr>
          <w:sz w:val="20"/>
          <w:szCs w:val="20"/>
          <w:color w:val="auto"/>
        </w:rPr>
      </w:pPr>
    </w:p>
    <w:tbl>
      <w:tblPr>
        <w:tblLayout w:type="fixed"/>
        <w:tblInd w:w="184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Restructuring Charge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as of April 1, 2011</w:t>
            </w:r>
          </w:p>
        </w:tc>
        <w:tc>
          <w:tcPr>
            <w:tcW w:w="17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7"/>
                <w:szCs w:val="17"/>
                <w:color w:val="auto"/>
              </w:rPr>
              <w:t>Restructuring costs</w:t>
            </w:r>
          </w:p>
        </w:tc>
        <w:tc>
          <w:tcPr>
            <w:tcW w:w="2180" w:type="dxa"/>
            <w:vAlign w:val="bottom"/>
            <w:gridSpan w:val="2"/>
          </w:tcPr>
          <w:p>
            <w:pPr>
              <w:ind w:left="17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15,660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Cash payments</w:t>
            </w:r>
          </w:p>
        </w:tc>
        <w:tc>
          <w:tcPr>
            <w:tcW w:w="1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(4,518)</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Balance as of March 31, 2012</w:t>
            </w:r>
          </w:p>
        </w:tc>
        <w:tc>
          <w:tcPr>
            <w:tcW w:w="1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vMerge w:val="continue"/>
          </w:tcPr>
          <w:p>
            <w:pPr>
              <w:spacing w:after="0"/>
              <w:rPr>
                <w:sz w:val="18"/>
                <w:szCs w:val="18"/>
                <w:color w:val="auto"/>
              </w:rPr>
            </w:pPr>
          </w:p>
        </w:tc>
        <w:tc>
          <w:tcPr>
            <w:tcW w:w="2180" w:type="dxa"/>
            <w:vAlign w:val="bottom"/>
            <w:gridSpan w:val="2"/>
          </w:tcPr>
          <w:p>
            <w:pPr>
              <w:ind w:left="17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Amounts contained in balance sheet</w:t>
            </w:r>
          </w:p>
        </w:tc>
        <w:tc>
          <w:tcPr>
            <w:tcW w:w="1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20" w:type="dxa"/>
            <w:vAlign w:val="bottom"/>
          </w:tcPr>
          <w:p>
            <w:pPr>
              <w:ind w:left="400"/>
              <w:spacing w:after="0"/>
              <w:rPr>
                <w:sz w:val="20"/>
                <w:szCs w:val="20"/>
                <w:color w:val="auto"/>
              </w:rPr>
            </w:pPr>
            <w:r>
              <w:rPr>
                <w:rFonts w:ascii="Arial" w:cs="Arial" w:eastAsia="Arial" w:hAnsi="Arial"/>
                <w:sz w:val="17"/>
                <w:szCs w:val="17"/>
                <w:color w:val="auto"/>
              </w:rPr>
              <w:t>Accrued compensation and benefits</w:t>
            </w:r>
          </w:p>
        </w:tc>
        <w:tc>
          <w:tcPr>
            <w:tcW w:w="2180" w:type="dxa"/>
            <w:vAlign w:val="bottom"/>
            <w:gridSpan w:val="2"/>
          </w:tcPr>
          <w:p>
            <w:pPr>
              <w:ind w:left="17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18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accrued amounts related to the restructuring charge will be paid through fiscal 2013.</w:t>
      </w:r>
    </w:p>
    <w:p>
      <w:pPr>
        <w:spacing w:after="0" w:line="173"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The Company evaluated whether some portion of the restructuring charge incurred above is recoverable under our cost-reimbursable contracts, which resulted in additional revenue of $4.5 million recognized in the fourth quarter of fiscal 2012.</w:t>
      </w:r>
    </w:p>
    <w:p>
      <w:pPr>
        <w:spacing w:after="0" w:line="229" w:lineRule="exact"/>
        <w:rPr>
          <w:sz w:val="20"/>
          <w:szCs w:val="20"/>
          <w:color w:val="auto"/>
        </w:rPr>
      </w:pPr>
    </w:p>
    <w:p>
      <w:pPr>
        <w:ind w:left="460" w:hanging="455"/>
        <w:spacing w:after="0"/>
        <w:tabs>
          <w:tab w:leader="none" w:pos="4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Goodwill</w:t>
      </w:r>
    </w:p>
    <w:p>
      <w:pPr>
        <w:spacing w:after="0" w:line="94" w:lineRule="exact"/>
        <w:rPr>
          <w:sz w:val="20"/>
          <w:szCs w:val="20"/>
          <w:color w:val="auto"/>
        </w:rPr>
      </w:pPr>
    </w:p>
    <w:p>
      <w:pPr>
        <w:jc w:val="both"/>
        <w:ind w:firstLine="457"/>
        <w:spacing w:after="0" w:line="271" w:lineRule="auto"/>
        <w:rPr>
          <w:sz w:val="20"/>
          <w:szCs w:val="20"/>
          <w:color w:val="auto"/>
        </w:rPr>
      </w:pPr>
      <w:r>
        <w:rPr>
          <w:rFonts w:ascii="Arial" w:cs="Arial" w:eastAsia="Arial" w:hAnsi="Arial"/>
          <w:sz w:val="17"/>
          <w:szCs w:val="17"/>
          <w:color w:val="auto"/>
        </w:rPr>
        <w:t>As of March 31, 2012 and 2011, goodwill was $1,188.0 million and $1,163.5 million, respectively. The increase in the carrying amount of goodwill is primarily attributable to the increase in the deferred payment obligation as a result of the release of approximately $35.0 million of reserves for uncertain tax positions, offset by a $10.7 million reduction to goodwill related to the sale of the Company’s state and local transportation business.</w:t>
      </w:r>
    </w:p>
    <w:p>
      <w:pPr>
        <w:spacing w:after="0" w:line="128"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On December 31, 2011, the Company adopted new Goodwill impairment guidance whereby the Company performed a qualitative assessment of whether the fair value of the reporting unit was less than the carrying value of equity. In making this assessment the Company considered all relevant events and circumstances. These include, but are not limited to macroeconomic conditions, industry, and market considerations and the reporting unit’s overall financial performance. Based on the qualitative assessment at January 1, 2012, the Company believes that it was not likely (i.e., a likelihood of more than 50 percent) that the fair value of the reporting unit was less than the carrying amount. During the fiscal years ended March 31, 2012, 2011 and 2010, the Company did not record any goodwill impairment. Further, the Company does not consider any of the goodwill at risk of impairment.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1"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7"/>
              </w:rPr>
              <w:t>As of March 31, 2012</w:t>
            </w: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rPr>
              <w:t>As of March 31, 2011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4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22"/>
              <w:spacing w:after="0" w:line="126" w:lineRule="exact"/>
              <w:rPr>
                <w:sz w:val="20"/>
                <w:szCs w:val="20"/>
                <w:color w:val="auto"/>
              </w:rPr>
            </w:pPr>
            <w:r>
              <w:rPr>
                <w:rFonts w:ascii="Arial" w:cs="Arial" w:eastAsia="Arial" w:hAnsi="Arial"/>
                <w:sz w:val="13"/>
                <w:szCs w:val="13"/>
                <w:b w:val="1"/>
                <w:bCs w:val="1"/>
                <w:color w:val="auto"/>
                <w:w w:val="95"/>
              </w:rPr>
              <w:t>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42"/>
              <w:spacing w:after="0" w:line="126" w:lineRule="exact"/>
              <w:rPr>
                <w:sz w:val="20"/>
                <w:szCs w:val="20"/>
                <w:color w:val="auto"/>
              </w:rPr>
            </w:pPr>
            <w:r>
              <w:rPr>
                <w:rFonts w:ascii="Arial" w:cs="Arial" w:eastAsia="Arial" w:hAnsi="Arial"/>
                <w:sz w:val="13"/>
                <w:szCs w:val="13"/>
                <w:b w:val="1"/>
                <w:bCs w:val="1"/>
                <w:color w:val="auto"/>
                <w:w w:val="90"/>
              </w:rPr>
              <w:t>Gross</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2"/>
              <w:spacing w:after="0" w:line="126" w:lineRule="exact"/>
              <w:rPr>
                <w:sz w:val="20"/>
                <w:szCs w:val="20"/>
                <w:color w:val="auto"/>
              </w:rPr>
            </w:pPr>
            <w:r>
              <w:rPr>
                <w:rFonts w:ascii="Arial" w:cs="Arial" w:eastAsia="Arial" w:hAnsi="Arial"/>
                <w:sz w:val="13"/>
                <w:szCs w:val="13"/>
                <w:b w:val="1"/>
                <w:bCs w:val="1"/>
                <w:color w:val="auto"/>
                <w:w w:val="85"/>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w w:val="97"/>
              </w:rPr>
              <w:t>Carrying</w:t>
            </w:r>
          </w:p>
        </w:tc>
        <w:tc>
          <w:tcPr>
            <w:tcW w:w="240" w:type="dxa"/>
            <w:vAlign w:val="bottom"/>
          </w:tcPr>
          <w:p>
            <w:pPr>
              <w:spacing w:after="0"/>
              <w:rPr>
                <w:sz w:val="12"/>
                <w:szCs w:val="12"/>
                <w:color w:val="auto"/>
              </w:rPr>
            </w:pPr>
          </w:p>
        </w:tc>
        <w:tc>
          <w:tcPr>
            <w:tcW w:w="1220" w:type="dxa"/>
            <w:vAlign w:val="bottom"/>
            <w:gridSpan w:val="3"/>
          </w:tcPr>
          <w:p>
            <w:pPr>
              <w:jc w:val="right"/>
              <w:ind w:right="400"/>
              <w:spacing w:after="0" w:line="145" w:lineRule="exact"/>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5" w:lineRule="exact"/>
              <w:rPr>
                <w:sz w:val="20"/>
                <w:szCs w:val="20"/>
                <w:color w:val="auto"/>
              </w:rPr>
            </w:pPr>
            <w:r>
              <w:rPr>
                <w:rFonts w:ascii="Arial" w:cs="Arial" w:eastAsia="Arial" w:hAnsi="Arial"/>
                <w:sz w:val="13"/>
                <w:szCs w:val="13"/>
                <w:b w:val="1"/>
                <w:bCs w:val="1"/>
                <w:color w:val="auto"/>
                <w:w w:val="97"/>
              </w:rPr>
              <w:t>Carrying</w:t>
            </w:r>
          </w:p>
        </w:tc>
        <w:tc>
          <w:tcPr>
            <w:tcW w:w="120" w:type="dxa"/>
            <w:vAlign w:val="bottom"/>
          </w:tcPr>
          <w:p>
            <w:pPr>
              <w:spacing w:after="0"/>
              <w:rPr>
                <w:sz w:val="12"/>
                <w:szCs w:val="12"/>
                <w:color w:val="auto"/>
              </w:rPr>
            </w:pPr>
          </w:p>
        </w:tc>
        <w:tc>
          <w:tcPr>
            <w:tcW w:w="660" w:type="dxa"/>
            <w:vAlign w:val="bottom"/>
          </w:tcPr>
          <w:p>
            <w:pPr>
              <w:jc w:val="center"/>
              <w:ind w:right="22"/>
              <w:spacing w:after="0" w:line="145" w:lineRule="exact"/>
              <w:rPr>
                <w:sz w:val="20"/>
                <w:szCs w:val="20"/>
                <w:color w:val="auto"/>
              </w:rPr>
            </w:pPr>
            <w:r>
              <w:rPr>
                <w:rFonts w:ascii="Arial" w:cs="Arial" w:eastAsia="Arial" w:hAnsi="Arial"/>
                <w:sz w:val="13"/>
                <w:szCs w:val="13"/>
                <w:b w:val="1"/>
                <w:bCs w:val="1"/>
                <w:color w:val="auto"/>
                <w:w w:val="97"/>
              </w:rPr>
              <w:t>Carrying</w:t>
            </w:r>
          </w:p>
        </w:tc>
        <w:tc>
          <w:tcPr>
            <w:tcW w:w="320" w:type="dxa"/>
            <w:vAlign w:val="bottom"/>
          </w:tcPr>
          <w:p>
            <w:pPr>
              <w:spacing w:after="0"/>
              <w:rPr>
                <w:sz w:val="12"/>
                <w:szCs w:val="12"/>
                <w:color w:val="auto"/>
              </w:rPr>
            </w:pPr>
          </w:p>
        </w:tc>
        <w:tc>
          <w:tcPr>
            <w:tcW w:w="1140" w:type="dxa"/>
            <w:vAlign w:val="bottom"/>
            <w:gridSpan w:val="3"/>
          </w:tcPr>
          <w:p>
            <w:pPr>
              <w:jc w:val="right"/>
              <w:ind w:right="300"/>
              <w:spacing w:after="0" w:line="145"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5"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8"/>
        </w:trPr>
        <w:tc>
          <w:tcPr>
            <w:tcW w:w="3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Value</w:t>
            </w:r>
          </w:p>
        </w:tc>
        <w:tc>
          <w:tcPr>
            <w:tcW w:w="240" w:type="dxa"/>
            <w:vAlign w:val="bottom"/>
          </w:tcPr>
          <w:p>
            <w:pPr>
              <w:spacing w:after="0"/>
              <w:rPr>
                <w:sz w:val="13"/>
                <w:szCs w:val="13"/>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660" w:type="dxa"/>
            <w:vAlign w:val="bottom"/>
          </w:tcPr>
          <w:p>
            <w:pPr>
              <w:jc w:val="center"/>
              <w:ind w:right="22"/>
              <w:spacing w:after="0"/>
              <w:rPr>
                <w:sz w:val="20"/>
                <w:szCs w:val="20"/>
                <w:color w:val="auto"/>
              </w:rPr>
            </w:pPr>
            <w:r>
              <w:rPr>
                <w:rFonts w:ascii="Arial" w:cs="Arial" w:eastAsia="Arial" w:hAnsi="Arial"/>
                <w:sz w:val="13"/>
                <w:szCs w:val="13"/>
                <w:b w:val="1"/>
                <w:bCs w:val="1"/>
                <w:color w:val="auto"/>
                <w:w w:val="92"/>
              </w:rPr>
              <w:t>Value</w:t>
            </w:r>
          </w:p>
        </w:tc>
        <w:tc>
          <w:tcPr>
            <w:tcW w:w="320" w:type="dxa"/>
            <w:vAlign w:val="bottom"/>
          </w:tcPr>
          <w:p>
            <w:pPr>
              <w:spacing w:after="0"/>
              <w:rPr>
                <w:sz w:val="13"/>
                <w:szCs w:val="13"/>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91"/>
        </w:trPr>
        <w:tc>
          <w:tcPr>
            <w:tcW w:w="3480" w:type="dxa"/>
            <w:vAlign w:val="bottom"/>
            <w:tcBorders>
              <w:top w:val="single" w:sz="8" w:color="CCEEFF"/>
            </w:tcBorders>
            <w:shd w:val="clear" w:color="auto" w:fill="CCEEFF"/>
          </w:tcPr>
          <w:p>
            <w:pPr>
              <w:jc w:val="center"/>
              <w:ind w:right="1354"/>
              <w:spacing w:after="0" w:line="191" w:lineRule="exact"/>
              <w:rPr>
                <w:sz w:val="20"/>
                <w:szCs w:val="20"/>
                <w:color w:val="auto"/>
              </w:rPr>
            </w:pPr>
            <w:r>
              <w:rPr>
                <w:rFonts w:ascii="Arial" w:cs="Arial" w:eastAsia="Arial" w:hAnsi="Arial"/>
                <w:sz w:val="17"/>
                <w:szCs w:val="17"/>
                <w:color w:val="auto"/>
                <w:w w:val="92"/>
              </w:rPr>
              <w:t>Amortizable intangible assets</w:t>
            </w:r>
          </w:p>
        </w:tc>
        <w:tc>
          <w:tcPr>
            <w:tcW w:w="1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80" w:type="dxa"/>
            <w:vAlign w:val="bottom"/>
          </w:tcPr>
          <w:p>
            <w:pPr>
              <w:jc w:val="center"/>
              <w:ind w:right="1374"/>
              <w:spacing w:after="0"/>
              <w:rPr>
                <w:sz w:val="20"/>
                <w:szCs w:val="20"/>
                <w:color w:val="auto"/>
              </w:rPr>
            </w:pPr>
            <w:r>
              <w:rPr>
                <w:rFonts w:ascii="Arial" w:cs="Arial" w:eastAsia="Arial" w:hAnsi="Arial"/>
                <w:sz w:val="17"/>
                <w:szCs w:val="17"/>
                <w:color w:val="auto"/>
                <w:w w:val="92"/>
              </w:rPr>
              <w:t>Contract backlog</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160,615</w:t>
            </w:r>
          </w:p>
        </w:tc>
        <w:tc>
          <w:tcPr>
            <w:tcW w:w="4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127,265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33,350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160,800</w:t>
            </w:r>
          </w:p>
        </w:tc>
        <w:tc>
          <w:tcPr>
            <w:tcW w:w="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111,330</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49,470</w:t>
            </w: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Favorable leases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2,516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568</w:t>
            </w:r>
          </w:p>
        </w:tc>
        <w:tc>
          <w:tcPr>
            <w:tcW w:w="0" w:type="dxa"/>
            <w:vAlign w:val="bottom"/>
          </w:tcPr>
          <w:p>
            <w:pPr>
              <w:spacing w:after="0"/>
              <w:rPr>
                <w:sz w:val="1"/>
                <w:szCs w:val="1"/>
                <w:color w:val="auto"/>
              </w:rPr>
            </w:pPr>
          </w:p>
        </w:tc>
      </w:tr>
      <w:tr>
        <w:trPr>
          <w:trHeight w:val="20"/>
        </w:trPr>
        <w:tc>
          <w:tcPr>
            <w:tcW w:w="3480" w:type="dxa"/>
            <w:vAlign w:val="bottom"/>
            <w:vMerge w:val="restart"/>
          </w:tcPr>
          <w:p>
            <w:pPr>
              <w:jc w:val="center"/>
              <w:ind w:right="1354"/>
              <w:spacing w:after="0"/>
              <w:rPr>
                <w:sz w:val="20"/>
                <w:szCs w:val="20"/>
                <w:color w:val="auto"/>
              </w:rPr>
            </w:pPr>
            <w:r>
              <w:rPr>
                <w:rFonts w:ascii="Arial" w:cs="Arial" w:eastAsia="Arial" w:hAnsi="Arial"/>
                <w:sz w:val="17"/>
                <w:szCs w:val="17"/>
                <w:color w:val="auto"/>
                <w:w w:val="95"/>
              </w:rPr>
              <w:t>Total</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163,415</w:t>
            </w:r>
          </w:p>
        </w:tc>
        <w:tc>
          <w:tcPr>
            <w:tcW w:w="4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129,781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33,634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163,600</w:t>
            </w:r>
          </w:p>
        </w:tc>
        <w:tc>
          <w:tcPr>
            <w:tcW w:w="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113,562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50,038</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Unamortizable intangible assets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80" w:type="dxa"/>
            <w:vAlign w:val="bottom"/>
          </w:tcPr>
          <w:p>
            <w:pPr>
              <w:ind w:left="420"/>
              <w:spacing w:after="0"/>
              <w:rPr>
                <w:sz w:val="20"/>
                <w:szCs w:val="20"/>
                <w:color w:val="auto"/>
              </w:rPr>
            </w:pPr>
            <w:r>
              <w:rPr>
                <w:rFonts w:ascii="Arial" w:cs="Arial" w:eastAsia="Arial" w:hAnsi="Arial"/>
                <w:sz w:val="17"/>
                <w:szCs w:val="17"/>
                <w:color w:val="auto"/>
              </w:rPr>
              <w:t>Trade name</w:t>
            </w:r>
          </w:p>
        </w:tc>
        <w:tc>
          <w:tcPr>
            <w:tcW w:w="1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190,200</w:t>
            </w:r>
          </w:p>
        </w:tc>
        <w:tc>
          <w:tcPr>
            <w:tcW w:w="4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190,200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190,200</w:t>
            </w:r>
          </w:p>
        </w:tc>
        <w:tc>
          <w:tcPr>
            <w:tcW w:w="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190,200</w:t>
            </w: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480" w:type="dxa"/>
            <w:vAlign w:val="bottom"/>
            <w:shd w:val="clear" w:color="auto" w:fill="CCEEFF"/>
          </w:tcPr>
          <w:p>
            <w:pPr>
              <w:jc w:val="center"/>
              <w:ind w:right="1354"/>
              <w:spacing w:after="0"/>
              <w:rPr>
                <w:sz w:val="20"/>
                <w:szCs w:val="20"/>
                <w:color w:val="auto"/>
              </w:rPr>
            </w:pPr>
            <w:r>
              <w:rPr>
                <w:rFonts w:ascii="Arial" w:cs="Arial" w:eastAsia="Arial" w:hAnsi="Arial"/>
                <w:sz w:val="17"/>
                <w:szCs w:val="17"/>
                <w:color w:val="auto"/>
                <w:w w:val="95"/>
              </w:rPr>
              <w:t>Total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353,615</w:t>
            </w:r>
          </w:p>
        </w:tc>
        <w:tc>
          <w:tcPr>
            <w:tcW w:w="4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129,781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223,834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353,800</w:t>
            </w:r>
          </w:p>
        </w:tc>
        <w:tc>
          <w:tcPr>
            <w:tcW w:w="5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113,562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240,238</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performed an annual impairment test of the trade name as of January 1, 2012 and 2011, noting no impairment.</w:t>
      </w:r>
    </w:p>
    <w:p>
      <w:pPr>
        <w:spacing w:after="0" w:line="173" w:lineRule="exact"/>
        <w:rPr>
          <w:sz w:val="20"/>
          <w:szCs w:val="20"/>
          <w:color w:val="auto"/>
        </w:rPr>
      </w:pPr>
    </w:p>
    <w:p>
      <w:pPr>
        <w:jc w:val="both"/>
        <w:ind w:right="120" w:firstLine="457"/>
        <w:spacing w:after="0" w:line="354" w:lineRule="auto"/>
        <w:rPr>
          <w:sz w:val="20"/>
          <w:szCs w:val="20"/>
          <w:color w:val="auto"/>
        </w:rPr>
      </w:pPr>
      <w:r>
        <w:rPr>
          <w:rFonts w:ascii="Arial" w:cs="Arial" w:eastAsia="Arial" w:hAnsi="Arial"/>
          <w:sz w:val="15"/>
          <w:szCs w:val="15"/>
          <w:color w:val="auto"/>
        </w:rPr>
        <w:t>Amortization expense for fiscal 2012, fiscal 2011, and fiscal 2010, was $16.4 million, $28.6 million, and $40.6 million, respectively. There were no intangible assets prior to the Merger Transaction. The following table summarizes the estimated annual amortization expense for future periods indicated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340" w:type="dxa"/>
            <w:vAlign w:val="bottom"/>
            <w:gridSpan w:val="3"/>
          </w:tcPr>
          <w:p>
            <w:pPr>
              <w:ind w:left="920"/>
              <w:spacing w:after="0"/>
              <w:rPr>
                <w:sz w:val="20"/>
                <w:szCs w:val="20"/>
                <w:color w:val="auto"/>
              </w:rPr>
            </w:pPr>
            <w:r>
              <w:rPr>
                <w:rFonts w:ascii="Arial" w:cs="Arial" w:eastAsia="Arial" w:hAnsi="Arial"/>
                <w:sz w:val="13"/>
                <w:szCs w:val="13"/>
                <w:b w:val="1"/>
                <w:bCs w:val="1"/>
                <w:color w:val="auto"/>
              </w:rPr>
              <w:t>For the Fiscal Year Ending March 31,</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416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$12,509</w:t>
            </w: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2014</w:t>
            </w:r>
          </w:p>
        </w:tc>
        <w:tc>
          <w:tcPr>
            <w:tcW w:w="41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8,450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1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7"/>
                <w:szCs w:val="17"/>
                <w:color w:val="auto"/>
              </w:rPr>
              <w:t>2016</w:t>
            </w:r>
          </w:p>
        </w:tc>
        <w:tc>
          <w:tcPr>
            <w:tcW w:w="416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7"/>
                <w:szCs w:val="17"/>
                <w:color w:val="auto"/>
              </w:rPr>
              <w:t>4,225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1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4,225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33,634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4"/>
              <w:spacing w:after="0"/>
              <w:rPr>
                <w:sz w:val="20"/>
                <w:szCs w:val="20"/>
                <w:color w:val="auto"/>
              </w:rPr>
            </w:pPr>
            <w:r>
              <w:rPr>
                <w:rFonts w:ascii="Arial" w:cs="Arial" w:eastAsia="Arial" w:hAnsi="Arial"/>
                <w:sz w:val="17"/>
                <w:szCs w:val="17"/>
                <w:b w:val="1"/>
                <w:bCs w:val="1"/>
                <w:color w:val="auto"/>
                <w:w w:val="84"/>
              </w:rPr>
              <w:t>6.</w:t>
            </w:r>
          </w:p>
        </w:tc>
        <w:tc>
          <w:tcPr>
            <w:tcW w:w="7960" w:type="dxa"/>
            <w:vAlign w:val="bottom"/>
            <w:gridSpan w:val="4"/>
            <w:vMerge w:val="restart"/>
          </w:tcPr>
          <w:p>
            <w:pPr>
              <w:ind w:left="160"/>
              <w:spacing w:after="0"/>
              <w:rPr>
                <w:sz w:val="20"/>
                <w:szCs w:val="20"/>
                <w:color w:val="auto"/>
              </w:rPr>
            </w:pPr>
            <w:r>
              <w:rPr>
                <w:rFonts w:ascii="Arial" w:cs="Arial" w:eastAsia="Arial" w:hAnsi="Arial"/>
                <w:sz w:val="17"/>
                <w:szCs w:val="17"/>
                <w:b w:val="1"/>
                <w:bCs w:val="1"/>
                <w:color w:val="auto"/>
              </w:rPr>
              <w:t>ACCOUNTS RECEIVABLE, NET</w:t>
            </w: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300" w:type="dxa"/>
            <w:vAlign w:val="bottom"/>
            <w:vMerge w:val="continue"/>
          </w:tcPr>
          <w:p>
            <w:pPr>
              <w:spacing w:after="0"/>
              <w:rPr>
                <w:sz w:val="24"/>
                <w:szCs w:val="24"/>
                <w:color w:val="auto"/>
              </w:rPr>
            </w:pPr>
          </w:p>
        </w:tc>
        <w:tc>
          <w:tcPr>
            <w:tcW w:w="79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0" w:type="dxa"/>
            <w:vAlign w:val="bottom"/>
          </w:tcPr>
          <w:p>
            <w:pPr>
              <w:spacing w:after="0"/>
              <w:rPr>
                <w:sz w:val="24"/>
                <w:szCs w:val="24"/>
                <w:color w:val="auto"/>
              </w:rPr>
            </w:pPr>
          </w:p>
        </w:tc>
        <w:tc>
          <w:tcPr>
            <w:tcW w:w="7960" w:type="dxa"/>
            <w:vAlign w:val="bottom"/>
            <w:gridSpan w:val="4"/>
          </w:tcPr>
          <w:p>
            <w:pPr>
              <w:ind w:left="160"/>
              <w:spacing w:after="0"/>
              <w:rPr>
                <w:sz w:val="20"/>
                <w:szCs w:val="20"/>
                <w:color w:val="auto"/>
              </w:rPr>
            </w:pPr>
            <w:r>
              <w:rPr>
                <w:rFonts w:ascii="Arial" w:cs="Arial" w:eastAsia="Arial" w:hAnsi="Arial"/>
                <w:sz w:val="17"/>
                <w:szCs w:val="17"/>
                <w:color w:val="auto"/>
              </w:rPr>
              <w:t>Accounts receivable, net consisted of the following:</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3"/>
              </w:rPr>
              <w:t>March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7"/>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340" w:type="dxa"/>
            <w:vAlign w:val="bottom"/>
            <w:gridSpan w:val="3"/>
            <w:shd w:val="clear" w:color="auto" w:fill="CCEEFF"/>
          </w:tcPr>
          <w:p>
            <w:pPr>
              <w:spacing w:after="0" w:line="191" w:lineRule="exact"/>
              <w:rPr>
                <w:sz w:val="20"/>
                <w:szCs w:val="20"/>
                <w:color w:val="auto"/>
              </w:rPr>
            </w:pPr>
            <w:r>
              <w:rPr>
                <w:rFonts w:ascii="Arial" w:cs="Arial" w:eastAsia="Arial" w:hAnsi="Arial"/>
                <w:sz w:val="17"/>
                <w:szCs w:val="17"/>
                <w:color w:val="auto"/>
              </w:rPr>
              <w:t>Current</w:t>
            </w: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tcPr>
          <w:p>
            <w:pPr>
              <w:ind w:left="420"/>
              <w:spacing w:after="0"/>
              <w:rPr>
                <w:sz w:val="20"/>
                <w:szCs w:val="20"/>
                <w:color w:val="auto"/>
              </w:rPr>
            </w:pPr>
            <w:r>
              <w:rPr>
                <w:rFonts w:ascii="Arial" w:cs="Arial" w:eastAsia="Arial" w:hAnsi="Arial"/>
                <w:sz w:val="17"/>
                <w:szCs w:val="17"/>
                <w:color w:val="auto"/>
              </w:rPr>
              <w:t>Accounts receivable—billed</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w w:val="94"/>
              </w:rPr>
              <w:t>$  436,314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466,688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Accounts receivable—unbilled</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641,800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tcPr>
          <w:p>
            <w:pPr>
              <w:ind w:left="420"/>
              <w:spacing w:after="0"/>
              <w:rPr>
                <w:sz w:val="20"/>
                <w:szCs w:val="20"/>
                <w:color w:val="auto"/>
              </w:rPr>
            </w:pPr>
            <w:r>
              <w:rPr>
                <w:rFonts w:ascii="Arial" w:cs="Arial" w:eastAsia="Arial" w:hAnsi="Arial"/>
                <w:sz w:val="17"/>
                <w:szCs w:val="17"/>
                <w:color w:val="auto"/>
              </w:rPr>
              <w:t>Allowance for doubtful accounts</w:t>
            </w:r>
          </w:p>
        </w:tc>
        <w:tc>
          <w:tcPr>
            <w:tcW w:w="20" w:type="dxa"/>
            <w:vAlign w:val="bottom"/>
          </w:tcPr>
          <w:p>
            <w:pPr>
              <w:spacing w:after="0"/>
              <w:rPr>
                <w:sz w:val="18"/>
                <w:szCs w:val="18"/>
                <w:color w:val="auto"/>
              </w:rPr>
            </w:pPr>
          </w:p>
        </w:tc>
        <w:tc>
          <w:tcPr>
            <w:tcW w:w="1220" w:type="dxa"/>
            <w:vAlign w:val="bottom"/>
            <w:gridSpan w:val="3"/>
          </w:tcPr>
          <w:p>
            <w:pPr>
              <w:jc w:val="right"/>
              <w:ind w:right="314"/>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shd w:val="clear" w:color="auto" w:fill="CCEEFF"/>
          </w:tcPr>
          <w:p>
            <w:pPr>
              <w:ind w:left="840"/>
              <w:spacing w:after="0"/>
              <w:rPr>
                <w:sz w:val="20"/>
                <w:szCs w:val="20"/>
                <w:color w:val="auto"/>
              </w:rPr>
            </w:pPr>
            <w:r>
              <w:rPr>
                <w:rFonts w:ascii="Arial" w:cs="Arial" w:eastAsia="Arial" w:hAnsi="Arial"/>
                <w:sz w:val="17"/>
                <w:szCs w:val="17"/>
                <w:color w:val="auto"/>
              </w:rPr>
              <w:t>Accounts receivable, net</w:t>
            </w:r>
          </w:p>
        </w:tc>
        <w:tc>
          <w:tcPr>
            <w:tcW w:w="20" w:type="dxa"/>
            <w:vAlign w:val="bottom"/>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7"/>
              </w:rPr>
              <w:t>1,077,315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1,111,004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00" w:type="dxa"/>
            <w:vAlign w:val="bottom"/>
          </w:tcPr>
          <w:p>
            <w:pPr>
              <w:spacing w:after="0"/>
              <w:rPr>
                <w:sz w:val="24"/>
                <w:szCs w:val="24"/>
                <w:color w:val="auto"/>
              </w:rPr>
            </w:pPr>
          </w:p>
        </w:tc>
        <w:tc>
          <w:tcPr>
            <w:tcW w:w="7960" w:type="dxa"/>
            <w:vAlign w:val="bottom"/>
            <w:gridSpan w:val="4"/>
          </w:tcPr>
          <w:p>
            <w:pPr>
              <w:ind w:left="620"/>
              <w:spacing w:after="0"/>
              <w:rPr>
                <w:sz w:val="20"/>
                <w:szCs w:val="20"/>
                <w:color w:val="auto"/>
              </w:rPr>
            </w:pPr>
            <w:r>
              <w:rPr>
                <w:rFonts w:ascii="Arial" w:cs="Arial" w:eastAsia="Arial" w:hAnsi="Arial"/>
                <w:sz w:val="17"/>
                <w:szCs w:val="17"/>
                <w:color w:val="auto"/>
              </w:rPr>
              <w:t>Long-term</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Unbilled receivables related to retainage and holdbacks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24,163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40" w:type="dxa"/>
            <w:vAlign w:val="bottom"/>
            <w:gridSpan w:val="3"/>
          </w:tcPr>
          <w:p>
            <w:pPr>
              <w:ind w:left="840"/>
              <w:spacing w:after="0"/>
              <w:rPr>
                <w:sz w:val="20"/>
                <w:szCs w:val="20"/>
                <w:color w:val="auto"/>
              </w:rPr>
            </w:pPr>
            <w:r>
              <w:rPr>
                <w:rFonts w:ascii="Arial" w:cs="Arial" w:eastAsia="Arial" w:hAnsi="Arial"/>
                <w:sz w:val="17"/>
                <w:szCs w:val="17"/>
                <w:color w:val="auto"/>
              </w:rPr>
              <w:t>Total accounts receivable, net</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1,101,478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1,128,079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60" w:firstLine="457"/>
        <w:spacing w:after="0" w:line="271" w:lineRule="auto"/>
        <w:rPr>
          <w:sz w:val="20"/>
          <w:szCs w:val="20"/>
          <w:color w:val="auto"/>
        </w:rPr>
      </w:pPr>
      <w:r>
        <w:rPr>
          <w:rFonts w:ascii="Arial" w:cs="Arial" w:eastAsia="Arial" w:hAnsi="Arial"/>
          <w:sz w:val="17"/>
          <w:szCs w:val="17"/>
          <w:color w:val="auto"/>
        </w:rPr>
        <w:t>The Company recognized a provision for doubtful accounts (including certain unbilled reserves) of $2.7 million, $230,000, and $1.4 million for fiscal 2012, fiscal 2011, and fiscal 2010, respectively. Long-term unbilled receivables related to retainage, holdbacks, and long-term rate settlements to be billed at contract closeout are included in non-current assets as accounts receivable in the accompanying consolidated balance sheets.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51"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jc w:val="right"/>
              <w:ind w:right="74"/>
              <w:spacing w:after="0"/>
              <w:rPr>
                <w:sz w:val="20"/>
                <w:szCs w:val="20"/>
                <w:color w:val="auto"/>
              </w:rPr>
            </w:pPr>
            <w:r>
              <w:rPr>
                <w:rFonts w:ascii="Arial" w:cs="Arial" w:eastAsia="Arial" w:hAnsi="Arial"/>
                <w:sz w:val="17"/>
                <w:szCs w:val="17"/>
                <w:b w:val="1"/>
                <w:bCs w:val="1"/>
                <w:color w:val="auto"/>
                <w:w w:val="84"/>
              </w:rPr>
              <w:t>7.</w:t>
            </w:r>
          </w:p>
        </w:tc>
        <w:tc>
          <w:tcPr>
            <w:tcW w:w="6440" w:type="dxa"/>
            <w:vAlign w:val="bottom"/>
            <w:gridSpan w:val="2"/>
          </w:tcPr>
          <w:p>
            <w:pPr>
              <w:ind w:left="160"/>
              <w:spacing w:after="0"/>
              <w:rPr>
                <w:sz w:val="20"/>
                <w:szCs w:val="20"/>
                <w:color w:val="auto"/>
              </w:rPr>
            </w:pPr>
            <w:r>
              <w:rPr>
                <w:rFonts w:ascii="Arial" w:cs="Arial" w:eastAsia="Arial" w:hAnsi="Arial"/>
                <w:sz w:val="17"/>
                <w:szCs w:val="17"/>
                <w:b w:val="1"/>
                <w:bCs w:val="1"/>
                <w:color w:val="auto"/>
              </w:rPr>
              <w:t>PROPERTY AND EQUIPMENT, NET</w:t>
            </w:r>
          </w:p>
        </w:tc>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90"/>
        </w:trPr>
        <w:tc>
          <w:tcPr>
            <w:tcW w:w="300" w:type="dxa"/>
            <w:vAlign w:val="bottom"/>
          </w:tcPr>
          <w:p>
            <w:pPr>
              <w:spacing w:after="0"/>
              <w:rPr>
                <w:sz w:val="24"/>
                <w:szCs w:val="24"/>
                <w:color w:val="auto"/>
              </w:rPr>
            </w:pPr>
          </w:p>
        </w:tc>
        <w:tc>
          <w:tcPr>
            <w:tcW w:w="6440" w:type="dxa"/>
            <w:vAlign w:val="bottom"/>
            <w:gridSpan w:val="2"/>
          </w:tcPr>
          <w:p>
            <w:pPr>
              <w:ind w:left="160"/>
              <w:spacing w:after="0"/>
              <w:rPr>
                <w:sz w:val="20"/>
                <w:szCs w:val="20"/>
                <w:color w:val="auto"/>
              </w:rPr>
            </w:pPr>
            <w:r>
              <w:rPr>
                <w:rFonts w:ascii="Arial" w:cs="Arial" w:eastAsia="Arial" w:hAnsi="Arial"/>
                <w:sz w:val="17"/>
                <w:szCs w:val="17"/>
                <w:color w:val="auto"/>
              </w:rPr>
              <w:t>The components of property and equipment, net were as follows:</w:t>
            </w: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5"/>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March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8"/>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2012</w:t>
            </w:r>
          </w:p>
        </w:tc>
        <w:tc>
          <w:tcPr>
            <w:tcW w:w="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04"/>
        </w:trPr>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15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$ 131,461</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111,513</w:t>
            </w:r>
          </w:p>
        </w:tc>
        <w:tc>
          <w:tcPr>
            <w:tcW w:w="120" w:type="dxa"/>
            <w:vAlign w:val="bottom"/>
            <w:shd w:val="clear" w:color="auto" w:fill="CCEEFF"/>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Computer equipment</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49,602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58,163</w:t>
            </w:r>
          </w:p>
        </w:tc>
        <w:tc>
          <w:tcPr>
            <w:tcW w:w="12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33,248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28,583</w:t>
            </w:r>
          </w:p>
        </w:tc>
        <w:tc>
          <w:tcPr>
            <w:tcW w:w="120" w:type="dxa"/>
            <w:vAlign w:val="bottom"/>
            <w:shd w:val="clear" w:color="auto" w:fill="CCEEFF"/>
          </w:tcPr>
          <w:p>
            <w:pPr>
              <w:spacing w:after="0"/>
              <w:rPr>
                <w:sz w:val="18"/>
                <w:szCs w:val="18"/>
                <w:color w:val="auto"/>
              </w:rPr>
            </w:pPr>
          </w:p>
        </w:tc>
      </w:tr>
      <w:tr>
        <w:trPr>
          <w:trHeight w:val="217"/>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5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144,528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113,266</w:t>
            </w:r>
          </w:p>
        </w:tc>
        <w:tc>
          <w:tcPr>
            <w:tcW w:w="12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358,839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311,525</w:t>
            </w:r>
          </w:p>
        </w:tc>
        <w:tc>
          <w:tcPr>
            <w:tcW w:w="120" w:type="dxa"/>
            <w:vAlign w:val="bottom"/>
            <w:shd w:val="clear" w:color="auto" w:fill="CCEEFF"/>
          </w:tcPr>
          <w:p>
            <w:pPr>
              <w:spacing w:after="0"/>
              <w:rPr>
                <w:sz w:val="18"/>
                <w:szCs w:val="18"/>
                <w:color w:val="auto"/>
              </w:rPr>
            </w:pPr>
          </w:p>
        </w:tc>
      </w:tr>
      <w:tr>
        <w:trPr>
          <w:trHeight w:val="315"/>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20" w:type="dxa"/>
            <w:vAlign w:val="bottom"/>
          </w:tcPr>
          <w:p>
            <w:pPr>
              <w:ind w:left="840"/>
              <w:spacing w:after="0"/>
              <w:rPr>
                <w:sz w:val="20"/>
                <w:szCs w:val="20"/>
                <w:color w:val="auto"/>
              </w:rPr>
            </w:pPr>
            <w:r>
              <w:rPr>
                <w:rFonts w:ascii="Arial" w:cs="Arial" w:eastAsia="Arial" w:hAnsi="Arial"/>
                <w:sz w:val="17"/>
                <w:szCs w:val="17"/>
                <w:color w:val="auto"/>
              </w:rPr>
              <w:t>Less: Accumulated depreciation and amortization</w:t>
            </w:r>
          </w:p>
        </w:tc>
        <w:tc>
          <w:tcPr>
            <w:tcW w:w="1580" w:type="dxa"/>
            <w:vAlign w:val="bottom"/>
          </w:tcPr>
          <w:p>
            <w:pPr>
              <w:spacing w:after="0"/>
              <w:rPr>
                <w:sz w:val="24"/>
                <w:szCs w:val="24"/>
                <w:color w:val="auto"/>
              </w:rPr>
            </w:pPr>
          </w:p>
        </w:tc>
        <w:tc>
          <w:tcPr>
            <w:tcW w:w="1360" w:type="dxa"/>
            <w:vAlign w:val="bottom"/>
            <w:gridSpan w:val="2"/>
          </w:tcPr>
          <w:p>
            <w:pPr>
              <w:jc w:val="right"/>
              <w:ind w:right="534"/>
              <w:spacing w:after="0"/>
              <w:rPr>
                <w:sz w:val="20"/>
                <w:szCs w:val="20"/>
                <w:color w:val="auto"/>
              </w:rPr>
            </w:pPr>
            <w:r>
              <w:rPr>
                <w:rFonts w:ascii="Arial" w:cs="Arial" w:eastAsia="Arial" w:hAnsi="Arial"/>
                <w:sz w:val="17"/>
                <w:szCs w:val="17"/>
                <w:color w:val="auto"/>
              </w:rPr>
              <w:t>(167,760)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90"/>
              </w:rPr>
              <w:t>(138,095)</w:t>
            </w:r>
          </w:p>
        </w:tc>
      </w:tr>
      <w:tr>
        <w:trPr>
          <w:trHeight w:val="28"/>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Property and equipment, net</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$ 191,079</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173,430</w:t>
            </w:r>
          </w:p>
        </w:tc>
        <w:tc>
          <w:tcPr>
            <w:tcW w:w="12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Property and equipment, net, includes $13.2 million and $14.7 million of internally developed software, net of depreciation as of March 31, 2012 and 2011, respectively. Depreciation and amortization expense relating to property and equipment for fiscal 2012, fiscal 2011, and fiscal 2010 was $58.8 million, $52.0 million, and $55.2 million, respectively. During fiscal 2012, the Company reduced the gross cost and accumulated depreciation and amortization by $35.7 million for zero net book value assets deemed no longer in service.</w:t>
      </w:r>
    </w:p>
    <w:p>
      <w:pPr>
        <w:spacing w:after="0" w:line="243" w:lineRule="exact"/>
        <w:rPr>
          <w:sz w:val="20"/>
          <w:szCs w:val="20"/>
          <w:color w:val="auto"/>
        </w:rPr>
      </w:pPr>
    </w:p>
    <w:p>
      <w:pPr>
        <w:ind w:left="460" w:right="5880" w:hanging="455"/>
        <w:spacing w:after="0" w:line="472" w:lineRule="auto"/>
        <w:tabs>
          <w:tab w:leader="none" w:pos="451"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ACCOUNTS PAYABLE AND OTHER ACCRUED EXPENSES </w:t>
      </w:r>
      <w:r>
        <w:rPr>
          <w:rFonts w:ascii="Arial" w:cs="Arial" w:eastAsia="Arial" w:hAnsi="Arial"/>
          <w:sz w:val="15"/>
          <w:szCs w:val="15"/>
          <w:color w:val="auto"/>
        </w:rPr>
        <w:t>Accounts payable and other accrued expenses consisted of the following:</w:t>
      </w:r>
    </w:p>
    <w:p>
      <w:pPr>
        <w:spacing w:after="0" w:line="21"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w:t>
            </w:r>
          </w:p>
        </w:tc>
      </w:tr>
      <w:tr>
        <w:trPr>
          <w:trHeight w:val="138"/>
        </w:trPr>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1"/>
              <w:spacing w:after="0" w:line="138" w:lineRule="exact"/>
              <w:rPr>
                <w:sz w:val="20"/>
                <w:szCs w:val="20"/>
                <w:color w:val="auto"/>
              </w:rPr>
            </w:pPr>
            <w:r>
              <w:rPr>
                <w:rFonts w:ascii="Arial" w:cs="Arial" w:eastAsia="Arial" w:hAnsi="Arial"/>
                <w:sz w:val="13"/>
                <w:szCs w:val="13"/>
                <w:b w:val="1"/>
                <w:bCs w:val="1"/>
                <w:color w:val="auto"/>
              </w:rPr>
              <w:t>2012</w:t>
            </w:r>
          </w:p>
        </w:tc>
        <w:tc>
          <w:tcPr>
            <w:tcW w:w="1300" w:type="dxa"/>
            <w:vAlign w:val="bottom"/>
            <w:tcBorders>
              <w:top w:val="single" w:sz="8" w:color="auto"/>
            </w:tcBorders>
            <w:gridSpan w:val="2"/>
          </w:tcPr>
          <w:p>
            <w:pPr>
              <w:jc w:val="right"/>
              <w:ind w:right="134"/>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r>
      <w:tr>
        <w:trPr>
          <w:trHeight w:val="204"/>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Vendor payables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$ 288,377</w:t>
            </w: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$ 279,801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6580" w:type="dxa"/>
            <w:vAlign w:val="bottom"/>
          </w:tcPr>
          <w:p>
            <w:pPr>
              <w:spacing w:after="0"/>
              <w:rPr>
                <w:sz w:val="20"/>
                <w:szCs w:val="20"/>
                <w:color w:val="auto"/>
              </w:rPr>
            </w:pPr>
            <w:r>
              <w:rPr>
                <w:rFonts w:ascii="Arial" w:cs="Arial" w:eastAsia="Arial" w:hAnsi="Arial"/>
                <w:sz w:val="17"/>
                <w:szCs w:val="17"/>
                <w:color w:val="auto"/>
              </w:rPr>
              <w:t>Accrued expenses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154,640</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123,863</w:t>
            </w:r>
          </w:p>
        </w:tc>
        <w:tc>
          <w:tcPr>
            <w:tcW w:w="120" w:type="dxa"/>
            <w:vAlign w:val="bottom"/>
          </w:tcPr>
          <w:p>
            <w:pPr>
              <w:spacing w:after="0"/>
              <w:rPr>
                <w:sz w:val="18"/>
                <w:szCs w:val="18"/>
                <w:color w:val="auto"/>
              </w:rPr>
            </w:pP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2,646</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420"/>
              <w:spacing w:after="0"/>
              <w:rPr>
                <w:sz w:val="20"/>
                <w:szCs w:val="20"/>
                <w:color w:val="auto"/>
              </w:rPr>
            </w:pPr>
            <w:r>
              <w:rPr>
                <w:rFonts w:ascii="Arial" w:cs="Arial" w:eastAsia="Arial" w:hAnsi="Arial"/>
                <w:sz w:val="17"/>
                <w:szCs w:val="17"/>
                <w:color w:val="auto"/>
              </w:rPr>
              <w:t>Total accounts payable and other accrued expenses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87"/>
              </w:rPr>
              <w:t>$ 443,951</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$ 406,310</w:t>
            </w:r>
          </w:p>
        </w:tc>
        <w:tc>
          <w:tcPr>
            <w:tcW w:w="1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Accrued expenses consisted primarily of the Company’s reserve related to potential cost disallowance in conjunction with government audits. Refer to Note 19 for further discussion of this reserve.</w:t>
      </w:r>
    </w:p>
    <w:p>
      <w:pPr>
        <w:spacing w:after="0" w:line="229" w:lineRule="exact"/>
        <w:rPr>
          <w:sz w:val="20"/>
          <w:szCs w:val="20"/>
          <w:color w:val="auto"/>
        </w:rPr>
      </w:pPr>
    </w:p>
    <w:p>
      <w:pPr>
        <w:ind w:left="460" w:hanging="455"/>
        <w:spacing w:after="0"/>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ACCRUED COMPENSATION AND BENEFITS</w:t>
      </w:r>
    </w:p>
    <w:p>
      <w:pPr>
        <w:spacing w:after="0" w:line="10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Accrued compensation and benefits consisted of the following:</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March 31,</w:t>
            </w:r>
          </w:p>
        </w:tc>
      </w:tr>
      <w:tr>
        <w:trPr>
          <w:trHeight w:val="138"/>
        </w:trPr>
        <w:tc>
          <w:tcPr>
            <w:tcW w:w="3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rPr>
              <w:t>2012</w:t>
            </w:r>
          </w:p>
        </w:tc>
        <w:tc>
          <w:tcPr>
            <w:tcW w:w="1300" w:type="dxa"/>
            <w:vAlign w:val="bottom"/>
            <w:tcBorders>
              <w:top w:val="single" w:sz="8" w:color="auto"/>
            </w:tcBorders>
            <w:gridSpan w:val="2"/>
          </w:tcPr>
          <w:p>
            <w:pPr>
              <w:jc w:val="right"/>
              <w:ind w:right="134"/>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r>
      <w:tr>
        <w:trPr>
          <w:trHeight w:val="204"/>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Bonus</w:t>
            </w: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83,464</w:t>
            </w: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$ 136,503</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3700" w:type="dxa"/>
            <w:vAlign w:val="bottom"/>
          </w:tcPr>
          <w:p>
            <w:pPr>
              <w:spacing w:after="0"/>
              <w:rPr>
                <w:sz w:val="20"/>
                <w:szCs w:val="20"/>
                <w:color w:val="auto"/>
              </w:rPr>
            </w:pPr>
            <w:r>
              <w:rPr>
                <w:rFonts w:ascii="Arial" w:cs="Arial" w:eastAsia="Arial" w:hAnsi="Arial"/>
                <w:sz w:val="17"/>
                <w:szCs w:val="17"/>
                <w:color w:val="auto"/>
              </w:rPr>
              <w:t>Retirement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86,723</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93,826</w:t>
            </w:r>
          </w:p>
        </w:tc>
        <w:tc>
          <w:tcPr>
            <w:tcW w:w="120" w:type="dxa"/>
            <w:vAlign w:val="bottom"/>
          </w:tcPr>
          <w:p>
            <w:pPr>
              <w:spacing w:after="0"/>
              <w:rPr>
                <w:sz w:val="18"/>
                <w:szCs w:val="18"/>
                <w:color w:val="auto"/>
              </w:rPr>
            </w:pPr>
          </w:p>
        </w:tc>
      </w:tr>
      <w:tr>
        <w:trPr>
          <w:trHeight w:val="21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Vacation</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143,154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133,643</w:t>
            </w:r>
          </w:p>
        </w:tc>
        <w:tc>
          <w:tcPr>
            <w:tcW w:w="120" w:type="dxa"/>
            <w:vAlign w:val="bottom"/>
            <w:shd w:val="clear" w:color="auto" w:fill="CCEEFF"/>
          </w:tcPr>
          <w:p>
            <w:pPr>
              <w:spacing w:after="0"/>
              <w:rPr>
                <w:sz w:val="18"/>
                <w:szCs w:val="18"/>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7"/>
                <w:szCs w:val="17"/>
                <w:color w:val="auto"/>
              </w:rPr>
              <w:t>Other</w:t>
            </w:r>
          </w:p>
        </w:tc>
        <w:tc>
          <w:tcPr>
            <w:tcW w:w="2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44,531</w:t>
            </w:r>
          </w:p>
        </w:tc>
        <w:tc>
          <w:tcPr>
            <w:tcW w:w="6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33,024</w:t>
            </w:r>
          </w:p>
        </w:tc>
        <w:tc>
          <w:tcPr>
            <w:tcW w:w="120" w:type="dxa"/>
            <w:vAlign w:val="bottom"/>
          </w:tcPr>
          <w:p>
            <w:pPr>
              <w:spacing w:after="0"/>
              <w:rPr>
                <w:sz w:val="18"/>
                <w:szCs w:val="18"/>
                <w:color w:val="auto"/>
              </w:rPr>
            </w:pPr>
          </w:p>
        </w:tc>
      </w:tr>
      <w:tr>
        <w:trPr>
          <w:trHeight w:val="211"/>
        </w:trPr>
        <w:tc>
          <w:tcPr>
            <w:tcW w:w="3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accrued compensation and benefits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357,872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$ 396,996</w:t>
            </w:r>
          </w:p>
        </w:tc>
        <w:tc>
          <w:tcPr>
            <w:tcW w:w="12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3700" w:type="dxa"/>
            <w:vAlign w:val="bottom"/>
          </w:tcPr>
          <w:p>
            <w:pPr>
              <w:spacing w:after="0"/>
              <w:rPr>
                <w:sz w:val="24"/>
                <w:szCs w:val="24"/>
                <w:color w:val="auto"/>
              </w:rPr>
            </w:pPr>
          </w:p>
        </w:tc>
        <w:tc>
          <w:tcPr>
            <w:tcW w:w="2980" w:type="dxa"/>
            <w:vAlign w:val="bottom"/>
            <w:gridSpan w:val="2"/>
          </w:tcPr>
          <w:p>
            <w:pPr>
              <w:jc w:val="right"/>
              <w:ind w:right="2105"/>
              <w:spacing w:after="0"/>
              <w:rPr>
                <w:sz w:val="20"/>
                <w:szCs w:val="20"/>
                <w:color w:val="auto"/>
              </w:rPr>
            </w:pPr>
            <w:r>
              <w:rPr>
                <w:rFonts w:ascii="Arial" w:cs="Arial" w:eastAsia="Arial" w:hAnsi="Arial"/>
                <w:sz w:val="17"/>
                <w:szCs w:val="17"/>
                <w:color w:val="auto"/>
              </w:rPr>
              <w:t>F-17</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60"/>
          </w:cols>
          <w:pgMar w:left="240" w:top="451" w:right="2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hanging="455"/>
        <w:spacing w:after="0"/>
        <w:tabs>
          <w:tab w:leader="none" w:pos="4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DEFERRED PAYMENT OBLIGATION</w:t>
      </w:r>
    </w:p>
    <w:p>
      <w:pPr>
        <w:spacing w:after="0" w:line="100"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In connection with the Merger Transaction, on July 31, 2008 the Company established a DPO of $158.0 million, payable by 8.5 years after the Closing Date, less any settled claims. Pursuant to the Merger Agreement, $78.0 million of the $158.0 million DPO was required to be paid in full to the selling shareholders. On December 11, 2009, in connection with the Recapitalization Transaction, $100.4 million was paid to the selling shareholders, of which $78.0 million was the repayment of that portion of the DPO, with approximately $22.4 million representing accrued interest.</w:t>
      </w:r>
    </w:p>
    <w:p>
      <w:pPr>
        <w:spacing w:after="0" w:line="13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color w:val="auto"/>
        </w:rPr>
        <w:t>The remaining $80.0 million is available to indemnify the Company for certain pre-acquisition tax contingencies, related interest and penalties, and other matters pursuant to the Merger Agreement. Any amounts remaining after the settlement of claims will be paid out to the selling shareholders. As of March 31, 2012 and 2011, the Company has recorded $55.3 million and $90.5 million, respectively, for pre-acquisition uncertain tax positions, of which approximately $17.5 million and $52.7 million, respectively, may be indemnified under the remaining available DPO. During fiscal 2012, the Company favorably settled $35.0 million of its pre-acquisition uncertain tax positions, thereby reducing the estimated amount to be indemnified under the remaining available DPO and increasing the DPO amount to be paid to the selling shareholders. Accordingly, the $63.1 million and $38.2 million DPO balance recorded as of March 31, 2012 and 2011, respectively, within other long-term liabilities in the accompanying consolidated balance sheets, represents the residual balance estimated to be paid to the selling shareholders based on consideration of contingent tax claims, accrued interest and other matters. Interest is accrued at a rate of 5% per six-month period on the unpaid DPO balance, net of any settled claims or payments, which was $80.0 million as of March 31, 2012 and 2011.</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93"/>
              </w:rPr>
              <w:t>March 31,</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3"/>
          </w:tcPr>
          <w:p>
            <w:pPr>
              <w:jc w:val="right"/>
              <w:ind w:right="200"/>
              <w:spacing w:after="0" w:line="138" w:lineRule="exact"/>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108"/>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payment obligation</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3"/>
              </w:rPr>
              <w:t>$ 80,000</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0"/>
              </w:rPr>
              <w:t>$ 80,000</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7"/>
                <w:szCs w:val="17"/>
                <w:color w:val="auto"/>
              </w:rPr>
              <w:t>Indemnified pre-acquisition uncertain tax positions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7"/>
          </w:tcPr>
          <w:p>
            <w:pPr>
              <w:jc w:val="right"/>
              <w:ind w:right="374"/>
              <w:spacing w:after="0"/>
              <w:rPr>
                <w:sz w:val="20"/>
                <w:szCs w:val="20"/>
                <w:color w:val="auto"/>
              </w:rPr>
            </w:pPr>
            <w:r>
              <w:rPr>
                <w:rFonts w:ascii="Arial" w:cs="Arial" w:eastAsia="Arial" w:hAnsi="Arial"/>
                <w:sz w:val="17"/>
                <w:szCs w:val="17"/>
                <w:color w:val="auto"/>
              </w:rPr>
              <w:t>(17,543)</w:t>
            </w:r>
          </w:p>
        </w:tc>
        <w:tc>
          <w:tcPr>
            <w:tcW w:w="1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7"/>
                <w:szCs w:val="17"/>
                <w:color w:val="auto"/>
              </w:rPr>
              <w:t>(52,743)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Accrued interest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10,904</w:t>
            </w:r>
          </w:p>
        </w:tc>
        <w:tc>
          <w:tcPr>
            <w:tcW w:w="1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tcPr>
          <w:p>
            <w:pPr>
              <w:ind w:left="840"/>
              <w:spacing w:after="0"/>
              <w:rPr>
                <w:sz w:val="20"/>
                <w:szCs w:val="20"/>
                <w:color w:val="auto"/>
              </w:rPr>
            </w:pPr>
            <w:r>
              <w:rPr>
                <w:rFonts w:ascii="Arial" w:cs="Arial" w:eastAsia="Arial" w:hAnsi="Arial"/>
                <w:sz w:val="17"/>
                <w:szCs w:val="17"/>
                <w:color w:val="auto"/>
              </w:rPr>
              <w:t>Amount recorded in the consolidated balance sheets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5"/>
          </w:tcPr>
          <w:p>
            <w:pPr>
              <w:jc w:val="right"/>
              <w:spacing w:after="0"/>
              <w:rPr>
                <w:sz w:val="20"/>
                <w:szCs w:val="20"/>
                <w:color w:val="auto"/>
              </w:rPr>
            </w:pPr>
            <w:r>
              <w:rPr>
                <w:rFonts w:ascii="Arial" w:cs="Arial" w:eastAsia="Arial" w:hAnsi="Arial"/>
                <w:sz w:val="17"/>
                <w:szCs w:val="17"/>
                <w:color w:val="auto"/>
              </w:rPr>
              <w:t>$ 63,138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93"/>
              </w:rPr>
              <w:t>$ 38,161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5"/>
            <w:vMerge w:val="restart"/>
          </w:tcPr>
          <w:p>
            <w:pPr>
              <w:ind w:left="460"/>
              <w:spacing w:after="0"/>
              <w:rPr>
                <w:sz w:val="20"/>
                <w:szCs w:val="20"/>
                <w:color w:val="auto"/>
              </w:rPr>
            </w:pPr>
            <w:r>
              <w:rPr>
                <w:rFonts w:ascii="Arial" w:cs="Arial" w:eastAsia="Arial" w:hAnsi="Arial"/>
                <w:sz w:val="17"/>
                <w:szCs w:val="17"/>
                <w:color w:val="auto"/>
                <w:w w:val="93"/>
              </w:rPr>
              <w:t>On February 29, 2012, the Company paid $19.4 million of accrued interest to the selling shareholders.</w:t>
            </w: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620" w:type="dxa"/>
            <w:vAlign w:val="bottom"/>
            <w:gridSpan w:val="5"/>
            <w:vMerge w:val="continue"/>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6980" w:type="dxa"/>
            <w:vAlign w:val="bottom"/>
            <w:gridSpan w:val="3"/>
          </w:tcPr>
          <w:p>
            <w:pPr>
              <w:spacing w:after="0"/>
              <w:rPr>
                <w:sz w:val="20"/>
                <w:szCs w:val="20"/>
                <w:color w:val="auto"/>
              </w:rPr>
            </w:pPr>
            <w:r>
              <w:rPr>
                <w:rFonts w:ascii="Arial" w:cs="Arial" w:eastAsia="Arial" w:hAnsi="Arial"/>
                <w:sz w:val="17"/>
                <w:szCs w:val="17"/>
                <w:b w:val="1"/>
                <w:bCs w:val="1"/>
                <w:color w:val="auto"/>
              </w:rPr>
              <w:t>11.   DEBT</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80" w:type="dxa"/>
            <w:vAlign w:val="bottom"/>
            <w:gridSpan w:val="3"/>
          </w:tcPr>
          <w:p>
            <w:pPr>
              <w:ind w:left="460"/>
              <w:spacing w:after="0"/>
              <w:rPr>
                <w:sz w:val="20"/>
                <w:szCs w:val="20"/>
                <w:color w:val="auto"/>
              </w:rPr>
            </w:pPr>
            <w:r>
              <w:rPr>
                <w:rFonts w:ascii="Arial" w:cs="Arial" w:eastAsia="Arial" w:hAnsi="Arial"/>
                <w:sz w:val="17"/>
                <w:szCs w:val="17"/>
                <w:color w:val="auto"/>
              </w:rPr>
              <w:t>Debt consisted of the following:</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3"/>
                <w:szCs w:val="13"/>
                <w:b w:val="1"/>
                <w:bCs w:val="1"/>
                <w:color w:val="auto"/>
              </w:rPr>
              <w:t>March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64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89"/>
              </w:rPr>
              <w:t>Interest</w:t>
            </w:r>
          </w:p>
        </w:tc>
        <w:tc>
          <w:tcPr>
            <w:tcW w:w="360" w:type="dxa"/>
            <w:vAlign w:val="bottom"/>
          </w:tcPr>
          <w:p>
            <w:pPr>
              <w:spacing w:after="0"/>
              <w:rPr>
                <w:sz w:val="10"/>
                <w:szCs w:val="10"/>
                <w:color w:val="auto"/>
              </w:rPr>
            </w:pPr>
          </w:p>
        </w:tc>
        <w:tc>
          <w:tcPr>
            <w:tcW w:w="70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88"/>
              </w:rPr>
              <w:t>Outstanding</w:t>
            </w:r>
          </w:p>
        </w:tc>
        <w:tc>
          <w:tcPr>
            <w:tcW w:w="4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gridSpan w:val="3"/>
          </w:tcPr>
          <w:p>
            <w:pPr>
              <w:jc w:val="right"/>
              <w:spacing w:after="0" w:line="126"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Rate</w:t>
            </w:r>
          </w:p>
        </w:tc>
        <w:tc>
          <w:tcPr>
            <w:tcW w:w="360" w:type="dxa"/>
            <w:vAlign w:val="bottom"/>
          </w:tcPr>
          <w:p>
            <w:pPr>
              <w:spacing w:after="0"/>
              <w:rPr>
                <w:sz w:val="13"/>
                <w:szCs w:val="13"/>
                <w:color w:val="auto"/>
              </w:rPr>
            </w:pPr>
          </w:p>
        </w:tc>
        <w:tc>
          <w:tcPr>
            <w:tcW w:w="114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Rate</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652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7"/>
                <w:szCs w:val="17"/>
                <w:color w:val="auto"/>
              </w:rPr>
              <w:t>Senior secured credit agreement</w:t>
            </w: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520" w:type="dxa"/>
            <w:vAlign w:val="bottom"/>
            <w:gridSpan w:val="2"/>
          </w:tcPr>
          <w:p>
            <w:pPr>
              <w:jc w:val="center"/>
              <w:ind w:right="4394"/>
              <w:spacing w:after="0"/>
              <w:rPr>
                <w:sz w:val="20"/>
                <w:szCs w:val="20"/>
                <w:color w:val="auto"/>
              </w:rPr>
            </w:pPr>
            <w:r>
              <w:rPr>
                <w:rFonts w:ascii="Arial" w:cs="Arial" w:eastAsia="Arial" w:hAnsi="Arial"/>
                <w:sz w:val="17"/>
                <w:szCs w:val="17"/>
                <w:color w:val="auto"/>
                <w:w w:val="92"/>
              </w:rPr>
              <w:t>Tranche A Loans</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2.49%</w:t>
            </w:r>
          </w:p>
        </w:tc>
        <w:tc>
          <w:tcPr>
            <w:tcW w:w="1080" w:type="dxa"/>
            <w:vAlign w:val="bottom"/>
            <w:gridSpan w:val="4"/>
          </w:tcPr>
          <w:p>
            <w:pPr>
              <w:jc w:val="right"/>
              <w:ind w:right="20"/>
              <w:spacing w:after="0"/>
              <w:rPr>
                <w:sz w:val="20"/>
                <w:szCs w:val="20"/>
                <w:color w:val="auto"/>
              </w:rPr>
            </w:pPr>
            <w:r>
              <w:rPr>
                <w:rFonts w:ascii="Arial" w:cs="Arial" w:eastAsia="Arial" w:hAnsi="Arial"/>
                <w:sz w:val="17"/>
                <w:szCs w:val="17"/>
                <w:color w:val="auto"/>
              </w:rPr>
              <w:t>$ 472,870</w:t>
            </w:r>
          </w:p>
        </w:tc>
        <w:tc>
          <w:tcPr>
            <w:tcW w:w="4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7"/>
                <w:szCs w:val="17"/>
                <w:color w:val="auto"/>
              </w:rPr>
              <w:t>2.81%</w:t>
            </w:r>
          </w:p>
        </w:tc>
        <w:tc>
          <w:tcPr>
            <w:tcW w:w="1200" w:type="dxa"/>
            <w:vAlign w:val="bottom"/>
            <w:gridSpan w:val="6"/>
          </w:tcPr>
          <w:p>
            <w:pPr>
              <w:jc w:val="right"/>
              <w:ind w:right="100"/>
              <w:spacing w:after="0"/>
              <w:rPr>
                <w:sz w:val="20"/>
                <w:szCs w:val="20"/>
                <w:color w:val="auto"/>
              </w:rPr>
            </w:pPr>
            <w:r>
              <w:rPr>
                <w:rFonts w:ascii="Arial" w:cs="Arial" w:eastAsia="Arial" w:hAnsi="Arial"/>
                <w:sz w:val="17"/>
                <w:szCs w:val="17"/>
                <w:color w:val="auto"/>
              </w:rPr>
              <w:t>$ 497,185</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520" w:type="dxa"/>
            <w:vAlign w:val="bottom"/>
            <w:gridSpan w:val="2"/>
            <w:shd w:val="clear" w:color="auto" w:fill="CCEEFF"/>
          </w:tcPr>
          <w:p>
            <w:pPr>
              <w:jc w:val="center"/>
              <w:ind w:right="4414"/>
              <w:spacing w:after="0"/>
              <w:rPr>
                <w:sz w:val="20"/>
                <w:szCs w:val="20"/>
                <w:color w:val="auto"/>
              </w:rPr>
            </w:pPr>
            <w:r>
              <w:rPr>
                <w:rFonts w:ascii="Arial" w:cs="Arial" w:eastAsia="Arial" w:hAnsi="Arial"/>
                <w:sz w:val="17"/>
                <w:szCs w:val="17"/>
                <w:color w:val="auto"/>
                <w:w w:val="91"/>
              </w:rPr>
              <w:t>Tranche B Loans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3.75%</w:t>
            </w:r>
          </w:p>
        </w:tc>
        <w:tc>
          <w:tcPr>
            <w:tcW w:w="36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492,555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4.00%</w:t>
            </w:r>
          </w:p>
        </w:tc>
        <w:tc>
          <w:tcPr>
            <w:tcW w:w="38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497,143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tcPr>
          <w:p>
            <w:pPr>
              <w:jc w:val="center"/>
              <w:ind w:right="4854"/>
              <w:spacing w:after="0"/>
              <w:rPr>
                <w:sz w:val="20"/>
                <w:szCs w:val="20"/>
                <w:color w:val="auto"/>
              </w:rPr>
            </w:pPr>
            <w:r>
              <w:rPr>
                <w:rFonts w:ascii="Arial" w:cs="Arial" w:eastAsia="Arial" w:hAnsi="Arial"/>
                <w:sz w:val="17"/>
                <w:szCs w:val="17"/>
                <w:color w:val="auto"/>
                <w:w w:val="95"/>
              </w:rPr>
              <w:t>Total</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7"/>
                <w:szCs w:val="17"/>
                <w:color w:val="auto"/>
              </w:rPr>
              <w:t>965,425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6"/>
          </w:tcPr>
          <w:p>
            <w:pPr>
              <w:jc w:val="right"/>
              <w:ind w:right="100"/>
              <w:spacing w:after="0"/>
              <w:rPr>
                <w:sz w:val="20"/>
                <w:szCs w:val="20"/>
                <w:color w:val="auto"/>
              </w:rPr>
            </w:pPr>
            <w:r>
              <w:rPr>
                <w:rFonts w:ascii="Arial" w:cs="Arial" w:eastAsia="Arial" w:hAnsi="Arial"/>
                <w:sz w:val="17"/>
                <w:szCs w:val="17"/>
                <w:color w:val="auto"/>
              </w:rPr>
              <w:t>994,328</w:t>
            </w:r>
          </w:p>
        </w:tc>
        <w:tc>
          <w:tcPr>
            <w:tcW w:w="0" w:type="dxa"/>
            <w:vAlign w:val="bottom"/>
          </w:tcPr>
          <w:p>
            <w:pPr>
              <w:spacing w:after="0"/>
              <w:rPr>
                <w:sz w:val="1"/>
                <w:szCs w:val="1"/>
                <w:color w:val="auto"/>
              </w:rPr>
            </w:pPr>
          </w:p>
        </w:tc>
      </w:tr>
      <w:tr>
        <w:trPr>
          <w:trHeight w:val="69"/>
        </w:trPr>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72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Current portion of long-term debt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(42,500)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40"/>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vMerge w:val="restart"/>
          </w:tcPr>
          <w:p>
            <w:pPr>
              <w:ind w:left="1240"/>
              <w:spacing w:after="0"/>
              <w:rPr>
                <w:sz w:val="20"/>
                <w:szCs w:val="20"/>
                <w:color w:val="auto"/>
              </w:rPr>
            </w:pPr>
            <w:r>
              <w:rPr>
                <w:rFonts w:ascii="Arial" w:cs="Arial" w:eastAsia="Arial" w:hAnsi="Arial"/>
                <w:sz w:val="17"/>
                <w:szCs w:val="17"/>
                <w:color w:val="auto"/>
              </w:rPr>
              <w:t>Long-term debt, net of current portion</w:t>
            </w: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7"/>
                <w:szCs w:val="17"/>
                <w:color w:val="auto"/>
              </w:rPr>
              <w:t>$ 922,925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6"/>
          </w:tcPr>
          <w:p>
            <w:pPr>
              <w:jc w:val="right"/>
              <w:ind w:right="100"/>
              <w:spacing w:after="0"/>
              <w:rPr>
                <w:sz w:val="20"/>
                <w:szCs w:val="20"/>
                <w:color w:val="auto"/>
              </w:rPr>
            </w:pPr>
            <w:r>
              <w:rPr>
                <w:rFonts w:ascii="Arial" w:cs="Arial" w:eastAsia="Arial" w:hAnsi="Arial"/>
                <w:sz w:val="17"/>
                <w:szCs w:val="17"/>
                <w:color w:val="auto"/>
              </w:rPr>
              <w:t>$ 964,328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The Company maintains a Senior Secured Agreement, as amended, with a syndicate of lenders. In connection with the Refinancing Transaction, the Senior Secured Agreement was amended and restated effective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360"/>
          </w:cols>
          <w:pgMar w:left="240" w:top="451" w:right="29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auto"/>
        </w:rPr>
        <w:t>February 3, 2011 to amend the term loan facilities and increase the Company’s revolving credit facility. The Senior Secured Agreement, as amended, provides for</w:t>
      </w:r>
    </w:p>
    <w:p>
      <w:pPr>
        <w:spacing w:after="0" w:line="4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$1.0 billion in term loans ($500.0 million of Tranche A Loans and $500.0 million of Tranche B Loans) and a $275.0 million revolving credit facility. The loans under the Senior Secured Agreement, as amended, are secured by substantially all of the Company’s assets.</w:t>
      </w:r>
    </w:p>
    <w:p>
      <w:pPr>
        <w:spacing w:after="0" w:line="122"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The Senior Secured Agreement, as amended, requires quarterly principal payments of 1.25% of the stated principal amount of the Tranche A Loans, with annual incremental increases to 1.875%, 2.50%, 3.125%, and 16.25%, prior to the Tranche A Loans maturity date of February 3, 2016, and 0.25% of the stated principal amount of the Tranche B Loans, with the remaining balance payable on the Tranche B Loans maturity date of August 3, 2017. Both these stated principal repayment schedules are reflected in the table below. The revolving credit facility matures on July 31, 2014, at which time any outstanding principal balance is due in full.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required future debt principal repayments: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3"/>
                <w:szCs w:val="13"/>
                <w:b w:val="1"/>
                <w:bCs w:val="1"/>
                <w:color w:val="auto"/>
              </w:rPr>
              <w:t>Payments Due By March 31,</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2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gridSpan w:val="2"/>
          </w:tcPr>
          <w:p>
            <w:pPr>
              <w:jc w:val="right"/>
              <w:ind w:right="540"/>
              <w:spacing w:after="0" w:line="138" w:lineRule="exact"/>
              <w:rPr>
                <w:sz w:val="20"/>
                <w:szCs w:val="20"/>
                <w:color w:val="auto"/>
              </w:rPr>
            </w:pPr>
            <w:r>
              <w:rPr>
                <w:rFonts w:ascii="Arial" w:cs="Arial" w:eastAsia="Arial" w:hAnsi="Arial"/>
                <w:sz w:val="13"/>
                <w:szCs w:val="13"/>
                <w:b w:val="1"/>
                <w:bCs w:val="1"/>
                <w:color w:val="auto"/>
              </w:rPr>
              <w:t>Total</w:t>
            </w:r>
          </w:p>
        </w:tc>
        <w:tc>
          <w:tcPr>
            <w:tcW w:w="620" w:type="dxa"/>
            <w:vAlign w:val="bottom"/>
          </w:tcPr>
          <w:p>
            <w:pPr>
              <w:jc w:val="right"/>
              <w:ind w:right="99"/>
              <w:spacing w:after="0" w:line="138" w:lineRule="exact"/>
              <w:rPr>
                <w:sz w:val="20"/>
                <w:szCs w:val="20"/>
                <w:color w:val="auto"/>
              </w:rPr>
            </w:pPr>
            <w:r>
              <w:rPr>
                <w:rFonts w:ascii="Arial" w:cs="Arial" w:eastAsia="Arial" w:hAnsi="Arial"/>
                <w:sz w:val="13"/>
                <w:szCs w:val="13"/>
                <w:b w:val="1"/>
                <w:bCs w:val="1"/>
                <w:color w:val="auto"/>
              </w:rPr>
              <w:t>2013</w:t>
            </w:r>
          </w:p>
        </w:tc>
        <w:tc>
          <w:tcPr>
            <w:tcW w:w="320" w:type="dxa"/>
            <w:vAlign w:val="bottom"/>
          </w:tcPr>
          <w:p>
            <w:pPr>
              <w:spacing w:after="0"/>
              <w:rPr>
                <w:sz w:val="12"/>
                <w:szCs w:val="12"/>
                <w:color w:val="auto"/>
              </w:rPr>
            </w:pPr>
          </w:p>
        </w:tc>
        <w:tc>
          <w:tcPr>
            <w:tcW w:w="620" w:type="dxa"/>
            <w:vAlign w:val="bottom"/>
          </w:tcPr>
          <w:p>
            <w:pPr>
              <w:jc w:val="right"/>
              <w:ind w:right="102"/>
              <w:spacing w:after="0" w:line="138" w:lineRule="exact"/>
              <w:rPr>
                <w:sz w:val="20"/>
                <w:szCs w:val="20"/>
                <w:color w:val="auto"/>
              </w:rPr>
            </w:pPr>
            <w:r>
              <w:rPr>
                <w:rFonts w:ascii="Arial" w:cs="Arial" w:eastAsia="Arial" w:hAnsi="Arial"/>
                <w:sz w:val="13"/>
                <w:szCs w:val="13"/>
                <w:b w:val="1"/>
                <w:bCs w:val="1"/>
                <w:color w:val="auto"/>
              </w:rPr>
              <w:t>2014</w:t>
            </w:r>
          </w:p>
        </w:tc>
        <w:tc>
          <w:tcPr>
            <w:tcW w:w="980" w:type="dxa"/>
            <w:vAlign w:val="bottom"/>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2015</w:t>
            </w:r>
          </w:p>
        </w:tc>
        <w:tc>
          <w:tcPr>
            <w:tcW w:w="340" w:type="dxa"/>
            <w:vAlign w:val="bottom"/>
          </w:tcPr>
          <w:p>
            <w:pPr>
              <w:spacing w:after="0"/>
              <w:rPr>
                <w:sz w:val="12"/>
                <w:szCs w:val="12"/>
                <w:color w:val="auto"/>
              </w:rPr>
            </w:pPr>
          </w:p>
        </w:tc>
        <w:tc>
          <w:tcPr>
            <w:tcW w:w="740" w:type="dxa"/>
            <w:vAlign w:val="bottom"/>
          </w:tcPr>
          <w:p>
            <w:pPr>
              <w:jc w:val="right"/>
              <w:ind w:right="159"/>
              <w:spacing w:after="0" w:line="138" w:lineRule="exact"/>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2"/>
                <w:szCs w:val="12"/>
                <w:color w:val="auto"/>
              </w:rPr>
            </w:pPr>
          </w:p>
        </w:tc>
        <w:tc>
          <w:tcPr>
            <w:tcW w:w="720" w:type="dxa"/>
            <w:vAlign w:val="bottom"/>
            <w:gridSpan w:val="2"/>
          </w:tcPr>
          <w:p>
            <w:pPr>
              <w:jc w:val="right"/>
              <w:ind w:right="54"/>
              <w:spacing w:after="0" w:line="138" w:lineRule="exact"/>
              <w:rPr>
                <w:sz w:val="20"/>
                <w:szCs w:val="20"/>
                <w:color w:val="auto"/>
              </w:rPr>
            </w:pPr>
            <w:r>
              <w:rPr>
                <w:rFonts w:ascii="Arial" w:cs="Arial" w:eastAsia="Arial" w:hAnsi="Arial"/>
                <w:sz w:val="13"/>
                <w:szCs w:val="13"/>
                <w:b w:val="1"/>
                <w:bCs w:val="1"/>
                <w:color w:val="auto"/>
              </w:rPr>
              <w:t>2017</w:t>
            </w:r>
          </w:p>
        </w:tc>
        <w:tc>
          <w:tcPr>
            <w:tcW w:w="340" w:type="dxa"/>
            <w:vAlign w:val="bottom"/>
          </w:tcPr>
          <w:p>
            <w:pPr>
              <w:spacing w:after="0"/>
              <w:rPr>
                <w:sz w:val="12"/>
                <w:szCs w:val="12"/>
                <w:color w:val="auto"/>
              </w:rPr>
            </w:pPr>
          </w:p>
        </w:tc>
        <w:tc>
          <w:tcPr>
            <w:tcW w:w="74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Thereafter</w:t>
            </w:r>
          </w:p>
        </w:tc>
        <w:tc>
          <w:tcPr>
            <w:tcW w:w="120" w:type="dxa"/>
            <w:vAlign w:val="bottom"/>
          </w:tcPr>
          <w:p>
            <w:pPr>
              <w:spacing w:after="0"/>
              <w:rPr>
                <w:sz w:val="12"/>
                <w:szCs w:val="12"/>
                <w:color w:val="auto"/>
              </w:rPr>
            </w:pPr>
          </w:p>
        </w:tc>
      </w:tr>
      <w:tr>
        <w:trPr>
          <w:trHeight w:val="204"/>
        </w:trPr>
        <w:tc>
          <w:tcPr>
            <w:tcW w:w="2940" w:type="dxa"/>
            <w:vAlign w:val="bottom"/>
            <w:tcBorders>
              <w:top w:val="single" w:sz="8" w:color="CCEEFF"/>
            </w:tcBorders>
            <w:shd w:val="clear" w:color="auto" w:fill="CCEEFF"/>
          </w:tcPr>
          <w:p>
            <w:pPr>
              <w:jc w:val="center"/>
              <w:ind w:right="1674"/>
              <w:spacing w:after="0"/>
              <w:rPr>
                <w:sz w:val="20"/>
                <w:szCs w:val="20"/>
                <w:color w:val="auto"/>
              </w:rPr>
            </w:pPr>
            <w:r>
              <w:rPr>
                <w:rFonts w:ascii="Arial" w:cs="Arial" w:eastAsia="Arial" w:hAnsi="Arial"/>
                <w:sz w:val="17"/>
                <w:szCs w:val="17"/>
                <w:color w:val="auto"/>
                <w:w w:val="91"/>
              </w:rPr>
              <w:t>Tranche A Loans</w:t>
            </w:r>
          </w:p>
        </w:tc>
        <w:tc>
          <w:tcPr>
            <w:tcW w:w="1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475,000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62,500</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2940" w:type="dxa"/>
            <w:vAlign w:val="bottom"/>
          </w:tcPr>
          <w:p>
            <w:pPr>
              <w:jc w:val="center"/>
              <w:ind w:right="1674"/>
              <w:spacing w:after="0"/>
              <w:rPr>
                <w:sz w:val="20"/>
                <w:szCs w:val="20"/>
                <w:color w:val="auto"/>
              </w:rPr>
            </w:pPr>
            <w:r>
              <w:rPr>
                <w:rFonts w:ascii="Arial" w:cs="Arial" w:eastAsia="Arial" w:hAnsi="Arial"/>
                <w:sz w:val="17"/>
                <w:szCs w:val="17"/>
                <w:color w:val="auto"/>
                <w:w w:val="91"/>
              </w:rPr>
              <w:t>Tranche B Loans</w:t>
            </w:r>
          </w:p>
        </w:tc>
        <w:tc>
          <w:tcPr>
            <w:tcW w:w="17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495,000</w:t>
            </w: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5,000</w:t>
            </w:r>
          </w:p>
        </w:tc>
        <w:tc>
          <w:tcPr>
            <w:tcW w:w="620" w:type="dxa"/>
            <w:vAlign w:val="bottom"/>
          </w:tcPr>
          <w:p>
            <w:pPr>
              <w:jc w:val="right"/>
              <w:spacing w:after="0"/>
              <w:rPr>
                <w:sz w:val="20"/>
                <w:szCs w:val="20"/>
                <w:color w:val="auto"/>
              </w:rPr>
            </w:pPr>
            <w:r>
              <w:rPr>
                <w:rFonts w:ascii="Arial" w:cs="Arial" w:eastAsia="Arial" w:hAnsi="Arial"/>
                <w:sz w:val="17"/>
                <w:szCs w:val="17"/>
                <w:color w:val="auto"/>
              </w:rPr>
              <w:t>5,000</w:t>
            </w:r>
          </w:p>
        </w:tc>
        <w:tc>
          <w:tcPr>
            <w:tcW w:w="1320" w:type="dxa"/>
            <w:vAlign w:val="bottom"/>
            <w:gridSpan w:val="3"/>
          </w:tcPr>
          <w:p>
            <w:pPr>
              <w:jc w:val="right"/>
              <w:ind w:right="340"/>
              <w:spacing w:after="0"/>
              <w:rPr>
                <w:sz w:val="20"/>
                <w:szCs w:val="20"/>
                <w:color w:val="auto"/>
              </w:rPr>
            </w:pPr>
            <w:r>
              <w:rPr>
                <w:rFonts w:ascii="Arial" w:cs="Arial" w:eastAsia="Arial" w:hAnsi="Arial"/>
                <w:sz w:val="17"/>
                <w:szCs w:val="17"/>
                <w:color w:val="auto"/>
              </w:rPr>
              <w:t>5,000</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5,000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470,000</w:t>
            </w:r>
          </w:p>
        </w:tc>
      </w:tr>
      <w:tr>
        <w:trPr>
          <w:trHeight w:val="26"/>
        </w:trPr>
        <w:tc>
          <w:tcPr>
            <w:tcW w:w="2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2940" w:type="dxa"/>
            <w:vAlign w:val="bottom"/>
            <w:shd w:val="clear" w:color="auto" w:fill="CCEEFF"/>
          </w:tcPr>
          <w:p>
            <w:pPr>
              <w:jc w:val="center"/>
              <w:ind w:right="1654"/>
              <w:spacing w:after="0"/>
              <w:rPr>
                <w:sz w:val="20"/>
                <w:szCs w:val="20"/>
                <w:color w:val="auto"/>
              </w:rPr>
            </w:pPr>
            <w:r>
              <w:rPr>
                <w:rFonts w:ascii="Arial" w:cs="Arial" w:eastAsia="Arial" w:hAnsi="Arial"/>
                <w:sz w:val="17"/>
                <w:szCs w:val="17"/>
                <w:color w:val="auto"/>
                <w:w w:val="95"/>
              </w:rPr>
              <w:t>Total</w:t>
            </w:r>
          </w:p>
        </w:tc>
        <w:tc>
          <w:tcPr>
            <w:tcW w:w="17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2"/>
              </w:rPr>
              <w:t>$ 970,000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$ 42,500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$ 55,000</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$ 67,500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$ 330,000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$ 5,000</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$ 470,000</w:t>
            </w:r>
          </w:p>
        </w:tc>
      </w:tr>
      <w:tr>
        <w:trPr>
          <w:trHeight w:val="20"/>
        </w:trPr>
        <w:tc>
          <w:tcPr>
            <w:tcW w:w="2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80" w:firstLine="457"/>
        <w:spacing w:after="0" w:line="295" w:lineRule="auto"/>
        <w:rPr>
          <w:sz w:val="20"/>
          <w:szCs w:val="20"/>
          <w:color w:val="auto"/>
        </w:rPr>
      </w:pPr>
      <w:r>
        <w:rPr>
          <w:rFonts w:ascii="Arial" w:cs="Arial" w:eastAsia="Arial" w:hAnsi="Arial"/>
          <w:sz w:val="15"/>
          <w:szCs w:val="15"/>
          <w:color w:val="auto"/>
        </w:rPr>
        <w:t>At the Company’s option, the interest rate on borrowings under the Senior Credit Facilities may be based on the Eurocurrency rate or the alternate base rate, or ABR, plus, in each case, an applicable margin, subject to the Eurocurrency rate and ABR being no lower than 1.00% or 2.00%, respectively, in the case of Tranche B Loans. Subject to a leveraged based pricing grid, the applicable margins on Tranche A Loans range from 2.00% to 2.75% with respect to Eurocurrency loans, or</w:t>
      </w:r>
    </w:p>
    <w:p>
      <w:pPr>
        <w:spacing w:after="0" w:line="2"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1.00% to 1.75% with respect to ABR loans. The applicable margins on Tranche B Loans will be 3.00% with respect to Eurocurrency loans, or 4.00% with respect to ABR loans, stepping down, in each case to 2.75% and 3.75%, respectively, when the total leverage ratio is less than or equal to 1.75 to 1.00. The revolving credit facility margin and commitment fee are subject to the leveraged based pricing grid, set forth in the Senior Secured Agreement.</w:t>
      </w:r>
    </w:p>
    <w:p>
      <w:pPr>
        <w:spacing w:after="0" w:line="113"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color w:val="auto"/>
        </w:rPr>
        <w:t>On March 6, 2012, for the Tranche A Loans, the Company entered into a 1-month LIBOR to lock in the all-in rate at 2.49%, which consists of the 2.25% margin plus 0.24%. On February 3, 2012, for the Tranche B Loans, the Company entered into a 6-month LIBOR to lock in the all-in rate of 4.00%, which consists of the 1.00% floor plus the 3.00% margin. The Tranche B margin was reduced to 2.75% upon the submission of our December 31, 2011 financial statements to our lenders on February 13, 2012. The Company’s leverage ratio qualified for a lower margin effective on the date of lender packet submission to our lenders. As a result, the all-in rate was reduced to 3.75% effective February 13, 2012. Depending on market conditions, Tranche A Loans and Tranche B Loans will reprice under the most appropriate LIBOR term. Currently, the Tranche B Loans do not have a variable rate as the floor has not been exceeded.</w:t>
      </w:r>
    </w:p>
    <w:p>
      <w:pPr>
        <w:spacing w:after="0" w:line="121"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During fiscal 2012, interest payments of $14.4 million and $20.2 million were made for Tranche A Loans and Tranche B Loans, respectively. During fiscal 2011, interest payments of $3.9 million, $37.0 million, $19.1 million, $49.9 million, and $46,000 were made for Tranche A Loans, Tranche B Loans, Tranche C Loans, the Mezzanine Term Loan, and the revolving credit facility, respectively. As of March 31, 2012 and 2011, no amounts were outstanding on the revolving credit facility.</w:t>
      </w:r>
    </w:p>
    <w:p>
      <w:pPr>
        <w:spacing w:after="0" w:line="131" w:lineRule="exact"/>
        <w:rPr>
          <w:sz w:val="20"/>
          <w:szCs w:val="20"/>
          <w:color w:val="auto"/>
        </w:rPr>
      </w:pPr>
    </w:p>
    <w:p>
      <w:pPr>
        <w:ind w:right="340" w:firstLine="457"/>
        <w:spacing w:after="0" w:line="267" w:lineRule="auto"/>
        <w:rPr>
          <w:sz w:val="20"/>
          <w:szCs w:val="20"/>
          <w:color w:val="auto"/>
        </w:rPr>
      </w:pPr>
      <w:r>
        <w:rPr>
          <w:rFonts w:ascii="Arial" w:cs="Arial" w:eastAsia="Arial" w:hAnsi="Arial"/>
          <w:sz w:val="17"/>
          <w:szCs w:val="17"/>
          <w:color w:val="auto"/>
        </w:rPr>
        <w:t>In addition to the Refinancing Transaction, the Company made optional repayments on the Senior Credit Facilities and the mezzanine credit facility during fiscal 2011. In accordance with the terms of the Mezzanine Credit Agreement, the Company also paid prepayment penalties of 3.00% of the respective principal repayment amounts. In addition, the Company wrote-off ratable portions of debt issuance costs, or DIC, and original issue discount, or OID, associated with each repayment on the Senior Credit Facilities and the mezzanine credit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51"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facility. These amounts were reflected in other, net in the accompanying consolidated statements of operations. The refinancing transaction and optional repayments on the Senior Credit Facilities and the mezzanine credit facility, and the associated prepayment penalties and write-off of DIC and OID during fiscal 2011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92"/>
              </w:rPr>
              <w:t>Date</w:t>
            </w:r>
          </w:p>
        </w:tc>
        <w:tc>
          <w:tcPr>
            <w:tcW w:w="3260" w:type="dxa"/>
            <w:vAlign w:val="bottom"/>
            <w:gridSpan w:val="2"/>
            <w:vMerge w:val="restart"/>
          </w:tcPr>
          <w:p>
            <w:pPr>
              <w:spacing w:after="0"/>
              <w:rPr>
                <w:sz w:val="13"/>
                <w:szCs w:val="13"/>
                <w:color w:val="auto"/>
              </w:rPr>
            </w:pPr>
          </w:p>
        </w:tc>
        <w:tc>
          <w:tcPr>
            <w:tcW w:w="2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Term Facility</w:t>
            </w:r>
          </w:p>
        </w:tc>
        <w:tc>
          <w:tcPr>
            <w:tcW w:w="2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Principal</w:t>
            </w:r>
          </w:p>
        </w:tc>
        <w:tc>
          <w:tcPr>
            <w:tcW w:w="30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88"/>
              </w:rPr>
              <w:t>Prepayment</w:t>
            </w:r>
          </w:p>
        </w:tc>
        <w:tc>
          <w:tcPr>
            <w:tcW w:w="1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w w:val="95"/>
              </w:rPr>
              <w:t>Write-off of</w:t>
            </w:r>
          </w:p>
        </w:tc>
        <w:tc>
          <w:tcPr>
            <w:tcW w:w="3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Write-off of</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80" w:type="dxa"/>
            <w:vAlign w:val="bottom"/>
            <w:tcBorders>
              <w:bottom w:val="single" w:sz="8" w:color="auto"/>
            </w:tcBorders>
            <w:vMerge w:val="continue"/>
          </w:tcPr>
          <w:p>
            <w:pPr>
              <w:spacing w:after="0"/>
              <w:rPr>
                <w:sz w:val="14"/>
                <w:szCs w:val="14"/>
                <w:color w:val="auto"/>
              </w:rPr>
            </w:pPr>
          </w:p>
        </w:tc>
        <w:tc>
          <w:tcPr>
            <w:tcW w:w="326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ind w:right="160"/>
              <w:spacing w:after="0" w:line="144" w:lineRule="exact"/>
              <w:rPr>
                <w:sz w:val="20"/>
                <w:szCs w:val="20"/>
                <w:color w:val="auto"/>
              </w:rPr>
            </w:pPr>
            <w:r>
              <w:rPr>
                <w:rFonts w:ascii="Arial" w:cs="Arial" w:eastAsia="Arial" w:hAnsi="Arial"/>
                <w:sz w:val="13"/>
                <w:szCs w:val="13"/>
                <w:b w:val="1"/>
                <w:bCs w:val="1"/>
                <w:color w:val="auto"/>
              </w:rPr>
              <w:t>Payment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7"/>
              </w:rPr>
              <w:t>Penalties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rPr>
              <w:t>DIC</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7"/>
              <w:spacing w:after="0" w:line="144" w:lineRule="exact"/>
              <w:rPr>
                <w:sz w:val="20"/>
                <w:szCs w:val="20"/>
                <w:color w:val="auto"/>
              </w:rPr>
            </w:pPr>
            <w:r>
              <w:rPr>
                <w:rFonts w:ascii="Arial" w:cs="Arial" w:eastAsia="Arial" w:hAnsi="Arial"/>
                <w:sz w:val="13"/>
                <w:szCs w:val="13"/>
                <w:b w:val="1"/>
                <w:bCs w:val="1"/>
                <w:color w:val="auto"/>
              </w:rPr>
              <w:t>OID</w:t>
            </w:r>
          </w:p>
        </w:tc>
        <w:tc>
          <w:tcPr>
            <w:tcW w:w="320" w:type="dxa"/>
            <w:vAlign w:val="bottom"/>
          </w:tcPr>
          <w:p>
            <w:pPr>
              <w:spacing w:after="0"/>
              <w:rPr>
                <w:sz w:val="14"/>
                <w:szCs w:val="14"/>
                <w:color w:val="auto"/>
              </w:rPr>
            </w:pPr>
          </w:p>
        </w:tc>
        <w:tc>
          <w:tcPr>
            <w:tcW w:w="8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7"/>
              </w:rPr>
              <w:t>Total Expense</w:t>
            </w:r>
          </w:p>
        </w:tc>
        <w:tc>
          <w:tcPr>
            <w:tcW w:w="0" w:type="dxa"/>
            <w:vAlign w:val="bottom"/>
          </w:tcPr>
          <w:p>
            <w:pPr>
              <w:spacing w:after="0"/>
              <w:rPr>
                <w:sz w:val="1"/>
                <w:szCs w:val="1"/>
                <w:color w:val="auto"/>
              </w:rPr>
            </w:pPr>
          </w:p>
        </w:tc>
      </w:tr>
      <w:tr>
        <w:trPr>
          <w:trHeight w:val="197"/>
        </w:trPr>
        <w:tc>
          <w:tcPr>
            <w:tcW w:w="35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February 3, 2011</w:t>
            </w:r>
          </w:p>
        </w:tc>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Tranches A, B, and C Loans</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$1,021,463</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11,374</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6,432</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17,806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Mezzanine</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222,076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8,287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December 21, 2010*</w:t>
            </w:r>
          </w:p>
        </w:tc>
        <w:tc>
          <w:tcPr>
            <w:tcW w:w="292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2"/>
              </w:rPr>
              <w:t>Mezzanine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32,494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3"/>
          </w:tcPr>
          <w:p>
            <w:pPr>
              <w:spacing w:after="0"/>
              <w:rPr>
                <w:sz w:val="20"/>
                <w:szCs w:val="20"/>
                <w:color w:val="auto"/>
              </w:rPr>
            </w:pPr>
            <w:r>
              <w:rPr>
                <w:rFonts w:ascii="Arial" w:cs="Arial" w:eastAsia="Arial" w:hAnsi="Arial"/>
                <w:sz w:val="17"/>
                <w:szCs w:val="17"/>
                <w:color w:val="auto"/>
              </w:rPr>
              <w:t>November 26, 2010*</w:t>
            </w:r>
          </w:p>
        </w:tc>
        <w:tc>
          <w:tcPr>
            <w:tcW w:w="292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Mezzanine</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210,430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6,313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8,022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August 2, 2010</w:t>
            </w:r>
          </w:p>
        </w:tc>
        <w:tc>
          <w:tcPr>
            <w:tcW w:w="292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color w:val="auto"/>
                <w:w w:val="92"/>
              </w:rPr>
              <w:t>Mezzanine</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1,571,463</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16,500</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32,271</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10,906</w:t>
            </w:r>
          </w:p>
        </w:tc>
        <w:tc>
          <w:tcPr>
            <w:tcW w:w="52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59,677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20" w:right="400" w:hanging="215"/>
        <w:spacing w:after="0" w:line="284"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December 21, 2010 and November 26, 2010 repayments and prepayment penalties were paid with net proceeds from the sale of shares of the Company’s Class A Common Stock.</w:t>
      </w:r>
    </w:p>
    <w:p>
      <w:pPr>
        <w:spacing w:after="0" w:line="117"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total outstanding debt balance is recorded in the accompanying consolidated balance sheets, net of unamortized discount of $4.6 million and $5.7 million as of March 31, 2012 and 2011, respectively.</w:t>
      </w:r>
    </w:p>
    <w:p>
      <w:pPr>
        <w:spacing w:after="0" w:line="117"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The Senior Secured Agreement, as amended, requires the maintenance of certain financial and non-financial covenants. As of March 31, 2012, the Company was in compliance with all of its covenants.</w:t>
      </w:r>
    </w:p>
    <w:p>
      <w:pPr>
        <w:spacing w:after="0" w:line="229" w:lineRule="exact"/>
        <w:rPr>
          <w:sz w:val="20"/>
          <w:szCs w:val="20"/>
          <w:color w:val="auto"/>
        </w:rPr>
      </w:pPr>
    </w:p>
    <w:p>
      <w:pPr>
        <w:ind w:left="460" w:hanging="455"/>
        <w:spacing w:after="0"/>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DEFERRED FINANCING COSTS</w:t>
      </w:r>
    </w:p>
    <w:p>
      <w:pPr>
        <w:spacing w:after="0" w:line="10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A reconciliation of the beginning and ending amount of DIC for the periods presented are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w w:val="89"/>
              </w:rPr>
              <w:t>March 31,</w:t>
            </w:r>
          </w:p>
        </w:tc>
      </w:tr>
      <w:tr>
        <w:trPr>
          <w:trHeight w:val="138"/>
        </w:trPr>
        <w:tc>
          <w:tcPr>
            <w:tcW w:w="6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38"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4"/>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2"/>
                <w:szCs w:val="12"/>
                <w:color w:val="auto"/>
              </w:rPr>
            </w:pPr>
          </w:p>
        </w:tc>
      </w:tr>
      <w:tr>
        <w:trPr>
          <w:trHeight w:val="204"/>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of year</w:t>
            </w:r>
          </w:p>
        </w:tc>
        <w:tc>
          <w:tcPr>
            <w:tcW w:w="18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$20,973</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$ 52,042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6820" w:type="dxa"/>
            <w:vAlign w:val="bottom"/>
          </w:tcPr>
          <w:p>
            <w:pPr>
              <w:ind w:left="420"/>
              <w:spacing w:after="0"/>
              <w:rPr>
                <w:sz w:val="20"/>
                <w:szCs w:val="20"/>
                <w:color w:val="auto"/>
              </w:rPr>
            </w:pPr>
            <w:r>
              <w:rPr>
                <w:rFonts w:ascii="Arial" w:cs="Arial" w:eastAsia="Arial" w:hAnsi="Arial"/>
                <w:sz w:val="17"/>
                <w:szCs w:val="17"/>
                <w:color w:val="auto"/>
              </w:rPr>
              <w:t>Amortization</w:t>
            </w:r>
          </w:p>
        </w:tc>
        <w:tc>
          <w:tcPr>
            <w:tcW w:w="2720" w:type="dxa"/>
            <w:vAlign w:val="bottom"/>
            <w:gridSpan w:val="3"/>
          </w:tcPr>
          <w:p>
            <w:pPr>
              <w:jc w:val="right"/>
              <w:ind w:right="174"/>
              <w:spacing w:after="0"/>
              <w:rPr>
                <w:sz w:val="20"/>
                <w:szCs w:val="20"/>
                <w:color w:val="auto"/>
              </w:rPr>
            </w:pPr>
            <w:r>
              <w:rPr>
                <w:rFonts w:ascii="Arial" w:cs="Arial" w:eastAsia="Arial" w:hAnsi="Arial"/>
                <w:sz w:val="17"/>
                <w:szCs w:val="17"/>
                <w:color w:val="auto"/>
              </w:rPr>
              <w:t>(4,783)</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(6,990)</w:t>
            </w:r>
          </w:p>
        </w:tc>
      </w:tr>
      <w:tr>
        <w:trPr>
          <w:trHeight w:val="211"/>
        </w:trPr>
        <w:tc>
          <w:tcPr>
            <w:tcW w:w="6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Write-off related to optional debt repayments</w:t>
            </w:r>
          </w:p>
        </w:tc>
        <w:tc>
          <w:tcPr>
            <w:tcW w:w="1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(32,271)</w:t>
            </w:r>
          </w:p>
        </w:tc>
      </w:tr>
      <w:tr>
        <w:trPr>
          <w:trHeight w:val="217"/>
        </w:trPr>
        <w:tc>
          <w:tcPr>
            <w:tcW w:w="6820" w:type="dxa"/>
            <w:vAlign w:val="bottom"/>
          </w:tcPr>
          <w:p>
            <w:pPr>
              <w:ind w:left="420"/>
              <w:spacing w:after="0"/>
              <w:rPr>
                <w:sz w:val="20"/>
                <w:szCs w:val="20"/>
                <w:color w:val="auto"/>
              </w:rPr>
            </w:pPr>
            <w:r>
              <w:rPr>
                <w:rFonts w:ascii="Arial" w:cs="Arial" w:eastAsia="Arial" w:hAnsi="Arial"/>
                <w:sz w:val="17"/>
                <w:szCs w:val="17"/>
                <w:color w:val="auto"/>
              </w:rPr>
              <w:t>Additional DIC related to February 2011 Refinancing Transaction</w:t>
            </w:r>
          </w:p>
        </w:tc>
        <w:tc>
          <w:tcPr>
            <w:tcW w:w="1860" w:type="dxa"/>
            <w:vAlign w:val="bottom"/>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8,192</w:t>
            </w:r>
          </w:p>
        </w:tc>
        <w:tc>
          <w:tcPr>
            <w:tcW w:w="100" w:type="dxa"/>
            <w:vAlign w:val="bottom"/>
          </w:tcPr>
          <w:p>
            <w:pPr>
              <w:spacing w:after="0"/>
              <w:rPr>
                <w:sz w:val="18"/>
                <w:szCs w:val="18"/>
                <w:color w:val="auto"/>
              </w:rPr>
            </w:pPr>
          </w:p>
        </w:tc>
      </w:tr>
      <w:tr>
        <w:trPr>
          <w:trHeight w:val="211"/>
        </w:trPr>
        <w:tc>
          <w:tcPr>
            <w:tcW w:w="68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End of year</w:t>
            </w:r>
          </w:p>
        </w:tc>
        <w:tc>
          <w:tcPr>
            <w:tcW w:w="2720" w:type="dxa"/>
            <w:vAlign w:val="bottom"/>
            <w:gridSpan w:val="3"/>
            <w:shd w:val="clear" w:color="auto" w:fill="CCEEFF"/>
          </w:tcPr>
          <w:p>
            <w:pPr>
              <w:jc w:val="right"/>
              <w:ind w:right="21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16,190</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$ 20,973</w:t>
            </w:r>
          </w:p>
        </w:tc>
      </w:tr>
      <w:tr>
        <w:trPr>
          <w:trHeight w:val="20"/>
        </w:trPr>
        <w:tc>
          <w:tcPr>
            <w:tcW w:w="6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Costs incurred in connection with the February 2011 Refinancing Transaction were $12.5 million, of which $8.2 million was recorded as other long-term assets and will be amortized and reflected in interest expense in the consolidated statements of operations over the lives of the loans. Amortization of these costs will be accelerated to the extent that any prepayment is made on the Senior Credit Facilities. The remaining amount of $4.3 million, which was not deferred, was recorded as general and administrative expenses in the consolidated statements of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451"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540" w:firstLine="457"/>
        <w:spacing w:after="0" w:line="317" w:lineRule="auto"/>
        <w:rPr>
          <w:sz w:val="20"/>
          <w:szCs w:val="20"/>
          <w:color w:val="auto"/>
        </w:rPr>
      </w:pPr>
      <w:r>
        <w:rPr>
          <w:rFonts w:ascii="Arial" w:cs="Arial" w:eastAsia="Arial" w:hAnsi="Arial"/>
          <w:sz w:val="16"/>
          <w:szCs w:val="16"/>
          <w:color w:val="auto"/>
        </w:rPr>
        <w:t>Absent any prepayment accelerations of DIC or the effect of changes in interest rates, the following table summarizes the estimated annual amortization expense of DIC using the effective interest rate method, as a component of interest expense, for the future periods indicated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ind w:right="254"/>
              <w:spacing w:after="0"/>
              <w:rPr>
                <w:sz w:val="20"/>
                <w:szCs w:val="20"/>
                <w:color w:val="auto"/>
              </w:rPr>
            </w:pPr>
            <w:r>
              <w:rPr>
                <w:rFonts w:ascii="Arial" w:cs="Arial" w:eastAsia="Arial" w:hAnsi="Arial"/>
                <w:sz w:val="13"/>
                <w:szCs w:val="13"/>
                <w:b w:val="1"/>
                <w:bCs w:val="1"/>
                <w:color w:val="auto"/>
              </w:rPr>
              <w:t>DIC Amortization Expense</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ind w:right="61"/>
              <w:spacing w:after="0" w:line="138" w:lineRule="exact"/>
              <w:rPr>
                <w:sz w:val="20"/>
                <w:szCs w:val="20"/>
                <w:color w:val="auto"/>
              </w:rPr>
            </w:pPr>
            <w:r>
              <w:rPr>
                <w:rFonts w:ascii="Arial" w:cs="Arial" w:eastAsia="Arial" w:hAnsi="Arial"/>
                <w:sz w:val="13"/>
                <w:szCs w:val="13"/>
                <w:b w:val="1"/>
                <w:bCs w:val="1"/>
                <w:color w:val="auto"/>
              </w:rPr>
              <w:t>Total</w:t>
            </w:r>
          </w:p>
        </w:tc>
        <w:tc>
          <w:tcPr>
            <w:tcW w:w="800" w:type="dxa"/>
            <w:vAlign w:val="bottom"/>
            <w:gridSpan w:val="2"/>
          </w:tcPr>
          <w:p>
            <w:pPr>
              <w:ind w:left="44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2"/>
                <w:szCs w:val="12"/>
                <w:color w:val="auto"/>
              </w:rPr>
            </w:pPr>
          </w:p>
        </w:tc>
        <w:tc>
          <w:tcPr>
            <w:tcW w:w="660" w:type="dxa"/>
            <w:vAlign w:val="bottom"/>
            <w:gridSpan w:val="2"/>
          </w:tcPr>
          <w:p>
            <w:pPr>
              <w:jc w:val="right"/>
              <w:ind w:right="44"/>
              <w:spacing w:after="0" w:line="138" w:lineRule="exact"/>
              <w:rPr>
                <w:sz w:val="20"/>
                <w:szCs w:val="20"/>
                <w:color w:val="auto"/>
              </w:rPr>
            </w:pPr>
            <w:r>
              <w:rPr>
                <w:rFonts w:ascii="Arial" w:cs="Arial" w:eastAsia="Arial" w:hAnsi="Arial"/>
                <w:sz w:val="13"/>
                <w:szCs w:val="13"/>
                <w:b w:val="1"/>
                <w:bCs w:val="1"/>
                <w:color w:val="auto"/>
              </w:rPr>
              <w:t>2014</w:t>
            </w:r>
          </w:p>
        </w:tc>
        <w:tc>
          <w:tcPr>
            <w:tcW w:w="800" w:type="dxa"/>
            <w:vAlign w:val="bottom"/>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2"/>
                <w:szCs w:val="12"/>
                <w:color w:val="auto"/>
              </w:rPr>
            </w:pPr>
          </w:p>
        </w:tc>
        <w:tc>
          <w:tcPr>
            <w:tcW w:w="640" w:type="dxa"/>
            <w:vAlign w:val="bottom"/>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2016</w:t>
            </w:r>
          </w:p>
        </w:tc>
        <w:tc>
          <w:tcPr>
            <w:tcW w:w="6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2"/>
                <w:szCs w:val="12"/>
                <w:color w:val="auto"/>
              </w:rPr>
            </w:pPr>
          </w:p>
        </w:tc>
        <w:tc>
          <w:tcPr>
            <w:tcW w:w="6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94"/>
              </w:rPr>
              <w:t>Thereafter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Tranche A Loans</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3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4"/>
              </w:rPr>
              <w:t>2,504</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2,327</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960" w:type="dxa"/>
            <w:vAlign w:val="bottom"/>
          </w:tcPr>
          <w:p>
            <w:pPr>
              <w:spacing w:after="0"/>
              <w:rPr>
                <w:sz w:val="20"/>
                <w:szCs w:val="20"/>
                <w:color w:val="auto"/>
              </w:rPr>
            </w:pPr>
            <w:r>
              <w:rPr>
                <w:rFonts w:ascii="Arial" w:cs="Arial" w:eastAsia="Arial" w:hAnsi="Arial"/>
                <w:sz w:val="17"/>
                <w:szCs w:val="17"/>
                <w:color w:val="auto"/>
              </w:rPr>
              <w:t>Tranche B Loans</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5,003</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879</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903</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929</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960</w:t>
            </w:r>
          </w:p>
        </w:tc>
        <w:tc>
          <w:tcPr>
            <w:tcW w:w="660" w:type="dxa"/>
            <w:vAlign w:val="bottom"/>
            <w:gridSpan w:val="2"/>
          </w:tcPr>
          <w:p>
            <w:pPr>
              <w:ind w:left="420"/>
              <w:spacing w:after="0"/>
              <w:rPr>
                <w:sz w:val="20"/>
                <w:szCs w:val="20"/>
                <w:color w:val="auto"/>
              </w:rPr>
            </w:pPr>
            <w:r>
              <w:rPr>
                <w:rFonts w:ascii="Arial" w:cs="Arial" w:eastAsia="Arial" w:hAnsi="Arial"/>
                <w:sz w:val="17"/>
                <w:szCs w:val="17"/>
                <w:color w:val="auto"/>
                <w:w w:val="77"/>
              </w:rPr>
              <w:t>987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7"/>
                <w:szCs w:val="17"/>
                <w:color w:val="auto"/>
                <w:w w:val="84"/>
              </w:rPr>
              <w:t>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Revolver</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453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16,190</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4,739</w:t>
            </w: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4,586</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3,459</w:t>
            </w:r>
          </w:p>
        </w:tc>
        <w:tc>
          <w:tcPr>
            <w:tcW w:w="6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2,074</w:t>
            </w:r>
          </w:p>
        </w:tc>
        <w:tc>
          <w:tcPr>
            <w:tcW w:w="660" w:type="dxa"/>
            <w:vAlign w:val="bottom"/>
            <w:gridSpan w:val="2"/>
          </w:tcPr>
          <w:p>
            <w:pPr>
              <w:jc w:val="cente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987</w:t>
            </w:r>
          </w:p>
        </w:tc>
        <w:tc>
          <w:tcPr>
            <w:tcW w:w="5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400" w:type="dxa"/>
            <w:vAlign w:val="bottom"/>
          </w:tcPr>
          <w:p>
            <w:pPr>
              <w:ind w:left="140"/>
              <w:spacing w:after="0"/>
              <w:rPr>
                <w:sz w:val="20"/>
                <w:szCs w:val="20"/>
                <w:color w:val="auto"/>
              </w:rPr>
            </w:pPr>
            <w:r>
              <w:rPr>
                <w:rFonts w:ascii="Arial" w:cs="Arial" w:eastAsia="Arial" w:hAnsi="Arial"/>
                <w:sz w:val="17"/>
                <w:szCs w:val="17"/>
                <w:color w:val="auto"/>
                <w:w w:val="84"/>
              </w:rPr>
              <w:t>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60" w:hanging="455"/>
        <w:spacing w:after="0"/>
        <w:tabs>
          <w:tab w:leader="none" w:pos="4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0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income tax expense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3"/>
              </w:rPr>
              <w:t>Fiscal Year Ended March 31,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37"/>
              <w:spacing w:after="0" w:line="138" w:lineRule="exact"/>
              <w:rPr>
                <w:sz w:val="20"/>
                <w:szCs w:val="20"/>
                <w:color w:val="auto"/>
              </w:rPr>
            </w:pPr>
            <w:r>
              <w:rPr>
                <w:rFonts w:ascii="Arial" w:cs="Arial" w:eastAsia="Arial" w:hAnsi="Arial"/>
                <w:sz w:val="13"/>
                <w:szCs w:val="13"/>
                <w:b w:val="1"/>
                <w:bCs w:val="1"/>
                <w:color w:val="auto"/>
              </w:rPr>
              <w:t>2012</w:t>
            </w:r>
          </w:p>
        </w:tc>
        <w:tc>
          <w:tcPr>
            <w:tcW w:w="1220" w:type="dxa"/>
            <w:vAlign w:val="bottom"/>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r>
      <w:tr>
        <w:trPr>
          <w:trHeight w:val="191"/>
        </w:trPr>
        <w:tc>
          <w:tcPr>
            <w:tcW w:w="20" w:type="dxa"/>
            <w:vAlign w:val="bottom"/>
          </w:tcPr>
          <w:p>
            <w:pPr>
              <w:spacing w:after="0"/>
              <w:rPr>
                <w:sz w:val="16"/>
                <w:szCs w:val="16"/>
                <w:color w:val="auto"/>
              </w:rPr>
            </w:pPr>
          </w:p>
        </w:tc>
        <w:tc>
          <w:tcPr>
            <w:tcW w:w="41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Current</w:t>
            </w:r>
          </w:p>
        </w:tc>
        <w:tc>
          <w:tcPr>
            <w:tcW w:w="2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7"/>
                <w:szCs w:val="17"/>
                <w:color w:val="auto"/>
              </w:rPr>
              <w:t>U.S. Federal</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11,893</w:t>
            </w:r>
          </w:p>
        </w:tc>
        <w:tc>
          <w:tcPr>
            <w:tcW w:w="1720" w:type="dxa"/>
            <w:vAlign w:val="bottom"/>
            <w:gridSpan w:val="3"/>
          </w:tcPr>
          <w:p>
            <w:pPr>
              <w:jc w:val="right"/>
              <w:ind w:right="460"/>
              <w:spacing w:after="0"/>
              <w:rPr>
                <w:sz w:val="20"/>
                <w:szCs w:val="20"/>
                <w:color w:val="auto"/>
              </w:rPr>
            </w:pPr>
            <w:r>
              <w:rPr>
                <w:rFonts w:ascii="Arial" w:cs="Arial" w:eastAsia="Arial" w:hAnsi="Arial"/>
                <w:sz w:val="17"/>
                <w:szCs w:val="17"/>
                <w:color w:val="auto"/>
              </w:rPr>
              <w:t>$ (4,880)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2,664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State and local</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17,241</w:t>
            </w: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820"/>
              <w:spacing w:after="0"/>
              <w:rPr>
                <w:sz w:val="20"/>
                <w:szCs w:val="20"/>
                <w:color w:val="auto"/>
              </w:rPr>
            </w:pPr>
            <w:r>
              <w:rPr>
                <w:rFonts w:ascii="Arial" w:cs="Arial" w:eastAsia="Arial" w:hAnsi="Arial"/>
                <w:sz w:val="17"/>
                <w:szCs w:val="17"/>
                <w:color w:val="auto"/>
              </w:rPr>
              <w:t>Total current</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29,134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607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3,738</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2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120" w:type="dxa"/>
            <w:vAlign w:val="bottom"/>
          </w:tcPr>
          <w:p>
            <w:pPr>
              <w:ind w:left="400"/>
              <w:spacing w:after="0"/>
              <w:rPr>
                <w:sz w:val="20"/>
                <w:szCs w:val="20"/>
                <w:color w:val="auto"/>
              </w:rPr>
            </w:pPr>
            <w:r>
              <w:rPr>
                <w:rFonts w:ascii="Arial" w:cs="Arial" w:eastAsia="Arial" w:hAnsi="Arial"/>
                <w:sz w:val="17"/>
                <w:szCs w:val="17"/>
                <w:color w:val="auto"/>
              </w:rPr>
              <w:t>U.S. Federal</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71,683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40,290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18,004</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State and local</w:t>
            </w:r>
          </w:p>
        </w:tc>
        <w:tc>
          <w:tcPr>
            <w:tcW w:w="2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3,102</w:t>
            </w: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820"/>
              <w:spacing w:after="0"/>
              <w:rPr>
                <w:sz w:val="20"/>
                <w:szCs w:val="20"/>
                <w:color w:val="auto"/>
              </w:rPr>
            </w:pPr>
            <w:r>
              <w:rPr>
                <w:rFonts w:ascii="Arial" w:cs="Arial" w:eastAsia="Arial" w:hAnsi="Arial"/>
                <w:sz w:val="17"/>
                <w:szCs w:val="17"/>
                <w:color w:val="auto"/>
              </w:rPr>
              <w:t>Total deferred</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74,785</w:t>
            </w: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42,763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19,837</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120" w:type="dxa"/>
            <w:vAlign w:val="bottom"/>
            <w:shd w:val="clear" w:color="auto" w:fill="CCEEFF"/>
          </w:tcPr>
          <w:p>
            <w:pPr>
              <w:ind w:left="1240"/>
              <w:spacing w:after="0"/>
              <w:rPr>
                <w:sz w:val="20"/>
                <w:szCs w:val="20"/>
                <w:color w:val="auto"/>
              </w:rPr>
            </w:pPr>
            <w:r>
              <w:rPr>
                <w:rFonts w:ascii="Arial" w:cs="Arial" w:eastAsia="Arial" w:hAnsi="Arial"/>
                <w:sz w:val="17"/>
                <w:szCs w:val="17"/>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103,919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43,370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23,575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between income tax computed at the U.S. federal statutory income tax rate to income tax expense from operations are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b w:val="1"/>
                <w:bCs w:val="1"/>
                <w:color w:val="auto"/>
              </w:rPr>
              <w:t>Fiscal Year Ended March 31,</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4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jc w:val="right"/>
              <w:ind w:right="122"/>
              <w:spacing w:after="0" w:line="138" w:lineRule="exact"/>
              <w:rPr>
                <w:sz w:val="20"/>
                <w:szCs w:val="20"/>
                <w:color w:val="auto"/>
              </w:rPr>
            </w:pPr>
            <w:r>
              <w:rPr>
                <w:rFonts w:ascii="Arial" w:cs="Arial" w:eastAsia="Arial" w:hAnsi="Arial"/>
                <w:sz w:val="13"/>
                <w:szCs w:val="13"/>
                <w:b w:val="1"/>
                <w:bCs w:val="1"/>
                <w:color w:val="auto"/>
              </w:rPr>
              <w:t>2012</w:t>
            </w:r>
          </w:p>
        </w:tc>
        <w:tc>
          <w:tcPr>
            <w:tcW w:w="280" w:type="dxa"/>
            <w:vAlign w:val="bottom"/>
          </w:tcPr>
          <w:p>
            <w:pPr>
              <w:spacing w:after="0"/>
              <w:rPr>
                <w:sz w:val="12"/>
                <w:szCs w:val="12"/>
                <w:color w:val="auto"/>
              </w:rPr>
            </w:pPr>
          </w:p>
        </w:tc>
        <w:tc>
          <w:tcPr>
            <w:tcW w:w="860" w:type="dxa"/>
            <w:vAlign w:val="bottom"/>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520" w:type="dxa"/>
            <w:vAlign w:val="bottom"/>
          </w:tcPr>
          <w:p>
            <w:pPr>
              <w:spacing w:after="0"/>
              <w:rPr>
                <w:sz w:val="12"/>
                <w:szCs w:val="12"/>
                <w:color w:val="auto"/>
              </w:rPr>
            </w:pPr>
          </w:p>
        </w:tc>
        <w:tc>
          <w:tcPr>
            <w:tcW w:w="56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r>
      <w:tr>
        <w:trPr>
          <w:trHeight w:val="204"/>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 computed at U.S. statutory rate (35%)</w:t>
            </w:r>
          </w:p>
        </w:tc>
        <w:tc>
          <w:tcPr>
            <w:tcW w:w="27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$120,356</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$ 44,822</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$17,148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4820" w:type="dxa"/>
            <w:vAlign w:val="bottom"/>
          </w:tcPr>
          <w:p>
            <w:pPr>
              <w:ind w:left="420"/>
              <w:spacing w:after="0"/>
              <w:rPr>
                <w:sz w:val="20"/>
                <w:szCs w:val="20"/>
                <w:color w:val="auto"/>
              </w:rPr>
            </w:pPr>
            <w:r>
              <w:rPr>
                <w:rFonts w:ascii="Arial" w:cs="Arial" w:eastAsia="Arial" w:hAnsi="Arial"/>
                <w:sz w:val="17"/>
                <w:szCs w:val="17"/>
                <w:color w:val="auto"/>
              </w:rPr>
              <w:t>Increases (reductions) resulting from:</w:t>
            </w:r>
          </w:p>
        </w:tc>
        <w:tc>
          <w:tcPr>
            <w:tcW w:w="2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8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Changes in uncertain tax positions</w:t>
            </w:r>
          </w:p>
        </w:tc>
        <w:tc>
          <w:tcPr>
            <w:tcW w:w="36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(32,528)</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(10,142)</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4820" w:type="dxa"/>
            <w:vAlign w:val="bottom"/>
          </w:tcPr>
          <w:p>
            <w:pPr>
              <w:ind w:left="840"/>
              <w:spacing w:after="0"/>
              <w:rPr>
                <w:sz w:val="20"/>
                <w:szCs w:val="20"/>
                <w:color w:val="auto"/>
              </w:rPr>
            </w:pPr>
            <w:r>
              <w:rPr>
                <w:rFonts w:ascii="Arial" w:cs="Arial" w:eastAsia="Arial" w:hAnsi="Arial"/>
                <w:sz w:val="17"/>
                <w:szCs w:val="17"/>
                <w:color w:val="auto"/>
              </w:rPr>
              <w:t>State income taxes, net of the federal tax benefit</w:t>
            </w:r>
          </w:p>
        </w:tc>
        <w:tc>
          <w:tcPr>
            <w:tcW w:w="3360" w:type="dxa"/>
            <w:vAlign w:val="bottom"/>
            <w:gridSpan w:val="2"/>
          </w:tcPr>
          <w:p>
            <w:pPr>
              <w:jc w:val="right"/>
              <w:spacing w:after="0"/>
              <w:rPr>
                <w:sz w:val="20"/>
                <w:szCs w:val="20"/>
                <w:color w:val="auto"/>
              </w:rPr>
            </w:pPr>
            <w:r>
              <w:rPr>
                <w:rFonts w:ascii="Arial" w:cs="Arial" w:eastAsia="Arial" w:hAnsi="Arial"/>
                <w:sz w:val="17"/>
                <w:szCs w:val="17"/>
                <w:color w:val="auto"/>
              </w:rPr>
              <w:t>13,431</w:t>
            </w:r>
          </w:p>
        </w:tc>
        <w:tc>
          <w:tcPr>
            <w:tcW w:w="28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7"/>
                <w:szCs w:val="17"/>
                <w:color w:val="auto"/>
              </w:rPr>
              <w:t>6,039</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2,913</w:t>
            </w:r>
          </w:p>
        </w:tc>
      </w:tr>
      <w:tr>
        <w:trPr>
          <w:trHeight w:val="211"/>
        </w:trPr>
        <w:tc>
          <w:tcPr>
            <w:tcW w:w="48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Meals and entertainment</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2,177</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2,684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2,552</w:t>
            </w:r>
          </w:p>
        </w:tc>
      </w:tr>
      <w:tr>
        <w:trPr>
          <w:trHeight w:val="211"/>
        </w:trPr>
        <w:tc>
          <w:tcPr>
            <w:tcW w:w="4820" w:type="dxa"/>
            <w:vAlign w:val="bottom"/>
          </w:tcPr>
          <w:p>
            <w:pPr>
              <w:ind w:left="840"/>
              <w:spacing w:after="0"/>
              <w:rPr>
                <w:sz w:val="20"/>
                <w:szCs w:val="20"/>
                <w:color w:val="auto"/>
              </w:rPr>
            </w:pPr>
            <w:r>
              <w:rPr>
                <w:rFonts w:ascii="Arial" w:cs="Arial" w:eastAsia="Arial" w:hAnsi="Arial"/>
                <w:sz w:val="17"/>
                <w:szCs w:val="17"/>
                <w:color w:val="auto"/>
              </w:rPr>
              <w:t>Release of Valuation Allowance</w:t>
            </w:r>
          </w:p>
        </w:tc>
        <w:tc>
          <w:tcPr>
            <w:tcW w:w="3640" w:type="dxa"/>
            <w:vAlign w:val="bottom"/>
            <w:gridSpan w:val="3"/>
          </w:tcPr>
          <w:p>
            <w:pPr>
              <w:jc w:val="right"/>
              <w:ind w:right="220"/>
              <w:spacing w:after="0"/>
              <w:rPr>
                <w:sz w:val="20"/>
                <w:szCs w:val="20"/>
                <w:color w:val="auto"/>
              </w:rPr>
            </w:pPr>
            <w:r>
              <w:rPr>
                <w:rFonts w:ascii="Arial" w:cs="Arial" w:eastAsia="Arial" w:hAnsi="Arial"/>
                <w:sz w:val="17"/>
                <w:szCs w:val="17"/>
                <w:color w:val="auto"/>
              </w:rPr>
              <w:t>(5,211)</w:t>
            </w:r>
          </w:p>
        </w:tc>
        <w:tc>
          <w:tcPr>
            <w:tcW w:w="2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48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Gain on sale of state and local transportation business</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11"/>
        </w:trPr>
        <w:tc>
          <w:tcPr>
            <w:tcW w:w="4820" w:type="dxa"/>
            <w:vAlign w:val="bottom"/>
          </w:tcPr>
          <w:p>
            <w:pPr>
              <w:ind w:left="840"/>
              <w:spacing w:after="0"/>
              <w:rPr>
                <w:sz w:val="20"/>
                <w:szCs w:val="20"/>
                <w:color w:val="auto"/>
              </w:rPr>
            </w:pPr>
            <w:r>
              <w:rPr>
                <w:rFonts w:ascii="Arial" w:cs="Arial" w:eastAsia="Arial" w:hAnsi="Arial"/>
                <w:sz w:val="17"/>
                <w:szCs w:val="17"/>
                <w:color w:val="auto"/>
              </w:rPr>
              <w:t>Other</w:t>
            </w:r>
          </w:p>
        </w:tc>
        <w:tc>
          <w:tcPr>
            <w:tcW w:w="2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(33)</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962</w:t>
            </w:r>
          </w:p>
        </w:tc>
      </w:tr>
      <w:tr>
        <w:trPr>
          <w:trHeight w:val="26"/>
        </w:trPr>
        <w:tc>
          <w:tcPr>
            <w:tcW w:w="48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482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Income tax expense from operations</w:t>
            </w:r>
          </w:p>
        </w:tc>
        <w:tc>
          <w:tcPr>
            <w:tcW w:w="2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103,919</w:t>
            </w:r>
          </w:p>
        </w:tc>
        <w:tc>
          <w:tcPr>
            <w:tcW w:w="2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$ 43,370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23,575</w:t>
            </w:r>
          </w:p>
        </w:tc>
      </w:tr>
      <w:tr>
        <w:trPr>
          <w:trHeight w:val="20"/>
        </w:trPr>
        <w:tc>
          <w:tcPr>
            <w:tcW w:w="4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4820" w:type="dxa"/>
            <w:vAlign w:val="bottom"/>
          </w:tcPr>
          <w:p>
            <w:pPr>
              <w:spacing w:after="0"/>
              <w:rPr>
                <w:sz w:val="24"/>
                <w:szCs w:val="24"/>
                <w:color w:val="auto"/>
              </w:rPr>
            </w:pPr>
          </w:p>
        </w:tc>
        <w:tc>
          <w:tcPr>
            <w:tcW w:w="3640" w:type="dxa"/>
            <w:vAlign w:val="bottom"/>
            <w:gridSpan w:val="3"/>
          </w:tcPr>
          <w:p>
            <w:pPr>
              <w:jc w:val="right"/>
              <w:ind w:right="3040"/>
              <w:spacing w:after="0"/>
              <w:rPr>
                <w:sz w:val="20"/>
                <w:szCs w:val="20"/>
                <w:color w:val="auto"/>
              </w:rPr>
            </w:pPr>
            <w:r>
              <w:rPr>
                <w:rFonts w:ascii="Arial" w:cs="Arial" w:eastAsia="Arial" w:hAnsi="Arial"/>
                <w:sz w:val="17"/>
                <w:szCs w:val="17"/>
                <w:color w:val="auto"/>
              </w:rPr>
              <w:t>F-21</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1"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components of the Company’s net deferred income tax (liability) asset were as follows: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2012</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191"/>
        </w:trPr>
        <w:tc>
          <w:tcPr>
            <w:tcW w:w="67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Deferred income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1"/>
        </w:trPr>
        <w:tc>
          <w:tcPr>
            <w:tcW w:w="6740" w:type="dxa"/>
            <w:vAlign w:val="bottom"/>
          </w:tcPr>
          <w:p>
            <w:pPr>
              <w:ind w:left="420"/>
              <w:spacing w:after="0"/>
              <w:rPr>
                <w:sz w:val="20"/>
                <w:szCs w:val="20"/>
                <w:color w:val="auto"/>
              </w:rPr>
            </w:pPr>
            <w:r>
              <w:rPr>
                <w:rFonts w:ascii="Arial" w:cs="Arial" w:eastAsia="Arial" w:hAnsi="Arial"/>
                <w:sz w:val="17"/>
                <w:szCs w:val="17"/>
                <w:color w:val="auto"/>
              </w:rPr>
              <w:t>Accrued expenses</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61,651</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53,675</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56,114</w:t>
            </w:r>
          </w:p>
        </w:tc>
        <w:tc>
          <w:tcPr>
            <w:tcW w:w="120" w:type="dxa"/>
            <w:vAlign w:val="bottom"/>
            <w:shd w:val="clear" w:color="auto" w:fill="CCEEFF"/>
          </w:tcPr>
          <w:p>
            <w:pPr>
              <w:spacing w:after="0"/>
              <w:rPr>
                <w:sz w:val="18"/>
                <w:szCs w:val="18"/>
                <w:color w:val="auto"/>
              </w:rPr>
            </w:pPr>
          </w:p>
        </w:tc>
      </w:tr>
      <w:tr>
        <w:trPr>
          <w:trHeight w:val="211"/>
        </w:trPr>
        <w:tc>
          <w:tcPr>
            <w:tcW w:w="6740" w:type="dxa"/>
            <w:vAlign w:val="bottom"/>
          </w:tcPr>
          <w:p>
            <w:pPr>
              <w:ind w:left="420"/>
              <w:spacing w:after="0"/>
              <w:rPr>
                <w:sz w:val="20"/>
                <w:szCs w:val="20"/>
                <w:color w:val="auto"/>
              </w:rPr>
            </w:pPr>
            <w:r>
              <w:rPr>
                <w:rFonts w:ascii="Arial" w:cs="Arial" w:eastAsia="Arial" w:hAnsi="Arial"/>
                <w:sz w:val="17"/>
                <w:szCs w:val="17"/>
                <w:color w:val="auto"/>
              </w:rPr>
              <w:t>Pension and postretirement 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26,799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22,785</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31,982</w:t>
            </w:r>
          </w:p>
        </w:tc>
        <w:tc>
          <w:tcPr>
            <w:tcW w:w="120" w:type="dxa"/>
            <w:vAlign w:val="bottom"/>
            <w:shd w:val="clear" w:color="auto" w:fill="CCEEFF"/>
          </w:tcPr>
          <w:p>
            <w:pPr>
              <w:spacing w:after="0"/>
              <w:rPr>
                <w:sz w:val="18"/>
                <w:szCs w:val="18"/>
                <w:color w:val="auto"/>
              </w:rPr>
            </w:pPr>
          </w:p>
        </w:tc>
      </w:tr>
      <w:tr>
        <w:trPr>
          <w:trHeight w:val="211"/>
        </w:trPr>
        <w:tc>
          <w:tcPr>
            <w:tcW w:w="6740" w:type="dxa"/>
            <w:vAlign w:val="bottom"/>
          </w:tcPr>
          <w:p>
            <w:pPr>
              <w:ind w:left="420"/>
              <w:spacing w:after="0"/>
              <w:rPr>
                <w:sz w:val="20"/>
                <w:szCs w:val="20"/>
                <w:color w:val="auto"/>
              </w:rPr>
            </w:pPr>
            <w:r>
              <w:rPr>
                <w:rFonts w:ascii="Arial" w:cs="Arial" w:eastAsia="Arial" w:hAnsi="Arial"/>
                <w:sz w:val="17"/>
                <w:szCs w:val="17"/>
                <w:color w:val="auto"/>
              </w:rPr>
              <w:t>Net operating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57,124</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loss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42,379</w:t>
            </w:r>
          </w:p>
        </w:tc>
        <w:tc>
          <w:tcPr>
            <w:tcW w:w="120" w:type="dxa"/>
            <w:vAlign w:val="bottom"/>
            <w:shd w:val="clear" w:color="auto" w:fill="CCEEFF"/>
          </w:tcPr>
          <w:p>
            <w:pPr>
              <w:spacing w:after="0"/>
              <w:rPr>
                <w:sz w:val="18"/>
                <w:szCs w:val="18"/>
                <w:color w:val="auto"/>
              </w:rPr>
            </w:pPr>
          </w:p>
        </w:tc>
      </w:tr>
      <w:tr>
        <w:trPr>
          <w:trHeight w:val="211"/>
        </w:trPr>
        <w:tc>
          <w:tcPr>
            <w:tcW w:w="6740" w:type="dxa"/>
            <w:vAlign w:val="bottom"/>
          </w:tcPr>
          <w:p>
            <w:pPr>
              <w:ind w:left="420"/>
              <w:spacing w:after="0"/>
              <w:rPr>
                <w:sz w:val="20"/>
                <w:szCs w:val="20"/>
                <w:color w:val="auto"/>
              </w:rPr>
            </w:pPr>
            <w:r>
              <w:rPr>
                <w:rFonts w:ascii="Arial" w:cs="Arial" w:eastAsia="Arial" w:hAnsi="Arial"/>
                <w:sz w:val="17"/>
                <w:szCs w:val="17"/>
                <w:color w:val="auto"/>
              </w:rPr>
              <w:t>AMT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8,353</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rent and tenant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18,101</w:t>
            </w:r>
          </w:p>
        </w:tc>
        <w:tc>
          <w:tcPr>
            <w:tcW w:w="120" w:type="dxa"/>
            <w:vAlign w:val="bottom"/>
            <w:shd w:val="clear" w:color="auto" w:fill="CCEEFF"/>
          </w:tcPr>
          <w:p>
            <w:pPr>
              <w:spacing w:after="0"/>
              <w:rPr>
                <w:sz w:val="18"/>
                <w:szCs w:val="18"/>
                <w:color w:val="auto"/>
              </w:rPr>
            </w:pPr>
          </w:p>
        </w:tc>
      </w:tr>
      <w:tr>
        <w:trPr>
          <w:trHeight w:val="217"/>
        </w:trPr>
        <w:tc>
          <w:tcPr>
            <w:tcW w:w="6740" w:type="dxa"/>
            <w:vAlign w:val="bottom"/>
          </w:tcPr>
          <w:p>
            <w:pPr>
              <w:ind w:left="4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12,440</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gross 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218,297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302,953</w:t>
            </w:r>
          </w:p>
        </w:tc>
        <w:tc>
          <w:tcPr>
            <w:tcW w:w="120" w:type="dxa"/>
            <w:vAlign w:val="bottom"/>
            <w:shd w:val="clear" w:color="auto" w:fill="CCEEFF"/>
          </w:tcPr>
          <w:p>
            <w:pPr>
              <w:spacing w:after="0"/>
              <w:rPr>
                <w:sz w:val="18"/>
                <w:szCs w:val="18"/>
                <w:color w:val="auto"/>
              </w:rPr>
            </w:pPr>
          </w:p>
        </w:tc>
      </w:tr>
      <w:tr>
        <w:trPr>
          <w:trHeight w:val="217"/>
        </w:trPr>
        <w:tc>
          <w:tcPr>
            <w:tcW w:w="6740" w:type="dxa"/>
            <w:vAlign w:val="bottom"/>
          </w:tcPr>
          <w:p>
            <w:pPr>
              <w:ind w:left="1260"/>
              <w:spacing w:after="0"/>
              <w:rPr>
                <w:sz w:val="20"/>
                <w:szCs w:val="20"/>
                <w:color w:val="auto"/>
              </w:rPr>
            </w:pPr>
            <w:r>
              <w:rPr>
                <w:rFonts w:ascii="Arial" w:cs="Arial" w:eastAsia="Arial" w:hAnsi="Arial"/>
                <w:sz w:val="17"/>
                <w:szCs w:val="17"/>
                <w:color w:val="auto"/>
              </w:rPr>
              <w:t>Less: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(36,335)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(42,379)</w:t>
            </w:r>
          </w:p>
        </w:tc>
      </w:tr>
      <w:tr>
        <w:trPr>
          <w:trHeight w:val="211"/>
        </w:trPr>
        <w:tc>
          <w:tcPr>
            <w:tcW w:w="6740" w:type="dxa"/>
            <w:vAlign w:val="bottom"/>
            <w:shd w:val="clear" w:color="auto" w:fill="CCEEFF"/>
          </w:tcPr>
          <w:p>
            <w:pPr>
              <w:ind w:left="1680"/>
              <w:spacing w:after="0"/>
              <w:rPr>
                <w:sz w:val="20"/>
                <w:szCs w:val="20"/>
                <w:color w:val="auto"/>
              </w:rPr>
            </w:pPr>
            <w:r>
              <w:rPr>
                <w:rFonts w:ascii="Arial" w:cs="Arial" w:eastAsia="Arial" w:hAnsi="Arial"/>
                <w:sz w:val="17"/>
                <w:szCs w:val="17"/>
                <w:color w:val="auto"/>
              </w:rPr>
              <w:t>Total net deferred income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181,962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260,574</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7"/>
                <w:szCs w:val="17"/>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Unbilled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138,510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138,667</w:t>
            </w:r>
          </w:p>
        </w:tc>
        <w:tc>
          <w:tcPr>
            <w:tcW w:w="120" w:type="dxa"/>
            <w:vAlign w:val="bottom"/>
            <w:shd w:val="clear" w:color="auto" w:fill="CCEEFF"/>
          </w:tcPr>
          <w:p>
            <w:pPr>
              <w:spacing w:after="0"/>
              <w:rPr>
                <w:sz w:val="18"/>
                <w:szCs w:val="18"/>
                <w:color w:val="auto"/>
              </w:rPr>
            </w:pPr>
          </w:p>
        </w:tc>
      </w:tr>
      <w:tr>
        <w:trPr>
          <w:trHeight w:val="211"/>
        </w:trPr>
        <w:tc>
          <w:tcPr>
            <w:tcW w:w="6740" w:type="dxa"/>
            <w:vAlign w:val="bottom"/>
          </w:tcPr>
          <w:p>
            <w:pPr>
              <w:ind w:left="420"/>
              <w:spacing w:after="0"/>
              <w:rPr>
                <w:sz w:val="20"/>
                <w:szCs w:val="20"/>
                <w:color w:val="auto"/>
              </w:rPr>
            </w:pPr>
            <w:r>
              <w:rPr>
                <w:rFonts w:ascii="Arial" w:cs="Arial" w:eastAsia="Arial" w:hAnsi="Arial"/>
                <w:sz w:val="17"/>
                <w:szCs w:val="17"/>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87,923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94,789</w:t>
            </w:r>
          </w:p>
        </w:tc>
        <w:tc>
          <w:tcPr>
            <w:tcW w:w="120" w:type="dxa"/>
            <w:vAlign w:val="bottom"/>
          </w:tcPr>
          <w:p>
            <w:pPr>
              <w:spacing w:after="0"/>
              <w:rPr>
                <w:sz w:val="18"/>
                <w:szCs w:val="18"/>
                <w:color w:val="auto"/>
              </w:rPr>
            </w:pPr>
          </w:p>
        </w:tc>
      </w:tr>
      <w:tr>
        <w:trPr>
          <w:trHeight w:val="211"/>
        </w:trPr>
        <w:tc>
          <w:tcPr>
            <w:tcW w:w="67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6,926</w:t>
            </w:r>
          </w:p>
        </w:tc>
        <w:tc>
          <w:tcPr>
            <w:tcW w:w="120" w:type="dxa"/>
            <w:vAlign w:val="bottom"/>
            <w:shd w:val="clear" w:color="auto" w:fill="CCEEFF"/>
          </w:tcPr>
          <w:p>
            <w:pPr>
              <w:spacing w:after="0"/>
              <w:rPr>
                <w:sz w:val="18"/>
                <w:szCs w:val="18"/>
                <w:color w:val="auto"/>
              </w:rPr>
            </w:pPr>
          </w:p>
        </w:tc>
      </w:tr>
      <w:tr>
        <w:trPr>
          <w:trHeight w:val="217"/>
        </w:trPr>
        <w:tc>
          <w:tcPr>
            <w:tcW w:w="6740" w:type="dxa"/>
            <w:vAlign w:val="bottom"/>
          </w:tcPr>
          <w:p>
            <w:pPr>
              <w:ind w:left="4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2,351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11"/>
        </w:trPr>
        <w:tc>
          <w:tcPr>
            <w:tcW w:w="67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233,665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240,382</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ind w:left="1260"/>
              <w:spacing w:after="0"/>
              <w:rPr>
                <w:sz w:val="20"/>
                <w:szCs w:val="20"/>
                <w:color w:val="auto"/>
              </w:rPr>
            </w:pPr>
            <w:r>
              <w:rPr>
                <w:rFonts w:ascii="Arial" w:cs="Arial" w:eastAsia="Arial" w:hAnsi="Arial"/>
                <w:sz w:val="17"/>
                <w:szCs w:val="17"/>
                <w:color w:val="auto"/>
              </w:rPr>
              <w:t>Net deferred income tax (liability) asset</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(51,703)</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20,192</w:t>
            </w:r>
          </w:p>
        </w:tc>
        <w:tc>
          <w:tcPr>
            <w:tcW w:w="12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Deferred tax balances reflect the impact of temporary differences between the carrying amount of assets and liabilities and their tax basis and are stated at the tax rates expected to be in effect when taxes are actually paid or recovered.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recognized a valuation allowance of $36.3 million and $42.4 million as of March 31, 2012 and 2011, respectively, against the deferred tax asset associated with the capital loss carryforward, of equal amounts for the respective periods. The capital loss carryforward is scheduled to expire on March 31, 2013, at which time the associated valuation allowance is expected to be released. For all other deferred tax assets, the Company believes it is more likely than not that the results of future operations will generate sufficient taxable income to realize these deferred tax assets.</w:t>
      </w:r>
    </w:p>
    <w:p>
      <w:pPr>
        <w:spacing w:after="0" w:line="113" w:lineRule="exact"/>
        <w:rPr>
          <w:sz w:val="20"/>
          <w:szCs w:val="20"/>
          <w:color w:val="auto"/>
        </w:rPr>
      </w:pPr>
    </w:p>
    <w:p>
      <w:pPr>
        <w:jc w:val="both"/>
        <w:ind w:right="200" w:firstLine="457"/>
        <w:spacing w:after="0" w:line="313" w:lineRule="auto"/>
        <w:rPr>
          <w:sz w:val="20"/>
          <w:szCs w:val="20"/>
          <w:color w:val="auto"/>
        </w:rPr>
      </w:pPr>
      <w:r>
        <w:rPr>
          <w:rFonts w:ascii="Arial" w:cs="Arial" w:eastAsia="Arial" w:hAnsi="Arial"/>
          <w:sz w:val="15"/>
          <w:szCs w:val="15"/>
          <w:color w:val="auto"/>
        </w:rPr>
        <w:t>At March 31, 2011, the Company had approximately $148.8 million of net operating loss, or NOL, carryforwards. As of March 31, 2012, the Company has fully utilized its NOL carryforward as it relates to the U.S. Federal tax benefit. A remaining $2.2 million of State NOL carryforward remains as of March 31, 2012, which consists of the California NOL carryforward that the Company anticipates utilizing by March 31, 2013. The Company believes that it is more likely than not that the company will generate sufficient taxable income to fully realize the tax benefit of our State NOL carryforwards when the statute expires in 2028.</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Uncertain Tax Positions</w:t>
      </w:r>
    </w:p>
    <w:p>
      <w:pPr>
        <w:spacing w:after="0" w:line="94"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Company maintains reserves for uncertain tax positions related to tax benefits recognized in prior years. These reserves involve considerable judgment and estimation and are evaluated by management based on the best information available including changes in tax regulations and other information. As of March 31, 2012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00"/>
          </w:cols>
          <w:pgMar w:left="240" w:top="451" w:right="2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2011, the Company has recorded $55.3 million and $90.5 million, respectively, of reserves for uncertain tax positions, of which approximately $17.5 million and $52.7 million, respectively, may be indemnified under the remaining available DPO.</w:t>
      </w:r>
    </w:p>
    <w:p>
      <w:pPr>
        <w:spacing w:after="0" w:line="117" w:lineRule="exact"/>
        <w:rPr>
          <w:sz w:val="20"/>
          <w:szCs w:val="20"/>
          <w:color w:val="auto"/>
        </w:rPr>
      </w:pPr>
    </w:p>
    <w:p>
      <w:pPr>
        <w:ind w:right="380" w:firstLine="457"/>
        <w:spacing w:after="0" w:line="271" w:lineRule="auto"/>
        <w:rPr>
          <w:sz w:val="20"/>
          <w:szCs w:val="20"/>
          <w:color w:val="auto"/>
        </w:rPr>
      </w:pPr>
      <w:r>
        <w:rPr>
          <w:rFonts w:ascii="Arial" w:cs="Arial" w:eastAsia="Arial" w:hAnsi="Arial"/>
          <w:sz w:val="17"/>
          <w:szCs w:val="17"/>
          <w:color w:val="auto"/>
        </w:rPr>
        <w:t>Included in the balance of reserves for uncertain tax positions at March 31, 2012 and 2011 are potential tax benefits of $55.0 million and $77.3 million, respectively, that, if recognized, would impact the effective tax rate. A reconciliation of the beginning and ending amount of potential tax benefits for the periods presented are as follows:</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March 31,</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48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2012</w:t>
            </w:r>
          </w:p>
        </w:tc>
        <w:tc>
          <w:tcPr>
            <w:tcW w:w="640" w:type="dxa"/>
            <w:vAlign w:val="bottom"/>
          </w:tcPr>
          <w:p>
            <w:pPr>
              <w:spacing w:after="0"/>
              <w:rPr>
                <w:sz w:val="12"/>
                <w:szCs w:val="12"/>
                <w:color w:val="auto"/>
              </w:rPr>
            </w:pPr>
          </w:p>
        </w:tc>
        <w:tc>
          <w:tcPr>
            <w:tcW w:w="600" w:type="dxa"/>
            <w:vAlign w:val="bottom"/>
            <w:gridSpan w:val="2"/>
          </w:tcPr>
          <w:p>
            <w:pPr>
              <w:jc w:val="right"/>
              <w:ind w:right="74"/>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2"/>
                <w:szCs w:val="12"/>
                <w:color w:val="auto"/>
              </w:rPr>
            </w:pPr>
          </w:p>
        </w:tc>
      </w:tr>
      <w:tr>
        <w:trPr>
          <w:trHeight w:val="204"/>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Beginning of year</w:t>
            </w:r>
          </w:p>
        </w:tc>
        <w:tc>
          <w:tcPr>
            <w:tcW w:w="1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$ 77,304</w:t>
            </w:r>
          </w:p>
        </w:tc>
        <w:tc>
          <w:tcPr>
            <w:tcW w:w="6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$85,982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4880" w:type="dxa"/>
            <w:vAlign w:val="bottom"/>
          </w:tcPr>
          <w:p>
            <w:pPr>
              <w:ind w:left="420"/>
              <w:spacing w:after="0"/>
              <w:rPr>
                <w:sz w:val="20"/>
                <w:szCs w:val="20"/>
                <w:color w:val="auto"/>
              </w:rPr>
            </w:pPr>
            <w:r>
              <w:rPr>
                <w:rFonts w:ascii="Arial" w:cs="Arial" w:eastAsia="Arial" w:hAnsi="Arial"/>
                <w:sz w:val="17"/>
                <w:szCs w:val="17"/>
                <w:color w:val="auto"/>
              </w:rPr>
              <w:t>Federal benefit from change in reserve</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1,036</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11"/>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Settlements with taxing authorities</w:t>
            </w:r>
          </w:p>
        </w:tc>
        <w:tc>
          <w:tcPr>
            <w:tcW w:w="3080" w:type="dxa"/>
            <w:vAlign w:val="bottom"/>
            <w:gridSpan w:val="3"/>
            <w:shd w:val="clear" w:color="auto" w:fill="CCEEFF"/>
          </w:tcPr>
          <w:p>
            <w:pPr>
              <w:jc w:val="right"/>
              <w:ind w:right="534"/>
              <w:spacing w:after="0"/>
              <w:rPr>
                <w:sz w:val="20"/>
                <w:szCs w:val="20"/>
                <w:color w:val="auto"/>
              </w:rPr>
            </w:pPr>
            <w:r>
              <w:rPr>
                <w:rFonts w:ascii="Arial" w:cs="Arial" w:eastAsia="Arial" w:hAnsi="Arial"/>
                <w:sz w:val="17"/>
                <w:szCs w:val="17"/>
                <w:color w:val="auto"/>
              </w:rPr>
              <w:t>(14,399)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r>
      <w:tr>
        <w:trPr>
          <w:trHeight w:val="211"/>
        </w:trPr>
        <w:tc>
          <w:tcPr>
            <w:tcW w:w="4880" w:type="dxa"/>
            <w:vAlign w:val="bottom"/>
          </w:tcPr>
          <w:p>
            <w:pPr>
              <w:ind w:left="420"/>
              <w:spacing w:after="0"/>
              <w:rPr>
                <w:sz w:val="20"/>
                <w:szCs w:val="20"/>
                <w:color w:val="auto"/>
              </w:rPr>
            </w:pPr>
            <w:r>
              <w:rPr>
                <w:rFonts w:ascii="Arial" w:cs="Arial" w:eastAsia="Arial" w:hAnsi="Arial"/>
                <w:sz w:val="17"/>
                <w:szCs w:val="17"/>
                <w:color w:val="auto"/>
              </w:rPr>
              <w:t>Lapse of statute of limitations</w:t>
            </w:r>
          </w:p>
        </w:tc>
        <w:tc>
          <w:tcPr>
            <w:tcW w:w="1800" w:type="dxa"/>
            <w:vAlign w:val="bottom"/>
          </w:tcPr>
          <w:p>
            <w:pPr>
              <w:spacing w:after="0"/>
              <w:rPr>
                <w:sz w:val="18"/>
                <w:szCs w:val="18"/>
                <w:color w:val="auto"/>
              </w:rPr>
            </w:pPr>
          </w:p>
        </w:tc>
        <w:tc>
          <w:tcPr>
            <w:tcW w:w="1280" w:type="dxa"/>
            <w:vAlign w:val="bottom"/>
            <w:gridSpan w:val="2"/>
          </w:tcPr>
          <w:p>
            <w:pPr>
              <w:jc w:val="right"/>
              <w:ind w:right="534"/>
              <w:spacing w:after="0"/>
              <w:rPr>
                <w:sz w:val="20"/>
                <w:szCs w:val="20"/>
                <w:color w:val="auto"/>
              </w:rPr>
            </w:pPr>
            <w:r>
              <w:rPr>
                <w:rFonts w:ascii="Arial" w:cs="Arial" w:eastAsia="Arial" w:hAnsi="Arial"/>
                <w:sz w:val="17"/>
                <w:szCs w:val="17"/>
                <w:color w:val="auto"/>
              </w:rPr>
              <w:t>(9,046)</w:t>
            </w:r>
          </w:p>
        </w:tc>
        <w:tc>
          <w:tcPr>
            <w:tcW w:w="720" w:type="dxa"/>
            <w:vAlign w:val="bottom"/>
            <w:gridSpan w:val="3"/>
          </w:tcPr>
          <w:p>
            <w:pPr>
              <w:jc w:val="right"/>
              <w:ind w:right="60"/>
              <w:spacing w:after="0"/>
              <w:rPr>
                <w:sz w:val="20"/>
                <w:szCs w:val="20"/>
                <w:color w:val="auto"/>
              </w:rPr>
            </w:pPr>
            <w:r>
              <w:rPr>
                <w:rFonts w:ascii="Arial" w:cs="Arial" w:eastAsia="Arial" w:hAnsi="Arial"/>
                <w:sz w:val="17"/>
                <w:szCs w:val="17"/>
                <w:color w:val="auto"/>
              </w:rPr>
              <w:t>(8,549)</w:t>
            </w:r>
          </w:p>
        </w:tc>
      </w:tr>
      <w:tr>
        <w:trPr>
          <w:trHeight w:val="26"/>
        </w:trPr>
        <w:tc>
          <w:tcPr>
            <w:tcW w:w="4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48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End of year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$ 54,895</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77,304</w:t>
            </w:r>
          </w:p>
        </w:tc>
        <w:tc>
          <w:tcPr>
            <w:tcW w:w="12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For the fiscal year ended March 31, 2012, the Company’s reserves for uncertain tax positions decreased primarily as a result of a $24.0 million release of reserves for uncertain tax positions and related interest and penalties, due to the settlement of the Company’s Internal Revenue Service, or IRS, audit for fiscal years 2004, 2005, and 2006, and an $11.0 million release of federal income tax reserves and related interest and penalties due to a lapse in the statute of limitations for the tax year ended March 31, 2008.</w:t>
      </w:r>
    </w:p>
    <w:p>
      <w:pPr>
        <w:spacing w:after="0" w:line="131" w:lineRule="exact"/>
        <w:rPr>
          <w:sz w:val="20"/>
          <w:szCs w:val="20"/>
          <w:color w:val="auto"/>
        </w:rPr>
      </w:pPr>
    </w:p>
    <w:p>
      <w:pPr>
        <w:ind w:right="380" w:firstLine="457"/>
        <w:spacing w:after="0" w:line="354" w:lineRule="auto"/>
        <w:rPr>
          <w:sz w:val="20"/>
          <w:szCs w:val="20"/>
          <w:color w:val="auto"/>
        </w:rPr>
      </w:pPr>
      <w:r>
        <w:rPr>
          <w:rFonts w:ascii="Arial" w:cs="Arial" w:eastAsia="Arial" w:hAnsi="Arial"/>
          <w:sz w:val="15"/>
          <w:szCs w:val="15"/>
          <w:color w:val="auto"/>
        </w:rPr>
        <w:t>The Company recognized accrued interest and penalties related to the reserves for uncertain tax positions in the income tax provision. Included in the total reserve for uncertain tax positions are accrued penalties and interest of approximately $387,000 and $13.2 million at March 31, 2012 and 2011, respectively.</w:t>
      </w:r>
    </w:p>
    <w:p>
      <w:pPr>
        <w:spacing w:after="0" w:line="71" w:lineRule="exact"/>
        <w:rPr>
          <w:sz w:val="20"/>
          <w:szCs w:val="20"/>
          <w:color w:val="auto"/>
        </w:rPr>
      </w:pPr>
    </w:p>
    <w:p>
      <w:pPr>
        <w:ind w:right="140" w:firstLine="457"/>
        <w:spacing w:after="0" w:line="305" w:lineRule="auto"/>
        <w:rPr>
          <w:sz w:val="20"/>
          <w:szCs w:val="20"/>
          <w:color w:val="auto"/>
        </w:rPr>
      </w:pPr>
      <w:r>
        <w:rPr>
          <w:rFonts w:ascii="Arial" w:cs="Arial" w:eastAsia="Arial" w:hAnsi="Arial"/>
          <w:sz w:val="15"/>
          <w:szCs w:val="15"/>
          <w:color w:val="auto"/>
        </w:rPr>
        <w:t>The Company settled its IRS audit for fiscal years 2004, 2005, and 2006 during the second quarter of fiscal 2012. The IRS adjusted the Company’s research credit claims for the audit years. The adjustments did not result in a material change to the Company’s financial position. Due to the federal audit settlement, the Company released approximately $24.0 million of reserves for uncertain tax positions. The Company is also subject to taxes imposed by various taxing authorities including state and foreign jurisdictions. Tax years 2009 forward that remain open and subject to examination related to state and foreign jurisdictions are not considered to be material or will be indemnified under the merger agreement. Additionally, due to statute of limitations expirations and potential audit settlements, it is reasonably possible that $32.9 million of the reserves recorded on previously recognized tax benefits may be effectively settled by March 31, 2013.</w:t>
      </w:r>
    </w:p>
    <w:p>
      <w:pPr>
        <w:spacing w:after="0" w:line="220" w:lineRule="exact"/>
        <w:rPr>
          <w:sz w:val="20"/>
          <w:szCs w:val="20"/>
          <w:color w:val="auto"/>
        </w:rPr>
      </w:pPr>
    </w:p>
    <w:p>
      <w:pPr>
        <w:ind w:left="240" w:right="8580" w:hanging="235"/>
        <w:spacing w:after="0" w:line="359" w:lineRule="auto"/>
        <w:tabs>
          <w:tab w:leader="none" w:pos="459"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EMPLOYEE BENEFIT PLANS </w:t>
      </w:r>
      <w:r>
        <w:rPr>
          <w:rFonts w:ascii="Arial" w:cs="Arial" w:eastAsia="Arial" w:hAnsi="Arial"/>
          <w:sz w:val="17"/>
          <w:szCs w:val="17"/>
          <w:b w:val="1"/>
          <w:bCs w:val="1"/>
          <w:i w:val="1"/>
          <w:iCs w:val="1"/>
          <w:color w:val="auto"/>
        </w:rPr>
        <w:t>Defined Contribution Plan</w:t>
      </w:r>
    </w:p>
    <w:p>
      <w:pPr>
        <w:spacing w:after="0" w:line="1"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under ECAP for fiscal 2012, fiscal 2011, and fiscal 2010 was $235.4 million, $228.6 million, and $210.3 million, respectively, and the Company-paid contributions were $242.5 million, $223.7 million, and $196.3 million,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451"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Defined Benefit Plan and Other Postretirement Benefit Plans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maintains and administers a defined benefit retirement plan and a postretirement medical plan for current, retired, and resigned officers.</w:t>
      </w:r>
    </w:p>
    <w:p>
      <w:pPr>
        <w:spacing w:after="0" w:line="185" w:lineRule="exact"/>
        <w:rPr>
          <w:sz w:val="20"/>
          <w:szCs w:val="20"/>
          <w:color w:val="auto"/>
        </w:rPr>
      </w:pPr>
    </w:p>
    <w:p>
      <w:pPr>
        <w:jc w:val="both"/>
        <w:ind w:right="100" w:firstLine="457"/>
        <w:spacing w:after="0" w:line="323" w:lineRule="auto"/>
        <w:rPr>
          <w:sz w:val="20"/>
          <w:szCs w:val="20"/>
          <w:color w:val="auto"/>
        </w:rPr>
      </w:pPr>
      <w:r>
        <w:rPr>
          <w:rFonts w:ascii="Arial" w:cs="Arial" w:eastAsia="Arial" w:hAnsi="Arial"/>
          <w:sz w:val="15"/>
          <w:szCs w:val="15"/>
          <w:color w:val="auto"/>
        </w:rPr>
        <w:t>The Company established a non-qualified defined benefit plan for all Officers in May 1995, or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94"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In addition, the Company provides postretirement healthcare benefits to former Officers under a medical indemnity insurance plan, with premiums paid by the Company. This plan is referred to as the Officer Medical Plan.</w:t>
      </w:r>
    </w:p>
    <w:p>
      <w:pPr>
        <w:spacing w:after="0" w:line="117"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net postretirement medical expense for the Officer Medical Plan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60" w:type="dxa"/>
            <w:vAlign w:val="bottom"/>
            <w:gridSpan w:val="12"/>
          </w:tcPr>
          <w:p>
            <w:pPr>
              <w:jc w:val="right"/>
              <w:ind w:right="580"/>
              <w:spacing w:after="0"/>
              <w:rPr>
                <w:sz w:val="20"/>
                <w:szCs w:val="20"/>
                <w:color w:val="auto"/>
              </w:rPr>
            </w:pPr>
            <w:r>
              <w:rPr>
                <w:rFonts w:ascii="Arial" w:cs="Arial" w:eastAsia="Arial" w:hAnsi="Arial"/>
                <w:sz w:val="13"/>
                <w:szCs w:val="13"/>
                <w:b w:val="1"/>
                <w:bCs w:val="1"/>
                <w:color w:val="auto"/>
              </w:rPr>
              <w:t>Fiscal Year Ended March 31,</w:t>
            </w: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jc w:val="right"/>
              <w:ind w:right="46"/>
              <w:spacing w:after="0" w:line="138" w:lineRule="exact"/>
              <w:rPr>
                <w:sz w:val="20"/>
                <w:szCs w:val="20"/>
                <w:color w:val="auto"/>
              </w:rPr>
            </w:pPr>
            <w:r>
              <w:rPr>
                <w:rFonts w:ascii="Arial" w:cs="Arial" w:eastAsia="Arial" w:hAnsi="Arial"/>
                <w:sz w:val="13"/>
                <w:szCs w:val="13"/>
                <w:b w:val="1"/>
                <w:bCs w:val="1"/>
                <w:color w:val="auto"/>
              </w:rPr>
              <w:t>2012</w:t>
            </w:r>
          </w:p>
        </w:tc>
        <w:tc>
          <w:tcPr>
            <w:tcW w:w="940" w:type="dxa"/>
            <w:vAlign w:val="bottom"/>
            <w:tcBorders>
              <w:top w:val="single" w:sz="8" w:color="auto"/>
            </w:tcBorders>
            <w:gridSpan w:val="5"/>
          </w:tcPr>
          <w:p>
            <w:pPr>
              <w:jc w:val="right"/>
              <w:ind w:right="20"/>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$3,912</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$3,363</w:t>
            </w: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8"/>
              </w:rPr>
              <w:t>$2,682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420" w:type="dxa"/>
            <w:vAlign w:val="bottom"/>
            <w:gridSpan w:val="2"/>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2,987</w:t>
            </w:r>
          </w:p>
        </w:tc>
        <w:tc>
          <w:tcPr>
            <w:tcW w:w="560" w:type="dxa"/>
            <w:vAlign w:val="bottom"/>
            <w:gridSpan w:val="3"/>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2,569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postretirement medical expense</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6,899</w:t>
            </w: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5,932</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4,951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5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80" w:type="dxa"/>
            <w:vAlign w:val="bottom"/>
            <w:gridSpan w:val="6"/>
          </w:tcPr>
          <w:p>
            <w:pPr>
              <w:spacing w:after="0"/>
              <w:rPr>
                <w:sz w:val="20"/>
                <w:szCs w:val="20"/>
                <w:color w:val="auto"/>
              </w:rPr>
            </w:pPr>
            <w:r>
              <w:rPr>
                <w:rFonts w:ascii="Arial" w:cs="Arial" w:eastAsia="Arial" w:hAnsi="Arial"/>
                <w:sz w:val="17"/>
                <w:szCs w:val="17"/>
                <w:color w:val="auto"/>
              </w:rPr>
              <w:t>The weighted-average discount rate used to determine the year-end benefit obligations were as follows: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3"/>
                <w:szCs w:val="13"/>
                <w:b w:val="1"/>
                <w:bCs w:val="1"/>
                <w:color w:val="auto"/>
              </w:rPr>
              <w:t>Fiscal Year Ended March 31,</w:t>
            </w: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60" w:type="dxa"/>
            <w:vAlign w:val="bottom"/>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96"/>
              </w:rPr>
              <w:t>2012</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3"/>
          </w:tcPr>
          <w:p>
            <w:pPr>
              <w:ind w:left="40"/>
              <w:spacing w:after="0" w:line="138" w:lineRule="exact"/>
              <w:rPr>
                <w:sz w:val="20"/>
                <w:szCs w:val="20"/>
                <w:color w:val="auto"/>
              </w:rPr>
            </w:pPr>
            <w:r>
              <w:rPr>
                <w:rFonts w:ascii="Arial" w:cs="Arial" w:eastAsia="Arial" w:hAnsi="Arial"/>
                <w:sz w:val="13"/>
                <w:szCs w:val="13"/>
                <w:b w:val="1"/>
                <w:bCs w:val="1"/>
                <w:color w:val="auto"/>
              </w:rPr>
              <w:t>2011</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Officer Medical Plan</w:t>
            </w:r>
          </w:p>
        </w:tc>
        <w:tc>
          <w:tcPr>
            <w:tcW w:w="900" w:type="dxa"/>
            <w:vAlign w:val="bottom"/>
            <w:gridSpan w:val="3"/>
            <w:shd w:val="clear" w:color="auto" w:fill="CCEEFF"/>
          </w:tcPr>
          <w:p>
            <w:pPr>
              <w:jc w:val="right"/>
              <w:ind w:right="326"/>
              <w:spacing w:after="0"/>
              <w:rPr>
                <w:sz w:val="20"/>
                <w:szCs w:val="20"/>
                <w:color w:val="auto"/>
              </w:rPr>
            </w:pPr>
            <w:r>
              <w:rPr>
                <w:rFonts w:ascii="Arial" w:cs="Arial" w:eastAsia="Arial" w:hAnsi="Arial"/>
                <w:sz w:val="17"/>
                <w:szCs w:val="17"/>
                <w:color w:val="auto"/>
                <w:w w:val="99"/>
              </w:rPr>
              <w:t>5.00%</w:t>
            </w:r>
          </w:p>
        </w:tc>
        <w:tc>
          <w:tcPr>
            <w:tcW w:w="3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5.75%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Retired Officers’ Bonus Plan</w:t>
            </w:r>
          </w:p>
        </w:tc>
        <w:tc>
          <w:tcPr>
            <w:tcW w:w="900" w:type="dxa"/>
            <w:vAlign w:val="bottom"/>
            <w:gridSpan w:val="3"/>
          </w:tcPr>
          <w:p>
            <w:pPr>
              <w:jc w:val="right"/>
              <w:ind w:right="326"/>
              <w:spacing w:after="0"/>
              <w:rPr>
                <w:sz w:val="20"/>
                <w:szCs w:val="20"/>
                <w:color w:val="auto"/>
              </w:rPr>
            </w:pPr>
            <w:r>
              <w:rPr>
                <w:rFonts w:ascii="Arial" w:cs="Arial" w:eastAsia="Arial" w:hAnsi="Arial"/>
                <w:sz w:val="17"/>
                <w:szCs w:val="17"/>
                <w:color w:val="auto"/>
                <w:w w:val="99"/>
              </w:rPr>
              <w:t>5.00%</w:t>
            </w:r>
          </w:p>
        </w:tc>
        <w:tc>
          <w:tcPr>
            <w:tcW w:w="940" w:type="dxa"/>
            <w:vAlign w:val="bottom"/>
            <w:gridSpan w:val="5"/>
          </w:tcPr>
          <w:p>
            <w:pPr>
              <w:ind w:left="400"/>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360"/>
        </w:trPr>
        <w:tc>
          <w:tcPr>
            <w:tcW w:w="7880" w:type="dxa"/>
            <w:vAlign w:val="bottom"/>
            <w:gridSpan w:val="6"/>
          </w:tcPr>
          <w:p>
            <w:pPr>
              <w:spacing w:after="0"/>
              <w:rPr>
                <w:sz w:val="20"/>
                <w:szCs w:val="20"/>
                <w:color w:val="auto"/>
              </w:rPr>
            </w:pPr>
            <w:r>
              <w:rPr>
                <w:rFonts w:ascii="Arial" w:cs="Arial" w:eastAsia="Arial" w:hAnsi="Arial"/>
                <w:sz w:val="17"/>
                <w:szCs w:val="17"/>
                <w:color w:val="auto"/>
                <w:w w:val="94"/>
              </w:rPr>
              <w:t>Assumed healthcare cost trend rates for the Officer Medical Plan at March 31, 2012 and 2011 were as follows: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Pre-65 initial rate</w:t>
            </w: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Healthcare cost trend rate assumed for next year</w:t>
            </w: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40" w:type="dxa"/>
            <w:vAlign w:val="bottom"/>
            <w:gridSpan w:val="2"/>
            <w:vMerge w:val="restart"/>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4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652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40" w:type="dxa"/>
            <w:vAlign w:val="bottom"/>
            <w:gridSpan w:val="5"/>
            <w:shd w:val="clear" w:color="auto" w:fill="CCEEFF"/>
          </w:tcPr>
          <w:p>
            <w:pPr>
              <w:jc w:val="right"/>
              <w:ind w:right="500"/>
              <w:spacing w:after="0"/>
              <w:rPr>
                <w:sz w:val="20"/>
                <w:szCs w:val="20"/>
                <w:color w:val="auto"/>
              </w:rPr>
            </w:pPr>
            <w:r>
              <w:rPr>
                <w:rFonts w:ascii="Arial" w:cs="Arial" w:eastAsia="Arial" w:hAnsi="Arial"/>
                <w:sz w:val="17"/>
                <w:szCs w:val="17"/>
                <w:color w:val="auto"/>
              </w:rPr>
              <w:t>8.0%</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Rate to which the cost trend rate is assumed to decline (the ultimate trend rate)</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gridSpan w:val="7"/>
          </w:tcPr>
          <w:p>
            <w:pPr>
              <w:jc w:val="right"/>
              <w:ind w:right="500"/>
              <w:spacing w:after="0"/>
              <w:rPr>
                <w:sz w:val="20"/>
                <w:szCs w:val="20"/>
                <w:color w:val="auto"/>
              </w:rPr>
            </w:pPr>
            <w:r>
              <w:rPr>
                <w:rFonts w:ascii="Arial" w:cs="Arial" w:eastAsia="Arial" w:hAnsi="Arial"/>
                <w:sz w:val="17"/>
                <w:szCs w:val="17"/>
                <w:color w:val="auto"/>
              </w:rPr>
              <w:t>5.0%</w:t>
            </w:r>
          </w:p>
        </w:tc>
        <w:tc>
          <w:tcPr>
            <w:tcW w:w="600" w:type="dxa"/>
            <w:vAlign w:val="bottom"/>
            <w:gridSpan w:val="4"/>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 rate</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2018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Assumed healthcare cost trend rates have a significant effect on the amounts reported for the healthcare plans. A one-percentage-point change in assumed healthcare cost trend rates calculated as of March 31, 2012 would have the following effects: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1% Increase</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1% Decrease</w:t>
            </w:r>
          </w:p>
        </w:tc>
      </w:tr>
      <w:tr>
        <w:trPr>
          <w:trHeight w:val="204"/>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 on total of service and interest cost</w:t>
            </w:r>
          </w:p>
        </w:tc>
        <w:tc>
          <w:tcPr>
            <w:tcW w:w="2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1,182,883</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(961,289)</w:t>
            </w:r>
          </w:p>
        </w:tc>
        <w:tc>
          <w:tcPr>
            <w:tcW w:w="140" w:type="dxa"/>
            <w:vAlign w:val="bottom"/>
            <w:tcBorders>
              <w:top w:val="single" w:sz="8" w:color="CCEEFF"/>
            </w:tcBorders>
            <w:shd w:val="clear" w:color="auto" w:fill="CCEEFF"/>
          </w:tcPr>
          <w:p>
            <w:pPr>
              <w:spacing w:after="0"/>
              <w:rPr>
                <w:sz w:val="17"/>
                <w:szCs w:val="17"/>
                <w:color w:val="auto"/>
              </w:rPr>
            </w:pPr>
          </w:p>
        </w:tc>
      </w:tr>
      <w:tr>
        <w:trPr>
          <w:trHeight w:val="217"/>
        </w:trPr>
        <w:tc>
          <w:tcPr>
            <w:tcW w:w="3540" w:type="dxa"/>
            <w:vAlign w:val="bottom"/>
          </w:tcPr>
          <w:p>
            <w:pPr>
              <w:spacing w:after="0"/>
              <w:rPr>
                <w:sz w:val="20"/>
                <w:szCs w:val="20"/>
                <w:color w:val="auto"/>
              </w:rPr>
            </w:pPr>
            <w:r>
              <w:rPr>
                <w:rFonts w:ascii="Arial" w:cs="Arial" w:eastAsia="Arial" w:hAnsi="Arial"/>
                <w:sz w:val="17"/>
                <w:szCs w:val="17"/>
                <w:color w:val="auto"/>
              </w:rPr>
              <w:t>Effect on postretirement benefit obligation</w:t>
            </w:r>
          </w:p>
        </w:tc>
        <w:tc>
          <w:tcPr>
            <w:tcW w:w="3580" w:type="dxa"/>
            <w:vAlign w:val="bottom"/>
            <w:gridSpan w:val="2"/>
          </w:tcPr>
          <w:p>
            <w:pPr>
              <w:jc w:val="right"/>
              <w:spacing w:after="0"/>
              <w:rPr>
                <w:sz w:val="20"/>
                <w:szCs w:val="20"/>
                <w:color w:val="auto"/>
              </w:rPr>
            </w:pPr>
            <w:r>
              <w:rPr>
                <w:rFonts w:ascii="Arial" w:cs="Arial" w:eastAsia="Arial" w:hAnsi="Arial"/>
                <w:sz w:val="17"/>
                <w:szCs w:val="17"/>
                <w:color w:val="auto"/>
              </w:rPr>
              <w:t>10,087,560</w:t>
            </w:r>
          </w:p>
        </w:tc>
        <w:tc>
          <w:tcPr>
            <w:tcW w:w="4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(8,192,956)</w:t>
            </w:r>
          </w:p>
        </w:tc>
      </w:tr>
      <w:tr>
        <w:trPr>
          <w:trHeight w:val="347"/>
        </w:trPr>
        <w:tc>
          <w:tcPr>
            <w:tcW w:w="3540" w:type="dxa"/>
            <w:vAlign w:val="bottom"/>
          </w:tcPr>
          <w:p>
            <w:pPr>
              <w:spacing w:after="0"/>
              <w:rPr>
                <w:sz w:val="24"/>
                <w:szCs w:val="24"/>
                <w:color w:val="auto"/>
              </w:rPr>
            </w:pPr>
          </w:p>
        </w:tc>
        <w:tc>
          <w:tcPr>
            <w:tcW w:w="4020" w:type="dxa"/>
            <w:vAlign w:val="bottom"/>
            <w:gridSpan w:val="3"/>
          </w:tcPr>
          <w:p>
            <w:pPr>
              <w:ind w:left="640"/>
              <w:spacing w:after="0"/>
              <w:rPr>
                <w:sz w:val="20"/>
                <w:szCs w:val="20"/>
                <w:color w:val="auto"/>
              </w:rPr>
            </w:pPr>
            <w:r>
              <w:rPr>
                <w:rFonts w:ascii="Arial" w:cs="Arial" w:eastAsia="Arial" w:hAnsi="Arial"/>
                <w:sz w:val="17"/>
                <w:szCs w:val="17"/>
                <w:color w:val="auto"/>
              </w:rPr>
              <w:t>F-24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40"/>
          </w:cols>
          <w:pgMar w:left="240" w:top="451" w:right="31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60" w:firstLine="457"/>
        <w:spacing w:after="0" w:line="289" w:lineRule="auto"/>
        <w:rPr>
          <w:sz w:val="20"/>
          <w:szCs w:val="20"/>
          <w:color w:val="auto"/>
        </w:rPr>
      </w:pPr>
      <w:r>
        <w:rPr>
          <w:rFonts w:ascii="Arial" w:cs="Arial" w:eastAsia="Arial" w:hAnsi="Arial"/>
          <w:sz w:val="16"/>
          <w:szCs w:val="16"/>
          <w:color w:val="auto"/>
        </w:rPr>
        <w:t>Total pension expense, consisting of service and interest, associated with the Retired Officers’ Bonus Plan was $868,000, $864,000, and $800,000 for fiscal 2012, fiscal 2011, and fiscal 2010, respectively. Benefits paid associated with the Retired Officers’ Bonus Plan were $1.2 million, $647,000, and $300,000 for fiscal 2012, fiscal 2011, and fiscal 2010, respectively. The end-of-period benefit obligation of $4.6 million and $5.2 million as of March 31, 2012 and 2011, respectively, is included in postretirement obligations within other long-term liabilities in the accompanying consolidated balance sheets.</w:t>
      </w:r>
    </w:p>
    <w:p>
      <w:pPr>
        <w:spacing w:after="0" w:line="115" w:lineRule="exact"/>
        <w:rPr>
          <w:sz w:val="20"/>
          <w:szCs w:val="20"/>
          <w:color w:val="auto"/>
        </w:rPr>
      </w:pPr>
    </w:p>
    <w:p>
      <w:pPr>
        <w:jc w:val="both"/>
        <w:ind w:right="120" w:firstLine="457"/>
        <w:spacing w:after="0" w:line="267" w:lineRule="auto"/>
        <w:rPr>
          <w:sz w:val="20"/>
          <w:szCs w:val="20"/>
          <w:color w:val="auto"/>
        </w:rPr>
      </w:pPr>
      <w:r>
        <w:rPr>
          <w:rFonts w:ascii="Arial" w:cs="Arial" w:eastAsia="Arial" w:hAnsi="Arial"/>
          <w:sz w:val="17"/>
          <w:szCs w:val="17"/>
          <w:color w:val="auto"/>
        </w:rPr>
        <w:t>Accumulated other comprehensive loss as of March 31, 2012, includes unrecognized net actuarial loss of $5.5 million, net of taxes of $2.2 million, that have not yet been recognized in net periodic pension cost for the Retired Officers’ Bonus Plan and the Officer Medical Plan. Accumulated other comprehensive loss as of March 31, 2011, includes unrecognized net actuarial loss of $2.7 million, net of taxes of $1.1 million, that have not yet been recognized in net periodic pension cost for the Retired Officers’ Bonus Plan and the Officer Medical Plan.</w:t>
      </w:r>
    </w:p>
    <w:p>
      <w:pPr>
        <w:spacing w:after="0" w:line="13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The amounts in accumulated other comprehensive income expected to be recognized as components of net periodic cost in fiscal 2013 are $1.5 million of net loss, $0 of net prior service cost (credit), and $0 of net transition (asset) obligation.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the benefit obligation, plan assets, and funded status of the Officer Medical Plan were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3"/>
                <w:szCs w:val="13"/>
                <w:b w:val="1"/>
                <w:bCs w:val="1"/>
                <w:color w:val="auto"/>
              </w:rPr>
              <w:t>Fiscal Year Ended March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6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rPr>
              <w:t>2012</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rPr>
              <w:t>2011</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beginning of the year</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52,753</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45,455</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35,577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40" w:type="dxa"/>
            <w:vAlign w:val="bottom"/>
          </w:tcPr>
          <w:p>
            <w:pPr>
              <w:ind w:left="420"/>
              <w:spacing w:after="0"/>
              <w:rPr>
                <w:sz w:val="20"/>
                <w:szCs w:val="20"/>
                <w:color w:val="auto"/>
              </w:rPr>
            </w:pPr>
            <w:r>
              <w:rPr>
                <w:rFonts w:ascii="Arial" w:cs="Arial" w:eastAsia="Arial" w:hAnsi="Arial"/>
                <w:sz w:val="17"/>
                <w:szCs w:val="17"/>
                <w:color w:val="auto"/>
              </w:rPr>
              <w:t>Service cost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3,912</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3,363</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cost</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2,987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2,569</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2,270</w:t>
            </w:r>
          </w:p>
        </w:tc>
        <w:tc>
          <w:tcPr>
            <w:tcW w:w="0" w:type="dxa"/>
            <w:vAlign w:val="bottom"/>
          </w:tcPr>
          <w:p>
            <w:pPr>
              <w:spacing w:after="0"/>
              <w:rPr>
                <w:sz w:val="1"/>
                <w:szCs w:val="1"/>
                <w:color w:val="auto"/>
              </w:rPr>
            </w:pPr>
          </w:p>
        </w:tc>
      </w:tr>
      <w:tr>
        <w:trPr>
          <w:trHeight w:val="211"/>
        </w:trPr>
        <w:tc>
          <w:tcPr>
            <w:tcW w:w="5640" w:type="dxa"/>
            <w:vAlign w:val="bottom"/>
          </w:tcPr>
          <w:p>
            <w:pPr>
              <w:ind w:left="420"/>
              <w:spacing w:after="0"/>
              <w:rPr>
                <w:sz w:val="20"/>
                <w:szCs w:val="20"/>
                <w:color w:val="auto"/>
              </w:rPr>
            </w:pPr>
            <w:r>
              <w:rPr>
                <w:rFonts w:ascii="Arial" w:cs="Arial" w:eastAsia="Arial" w:hAnsi="Arial"/>
                <w:sz w:val="17"/>
                <w:szCs w:val="17"/>
                <w:color w:val="auto"/>
              </w:rPr>
              <w:t>Actuarial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5,666</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rPr>
              <w:t>3,053</w:t>
            </w: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6,673</w:t>
            </w: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Benefits paid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6"/>
              </w:rPr>
              <w:t>(1,733)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6"/>
              </w:rPr>
              <w:t>(1,687)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(1,747)</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840"/>
              <w:spacing w:after="0"/>
              <w:rPr>
                <w:sz w:val="20"/>
                <w:szCs w:val="20"/>
                <w:color w:val="auto"/>
              </w:rPr>
            </w:pPr>
            <w:r>
              <w:rPr>
                <w:rFonts w:ascii="Arial" w:cs="Arial" w:eastAsia="Arial" w:hAnsi="Arial"/>
                <w:sz w:val="17"/>
                <w:szCs w:val="17"/>
                <w:color w:val="auto"/>
              </w:rPr>
              <w:t>Benefit obligation, end of the year</w:t>
            </w:r>
          </w:p>
        </w:tc>
        <w:tc>
          <w:tcPr>
            <w:tcW w:w="2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vMerge w:val="continue"/>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w w:val="88"/>
              </w:rPr>
              <w:t>63,585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520"/>
              <w:spacing w:after="0"/>
              <w:rPr>
                <w:sz w:val="20"/>
                <w:szCs w:val="20"/>
                <w:color w:val="auto"/>
              </w:rPr>
            </w:pPr>
            <w:r>
              <w:rPr>
                <w:rFonts w:ascii="Arial" w:cs="Arial" w:eastAsia="Arial" w:hAnsi="Arial"/>
                <w:sz w:val="17"/>
                <w:szCs w:val="17"/>
                <w:color w:val="auto"/>
                <w:w w:val="88"/>
              </w:rPr>
              <w:t>52,753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45,455</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Changes in plan assets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20"/>
                <w:szCs w:val="20"/>
                <w:color w:val="auto"/>
              </w:rPr>
            </w:pPr>
            <w:r>
              <w:rPr>
                <w:rFonts w:ascii="Arial" w:cs="Arial" w:eastAsia="Arial" w:hAnsi="Arial"/>
                <w:sz w:val="17"/>
                <w:szCs w:val="17"/>
                <w:color w:val="auto"/>
              </w:rPr>
              <w:t>Fair value of plan assets, beginning of the year</w:t>
            </w:r>
          </w:p>
        </w:tc>
        <w:tc>
          <w:tcPr>
            <w:tcW w:w="2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6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Employer contributions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1,733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1,687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11"/>
        </w:trPr>
        <w:tc>
          <w:tcPr>
            <w:tcW w:w="5640" w:type="dxa"/>
            <w:vAlign w:val="bottom"/>
          </w:tcPr>
          <w:p>
            <w:pPr>
              <w:ind w:left="420"/>
              <w:spacing w:after="0"/>
              <w:rPr>
                <w:sz w:val="20"/>
                <w:szCs w:val="20"/>
                <w:color w:val="auto"/>
              </w:rPr>
            </w:pPr>
            <w:r>
              <w:rPr>
                <w:rFonts w:ascii="Arial" w:cs="Arial" w:eastAsia="Arial" w:hAnsi="Arial"/>
                <w:sz w:val="17"/>
                <w:szCs w:val="17"/>
                <w:color w:val="auto"/>
              </w:rPr>
              <w:t>Benefits paid</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(1,733)</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(1,687)</w:t>
            </w: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(1,747)</w:t>
            </w: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Fair value of plan assets, end of the year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March 31, 2012 and 2011, the unfunded status of the Officer Medical Plan was $63.9 million and $52.8 million,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postretirement benefit liability for the Officer Medical Plan is included in other long-term liabilities in the accompanying consolidated balance sheets.</w:t>
      </w:r>
    </w:p>
    <w:p>
      <w:pPr>
        <w:spacing w:after="0" w:line="26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Funded Status for Defined Benefit Plans</w:t>
      </w:r>
    </w:p>
    <w:p>
      <w:pPr>
        <w:spacing w:after="0" w:line="9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Generally, annual contributions are made at such times and in amounts as required by law and may, from time to time, exceed minimum funding requirements. The Retired Officers’ Bonus Plan is an unfunded plan and contributions are made as benefits are paid, for all periods presented. As of March 31, 2012 and 2011, there were no plan assets for the Retired Officers’ Bonus Plan and therefore, the accumulated liability of $4.6 million and $5.2 million, respectively, is unfunded. The liability will be distributed in a lump-sum payment as each Officer retires.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380"/>
          </w:cols>
          <w:pgMar w:left="240" w:top="451" w:right="2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expected future medical benefit payments and contributions are as follows: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2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Officer</w:t>
            </w:r>
          </w:p>
        </w:tc>
        <w:tc>
          <w:tcPr>
            <w:tcW w:w="0" w:type="dxa"/>
            <w:vAlign w:val="bottom"/>
          </w:tcPr>
          <w:p>
            <w:pPr>
              <w:spacing w:after="0"/>
              <w:rPr>
                <w:sz w:val="1"/>
                <w:szCs w:val="1"/>
                <w:color w:val="auto"/>
              </w:rPr>
            </w:pPr>
          </w:p>
        </w:tc>
      </w:tr>
      <w:tr>
        <w:trPr>
          <w:trHeight w:val="145"/>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w w:val="98"/>
              </w:rPr>
              <w:t>For the Fiscal Year Ending March 31,</w:t>
            </w:r>
          </w:p>
        </w:tc>
        <w:tc>
          <w:tcPr>
            <w:tcW w:w="4640" w:type="dxa"/>
            <w:vAlign w:val="bottom"/>
          </w:tcPr>
          <w:p>
            <w:pPr>
              <w:spacing w:after="0"/>
              <w:rPr>
                <w:sz w:val="12"/>
                <w:szCs w:val="12"/>
                <w:color w:val="auto"/>
              </w:rPr>
            </w:pPr>
          </w:p>
        </w:tc>
        <w:tc>
          <w:tcPr>
            <w:tcW w:w="860" w:type="dxa"/>
            <w:vAlign w:val="bottom"/>
            <w:gridSpan w:val="3"/>
          </w:tcPr>
          <w:p>
            <w:pPr>
              <w:jc w:val="center"/>
              <w:ind w:right="80"/>
              <w:spacing w:after="0" w:line="145" w:lineRule="exact"/>
              <w:rPr>
                <w:sz w:val="20"/>
                <w:szCs w:val="20"/>
                <w:color w:val="auto"/>
              </w:rPr>
            </w:pPr>
            <w:r>
              <w:rPr>
                <w:rFonts w:ascii="Arial" w:cs="Arial" w:eastAsia="Arial" w:hAnsi="Arial"/>
                <w:sz w:val="13"/>
                <w:szCs w:val="13"/>
                <w:b w:val="1"/>
                <w:bCs w:val="1"/>
                <w:color w:val="auto"/>
                <w:w w:val="93"/>
              </w:rPr>
              <w:t>Medical Plan</w:t>
            </w:r>
          </w:p>
        </w:tc>
        <w:tc>
          <w:tcPr>
            <w:tcW w:w="0" w:type="dxa"/>
            <w:vAlign w:val="bottom"/>
          </w:tcPr>
          <w:p>
            <w:pPr>
              <w:spacing w:after="0"/>
              <w:rPr>
                <w:sz w:val="1"/>
                <w:szCs w:val="1"/>
                <w:color w:val="auto"/>
              </w:rPr>
            </w:pPr>
          </w:p>
        </w:tc>
      </w:tr>
      <w:tr>
        <w:trPr>
          <w:trHeight w:val="165"/>
        </w:trPr>
        <w:tc>
          <w:tcPr>
            <w:tcW w:w="2260" w:type="dxa"/>
            <w:vAlign w:val="bottom"/>
            <w:tcBorders>
              <w:bottom w:val="single" w:sz="8" w:color="auto"/>
            </w:tcBorders>
            <w:vMerge w:val="continue"/>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Benefits</w:t>
            </w:r>
          </w:p>
        </w:tc>
        <w:tc>
          <w:tcPr>
            <w:tcW w:w="0" w:type="dxa"/>
            <w:vAlign w:val="bottom"/>
          </w:tcPr>
          <w:p>
            <w:pPr>
              <w:spacing w:after="0"/>
              <w:rPr>
                <w:sz w:val="1"/>
                <w:szCs w:val="1"/>
                <w:color w:val="auto"/>
              </w:rPr>
            </w:pPr>
          </w:p>
        </w:tc>
      </w:tr>
      <w:tr>
        <w:trPr>
          <w:trHeight w:val="197"/>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20"/>
                <w:szCs w:val="20"/>
                <w:color w:val="auto"/>
              </w:rPr>
            </w:pPr>
            <w:r>
              <w:rPr>
                <w:rFonts w:ascii="Arial" w:cs="Arial" w:eastAsia="Arial" w:hAnsi="Arial"/>
                <w:sz w:val="17"/>
                <w:szCs w:val="17"/>
                <w:color w:val="auto"/>
              </w:rPr>
              <w:t>2014</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20"/>
                <w:szCs w:val="20"/>
                <w:color w:val="auto"/>
              </w:rPr>
            </w:pPr>
            <w:r>
              <w:rPr>
                <w:rFonts w:ascii="Arial" w:cs="Arial" w:eastAsia="Arial" w:hAnsi="Arial"/>
                <w:sz w:val="17"/>
                <w:szCs w:val="17"/>
                <w:color w:val="auto"/>
              </w:rPr>
              <w:t>2016</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20"/>
                <w:szCs w:val="20"/>
                <w:color w:val="auto"/>
              </w:rPr>
            </w:pPr>
            <w:r>
              <w:rPr>
                <w:rFonts w:ascii="Arial" w:cs="Arial" w:eastAsia="Arial" w:hAnsi="Arial"/>
                <w:sz w:val="17"/>
                <w:szCs w:val="17"/>
                <w:color w:val="auto"/>
              </w:rPr>
              <w:t>2018-2022</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15.</w:t>
        <w:tab/>
        <w:t>OTHER LONG-TERM LIABILITIES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long-term liabilities consisted of the following:</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3"/>
                <w:szCs w:val="13"/>
                <w:b w:val="1"/>
                <w:bCs w:val="1"/>
                <w:color w:val="auto"/>
                <w:w w:val="96"/>
              </w:rPr>
              <w:t>March 31,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45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2012</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04"/>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49,716</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45,878</w:t>
            </w:r>
          </w:p>
        </w:tc>
        <w:tc>
          <w:tcPr>
            <w:tcW w:w="120" w:type="dxa"/>
            <w:vAlign w:val="bottom"/>
            <w:shd w:val="clear" w:color="auto" w:fill="CCEEFF"/>
          </w:tcPr>
          <w:p>
            <w:pPr>
              <w:spacing w:after="0"/>
              <w:rPr>
                <w:sz w:val="17"/>
                <w:szCs w:val="17"/>
                <w:color w:val="auto"/>
              </w:rPr>
            </w:pPr>
          </w:p>
        </w:tc>
      </w:tr>
      <w:tr>
        <w:trPr>
          <w:trHeight w:val="211"/>
        </w:trPr>
        <w:tc>
          <w:tcPr>
            <w:tcW w:w="4560" w:type="dxa"/>
            <w:vAlign w:val="bottom"/>
          </w:tcPr>
          <w:p>
            <w:pPr>
              <w:spacing w:after="0"/>
              <w:rPr>
                <w:sz w:val="20"/>
                <w:szCs w:val="20"/>
                <w:color w:val="auto"/>
              </w:rPr>
            </w:pPr>
            <w:r>
              <w:rPr>
                <w:rFonts w:ascii="Arial" w:cs="Arial" w:eastAsia="Arial" w:hAnsi="Arial"/>
                <w:sz w:val="17"/>
                <w:szCs w:val="17"/>
                <w:color w:val="auto"/>
              </w:rPr>
              <w:t>Deferred compensation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22,440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22,408</w:t>
            </w:r>
          </w:p>
        </w:tc>
        <w:tc>
          <w:tcPr>
            <w:tcW w:w="120" w:type="dxa"/>
            <w:vAlign w:val="bottom"/>
          </w:tcPr>
          <w:p>
            <w:pPr>
              <w:spacing w:after="0"/>
              <w:rPr>
                <w:sz w:val="18"/>
                <w:szCs w:val="18"/>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31,392</w:t>
            </w:r>
          </w:p>
        </w:tc>
        <w:tc>
          <w:tcPr>
            <w:tcW w:w="120" w:type="dxa"/>
            <w:vAlign w:val="bottom"/>
            <w:shd w:val="clear" w:color="auto" w:fill="CCEEFF"/>
          </w:tcPr>
          <w:p>
            <w:pPr>
              <w:spacing w:after="0"/>
              <w:rPr>
                <w:sz w:val="18"/>
                <w:szCs w:val="18"/>
                <w:color w:val="auto"/>
              </w:rPr>
            </w:pPr>
          </w:p>
        </w:tc>
      </w:tr>
      <w:tr>
        <w:trPr>
          <w:trHeight w:val="211"/>
        </w:trPr>
        <w:tc>
          <w:tcPr>
            <w:tcW w:w="4560" w:type="dxa"/>
            <w:vAlign w:val="bottom"/>
          </w:tcPr>
          <w:p>
            <w:pPr>
              <w:spacing w:after="0"/>
              <w:rPr>
                <w:sz w:val="20"/>
                <w:szCs w:val="20"/>
                <w:color w:val="auto"/>
              </w:rPr>
            </w:pPr>
            <w:r>
              <w:rPr>
                <w:rFonts w:ascii="Arial" w:cs="Arial" w:eastAsia="Arial" w:hAnsi="Arial"/>
                <w:sz w:val="17"/>
                <w:szCs w:val="17"/>
                <w:color w:val="auto"/>
              </w:rPr>
              <w:t>Deferred payment obligation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63,138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38,161</w:t>
            </w:r>
          </w:p>
        </w:tc>
        <w:tc>
          <w:tcPr>
            <w:tcW w:w="120" w:type="dxa"/>
            <w:vAlign w:val="bottom"/>
          </w:tcPr>
          <w:p>
            <w:pPr>
              <w:spacing w:after="0"/>
              <w:rPr>
                <w:sz w:val="18"/>
                <w:szCs w:val="18"/>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Postretirement obligation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68,225</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57,997</w:t>
            </w:r>
          </w:p>
        </w:tc>
        <w:tc>
          <w:tcPr>
            <w:tcW w:w="120" w:type="dxa"/>
            <w:vAlign w:val="bottom"/>
            <w:shd w:val="clear" w:color="auto" w:fill="CCEEFF"/>
          </w:tcPr>
          <w:p>
            <w:pPr>
              <w:spacing w:after="0"/>
              <w:rPr>
                <w:sz w:val="18"/>
                <w:szCs w:val="18"/>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7"/>
                <w:szCs w:val="17"/>
                <w:color w:val="auto"/>
              </w:rPr>
              <w:t>Other</w:t>
            </w:r>
          </w:p>
        </w:tc>
        <w:tc>
          <w:tcPr>
            <w:tcW w:w="2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5,713</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11"/>
        </w:trPr>
        <w:tc>
          <w:tcPr>
            <w:tcW w:w="4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other long-term liabilities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236,953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195,836</w:t>
            </w:r>
          </w:p>
        </w:tc>
        <w:tc>
          <w:tcPr>
            <w:tcW w:w="12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3" w:lineRule="exact"/>
        <w:rPr>
          <w:sz w:val="20"/>
          <w:szCs w:val="20"/>
          <w:color w:val="auto"/>
        </w:rPr>
      </w:pPr>
    </w:p>
    <w:p>
      <w:pPr>
        <w:ind w:right="220" w:firstLine="457"/>
        <w:spacing w:after="0" w:line="289" w:lineRule="auto"/>
        <w:rPr>
          <w:sz w:val="20"/>
          <w:szCs w:val="20"/>
          <w:color w:val="auto"/>
        </w:rPr>
      </w:pPr>
      <w:r>
        <w:rPr>
          <w:rFonts w:ascii="Arial" w:cs="Arial" w:eastAsia="Arial" w:hAnsi="Arial"/>
          <w:sz w:val="16"/>
          <w:szCs w:val="16"/>
          <w:color w:val="auto"/>
        </w:rPr>
        <w:t>In fiscal 2012 and 2011, the Company recorded a stock-based compensation liability of $36.7 million and $40.4 million, respectively, including $8.9 million and $9.0 million, respectively, expected to be paid within one year, related to the reduction in stock option exercise price associated with the December 2009 dividend. Options vested and not yet exercised that would have had an exercise price below zero as a result of the dividend were reduced to one cent, with the remaining reduction to be paid in cash upon exercise of the options. Refer to Note 17 for further discussion of the December 2009 dividend.</w:t>
      </w:r>
    </w:p>
    <w:p>
      <w:pPr>
        <w:spacing w:after="0" w:line="11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The Company maintains a deferred compensation plan, or EPP, established in January 2009, for the benefit of certain employees. The EPP allows eligible participants to defer all or a portion of their annual performance bonus, reduced by amounts withheld for the payment of taxes or other deductions required by law. The Company makes no contributions to the EPP, but maintains participant accounts for deferred amounts and interest earned. The amounts deferred into the EPP will earn interest at a rate of return indexed to the results of the Company’s growth as defined by the EPP. In each subsequent year, interest will be compounded on the total deferred balance. Employees must leave the money in the EPP until 2014. The deferred balance generally will be paid within 180 days of the final determination of the interest to be accrued for 2014, upon retirement, or termination. As of March 31, 2012 and 2011, the Company’s liability associated with the EPP was $22.4 million.</w:t>
      </w:r>
    </w:p>
    <w:p>
      <w:pPr>
        <w:spacing w:after="0" w:line="246" w:lineRule="exact"/>
        <w:rPr>
          <w:sz w:val="20"/>
          <w:szCs w:val="20"/>
          <w:color w:val="auto"/>
        </w:rPr>
      </w:pPr>
    </w:p>
    <w:p>
      <w:pPr>
        <w:ind w:left="460" w:hanging="455"/>
        <w:spacing w:after="0"/>
        <w:tabs>
          <w:tab w:leader="none" w:pos="4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Stock Split</w:t>
      </w:r>
    </w:p>
    <w:p>
      <w:pPr>
        <w:spacing w:after="0" w:line="94"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On September 21, 2010, the Company’s Board of Directors approved an amended and restated certificate of incorporation that was filed on November 8, 2010, thereby effecting a ten-for-one stock split of all the outstanding shares of Class A Common Stock, Class B Non-Voting Common Stock, Class C Restricted Common Stock, and Class E Special Voting Common Stock. Par value for Class A Common Stock, Class B Non-Voting Common Stock, and Class C Restricted Common Stock remained at $0.01 par value per share. Par value for Class E Special Voting Stock was split ten-for-one to become $0.003 per share. All issued and outstanding common stock and stock options and per share amounts of the Company contained in the financial statements have been retroactively adjusted to reflect this stock split for all periods presented.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00"/>
          </w:cols>
          <w:pgMar w:left="240" w:top="451"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460" w:firstLine="457"/>
        <w:spacing w:after="0" w:line="284" w:lineRule="auto"/>
        <w:rPr>
          <w:sz w:val="20"/>
          <w:szCs w:val="20"/>
          <w:color w:val="auto"/>
        </w:rPr>
      </w:pPr>
      <w:r>
        <w:rPr>
          <w:rFonts w:ascii="Arial" w:cs="Arial" w:eastAsia="Arial" w:hAnsi="Arial"/>
          <w:sz w:val="17"/>
          <w:szCs w:val="17"/>
          <w:color w:val="auto"/>
        </w:rPr>
        <w:t>The amended and restated certificate of incorporation also eliminated the Class D Merger Rolling Common Stock and the Class F Non-Voting Restricted Common Stock.</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Common Stock</w:t>
      </w:r>
    </w:p>
    <w:p>
      <w:pPr>
        <w:spacing w:after="0" w:line="94" w:lineRule="exact"/>
        <w:rPr>
          <w:sz w:val="20"/>
          <w:szCs w:val="20"/>
          <w:color w:val="auto"/>
        </w:rPr>
      </w:pPr>
    </w:p>
    <w:p>
      <w:pPr>
        <w:ind w:right="100" w:firstLine="457"/>
        <w:spacing w:after="0" w:line="354" w:lineRule="auto"/>
        <w:rPr>
          <w:sz w:val="20"/>
          <w:szCs w:val="20"/>
          <w:color w:val="auto"/>
        </w:rPr>
      </w:pPr>
      <w:r>
        <w:rPr>
          <w:rFonts w:ascii="Arial" w:cs="Arial" w:eastAsia="Arial" w:hAnsi="Arial"/>
          <w:sz w:val="15"/>
          <w:szCs w:val="15"/>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71" w:lineRule="exact"/>
        <w:rPr>
          <w:sz w:val="20"/>
          <w:szCs w:val="20"/>
          <w:color w:val="auto"/>
        </w:rPr>
      </w:pPr>
    </w:p>
    <w:p>
      <w:pPr>
        <w:ind w:right="160" w:firstLine="457"/>
        <w:spacing w:after="0" w:line="271" w:lineRule="auto"/>
        <w:rPr>
          <w:sz w:val="20"/>
          <w:szCs w:val="20"/>
          <w:color w:val="auto"/>
        </w:rPr>
      </w:pPr>
      <w:r>
        <w:rPr>
          <w:rFonts w:ascii="Arial" w:cs="Arial" w:eastAsia="Arial" w:hAnsi="Arial"/>
          <w:sz w:val="17"/>
          <w:szCs w:val="17"/>
          <w:color w:val="auto"/>
        </w:rPr>
        <w:t>When shares of Class B Non-Voting Common Stock or Class C Restricted Common Stock are sold on the open market, they become Class A Common Stock shares. During fiscal 2012, 566,005 and 495,250 shares of Class B Non-Voting Common Stock and Class C Restricted Common stock, respectively, were sold and converted to Class A Common Stock shares.</w:t>
      </w:r>
    </w:p>
    <w:p>
      <w:pPr>
        <w:spacing w:after="0" w:line="128"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Class C Restricted Common Stock is restricted in that a holder’s shares vest as set forth in the Rollover Plan. Refer to Note 17 for further discussion of the Rollover Plan.</w:t>
      </w:r>
    </w:p>
    <w:p>
      <w:pPr>
        <w:spacing w:after="0" w:line="117" w:lineRule="exact"/>
        <w:rPr>
          <w:sz w:val="20"/>
          <w:szCs w:val="20"/>
          <w:color w:val="auto"/>
        </w:rPr>
      </w:pPr>
    </w:p>
    <w:p>
      <w:pPr>
        <w:jc w:val="both"/>
        <w:ind w:firstLine="457"/>
        <w:spacing w:after="0" w:line="296" w:lineRule="auto"/>
        <w:rPr>
          <w:sz w:val="20"/>
          <w:szCs w:val="20"/>
          <w:color w:val="auto"/>
        </w:rPr>
      </w:pPr>
      <w:r>
        <w:rPr>
          <w:rFonts w:ascii="Arial" w:cs="Arial" w:eastAsia="Arial" w:hAnsi="Arial"/>
          <w:sz w:val="16"/>
          <w:szCs w:val="16"/>
          <w:color w:val="auto"/>
        </w:rPr>
        <w:t>Class E Special Voting Common Stock represents the voting rights that accompany the new options program. The new options program has a fixed vesting and exercise schedule to comply with IRS section 409(a). Upon exercise, the option will convert to Class A Common Stock, and the corresponding Class E Special Voting Common Stock will be repurchased by the Company and retired. Refer to Note 17 for further discussion of the new options program.</w:t>
      </w:r>
    </w:p>
    <w:p>
      <w:pPr>
        <w:spacing w:after="0" w:line="109" w:lineRule="exact"/>
        <w:rPr>
          <w:sz w:val="20"/>
          <w:szCs w:val="20"/>
          <w:color w:val="auto"/>
        </w:rPr>
      </w:pPr>
    </w:p>
    <w:p>
      <w:pPr>
        <w:ind w:right="160" w:firstLine="457"/>
        <w:spacing w:after="0" w:line="289" w:lineRule="auto"/>
        <w:rPr>
          <w:sz w:val="20"/>
          <w:szCs w:val="20"/>
          <w:color w:val="auto"/>
        </w:rPr>
      </w:pPr>
      <w:r>
        <w:rPr>
          <w:rFonts w:ascii="Arial" w:cs="Arial" w:eastAsia="Arial" w:hAnsi="Arial"/>
          <w:sz w:val="16"/>
          <w:szCs w:val="16"/>
          <w:color w:val="auto"/>
        </w:rPr>
        <w:t>Each share of common stock, except for Class E Special Voting Common Stock, is entitled to participate equally,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shareholders is limited as a practical matter by restrictions in the credit agreements governing the Senior Credit Facilities.</w:t>
      </w:r>
    </w:p>
    <w:p>
      <w:pPr>
        <w:spacing w:after="0" w:line="115" w:lineRule="exact"/>
        <w:rPr>
          <w:sz w:val="20"/>
          <w:szCs w:val="20"/>
          <w:color w:val="auto"/>
        </w:rPr>
      </w:pPr>
    </w:p>
    <w:p>
      <w:pPr>
        <w:ind w:right="480" w:firstLine="457"/>
        <w:spacing w:after="0" w:line="284" w:lineRule="auto"/>
        <w:rPr>
          <w:sz w:val="20"/>
          <w:szCs w:val="20"/>
          <w:color w:val="auto"/>
        </w:rPr>
      </w:pPr>
      <w:r>
        <w:rPr>
          <w:rFonts w:ascii="Arial" w:cs="Arial" w:eastAsia="Arial" w:hAnsi="Arial"/>
          <w:sz w:val="17"/>
          <w:szCs w:val="17"/>
          <w:color w:val="auto"/>
        </w:rPr>
        <w:t>The authorized and unissued Class A Common Stock shares are available for future issuance upon share option exercises, without additional stockholder approval.</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Employee Stock Purchase Program</w:t>
      </w:r>
    </w:p>
    <w:p>
      <w:pPr>
        <w:spacing w:after="0" w:line="94" w:lineRule="exact"/>
        <w:rPr>
          <w:sz w:val="20"/>
          <w:szCs w:val="20"/>
          <w:color w:val="auto"/>
        </w:rPr>
      </w:pPr>
    </w:p>
    <w:p>
      <w:pPr>
        <w:jc w:val="both"/>
        <w:ind w:right="20" w:firstLine="457"/>
        <w:spacing w:after="0" w:line="313" w:lineRule="auto"/>
        <w:rPr>
          <w:sz w:val="20"/>
          <w:szCs w:val="20"/>
          <w:color w:val="auto"/>
        </w:rPr>
      </w:pPr>
      <w:r>
        <w:rPr>
          <w:rFonts w:ascii="Arial" w:cs="Arial" w:eastAsia="Arial" w:hAnsi="Arial"/>
          <w:sz w:val="15"/>
          <w:szCs w:val="15"/>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2012, 543,903 Class A Common Stock shares were purchased by employees under the ESPP.</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94"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As of March 31, 2012 no shares have been repurchased under the program.</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Dividend</w:t>
      </w:r>
    </w:p>
    <w:p>
      <w:pPr>
        <w:spacing w:after="0" w:line="94" w:lineRule="exact"/>
        <w:rPr>
          <w:sz w:val="20"/>
          <w:szCs w:val="20"/>
          <w:color w:val="auto"/>
        </w:rPr>
      </w:pPr>
    </w:p>
    <w:p>
      <w:pPr>
        <w:ind w:right="120" w:firstLine="457"/>
        <w:spacing w:after="0" w:line="317" w:lineRule="auto"/>
        <w:rPr>
          <w:sz w:val="20"/>
          <w:szCs w:val="20"/>
          <w:color w:val="auto"/>
        </w:rPr>
      </w:pPr>
      <w:r>
        <w:rPr>
          <w:rFonts w:ascii="Arial" w:cs="Arial" w:eastAsia="Arial" w:hAnsi="Arial"/>
          <w:sz w:val="16"/>
          <w:szCs w:val="16"/>
          <w:color w:val="auto"/>
        </w:rPr>
        <w:t>On February 1, 2012, the Company’s Board of Directors authorized and declared a cash dividend in the amount of $0.09 per share. On February 29, 2012, the Company paid dividends to stockholders of record at the close of business on February 13, 2012 in the amount of $11.9 million.</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00"/>
          </w:cols>
          <w:pgMar w:left="240" w:top="451" w:right="25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hanging="455"/>
        <w:spacing w:after="0"/>
        <w:tabs>
          <w:tab w:leader="none" w:pos="46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0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summarizes stock-based compensation expense recognized in the consolidated statements of operations: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4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3"/>
              </w:rPr>
              <w:t>Fiscal Year Ended March 31,</w:t>
            </w: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8"/>
        </w:trPr>
        <w:tc>
          <w:tcPr>
            <w:tcW w:w="45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9"/>
              <w:spacing w:after="0" w:line="138" w:lineRule="exact"/>
              <w:rPr>
                <w:sz w:val="20"/>
                <w:szCs w:val="20"/>
                <w:color w:val="auto"/>
              </w:rPr>
            </w:pPr>
            <w:r>
              <w:rPr>
                <w:rFonts w:ascii="Arial" w:cs="Arial" w:eastAsia="Arial" w:hAnsi="Arial"/>
                <w:sz w:val="13"/>
                <w:szCs w:val="13"/>
                <w:b w:val="1"/>
                <w:bCs w:val="1"/>
                <w:color w:val="auto"/>
              </w:rPr>
              <w:t>2012</w:t>
            </w:r>
          </w:p>
        </w:tc>
        <w:tc>
          <w:tcPr>
            <w:tcW w:w="1160" w:type="dxa"/>
            <w:vAlign w:val="bottom"/>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2"/>
                <w:szCs w:val="12"/>
                <w:color w:val="auto"/>
              </w:rPr>
            </w:pPr>
          </w:p>
        </w:tc>
        <w:tc>
          <w:tcPr>
            <w:tcW w:w="620" w:type="dxa"/>
            <w:vAlign w:val="bottom"/>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2"/>
                <w:szCs w:val="12"/>
                <w:color w:val="auto"/>
              </w:rPr>
            </w:pPr>
          </w:p>
        </w:tc>
      </w:tr>
      <w:tr>
        <w:trPr>
          <w:trHeight w:val="204"/>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8,862</w:t>
            </w: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$ 14,073</w:t>
            </w: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$ 23,652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22,073</w:t>
            </w:r>
          </w:p>
        </w:tc>
        <w:tc>
          <w:tcPr>
            <w:tcW w:w="5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34,605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48,245</w:t>
            </w:r>
          </w:p>
        </w:tc>
        <w:tc>
          <w:tcPr>
            <w:tcW w:w="100" w:type="dxa"/>
            <w:vAlign w:val="bottom"/>
          </w:tcPr>
          <w:p>
            <w:pPr>
              <w:spacing w:after="0"/>
              <w:rPr>
                <w:sz w:val="18"/>
                <w:szCs w:val="18"/>
                <w:color w:val="auto"/>
              </w:rPr>
            </w:pPr>
          </w:p>
        </w:tc>
      </w:tr>
      <w:tr>
        <w:trPr>
          <w:trHeight w:val="211"/>
        </w:trPr>
        <w:tc>
          <w:tcPr>
            <w:tcW w:w="4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30,935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$ 48,678</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0"/>
              </w:rPr>
              <w:t>$ 71,897</w:t>
            </w:r>
          </w:p>
        </w:tc>
        <w:tc>
          <w:tcPr>
            <w:tcW w:w="10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As of March 31, 2012 and 2011, there was $26.6 million and $40.6 million, respectively, of total unrecognized compensation cost related to unvested stock compensation agreements. The unrecognized compensation cost as of March 31, 2012 is expected to be fully amortized over the next 5.25 years. Absent the effect of accelerating stock compensation cost for any departures of employees who may continue to vest in their equity awards, the following tables summarizes the estimated annual compensation cost for the future periods indicated below (excludes any future awards):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tcPr>
          <w:p>
            <w:pPr>
              <w:ind w:left="140"/>
              <w:spacing w:after="0"/>
              <w:rPr>
                <w:sz w:val="20"/>
                <w:szCs w:val="20"/>
                <w:color w:val="auto"/>
              </w:rPr>
            </w:pPr>
            <w:r>
              <w:rPr>
                <w:rFonts w:ascii="Arial" w:cs="Arial" w:eastAsia="Arial" w:hAnsi="Arial"/>
                <w:sz w:val="13"/>
                <w:szCs w:val="13"/>
                <w:b w:val="1"/>
                <w:bCs w:val="1"/>
                <w:color w:val="auto"/>
              </w:rPr>
              <w:t>Total Unrecognized Compensation Cost</w:t>
            </w:r>
          </w:p>
        </w:tc>
        <w:tc>
          <w:tcPr>
            <w:tcW w:w="3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1"/>
              <w:spacing w:after="0" w:line="138" w:lineRule="exact"/>
              <w:rPr>
                <w:sz w:val="20"/>
                <w:szCs w:val="20"/>
                <w:color w:val="auto"/>
              </w:rPr>
            </w:pPr>
            <w:r>
              <w:rPr>
                <w:rFonts w:ascii="Arial" w:cs="Arial" w:eastAsia="Arial" w:hAnsi="Arial"/>
                <w:sz w:val="13"/>
                <w:szCs w:val="13"/>
                <w:b w:val="1"/>
                <w:bCs w:val="1"/>
                <w:color w:val="auto"/>
              </w:rPr>
              <w:t>Total</w:t>
            </w:r>
          </w:p>
        </w:tc>
        <w:tc>
          <w:tcPr>
            <w:tcW w:w="920" w:type="dxa"/>
            <w:vAlign w:val="bottom"/>
            <w:gridSpan w:val="2"/>
          </w:tcPr>
          <w:p>
            <w:pPr>
              <w:jc w:val="right"/>
              <w:ind w:right="94"/>
              <w:spacing w:after="0" w:line="138" w:lineRule="exact"/>
              <w:rPr>
                <w:sz w:val="20"/>
                <w:szCs w:val="20"/>
                <w:color w:val="auto"/>
              </w:rPr>
            </w:pPr>
            <w:r>
              <w:rPr>
                <w:rFonts w:ascii="Arial" w:cs="Arial" w:eastAsia="Arial" w:hAnsi="Arial"/>
                <w:sz w:val="13"/>
                <w:szCs w:val="13"/>
                <w:b w:val="1"/>
                <w:bCs w:val="1"/>
                <w:color w:val="auto"/>
              </w:rPr>
              <w:t>2013</w:t>
            </w:r>
          </w:p>
        </w:tc>
        <w:tc>
          <w:tcPr>
            <w:tcW w:w="840" w:type="dxa"/>
            <w:vAlign w:val="bottom"/>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2014</w:t>
            </w:r>
          </w:p>
        </w:tc>
        <w:tc>
          <w:tcPr>
            <w:tcW w:w="840" w:type="dxa"/>
            <w:vAlign w:val="bottom"/>
            <w:gridSpan w:val="2"/>
          </w:tcPr>
          <w:p>
            <w:pPr>
              <w:jc w:val="right"/>
              <w:ind w:right="34"/>
              <w:spacing w:after="0" w:line="138" w:lineRule="exact"/>
              <w:rPr>
                <w:sz w:val="20"/>
                <w:szCs w:val="20"/>
                <w:color w:val="auto"/>
              </w:rPr>
            </w:pPr>
            <w:r>
              <w:rPr>
                <w:rFonts w:ascii="Arial" w:cs="Arial" w:eastAsia="Arial" w:hAnsi="Arial"/>
                <w:sz w:val="13"/>
                <w:szCs w:val="13"/>
                <w:b w:val="1"/>
                <w:bCs w:val="1"/>
                <w:color w:val="auto"/>
              </w:rPr>
              <w:t>2015</w:t>
            </w:r>
          </w:p>
        </w:tc>
        <w:tc>
          <w:tcPr>
            <w:tcW w:w="7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rPr>
              <w:t>2016</w:t>
            </w:r>
          </w:p>
        </w:tc>
        <w:tc>
          <w:tcPr>
            <w:tcW w:w="320" w:type="dxa"/>
            <w:vAlign w:val="bottom"/>
          </w:tcPr>
          <w:p>
            <w:pPr>
              <w:spacing w:after="0"/>
              <w:rPr>
                <w:sz w:val="12"/>
                <w:szCs w:val="12"/>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2017</w:t>
            </w:r>
          </w:p>
        </w:tc>
        <w:tc>
          <w:tcPr>
            <w:tcW w:w="320" w:type="dxa"/>
            <w:vAlign w:val="bottom"/>
          </w:tcPr>
          <w:p>
            <w:pPr>
              <w:spacing w:after="0"/>
              <w:rPr>
                <w:sz w:val="12"/>
                <w:szCs w:val="12"/>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1"/>
              </w:rPr>
              <w:t>Thereafter</w:t>
            </w:r>
          </w:p>
        </w:tc>
        <w:tc>
          <w:tcPr>
            <w:tcW w:w="80" w:type="dxa"/>
            <w:vAlign w:val="bottom"/>
          </w:tcPr>
          <w:p>
            <w:pPr>
              <w:spacing w:after="0"/>
              <w:rPr>
                <w:sz w:val="12"/>
                <w:szCs w:val="12"/>
                <w:color w:val="auto"/>
              </w:rPr>
            </w:pPr>
          </w:p>
        </w:tc>
      </w:tr>
      <w:tr>
        <w:trPr>
          <w:trHeight w:val="204"/>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Officers’ Rollover Stock Plan</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3,919</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3,282</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3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5780" w:type="dxa"/>
            <w:vAlign w:val="bottom"/>
          </w:tcPr>
          <w:p>
            <w:pPr>
              <w:spacing w:after="0"/>
              <w:rPr>
                <w:sz w:val="20"/>
                <w:szCs w:val="20"/>
                <w:color w:val="auto"/>
              </w:rPr>
            </w:pPr>
            <w:r>
              <w:rPr>
                <w:rFonts w:ascii="Arial" w:cs="Arial" w:eastAsia="Arial" w:hAnsi="Arial"/>
                <w:sz w:val="17"/>
                <w:szCs w:val="17"/>
                <w:color w:val="auto"/>
              </w:rPr>
              <w:t>Equity Incentive Plan</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18,441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10,037</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4,982</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2,343</w:t>
            </w:r>
          </w:p>
        </w:tc>
        <w:tc>
          <w:tcPr>
            <w:tcW w:w="1040" w:type="dxa"/>
            <w:vAlign w:val="bottom"/>
            <w:gridSpan w:val="3"/>
          </w:tcPr>
          <w:p>
            <w:pPr>
              <w:ind w:left="460"/>
              <w:spacing w:after="0"/>
              <w:rPr>
                <w:sz w:val="20"/>
                <w:szCs w:val="20"/>
                <w:color w:val="auto"/>
              </w:rPr>
            </w:pPr>
            <w:r>
              <w:rPr>
                <w:rFonts w:ascii="Arial" w:cs="Arial" w:eastAsia="Arial" w:hAnsi="Arial"/>
                <w:sz w:val="17"/>
                <w:szCs w:val="17"/>
                <w:color w:val="auto"/>
              </w:rPr>
              <w:t>895</w:t>
            </w:r>
          </w:p>
        </w:tc>
        <w:tc>
          <w:tcPr>
            <w:tcW w:w="380" w:type="dxa"/>
            <w:vAlign w:val="bottom"/>
          </w:tcPr>
          <w:p>
            <w:pPr>
              <w:ind w:left="140"/>
              <w:spacing w:after="0"/>
              <w:rPr>
                <w:sz w:val="20"/>
                <w:szCs w:val="20"/>
                <w:color w:val="auto"/>
              </w:rPr>
            </w:pPr>
            <w:r>
              <w:rPr>
                <w:rFonts w:ascii="Arial" w:cs="Arial" w:eastAsia="Arial" w:hAnsi="Arial"/>
                <w:sz w:val="17"/>
                <w:szCs w:val="17"/>
                <w:color w:val="auto"/>
                <w:w w:val="77"/>
              </w:rPr>
              <w:t>174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Class A Restricted Common Stock</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3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420"/>
              <w:spacing w:after="0"/>
              <w:rPr>
                <w:sz w:val="20"/>
                <w:szCs w:val="20"/>
                <w:color w:val="auto"/>
              </w:rPr>
            </w:pPr>
            <w:r>
              <w:rPr>
                <w:rFonts w:ascii="Arial" w:cs="Arial" w:eastAsia="Arial" w:hAnsi="Arial"/>
                <w:sz w:val="17"/>
                <w:szCs w:val="17"/>
                <w:color w:val="auto"/>
              </w:rPr>
              <w:t>Total</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87"/>
              </w:rPr>
              <w:t>$ 26,615</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$ 16,155</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$ 6,820</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$ 2,561</w:t>
            </w:r>
          </w:p>
        </w:tc>
        <w:tc>
          <w:tcPr>
            <w:tcW w:w="1040" w:type="dxa"/>
            <w:vAlign w:val="bottom"/>
            <w:gridSpan w:val="3"/>
          </w:tcPr>
          <w:p>
            <w:pPr>
              <w:jc w:val="right"/>
              <w:ind w:right="320"/>
              <w:spacing w:after="0"/>
              <w:rPr>
                <w:sz w:val="20"/>
                <w:szCs w:val="20"/>
                <w:color w:val="auto"/>
              </w:rPr>
            </w:pPr>
            <w:r>
              <w:rPr>
                <w:rFonts w:ascii="Arial" w:cs="Arial" w:eastAsia="Arial" w:hAnsi="Arial"/>
                <w:sz w:val="17"/>
                <w:szCs w:val="17"/>
                <w:color w:val="auto"/>
              </w:rPr>
              <w:t>$ 895</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$ 174</w:t>
            </w:r>
          </w:p>
        </w:tc>
        <w:tc>
          <w:tcPr>
            <w:tcW w:w="54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Officers’ Rollover Stock Plan</w:t>
      </w:r>
    </w:p>
    <w:p>
      <w:pPr>
        <w:spacing w:after="0" w:line="94" w:lineRule="exact"/>
        <w:rPr>
          <w:sz w:val="20"/>
          <w:szCs w:val="20"/>
          <w:color w:val="auto"/>
        </w:rPr>
      </w:pPr>
    </w:p>
    <w:p>
      <w:pPr>
        <w:ind w:right="340" w:firstLine="457"/>
        <w:spacing w:after="0" w:line="267" w:lineRule="auto"/>
        <w:rPr>
          <w:sz w:val="20"/>
          <w:szCs w:val="20"/>
          <w:color w:val="auto"/>
        </w:rPr>
      </w:pPr>
      <w:r>
        <w:rPr>
          <w:rFonts w:ascii="Arial" w:cs="Arial" w:eastAsia="Arial" w:hAnsi="Arial"/>
          <w:sz w:val="17"/>
          <w:szCs w:val="17"/>
          <w:color w:val="auto"/>
        </w:rPr>
        <w:t>The Rollover Plan was adopted as a mechanism to enable the exchange by the Officers of the Company’s U.S. government consulting business who were required to exchange (and those commercial officers who elected to exchange subject to an aggregate limit) a portion of their previous equity interests in the Predecessor for equity interests in the Company. Among the equity interests that were eligible for exchange were common stock and stock rights, both vested and unvested.</w:t>
      </w:r>
    </w:p>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stock rights that were unvested, but would have vested in 2008, were exchanged for 2,028,270 shares of new Class C Restricted Common Stock, or</w:t>
      </w:r>
    </w:p>
    <w:p>
      <w:pPr>
        <w:spacing w:after="0" w:line="3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Class C Restricted Stock, issued by the Company at an estimated fair value of $10.00 at August 1, 2008. The aggregate grant date fair value of the Class C Restricted Stock issued for $20.3 million is being recorded as expense over the vesting period. Total compensation expense recorded in conjunction with this Class C Restricted Stock for fiscal 2012, fiscal 2011, and fiscal 2010 was $1.1 million, $3.9 million, and $7.1 million, respectively. As of March 31, 2012 and 2011, unrecognized compensation cost related to the non-vested Class C Restricted Stock was $371,000 and $1.4 million, respectively, and is expected to be recognized over 1.25 and 2.25 years, respectively. For the fiscal years ended March 31, 2012 and 2011, 1,755,870 and 988,980 cumulative shares of Class C Restricted Stock vested, respectively. At March 31, 2012 and 2011, 3,971,730 shares of Class C Restricted Stock were authorized but unissued under the Plan. Notwithstanding the foregoing, Class C Restricted Stock was intended to be issued only in connection with the exchange process described above.</w:t>
      </w:r>
    </w:p>
    <w:p>
      <w:pPr>
        <w:spacing w:after="0" w:line="125" w:lineRule="exact"/>
        <w:rPr>
          <w:sz w:val="20"/>
          <w:szCs w:val="20"/>
          <w:color w:val="auto"/>
        </w:rPr>
      </w:pPr>
    </w:p>
    <w:p>
      <w:pPr>
        <w:ind w:right="460" w:firstLine="457"/>
        <w:spacing w:after="0" w:line="265" w:lineRule="auto"/>
        <w:rPr>
          <w:sz w:val="20"/>
          <w:szCs w:val="20"/>
          <w:color w:val="auto"/>
        </w:rPr>
      </w:pPr>
      <w:r>
        <w:rPr>
          <w:rFonts w:ascii="Arial" w:cs="Arial" w:eastAsia="Arial" w:hAnsi="Arial"/>
          <w:sz w:val="17"/>
          <w:szCs w:val="17"/>
          <w:color w:val="auto"/>
        </w:rPr>
        <w:t>In addition to the conversion of the stock rights that would have vested in 2008 to Class C Restricted Stock, new options, or New Options, were issued in exchange for old stock rights held by the Predecessor’s U.S. government consulting partners that were issued under the stock rights plan that existed for the Predecessor’s Officers prior to the closing of the Merger Transaction. The New Options were granted based on the retirement eligibility of the Officer. For the purposes of the New Options, there are two categories of Officers — retirement eligible and non-retirement eligible. New Options granted to retirement eligible Officers vest in equal annual installments on June 30, 2009, 2010, and 2011.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451"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following table summarizes the exercise schedule for Officers who were deemed retirement eligible. Exercise schedules are based on original vesting dates applicable to the stock rights surrendered: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4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89"/>
              </w:rPr>
              <w:t>Percentage of New Options to be Exercised</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8"/>
        </w:trPr>
        <w:tc>
          <w:tcPr>
            <w:tcW w:w="60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3"/>
                <w:szCs w:val="13"/>
                <w:b w:val="1"/>
                <w:bCs w:val="1"/>
                <w:color w:val="auto"/>
              </w:rPr>
              <w:t>As of June 30,</w:t>
            </w: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8"/>
        </w:trPr>
        <w:tc>
          <w:tcPr>
            <w:tcW w:w="60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2009</w:t>
            </w:r>
          </w:p>
        </w:tc>
        <w:tc>
          <w:tcPr>
            <w:tcW w:w="5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5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5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5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5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191"/>
        </w:trPr>
        <w:tc>
          <w:tcPr>
            <w:tcW w:w="60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Retirement Eligible</w:t>
            </w: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1"/>
        </w:trPr>
        <w:tc>
          <w:tcPr>
            <w:tcW w:w="6080" w:type="dxa"/>
            <w:vAlign w:val="bottom"/>
          </w:tcPr>
          <w:p>
            <w:pPr>
              <w:ind w:left="420"/>
              <w:spacing w:after="0"/>
              <w:rPr>
                <w:sz w:val="20"/>
                <w:szCs w:val="20"/>
                <w:color w:val="auto"/>
              </w:rPr>
            </w:pPr>
            <w:r>
              <w:rPr>
                <w:rFonts w:ascii="Arial" w:cs="Arial" w:eastAsia="Arial" w:hAnsi="Arial"/>
                <w:sz w:val="17"/>
                <w:szCs w:val="17"/>
                <w:color w:val="auto"/>
              </w:rPr>
              <w:t>Original vesting date of June 30, 2009</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60%</w:t>
            </w:r>
          </w:p>
        </w:tc>
        <w:tc>
          <w:tcPr>
            <w:tcW w:w="940" w:type="dxa"/>
            <w:vAlign w:val="bottom"/>
            <w:gridSpan w:val="2"/>
          </w:tcPr>
          <w:p>
            <w:pPr>
              <w:jc w:val="right"/>
              <w:ind w:right="334"/>
              <w:spacing w:after="0"/>
              <w:rPr>
                <w:sz w:val="20"/>
                <w:szCs w:val="20"/>
                <w:color w:val="auto"/>
              </w:rPr>
            </w:pPr>
            <w:r>
              <w:rPr>
                <w:rFonts w:ascii="Arial" w:cs="Arial" w:eastAsia="Arial" w:hAnsi="Arial"/>
                <w:sz w:val="17"/>
                <w:szCs w:val="17"/>
                <w:color w:val="auto"/>
              </w:rPr>
              <w:t>20%</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20%</w:t>
            </w:r>
          </w:p>
        </w:tc>
        <w:tc>
          <w:tcPr>
            <w:tcW w:w="94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r>
        <w:trPr>
          <w:trHeight w:val="211"/>
        </w:trPr>
        <w:tc>
          <w:tcPr>
            <w:tcW w:w="60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Original vesting date of June 30, 2010</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34"/>
              <w:spacing w:after="0"/>
              <w:rPr>
                <w:sz w:val="20"/>
                <w:szCs w:val="20"/>
                <w:color w:val="auto"/>
              </w:rPr>
            </w:pPr>
            <w:r>
              <w:rPr>
                <w:rFonts w:ascii="Arial" w:cs="Arial" w:eastAsia="Arial" w:hAnsi="Arial"/>
                <w:sz w:val="17"/>
                <w:szCs w:val="17"/>
                <w:color w:val="auto"/>
              </w:rPr>
              <w:t>50%</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17"/>
        </w:trPr>
        <w:tc>
          <w:tcPr>
            <w:tcW w:w="6080" w:type="dxa"/>
            <w:vAlign w:val="bottom"/>
          </w:tcPr>
          <w:p>
            <w:pPr>
              <w:ind w:left="420"/>
              <w:spacing w:after="0"/>
              <w:rPr>
                <w:sz w:val="20"/>
                <w:szCs w:val="20"/>
                <w:color w:val="auto"/>
              </w:rPr>
            </w:pPr>
            <w:r>
              <w:rPr>
                <w:rFonts w:ascii="Arial" w:cs="Arial" w:eastAsia="Arial" w:hAnsi="Arial"/>
                <w:sz w:val="17"/>
                <w:szCs w:val="17"/>
                <w:color w:val="auto"/>
              </w:rPr>
              <w:t>Original vesting date of June 30, 2011</w:t>
            </w:r>
          </w:p>
        </w:tc>
        <w:tc>
          <w:tcPr>
            <w:tcW w:w="96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57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20%</w:t>
            </w:r>
          </w:p>
        </w:tc>
        <w:tc>
          <w:tcPr>
            <w:tcW w:w="940" w:type="dxa"/>
            <w:vAlign w:val="bottom"/>
            <w:gridSpan w:val="2"/>
          </w:tcPr>
          <w:p>
            <w:pPr>
              <w:jc w:val="right"/>
              <w:ind w:right="400"/>
              <w:spacing w:after="0"/>
              <w:rPr>
                <w:sz w:val="20"/>
                <w:szCs w:val="20"/>
                <w:color w:val="auto"/>
              </w:rPr>
            </w:pPr>
            <w:r>
              <w:rPr>
                <w:rFonts w:ascii="Arial" w:cs="Arial" w:eastAsia="Arial" w:hAnsi="Arial"/>
                <w:sz w:val="17"/>
                <w:szCs w:val="17"/>
                <w:color w:val="auto"/>
              </w:rPr>
              <w:t>20%</w:t>
            </w:r>
          </w:p>
        </w:tc>
        <w:tc>
          <w:tcPr>
            <w:tcW w:w="960" w:type="dxa"/>
            <w:vAlign w:val="bottom"/>
            <w:gridSpan w:val="2"/>
          </w:tcPr>
          <w:p>
            <w:pPr>
              <w:jc w:val="right"/>
              <w:ind w:right="420"/>
              <w:spacing w:after="0"/>
              <w:rPr>
                <w:sz w:val="20"/>
                <w:szCs w:val="20"/>
                <w:color w:val="auto"/>
              </w:rPr>
            </w:pPr>
            <w:r>
              <w:rPr>
                <w:rFonts w:ascii="Arial" w:cs="Arial" w:eastAsia="Arial" w:hAnsi="Arial"/>
                <w:sz w:val="17"/>
                <w:szCs w:val="17"/>
                <w:color w:val="auto"/>
              </w:rPr>
              <w:t>30%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r>
    </w:tbl>
    <w:p>
      <w:pPr>
        <w:spacing w:after="0" w:line="14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Those individuals who were considered retirement eligible also were given the opportunity to make a one-time election to be treated as non-retirement eligible.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determination of retirement eligibility was made as of a fixed period of time and cannot be changed at a future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New Options granted to Officers who were categorized as non-retirement eligible vested 50% on June 30, 2011, and will vest 25% on June 30, 2012 and 2013.</w:t>
      </w:r>
    </w:p>
    <w:p>
      <w:pPr>
        <w:spacing w:after="0" w:line="196"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following table summarizes the exercise schedule for Officers who were deemed non-retirement eligible. Exercise schedules are based on original vesting dates applicable to the stock rights surrendered: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100" w:type="dxa"/>
            <w:vAlign w:val="bottom"/>
            <w:gridSpan w:val="7"/>
          </w:tcPr>
          <w:p>
            <w:pPr>
              <w:jc w:val="center"/>
              <w:ind w:right="640"/>
              <w:spacing w:after="0"/>
              <w:rPr>
                <w:sz w:val="20"/>
                <w:szCs w:val="20"/>
                <w:color w:val="auto"/>
              </w:rPr>
            </w:pPr>
            <w:r>
              <w:rPr>
                <w:rFonts w:ascii="Arial" w:cs="Arial" w:eastAsia="Arial" w:hAnsi="Arial"/>
                <w:sz w:val="13"/>
                <w:szCs w:val="13"/>
                <w:b w:val="1"/>
                <w:bCs w:val="1"/>
                <w:color w:val="auto"/>
                <w:w w:val="90"/>
              </w:rPr>
              <w:t>Percentage of New Options to be Exercised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8"/>
        </w:trPr>
        <w:tc>
          <w:tcPr>
            <w:tcW w:w="67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3"/>
                <w:szCs w:val="13"/>
                <w:b w:val="1"/>
                <w:bCs w:val="1"/>
                <w:color w:val="auto"/>
                <w:w w:val="88"/>
              </w:rPr>
              <w:t>As of June 30,</w:t>
            </w: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8"/>
        </w:trPr>
        <w:tc>
          <w:tcPr>
            <w:tcW w:w="6720" w:type="dxa"/>
            <w:vAlign w:val="bottom"/>
          </w:tcPr>
          <w:p>
            <w:pPr>
              <w:spacing w:after="0"/>
              <w:rPr>
                <w:sz w:val="12"/>
                <w:szCs w:val="12"/>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2011</w:t>
            </w:r>
          </w:p>
        </w:tc>
        <w:tc>
          <w:tcPr>
            <w:tcW w:w="620" w:type="dxa"/>
            <w:vAlign w:val="bottom"/>
          </w:tcPr>
          <w:p>
            <w:pPr>
              <w:spacing w:after="0"/>
              <w:rPr>
                <w:sz w:val="12"/>
                <w:szCs w:val="12"/>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2012</w:t>
            </w:r>
          </w:p>
        </w:tc>
        <w:tc>
          <w:tcPr>
            <w:tcW w:w="300" w:type="dxa"/>
            <w:vAlign w:val="bottom"/>
          </w:tcPr>
          <w:p>
            <w:pPr>
              <w:spacing w:after="0"/>
              <w:rPr>
                <w:sz w:val="12"/>
                <w:szCs w:val="12"/>
                <w:color w:val="auto"/>
              </w:rPr>
            </w:pPr>
          </w:p>
        </w:tc>
        <w:tc>
          <w:tcPr>
            <w:tcW w:w="740" w:type="dxa"/>
            <w:vAlign w:val="bottom"/>
            <w:gridSpan w:val="2"/>
          </w:tcPr>
          <w:p>
            <w:pPr>
              <w:jc w:val="center"/>
              <w:ind w:left="242"/>
              <w:spacing w:after="0" w:line="138" w:lineRule="exact"/>
              <w:rPr>
                <w:sz w:val="20"/>
                <w:szCs w:val="20"/>
                <w:color w:val="auto"/>
              </w:rPr>
            </w:pPr>
            <w:r>
              <w:rPr>
                <w:rFonts w:ascii="Arial" w:cs="Arial" w:eastAsia="Arial" w:hAnsi="Arial"/>
                <w:sz w:val="13"/>
                <w:szCs w:val="13"/>
                <w:b w:val="1"/>
                <w:bCs w:val="1"/>
                <w:color w:val="auto"/>
                <w:w w:val="89"/>
              </w:rPr>
              <w:t>2013</w:t>
            </w:r>
          </w:p>
        </w:tc>
        <w:tc>
          <w:tcPr>
            <w:tcW w:w="620" w:type="dxa"/>
            <w:vAlign w:val="bottom"/>
          </w:tcPr>
          <w:p>
            <w:pPr>
              <w:spacing w:after="0"/>
              <w:rPr>
                <w:sz w:val="12"/>
                <w:szCs w:val="12"/>
                <w:color w:val="auto"/>
              </w:rPr>
            </w:pPr>
          </w:p>
        </w:tc>
        <w:tc>
          <w:tcPr>
            <w:tcW w:w="40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2014</w:t>
            </w:r>
          </w:p>
        </w:tc>
        <w:tc>
          <w:tcPr>
            <w:tcW w:w="640" w:type="dxa"/>
            <w:vAlign w:val="bottom"/>
          </w:tcPr>
          <w:p>
            <w:pPr>
              <w:spacing w:after="0"/>
              <w:rPr>
                <w:sz w:val="12"/>
                <w:szCs w:val="12"/>
                <w:color w:val="auto"/>
              </w:rPr>
            </w:pPr>
          </w:p>
        </w:tc>
        <w:tc>
          <w:tcPr>
            <w:tcW w:w="3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2"/>
                <w:szCs w:val="12"/>
                <w:color w:val="auto"/>
              </w:rPr>
            </w:pPr>
          </w:p>
        </w:tc>
      </w:tr>
      <w:tr>
        <w:trPr>
          <w:trHeight w:val="191"/>
        </w:trPr>
        <w:tc>
          <w:tcPr>
            <w:tcW w:w="6720" w:type="dxa"/>
            <w:vAlign w:val="bottom"/>
            <w:tcBorders>
              <w:top w:val="single" w:sz="8" w:color="CCEEFF"/>
            </w:tcBorders>
            <w:shd w:val="clear" w:color="auto" w:fill="CCEEFF"/>
          </w:tcPr>
          <w:p>
            <w:pPr>
              <w:spacing w:after="0" w:line="191" w:lineRule="exact"/>
              <w:rPr>
                <w:sz w:val="20"/>
                <w:szCs w:val="20"/>
                <w:color w:val="auto"/>
              </w:rPr>
            </w:pPr>
            <w:r>
              <w:rPr>
                <w:rFonts w:ascii="Arial" w:cs="Arial" w:eastAsia="Arial" w:hAnsi="Arial"/>
                <w:sz w:val="17"/>
                <w:szCs w:val="17"/>
                <w:color w:val="auto"/>
              </w:rPr>
              <w:t>Non-Retirement Eligible</w:t>
            </w:r>
          </w:p>
        </w:tc>
        <w:tc>
          <w:tcPr>
            <w:tcW w:w="4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11"/>
        </w:trPr>
        <w:tc>
          <w:tcPr>
            <w:tcW w:w="6720" w:type="dxa"/>
            <w:vAlign w:val="bottom"/>
          </w:tcPr>
          <w:p>
            <w:pPr>
              <w:ind w:left="420"/>
              <w:spacing w:after="0"/>
              <w:rPr>
                <w:sz w:val="20"/>
                <w:szCs w:val="20"/>
                <w:color w:val="auto"/>
              </w:rPr>
            </w:pPr>
            <w:r>
              <w:rPr>
                <w:rFonts w:ascii="Arial" w:cs="Arial" w:eastAsia="Arial" w:hAnsi="Arial"/>
                <w:sz w:val="17"/>
                <w:szCs w:val="17"/>
                <w:color w:val="auto"/>
              </w:rPr>
              <w:t>Original vesting date of June 30, 2011</w:t>
            </w:r>
          </w:p>
        </w:tc>
        <w:tc>
          <w:tcPr>
            <w:tcW w:w="1020" w:type="dxa"/>
            <w:vAlign w:val="bottom"/>
            <w:gridSpan w:val="2"/>
          </w:tcPr>
          <w:p>
            <w:pPr>
              <w:jc w:val="right"/>
              <w:ind w:right="480"/>
              <w:spacing w:after="0"/>
              <w:rPr>
                <w:sz w:val="20"/>
                <w:szCs w:val="20"/>
                <w:color w:val="auto"/>
              </w:rPr>
            </w:pPr>
            <w:r>
              <w:rPr>
                <w:rFonts w:ascii="Arial" w:cs="Arial" w:eastAsia="Arial" w:hAnsi="Arial"/>
                <w:sz w:val="17"/>
                <w:szCs w:val="17"/>
                <w:color w:val="auto"/>
              </w:rPr>
              <w:t>20%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1360" w:type="dxa"/>
            <w:vAlign w:val="bottom"/>
            <w:gridSpan w:val="3"/>
          </w:tcPr>
          <w:p>
            <w:pPr>
              <w:jc w:val="right"/>
              <w:ind w:right="480"/>
              <w:spacing w:after="0"/>
              <w:rPr>
                <w:sz w:val="20"/>
                <w:szCs w:val="20"/>
                <w:color w:val="auto"/>
              </w:rPr>
            </w:pPr>
            <w:r>
              <w:rPr>
                <w:rFonts w:ascii="Arial" w:cs="Arial" w:eastAsia="Arial" w:hAnsi="Arial"/>
                <w:sz w:val="17"/>
                <w:szCs w:val="17"/>
                <w:color w:val="auto"/>
              </w:rPr>
              <w:t>20%</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20%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20%</w:t>
            </w:r>
          </w:p>
        </w:tc>
      </w:tr>
      <w:tr>
        <w:trPr>
          <w:trHeight w:val="211"/>
        </w:trPr>
        <w:tc>
          <w:tcPr>
            <w:tcW w:w="6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Original vesting date of June 30, 2012</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13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25%</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r>
      <w:tr>
        <w:trPr>
          <w:trHeight w:val="217"/>
        </w:trPr>
        <w:tc>
          <w:tcPr>
            <w:tcW w:w="6720" w:type="dxa"/>
            <w:vAlign w:val="bottom"/>
          </w:tcPr>
          <w:p>
            <w:pPr>
              <w:ind w:left="420"/>
              <w:spacing w:after="0"/>
              <w:rPr>
                <w:sz w:val="20"/>
                <w:szCs w:val="20"/>
                <w:color w:val="auto"/>
              </w:rPr>
            </w:pPr>
            <w:r>
              <w:rPr>
                <w:rFonts w:ascii="Arial" w:cs="Arial" w:eastAsia="Arial" w:hAnsi="Arial"/>
                <w:sz w:val="17"/>
                <w:szCs w:val="17"/>
                <w:color w:val="auto"/>
              </w:rPr>
              <w:t>Original vesting date of June 30, 2013</w:t>
            </w:r>
          </w:p>
        </w:tc>
        <w:tc>
          <w:tcPr>
            <w:tcW w:w="102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360" w:type="dxa"/>
            <w:vAlign w:val="bottom"/>
            <w:gridSpan w:val="3"/>
          </w:tcPr>
          <w:p>
            <w:pPr>
              <w:jc w:val="right"/>
              <w:ind w:right="480"/>
              <w:spacing w:after="0"/>
              <w:rPr>
                <w:sz w:val="20"/>
                <w:szCs w:val="20"/>
                <w:color w:val="auto"/>
              </w:rPr>
            </w:pPr>
            <w:r>
              <w:rPr>
                <w:rFonts w:ascii="Arial" w:cs="Arial" w:eastAsia="Arial" w:hAnsi="Arial"/>
                <w:sz w:val="17"/>
                <w:szCs w:val="17"/>
                <w:color w:val="auto"/>
              </w:rPr>
              <w:t>33%</w:t>
            </w: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33%</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r>
    </w:tbl>
    <w:p>
      <w:pPr>
        <w:spacing w:after="0" w:line="144" w:lineRule="exact"/>
        <w:rPr>
          <w:sz w:val="20"/>
          <w:szCs w:val="20"/>
          <w:color w:val="auto"/>
        </w:rPr>
      </w:pPr>
    </w:p>
    <w:p>
      <w:pPr>
        <w:ind w:right="60" w:firstLine="457"/>
        <w:spacing w:after="0" w:line="300" w:lineRule="auto"/>
        <w:rPr>
          <w:sz w:val="20"/>
          <w:szCs w:val="20"/>
          <w:color w:val="auto"/>
        </w:rPr>
      </w:pPr>
      <w:r>
        <w:rPr>
          <w:rFonts w:ascii="Arial" w:cs="Arial" w:eastAsia="Arial" w:hAnsi="Arial"/>
          <w:sz w:val="15"/>
          <w:szCs w:val="15"/>
          <w:color w:val="auto"/>
        </w:rPr>
        <w:t>If a holder’s employment with the Company were to terminate without cause, by reason of disability, or Company approved termination, these shares will continue to vest as if the holder continued to be employed as a retirement eligible or non-retirement eligible employee, as the case may be. In the event that a holder’s employment is terminated due to death, any unvested New Options shall immediately vest in full. In the event of a holder’s termination of employment due to death, disability, or a Company approved termination, the Company may, in its sole discretion, convert all or a portion of unexercised New Options into the right to receive upon vesting and exercise, in lieu of Company common stock, a cash payment pursuant to a prescribed formula. The aggregate grant date fair value of the New Options issued of $127.1 million is being recorded as compensation expense over the vesting period. Total compensation expense recorded in conjunction with the New Options for the fiscal 2012, fiscal 2011, and fiscal 2010, was $11.2 million, $27.3 million, and $42.2 million, respectively. The total fair value of New Options vested during fiscal 2012 and 2011 was $10.4 million and $10.4 million, respectively. As of March 31, 2012 and 2011, unrecognized compensation cost related to the non-vested New Options was $3.5 million and $14.7 million, respectively, which is expected to be recognized over 1.25 and 2.25 years, respectively.</w:t>
      </w:r>
    </w:p>
    <w:p>
      <w:pPr>
        <w:spacing w:after="0" w:line="114"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As permitted under the terms of the Rollover Plan, the Compensation Committee, as Administrator of the Rollover Plan, authorized on June 3, 2011 the payment of withholding taxes not to exceed the minimum statutory withholding amount arising in connection with the exercise of Rollover Options through the surrender of shares of Class A common stock, issuable upon the exercise of such Rollover Options. The Company extended this offer to the holders of the Rollover Options to provide for an additional alternative to either paying the minimum required withholding tax arising in connection with the exercise of the Rollover Options from each holder’s existing personal funds or from the proceeds of the open market sale of a portion of the shares issuable upon the exercise of the Rollover Options. The surrender program was limited to the Rollover Options that were required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51"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to be exercised between June 30, 2011 and September 15, 2011 and, for those holders who elected to participate, the trade date was August 12, 2011 for the exercise of the Rollover Options. As a result of this transaction, the Company repurchased 333,775 shares at $16.11 and recorded them as treasury shares at a cost of $5.4 million.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94" w:lineRule="exact"/>
        <w:rPr>
          <w:sz w:val="20"/>
          <w:szCs w:val="20"/>
          <w:color w:val="auto"/>
        </w:rPr>
      </w:pPr>
    </w:p>
    <w:p>
      <w:pPr>
        <w:ind w:right="280" w:firstLine="457"/>
        <w:spacing w:after="0" w:line="271" w:lineRule="auto"/>
        <w:rPr>
          <w:sz w:val="20"/>
          <w:szCs w:val="20"/>
          <w:color w:val="auto"/>
        </w:rPr>
      </w:pPr>
      <w:r>
        <w:rPr>
          <w:rFonts w:ascii="Arial" w:cs="Arial" w:eastAsia="Arial" w:hAnsi="Arial"/>
          <w:sz w:val="17"/>
          <w:szCs w:val="17"/>
          <w:color w:val="auto"/>
        </w:rPr>
        <w:t>The EIP was created in connection with the Merger Transaction for employees and directors of Holding. The Company created a pool of options, or EIP Options, to draw upon for future grants that would be governed by the EIP. All options under the EIP are exercisable, upon vesting, for shares of common stock of Holding. The grants of options under the EIP were as follows:</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w w:val="97"/>
              </w:rPr>
              <w:t>Date of Grant</w:t>
            </w:r>
          </w:p>
        </w:tc>
        <w:tc>
          <w:tcPr>
            <w:tcW w:w="2000" w:type="dxa"/>
            <w:vAlign w:val="bottom"/>
            <w:vMerge w:val="restart"/>
          </w:tcPr>
          <w:p>
            <w:pPr>
              <w:spacing w:after="0"/>
              <w:rPr>
                <w:sz w:val="13"/>
                <w:szCs w:val="13"/>
                <w:color w:val="auto"/>
              </w:rPr>
            </w:pPr>
          </w:p>
        </w:tc>
        <w:tc>
          <w:tcPr>
            <w:tcW w:w="1460" w:type="dxa"/>
            <w:vAlign w:val="bottom"/>
          </w:tcPr>
          <w:p>
            <w:pPr>
              <w:spacing w:after="0"/>
              <w:rPr>
                <w:sz w:val="13"/>
                <w:szCs w:val="13"/>
                <w:color w:val="auto"/>
              </w:rPr>
            </w:pPr>
          </w:p>
        </w:tc>
        <w:tc>
          <w:tcPr>
            <w:tcW w:w="960" w:type="dxa"/>
            <w:vAlign w:val="bottom"/>
          </w:tcPr>
          <w:p>
            <w:pPr>
              <w:jc w:val="right"/>
              <w:ind w:right="104"/>
              <w:spacing w:after="0"/>
              <w:rPr>
                <w:sz w:val="20"/>
                <w:szCs w:val="20"/>
                <w:color w:val="auto"/>
              </w:rPr>
            </w:pPr>
            <w:r>
              <w:rPr>
                <w:rFonts w:ascii="Arial" w:cs="Arial" w:eastAsia="Arial" w:hAnsi="Arial"/>
                <w:sz w:val="13"/>
                <w:szCs w:val="13"/>
                <w:b w:val="1"/>
                <w:bCs w:val="1"/>
                <w:color w:val="auto"/>
              </w:rPr>
              <w:t>Number of</w:t>
            </w:r>
          </w:p>
        </w:tc>
        <w:tc>
          <w:tcPr>
            <w:tcW w:w="34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rPr>
              <w:t>Estimated Fair Value of Common</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242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Options Granted</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Stock at Time of Grant</w:t>
            </w:r>
          </w:p>
        </w:tc>
        <w:tc>
          <w:tcPr>
            <w:tcW w:w="0" w:type="dxa"/>
            <w:vAlign w:val="bottom"/>
          </w:tcPr>
          <w:p>
            <w:pPr>
              <w:spacing w:after="0"/>
              <w:rPr>
                <w:sz w:val="1"/>
                <w:szCs w:val="1"/>
                <w:color w:val="auto"/>
              </w:rPr>
            </w:pPr>
          </w:p>
        </w:tc>
      </w:tr>
      <w:tr>
        <w:trPr>
          <w:trHeight w:val="197"/>
        </w:trPr>
        <w:tc>
          <w:tcPr>
            <w:tcW w:w="2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May 7, 2009</w:t>
            </w:r>
          </w:p>
        </w:tc>
        <w:tc>
          <w:tcPr>
            <w:tcW w:w="1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1,420,000</w:t>
            </w:r>
          </w:p>
        </w:tc>
        <w:tc>
          <w:tcPr>
            <w:tcW w:w="1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spacing w:after="0"/>
              <w:rPr>
                <w:sz w:val="20"/>
                <w:szCs w:val="20"/>
                <w:color w:val="auto"/>
              </w:rPr>
            </w:pPr>
            <w:r>
              <w:rPr>
                <w:rFonts w:ascii="Arial" w:cs="Arial" w:eastAsia="Arial" w:hAnsi="Arial"/>
                <w:sz w:val="17"/>
                <w:szCs w:val="17"/>
                <w:color w:val="auto"/>
              </w:rPr>
              <w:t>January 27, 2010</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470,000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February 15, 2010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spacing w:after="0"/>
              <w:rPr>
                <w:sz w:val="20"/>
                <w:szCs w:val="20"/>
                <w:color w:val="auto"/>
              </w:rPr>
            </w:pPr>
            <w:r>
              <w:rPr>
                <w:rFonts w:ascii="Arial" w:cs="Arial" w:eastAsia="Arial" w:hAnsi="Arial"/>
                <w:sz w:val="17"/>
                <w:szCs w:val="17"/>
                <w:color w:val="auto"/>
              </w:rPr>
              <w:t>April 28, 2010</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1,700,000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17, 2010</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spacing w:after="0"/>
              <w:rPr>
                <w:sz w:val="20"/>
                <w:szCs w:val="20"/>
                <w:color w:val="auto"/>
              </w:rPr>
            </w:pPr>
            <w:r>
              <w:rPr>
                <w:rFonts w:ascii="Arial" w:cs="Arial" w:eastAsia="Arial" w:hAnsi="Arial"/>
                <w:sz w:val="17"/>
                <w:szCs w:val="17"/>
                <w:color w:val="auto"/>
              </w:rPr>
              <w:t>November 16, 2010</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260,000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 2011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430,000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spacing w:after="0"/>
              <w:rPr>
                <w:sz w:val="20"/>
                <w:szCs w:val="20"/>
                <w:color w:val="auto"/>
              </w:rPr>
            </w:pPr>
            <w:r>
              <w:rPr>
                <w:rFonts w:ascii="Arial" w:cs="Arial" w:eastAsia="Arial" w:hAnsi="Arial"/>
                <w:sz w:val="17"/>
                <w:szCs w:val="17"/>
                <w:color w:val="auto"/>
              </w:rPr>
              <w:t>April 1, 2011</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1,280,000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1, 2011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tcPr>
          <w:p>
            <w:pPr>
              <w:spacing w:after="0"/>
              <w:rPr>
                <w:sz w:val="20"/>
                <w:szCs w:val="20"/>
                <w:color w:val="auto"/>
              </w:rPr>
            </w:pPr>
            <w:r>
              <w:rPr>
                <w:rFonts w:ascii="Arial" w:cs="Arial" w:eastAsia="Arial" w:hAnsi="Arial"/>
                <w:sz w:val="17"/>
                <w:szCs w:val="17"/>
                <w:color w:val="auto"/>
              </w:rPr>
              <w:t>August 10, 2011</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140,000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8, 2011</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190,000</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gridSpan w:val="2"/>
          </w:tcPr>
          <w:p>
            <w:pPr>
              <w:spacing w:after="0"/>
              <w:rPr>
                <w:sz w:val="20"/>
                <w:szCs w:val="20"/>
                <w:color w:val="auto"/>
              </w:rPr>
            </w:pPr>
            <w:r>
              <w:rPr>
                <w:rFonts w:ascii="Arial" w:cs="Arial" w:eastAsia="Arial" w:hAnsi="Arial"/>
                <w:sz w:val="17"/>
                <w:szCs w:val="17"/>
                <w:color w:val="auto"/>
              </w:rPr>
              <w:t>February 23, 2012</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345,000</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Stock options are granted at the discretion of the Board of Directors or its Compensation Committee and expire ten years from the date of the grant. Options generally vest over a five-year period based upon required service and performance conditions. Starting on February 1, 2012, the Board of Directors or its Compensation Committee updated vesting conditions for stock options, whereby stock options only vest upon a required service condition. The Company calculates the pool of additional paid-in capital associated with excess tax benefits using the “simplified method.”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grant date fair value of the EIP Options issued during fiscal 2012, fiscal 2011, and fiscal 2010, was $18.5 million, $15.3 million, and</w:t>
      </w:r>
    </w:p>
    <w:p>
      <w:pPr>
        <w:spacing w:after="0" w:line="3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$10.6 million, respectively, and is being recorded as expense over the vesting period. Total compensation expense recorded in conjunction with options outstanding under the EIP for fiscal 2012, fiscal 2011, and fiscal 2010, was $12.7 million, $17.4 million, and $22.4 million, respectively. The total fair value of EIP Options vested during fiscal 2012 and 2011 was $10.7 million and $12.7 million, respectively. As of March 31, 2012 and 2011, unrecognized compensation cost related to the non-vested EIP Options was $18.4 million and $24.5 million, respectively, and is expected to be recognized over 5.25 and 5.25 years, respectively. As of March 31, 2012 and 2011, there were 11,616,000 and 12,865,310 options, respectively, available for future grant under the EIP.</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Adoption of Annual Incentive Plan</w:t>
      </w:r>
    </w:p>
    <w:p>
      <w:pPr>
        <w:spacing w:after="0" w:line="94"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will vest based on the passage of time, subject to the officer’s continued employment by the Company. The portion to</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20"/>
          </w:cols>
          <w:pgMar w:left="240" w:top="451"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Grants of Class A Restricted Common Stock</w:t>
      </w:r>
    </w:p>
    <w:p>
      <w:pPr>
        <w:spacing w:after="0" w:line="9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On April 1, 2011, the Compensation Committee of the Board of Directors granted 20,231 shares of Class A Restricted Stock to certain Board members for their continued service to the Company. These shares vest in equal installments on September 30, 2011 and March 31, 2012, and were issued with an aggregate grant date fair value of $370,000. On November 9, 2011, the Compensation Committee of the Board of Directors granted 1,242 shares of Class A Restricted Stock to a new Board member for his service to the Company. These shares shall vest on March 31, 2012, and were issued with an aggregate fair value of $20,000. Total compensation expense recorded in conjunction with these grants for the fiscal year ended March 31, 2012 was $390,000.</w:t>
      </w:r>
    </w:p>
    <w:p>
      <w:pPr>
        <w:spacing w:after="0" w:line="119"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On July 1, 2011, the Compensation Committee of the Board of Directors granted 514,869 shares of Class A Restricted Stock in conjunction with the new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and the aggregate value was estimated at $9.8 million based on the stock price of $19.08 on the grant date. Total compensation expense recorded in conjunction with this grant for the fiscal year ended March 31, 2012 was $5.6 million. Future compensation cost related to this award not yet recognized in consolidated statements of operations was $4.3 million and is expected to be recognized over the next 2.25 years.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Methodology</w:t>
      </w:r>
    </w:p>
    <w:p>
      <w:pPr>
        <w:spacing w:after="0" w:line="9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Company uses the Black-Scholes option-pricing model to determine the estimated fair value for stock-based awards. The fair value of the Company stock on the date of the New Option grant was determined based on the fair value of the Merger Transaction involving Booz Allen Hamilton, Inc. and the Company that occurred on July 31, 2008. For all grants of options through the initial public offering, the fair value of the Company’s stock was determined by an independent valuation specialist. For all grants of options subsequent to the initial public offering, the fair value of the Company’s stock was based on the Company’s closing price on the New York Stock Exchange.</w:t>
      </w:r>
    </w:p>
    <w:p>
      <w:pPr>
        <w:spacing w:after="0" w:line="132"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On February 1, 2012, the Company’s Board of Directors authorized and declared a cash dividend in the amount of $0.09 per share. Therefore, an annualized dividend yield of approximately 2% was used in the Black-Scholes option-pricing model for all grants issued after February 1, 2012. Prior to this, the Company did not issue dividends and a dividend yield of zero was used in the Black-Scholes option-pricing model. Implied volatility is calculated as of each grant date based on our historical volatility along with an assessment of a peer group for future option grants. Other than the expected life of the option, volatility is the most sensitive input to our option grants. To be consistent with all other implied calculations, the same peer group used to calculate other implied metrics is also used to calculate implied volatility.</w:t>
      </w:r>
    </w:p>
    <w:p>
      <w:pPr>
        <w:spacing w:after="0" w:line="137" w:lineRule="exact"/>
        <w:rPr>
          <w:sz w:val="20"/>
          <w:szCs w:val="20"/>
          <w:color w:val="auto"/>
        </w:rPr>
      </w:pPr>
    </w:p>
    <w:p>
      <w:pPr>
        <w:ind w:right="240" w:firstLine="457"/>
        <w:spacing w:after="0" w:line="271" w:lineRule="auto"/>
        <w:rPr>
          <w:sz w:val="20"/>
          <w:szCs w:val="20"/>
          <w:color w:val="auto"/>
        </w:rPr>
      </w:pPr>
      <w:r>
        <w:rPr>
          <w:rFonts w:ascii="Arial" w:cs="Arial" w:eastAsia="Arial" w:hAnsi="Arial"/>
          <w:sz w:val="17"/>
          <w:szCs w:val="17"/>
          <w:color w:val="auto"/>
        </w:rPr>
        <w:t>The risk-free interest rate is determined by reference to the U.S. Treasury yield curve rates with the remaining term equal to the expected life assumed at the date of grant. The average expected life was estimated based on internal qualitative and quantitative factors. Forfeitures were estimated based on the Company’s historical analysis of Officer attrition levels and actual forfeiture rates by grant date.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00"/>
          </w:cols>
          <w:pgMar w:left="240" w:top="451"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weighted average assumptions used in the Black-Scholes option-pricing model for stock option awards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59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w w:val="93"/>
              </w:rPr>
              <w:t>Through Fiscal Year Ended March 31,</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38"/>
        </w:trPr>
        <w:tc>
          <w:tcPr>
            <w:tcW w:w="59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44"/>
              <w:spacing w:after="0" w:line="138" w:lineRule="exact"/>
              <w:rPr>
                <w:sz w:val="20"/>
                <w:szCs w:val="20"/>
                <w:color w:val="auto"/>
              </w:rPr>
            </w:pPr>
            <w:r>
              <w:rPr>
                <w:rFonts w:ascii="Arial" w:cs="Arial" w:eastAsia="Arial" w:hAnsi="Arial"/>
                <w:sz w:val="13"/>
                <w:szCs w:val="13"/>
                <w:b w:val="1"/>
                <w:bCs w:val="1"/>
                <w:color w:val="auto"/>
              </w:rPr>
              <w:t>2011</w:t>
            </w:r>
          </w:p>
        </w:tc>
        <w:tc>
          <w:tcPr>
            <w:tcW w:w="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20"/>
              <w:spacing w:after="0" w:line="138"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04"/>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7"/>
              </w:rPr>
              <w:t>0.28%</w:t>
            </w:r>
          </w:p>
        </w:tc>
        <w:tc>
          <w:tcPr>
            <w:tcW w:w="8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0.00%</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9"/>
              </w:rPr>
              <w:t>0.00%</w:t>
            </w: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Expected volatility</w:t>
            </w:r>
          </w:p>
        </w:tc>
        <w:tc>
          <w:tcPr>
            <w:tcW w:w="620" w:type="dxa"/>
            <w:vAlign w:val="bottom"/>
            <w:gridSpan w:val="2"/>
          </w:tcPr>
          <w:p>
            <w:pPr>
              <w:ind w:left="180"/>
              <w:spacing w:after="0"/>
              <w:rPr>
                <w:sz w:val="20"/>
                <w:szCs w:val="20"/>
                <w:color w:val="auto"/>
              </w:rPr>
            </w:pPr>
            <w:r>
              <w:rPr>
                <w:rFonts w:ascii="Arial" w:cs="Arial" w:eastAsia="Arial" w:hAnsi="Arial"/>
                <w:sz w:val="17"/>
                <w:szCs w:val="17"/>
                <w:color w:val="auto"/>
                <w:w w:val="87"/>
              </w:rPr>
              <w:t>36.8%</w:t>
            </w:r>
          </w:p>
        </w:tc>
        <w:tc>
          <w:tcPr>
            <w:tcW w:w="2300" w:type="dxa"/>
            <w:vAlign w:val="bottom"/>
            <w:gridSpan w:val="3"/>
          </w:tcPr>
          <w:p>
            <w:pPr>
              <w:ind w:left="1020"/>
              <w:spacing w:after="0"/>
              <w:rPr>
                <w:sz w:val="20"/>
                <w:szCs w:val="20"/>
                <w:color w:val="auto"/>
              </w:rPr>
            </w:pPr>
            <w:r>
              <w:rPr>
                <w:rFonts w:ascii="Arial" w:cs="Arial" w:eastAsia="Arial" w:hAnsi="Arial"/>
                <w:sz w:val="17"/>
                <w:szCs w:val="17"/>
                <w:color w:val="auto"/>
              </w:rPr>
              <w:t>39.8%</w:t>
            </w:r>
          </w:p>
        </w:tc>
        <w:tc>
          <w:tcPr>
            <w:tcW w:w="740" w:type="dxa"/>
            <w:vAlign w:val="bottom"/>
            <w:gridSpan w:val="2"/>
          </w:tcPr>
          <w:p>
            <w:pPr>
              <w:ind w:left="240"/>
              <w:spacing w:after="0"/>
              <w:rPr>
                <w:sz w:val="20"/>
                <w:szCs w:val="20"/>
                <w:color w:val="auto"/>
              </w:rPr>
            </w:pPr>
            <w:r>
              <w:rPr>
                <w:rFonts w:ascii="Arial" w:cs="Arial" w:eastAsia="Arial" w:hAnsi="Arial"/>
                <w:sz w:val="17"/>
                <w:szCs w:val="17"/>
                <w:color w:val="auto"/>
                <w:w w:val="99"/>
              </w:rPr>
              <w:t>40.7%</w:t>
            </w: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7"/>
              </w:rPr>
              <w:t>2.35%</w:t>
            </w:r>
          </w:p>
        </w:tc>
        <w:tc>
          <w:tcPr>
            <w:tcW w:w="2300" w:type="dxa"/>
            <w:vAlign w:val="bottom"/>
            <w:gridSpan w:val="3"/>
            <w:shd w:val="clear" w:color="auto" w:fill="CCEEFF"/>
          </w:tcPr>
          <w:p>
            <w:pPr>
              <w:ind w:left="1020"/>
              <w:spacing w:after="0"/>
              <w:rPr>
                <w:sz w:val="20"/>
                <w:szCs w:val="20"/>
                <w:color w:val="auto"/>
              </w:rPr>
            </w:pPr>
            <w:r>
              <w:rPr>
                <w:rFonts w:ascii="Arial" w:cs="Arial" w:eastAsia="Arial" w:hAnsi="Arial"/>
                <w:sz w:val="17"/>
                <w:szCs w:val="17"/>
                <w:color w:val="auto"/>
              </w:rPr>
              <w:t>3.07%</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99"/>
              </w:rPr>
              <w:t>2.90%</w:t>
            </w: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Expected life (in years)</w:t>
            </w:r>
          </w:p>
        </w:tc>
        <w:tc>
          <w:tcPr>
            <w:tcW w:w="480" w:type="dxa"/>
            <w:vAlign w:val="bottom"/>
          </w:tcPr>
          <w:p>
            <w:pPr>
              <w:ind w:left="180"/>
              <w:spacing w:after="0"/>
              <w:rPr>
                <w:sz w:val="20"/>
                <w:szCs w:val="20"/>
                <w:color w:val="auto"/>
              </w:rPr>
            </w:pPr>
            <w:r>
              <w:rPr>
                <w:rFonts w:ascii="Arial" w:cs="Arial" w:eastAsia="Arial" w:hAnsi="Arial"/>
                <w:sz w:val="17"/>
                <w:szCs w:val="17"/>
                <w:color w:val="auto"/>
                <w:w w:val="84"/>
              </w:rPr>
              <w:t>7.00</w:t>
            </w:r>
          </w:p>
        </w:tc>
        <w:tc>
          <w:tcPr>
            <w:tcW w:w="140" w:type="dxa"/>
            <w:vAlign w:val="bottom"/>
          </w:tcPr>
          <w:p>
            <w:pPr>
              <w:spacing w:after="0"/>
              <w:rPr>
                <w:sz w:val="18"/>
                <w:szCs w:val="18"/>
                <w:color w:val="auto"/>
              </w:rPr>
            </w:pPr>
          </w:p>
        </w:tc>
        <w:tc>
          <w:tcPr>
            <w:tcW w:w="1320" w:type="dxa"/>
            <w:vAlign w:val="bottom"/>
            <w:gridSpan w:val="2"/>
          </w:tcPr>
          <w:p>
            <w:pPr>
              <w:ind w:left="1020"/>
              <w:spacing w:after="0"/>
              <w:rPr>
                <w:sz w:val="20"/>
                <w:szCs w:val="20"/>
                <w:color w:val="auto"/>
              </w:rPr>
            </w:pPr>
            <w:r>
              <w:rPr>
                <w:rFonts w:ascii="Arial" w:cs="Arial" w:eastAsia="Arial" w:hAnsi="Arial"/>
                <w:sz w:val="17"/>
                <w:szCs w:val="17"/>
                <w:color w:val="auto"/>
                <w:w w:val="84"/>
              </w:rPr>
              <w:t>7.00</w:t>
            </w:r>
          </w:p>
        </w:tc>
        <w:tc>
          <w:tcPr>
            <w:tcW w:w="98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7"/>
                <w:szCs w:val="17"/>
                <w:color w:val="auto"/>
                <w:w w:val="84"/>
              </w:rPr>
              <w:t>7.04</w:t>
            </w:r>
          </w:p>
        </w:tc>
        <w:tc>
          <w:tcPr>
            <w:tcW w:w="200" w:type="dxa"/>
            <w:vAlign w:val="bottom"/>
          </w:tcPr>
          <w:p>
            <w:pPr>
              <w:spacing w:after="0"/>
              <w:rPr>
                <w:sz w:val="18"/>
                <w:szCs w:val="18"/>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grant date fair value</w:t>
            </w:r>
          </w:p>
        </w:tc>
        <w:tc>
          <w:tcPr>
            <w:tcW w:w="4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7.56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w w:val="84"/>
              </w:rPr>
              <w:t>6.23</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84"/>
              </w:rPr>
              <w:t>5.51</w:t>
            </w:r>
          </w:p>
        </w:tc>
        <w:tc>
          <w:tcPr>
            <w:tcW w:w="2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Dividends</w:t>
      </w:r>
    </w:p>
    <w:p>
      <w:pPr>
        <w:spacing w:after="0" w:line="94"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On December 7, 2009, the Company’s Board of Directors approved a dividend of $4.642 per share paid to holders of record as of December 8, 2009 of Class A Common Stock, Class B Non-Voting Common Stock, and Class C Restricted Common Stock. This dividend totaled $497.5 million. As required by the Rollover Plan and the EIP, and in accordance with applicable tax laws and regulatory guidance, the exercise price per share of each outstanding New Option and EIP Option was reduced in an amount equal to the value of the dividend. The Company evaluated the reduction of the exercise price associated with the dividend issuance. Both the Rollover and EIP plans contained mandatory antidilution provisions requiring modification of the options in the event of an equity restructuring, such as the dividends declared in July and December 2009. In addition, the structure of the modifications, as a reduction in the exercise price of options, did not result in an increase to the fair value of the awards. As a result of these factors, the Company did not record incremental compensation expense associated with the modifications of the options as a result of the July and December 2009 dividends. Options vested and not yet exercised that would have had an exercise price below zero as a result of the dividend were reduced to one cent. The difference between the one cent exercise price and the reduced value for shares not yet exercised of approximately $54.4 million will be accrued by the Company as the options vest and will be paid in cash upon exercise of the options, subject to the continued vesting of the options. As of March 31, 2012 and 2011, the Company reported $27.7 million and $31.4 million, respectively, in other long-term liabilities and $8.9 million and $9.0 million, respectively, in accrued compensation and benefits in the consolidated balance sheets based on the proportion of the potential payment of $54.4 million which is represented by vested options for which stock-based compensation expense has been recorded. The Company paid $9.0 million to option holders in fiscal 2012 to settle the New Options exercised during the fiscal year, which is included in stock option exercises in cash flows from financing activities in the consolidated statements of cash flows.</w:t>
      </w:r>
    </w:p>
    <w:p>
      <w:pPr>
        <w:spacing w:after="0" w:line="133"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On July 27, 2009, the Company’s Board of Directors approved a dividend of $1.087 per share paid to holders of record as of July 29, 2009 of the Company’s Class A Common Stock, Class B Non-Voting Common Stock, and Class C Restricted Common Stock. This dividend totaled $114.9 million. In accordance with the Officers’ Rollover Stock Plan, the exercise price per share of each outstanding option, including New Options and EIP options, was reduced in compliance with applicable tax laws and regulatory guidance. Additionally, the Company evaluated the reduction of the exercise price associated with the dividend issuance. As a result, the Company did not record any additional incremental compensation expense associated with the dividend and corresponding decrease in the exercise and fair value of all outstanding options.</w:t>
      </w:r>
    </w:p>
    <w:p>
      <w:pPr>
        <w:spacing w:after="0" w:line="137"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On February 1, 2012, the Company’s Board of Directors authorized and declared a cash dividend in the amount of $0.09 per share. The dividend was paid in cash on February 29, 2012 to stockholders of record at the close of business on February 13, 2012.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451"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stock option activity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3"/>
          </w:tcPr>
          <w:p>
            <w:pPr>
              <w:jc w:val="center"/>
              <w:ind w:right="140"/>
              <w:spacing w:after="0" w:line="14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20" w:type="dxa"/>
            <w:vAlign w:val="bottom"/>
          </w:tcPr>
          <w:p>
            <w:pPr>
              <w:jc w:val="right"/>
              <w:ind w:right="16"/>
              <w:spacing w:after="0" w:line="145" w:lineRule="exact"/>
              <w:rPr>
                <w:sz w:val="20"/>
                <w:szCs w:val="20"/>
                <w:color w:val="auto"/>
              </w:rPr>
            </w:pPr>
            <w:r>
              <w:rPr>
                <w:rFonts w:ascii="Arial" w:cs="Arial" w:eastAsia="Arial" w:hAnsi="Arial"/>
                <w:sz w:val="13"/>
                <w:szCs w:val="13"/>
                <w:b w:val="1"/>
                <w:bCs w:val="1"/>
                <w:color w:val="auto"/>
              </w:rPr>
              <w:t>Number of</w:t>
            </w:r>
          </w:p>
        </w:tc>
        <w:tc>
          <w:tcPr>
            <w:tcW w:w="620" w:type="dxa"/>
            <w:vAlign w:val="bottom"/>
          </w:tcPr>
          <w:p>
            <w:pPr>
              <w:spacing w:after="0"/>
              <w:rPr>
                <w:sz w:val="12"/>
                <w:szCs w:val="12"/>
                <w:color w:val="auto"/>
              </w:rPr>
            </w:pPr>
          </w:p>
        </w:tc>
        <w:tc>
          <w:tcPr>
            <w:tcW w:w="660" w:type="dxa"/>
            <w:vAlign w:val="bottom"/>
            <w:gridSpan w:val="3"/>
          </w:tcPr>
          <w:p>
            <w:pPr>
              <w:jc w:val="center"/>
              <w:ind w:right="140"/>
              <w:spacing w:after="0" w:line="145" w:lineRule="exact"/>
              <w:rPr>
                <w:sz w:val="20"/>
                <w:szCs w:val="20"/>
                <w:color w:val="auto"/>
              </w:rPr>
            </w:pPr>
            <w:r>
              <w:rPr>
                <w:rFonts w:ascii="Arial" w:cs="Arial" w:eastAsia="Arial" w:hAnsi="Arial"/>
                <w:sz w:val="13"/>
                <w:szCs w:val="13"/>
                <w:b w:val="1"/>
                <w:bCs w:val="1"/>
                <w:color w:val="auto"/>
                <w:w w:val="89"/>
              </w:rPr>
              <w:t>Exercise</w:t>
            </w:r>
          </w:p>
        </w:tc>
        <w:tc>
          <w:tcPr>
            <w:tcW w:w="0" w:type="dxa"/>
            <w:vAlign w:val="bottom"/>
          </w:tcPr>
          <w:p>
            <w:pPr>
              <w:spacing w:after="0"/>
              <w:rPr>
                <w:sz w:val="1"/>
                <w:szCs w:val="1"/>
                <w:color w:val="auto"/>
              </w:rPr>
            </w:pPr>
          </w:p>
        </w:tc>
      </w:tr>
      <w:tr>
        <w:trPr>
          <w:trHeight w:val="158"/>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70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rPr>
              <w:t>Options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840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7"/>
                <w:szCs w:val="17"/>
                <w:b w:val="1"/>
                <w:bCs w:val="1"/>
                <w:i w:val="1"/>
                <w:iCs w:val="1"/>
                <w:color w:val="auto"/>
              </w:rPr>
              <w:t>Officers’ Rollover Stock Plan New Options</w:t>
            </w:r>
          </w:p>
        </w:tc>
        <w:tc>
          <w:tcPr>
            <w:tcW w:w="8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Retirement Eligible:</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March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4,128,410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Expired</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1,457,082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8860" w:type="dxa"/>
            <w:vAlign w:val="bottom"/>
            <w:gridSpan w:val="3"/>
          </w:tcPr>
          <w:p>
            <w:pPr>
              <w:ind w:left="460"/>
              <w:spacing w:after="0"/>
              <w:rPr>
                <w:sz w:val="20"/>
                <w:szCs w:val="20"/>
                <w:color w:val="auto"/>
              </w:rPr>
            </w:pPr>
            <w:r>
              <w:rPr>
                <w:rFonts w:ascii="Arial" w:cs="Arial" w:eastAsia="Arial" w:hAnsi="Arial"/>
                <w:sz w:val="17"/>
                <w:szCs w:val="17"/>
                <w:color w:val="auto"/>
              </w:rPr>
              <w:t>Options outstanding at March 31, 2012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2,671,328</w:t>
            </w:r>
          </w:p>
        </w:tc>
        <w:tc>
          <w:tcPr>
            <w:tcW w:w="720" w:type="dxa"/>
            <w:vAlign w:val="bottom"/>
            <w:gridSpan w:val="2"/>
          </w:tcPr>
          <w:p>
            <w:pPr>
              <w:ind w:left="620"/>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0" w:type="dxa"/>
            <w:vAlign w:val="bottom"/>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Non-Retirement Eligible:</w:t>
            </w: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Options outstanding at March 31, 2011</w:t>
            </w:r>
          </w:p>
        </w:tc>
        <w:tc>
          <w:tcPr>
            <w:tcW w:w="820" w:type="dxa"/>
            <w:vAlign w:val="bottom"/>
          </w:tcPr>
          <w:p>
            <w:pPr>
              <w:jc w:val="right"/>
              <w:spacing w:after="0"/>
              <w:rPr>
                <w:sz w:val="20"/>
                <w:szCs w:val="20"/>
                <w:color w:val="auto"/>
              </w:rPr>
            </w:pPr>
            <w:r>
              <w:rPr>
                <w:rFonts w:ascii="Arial" w:cs="Arial" w:eastAsia="Arial" w:hAnsi="Arial"/>
                <w:sz w:val="17"/>
                <w:szCs w:val="17"/>
                <w:color w:val="auto"/>
              </w:rPr>
              <w:t>7,517,500</w:t>
            </w:r>
          </w:p>
        </w:tc>
        <w:tc>
          <w:tcPr>
            <w:tcW w:w="720" w:type="dxa"/>
            <w:vAlign w:val="bottom"/>
            <w:gridSpan w:val="2"/>
          </w:tcPr>
          <w:p>
            <w:pPr>
              <w:ind w:left="620"/>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Granted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Expired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751,750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March 31, 2012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6,765,750</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8860" w:type="dxa"/>
            <w:vAlign w:val="bottom"/>
            <w:gridSpan w:val="3"/>
            <w:vMerge w:val="restart"/>
          </w:tcPr>
          <w:p>
            <w:pPr>
              <w:ind w:left="460"/>
              <w:spacing w:after="0"/>
              <w:rPr>
                <w:sz w:val="20"/>
                <w:szCs w:val="20"/>
                <w:color w:val="auto"/>
              </w:rPr>
            </w:pPr>
            <w:r>
              <w:rPr>
                <w:rFonts w:ascii="Arial" w:cs="Arial" w:eastAsia="Arial" w:hAnsi="Arial"/>
                <w:sz w:val="17"/>
                <w:szCs w:val="17"/>
                <w:b w:val="1"/>
                <w:bCs w:val="1"/>
                <w:i w:val="1"/>
                <w:iCs w:val="1"/>
                <w:color w:val="auto"/>
              </w:rPr>
              <w:t>Equity Incentive Plan Options</w:t>
            </w: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860" w:type="dxa"/>
            <w:vAlign w:val="bottom"/>
            <w:gridSpan w:val="3"/>
            <w:vMerge w:val="continue"/>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at March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11,775,725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2,445,000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1,284,072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7"/>
                <w:szCs w:val="17"/>
                <w:color w:val="auto"/>
              </w:rPr>
              <w:t>Expired</w:t>
            </w:r>
          </w:p>
        </w:tc>
        <w:tc>
          <w:tcPr>
            <w:tcW w:w="820" w:type="dxa"/>
            <w:vAlign w:val="bottom"/>
          </w:tcPr>
          <w:p>
            <w:pPr>
              <w:jc w:val="right"/>
              <w:spacing w:after="0"/>
              <w:rPr>
                <w:sz w:val="20"/>
                <w:szCs w:val="20"/>
                <w:color w:val="auto"/>
              </w:rPr>
            </w:pPr>
            <w:r>
              <w:rPr>
                <w:rFonts w:ascii="Arial" w:cs="Arial" w:eastAsia="Arial" w:hAnsi="Arial"/>
                <w:sz w:val="17"/>
                <w:szCs w:val="17"/>
                <w:color w:val="auto"/>
              </w:rPr>
              <w:t>3,980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1,591,391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ind w:left="460"/>
              <w:spacing w:after="0"/>
              <w:rPr>
                <w:sz w:val="20"/>
                <w:szCs w:val="20"/>
                <w:color w:val="auto"/>
              </w:rPr>
            </w:pPr>
            <w:r>
              <w:rPr>
                <w:rFonts w:ascii="Arial" w:cs="Arial" w:eastAsia="Arial" w:hAnsi="Arial"/>
                <w:sz w:val="17"/>
                <w:szCs w:val="17"/>
                <w:color w:val="auto"/>
              </w:rPr>
              <w:t>Options outstanding at March 31, 2012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11,341,282</w:t>
            </w:r>
          </w:p>
        </w:tc>
        <w:tc>
          <w:tcPr>
            <w:tcW w:w="720" w:type="dxa"/>
            <w:vAlign w:val="bottom"/>
            <w:gridSpan w:val="2"/>
          </w:tcPr>
          <w:p>
            <w:pPr>
              <w:ind w:left="620"/>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560" w:right="3120" w:hanging="5555"/>
        <w:spacing w:after="0" w:line="462" w:lineRule="auto"/>
        <w:tabs>
          <w:tab w:leader="none" w:pos="237"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Reflects adjustments for $4.642 dividend issued December 11, 2009 and $1.087 dividend issued July 27, 2009. F-33</w:t>
      </w:r>
    </w:p>
    <w:p>
      <w:pPr>
        <w:sectPr>
          <w:pgSz w:w="11900" w:h="16838" w:orient="portrait"/>
          <w:cols w:equalWidth="0" w:num="1">
            <w:col w:w="10960"/>
          </w:cols>
          <w:pgMar w:left="240" w:top="451" w:right="69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unvested stock options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gridSpan w:val="3"/>
          </w:tcPr>
          <w:p>
            <w:pPr>
              <w:jc w:val="right"/>
              <w:ind w:right="340"/>
              <w:spacing w:after="0" w:line="145" w:lineRule="exact"/>
              <w:rPr>
                <w:sz w:val="20"/>
                <w:szCs w:val="20"/>
                <w:color w:val="auto"/>
              </w:rPr>
            </w:pPr>
            <w:r>
              <w:rPr>
                <w:rFonts w:ascii="Arial" w:cs="Arial" w:eastAsia="Arial" w:hAnsi="Arial"/>
                <w:sz w:val="13"/>
                <w:szCs w:val="13"/>
                <w:b w:val="1"/>
                <w:bCs w:val="1"/>
                <w:color w:val="auto"/>
                <w:w w:val="95"/>
              </w:rPr>
              <w:t>Weighted</w:t>
            </w:r>
          </w:p>
        </w:tc>
        <w:tc>
          <w:tcPr>
            <w:tcW w:w="240" w:type="dxa"/>
            <w:vAlign w:val="bottom"/>
          </w:tcPr>
          <w:p>
            <w:pPr>
              <w:spacing w:after="0"/>
              <w:rPr>
                <w:sz w:val="12"/>
                <w:szCs w:val="12"/>
                <w:color w:val="auto"/>
              </w:rPr>
            </w:pPr>
          </w:p>
        </w:tc>
        <w:tc>
          <w:tcPr>
            <w:tcW w:w="780" w:type="dxa"/>
            <w:vAlign w:val="bottom"/>
            <w:gridSpan w:val="3"/>
          </w:tcPr>
          <w:p>
            <w:pPr>
              <w:jc w:val="right"/>
              <w:ind w:right="220"/>
              <w:spacing w:after="0" w:line="145"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740" w:type="dxa"/>
            <w:vAlign w:val="bottom"/>
          </w:tcPr>
          <w:p>
            <w:pPr>
              <w:ind w:left="60"/>
              <w:spacing w:after="0" w:line="145"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2"/>
                <w:szCs w:val="12"/>
                <w:color w:val="auto"/>
              </w:rPr>
            </w:pPr>
          </w:p>
        </w:tc>
        <w:tc>
          <w:tcPr>
            <w:tcW w:w="920" w:type="dxa"/>
            <w:vAlign w:val="bottom"/>
            <w:gridSpan w:val="3"/>
          </w:tcPr>
          <w:p>
            <w:pPr>
              <w:jc w:val="right"/>
              <w:ind w:right="380"/>
              <w:spacing w:after="0" w:line="145" w:lineRule="exact"/>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2"/>
                <w:szCs w:val="12"/>
                <w:color w:val="auto"/>
              </w:rPr>
            </w:pPr>
          </w:p>
        </w:tc>
        <w:tc>
          <w:tcPr>
            <w:tcW w:w="780" w:type="dxa"/>
            <w:vAlign w:val="bottom"/>
            <w:gridSpan w:val="3"/>
          </w:tcPr>
          <w:p>
            <w:pPr>
              <w:jc w:val="right"/>
              <w:ind w:right="200"/>
              <w:spacing w:after="0" w:line="145" w:lineRule="exact"/>
              <w:rPr>
                <w:sz w:val="20"/>
                <w:szCs w:val="20"/>
                <w:color w:val="auto"/>
              </w:rPr>
            </w:pPr>
            <w:r>
              <w:rPr>
                <w:rFonts w:ascii="Arial" w:cs="Arial" w:eastAsia="Arial" w:hAnsi="Arial"/>
                <w:sz w:val="13"/>
                <w:szCs w:val="13"/>
                <w:b w:val="1"/>
                <w:bCs w:val="1"/>
                <w:color w:val="auto"/>
              </w:rPr>
              <w:t>Value on</w:t>
            </w: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740" w:type="dxa"/>
            <w:vAlign w:val="bottom"/>
          </w:tcPr>
          <w:p>
            <w:pPr>
              <w:ind w:left="140"/>
              <w:spacing w:after="0"/>
              <w:rPr>
                <w:sz w:val="20"/>
                <w:szCs w:val="20"/>
                <w:color w:val="auto"/>
              </w:rPr>
            </w:pPr>
            <w:r>
              <w:rPr>
                <w:rFonts w:ascii="Arial" w:cs="Arial" w:eastAsia="Arial" w:hAnsi="Arial"/>
                <w:sz w:val="13"/>
                <w:szCs w:val="13"/>
                <w:b w:val="1"/>
                <w:bCs w:val="1"/>
                <w:color w:val="auto"/>
              </w:rPr>
              <w:t>Options</w:t>
            </w:r>
          </w:p>
        </w:tc>
        <w:tc>
          <w:tcPr>
            <w:tcW w:w="5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24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91"/>
        </w:trPr>
        <w:tc>
          <w:tcPr>
            <w:tcW w:w="822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7"/>
                <w:szCs w:val="17"/>
                <w:b w:val="1"/>
                <w:bCs w:val="1"/>
                <w:i w:val="1"/>
                <w:iCs w:val="1"/>
                <w:color w:val="auto"/>
              </w:rPr>
              <w:t>Officers’ Rollover Stock Plan New Options</w:t>
            </w:r>
          </w:p>
        </w:tc>
        <w:tc>
          <w:tcPr>
            <w:tcW w:w="7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20" w:type="dxa"/>
            <w:vAlign w:val="bottom"/>
            <w:gridSpan w:val="2"/>
          </w:tcPr>
          <w:p>
            <w:pPr>
              <w:spacing w:after="0"/>
              <w:rPr>
                <w:sz w:val="20"/>
                <w:szCs w:val="20"/>
                <w:color w:val="auto"/>
              </w:rPr>
            </w:pPr>
            <w:r>
              <w:rPr>
                <w:rFonts w:ascii="Arial" w:cs="Arial" w:eastAsia="Arial" w:hAnsi="Arial"/>
                <w:sz w:val="17"/>
                <w:szCs w:val="17"/>
                <w:color w:val="auto"/>
              </w:rPr>
              <w:t>Retirement Eligible: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2011</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2,428,480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21.46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52,115</w:t>
            </w:r>
          </w:p>
        </w:tc>
        <w:tc>
          <w:tcPr>
            <w:tcW w:w="0" w:type="dxa"/>
            <w:vAlign w:val="bottom"/>
          </w:tcPr>
          <w:p>
            <w:pPr>
              <w:spacing w:after="0"/>
              <w:rPr>
                <w:sz w:val="1"/>
                <w:szCs w:val="1"/>
                <w:color w:val="auto"/>
              </w:rPr>
            </w:pPr>
          </w:p>
        </w:tc>
      </w:tr>
      <w:tr>
        <w:trPr>
          <w:trHeight w:val="211"/>
        </w:trPr>
        <w:tc>
          <w:tcPr>
            <w:tcW w:w="82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2,428,480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8"/>
              </w:rPr>
              <w:t>10,369*</w:t>
            </w:r>
          </w:p>
        </w:tc>
        <w:tc>
          <w:tcPr>
            <w:tcW w:w="0" w:type="dxa"/>
            <w:vAlign w:val="bottom"/>
          </w:tcPr>
          <w:p>
            <w:pPr>
              <w:spacing w:after="0"/>
              <w:rPr>
                <w:sz w:val="1"/>
                <w:szCs w:val="1"/>
                <w:color w:val="auto"/>
              </w:rPr>
            </w:pPr>
          </w:p>
        </w:tc>
      </w:tr>
      <w:tr>
        <w:trPr>
          <w:trHeight w:val="217"/>
        </w:trPr>
        <w:tc>
          <w:tcPr>
            <w:tcW w:w="822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2012</w:t>
            </w: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color w:val="auto"/>
              </w:rPr>
              <w:t>Non-Retirement Eligible:</w:t>
            </w: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2011</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7,517,500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10.00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62,553</w:t>
            </w:r>
          </w:p>
        </w:tc>
        <w:tc>
          <w:tcPr>
            <w:tcW w:w="0" w:type="dxa"/>
            <w:vAlign w:val="bottom"/>
          </w:tcPr>
          <w:p>
            <w:pPr>
              <w:spacing w:after="0"/>
              <w:rPr>
                <w:sz w:val="1"/>
                <w:szCs w:val="1"/>
                <w:color w:val="auto"/>
              </w:rPr>
            </w:pPr>
          </w:p>
        </w:tc>
      </w:tr>
      <w:tr>
        <w:trPr>
          <w:trHeight w:val="211"/>
        </w:trPr>
        <w:tc>
          <w:tcPr>
            <w:tcW w:w="82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3,758,750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98"/>
              </w:rPr>
              <w:t>16,050*</w:t>
            </w:r>
          </w:p>
        </w:tc>
        <w:tc>
          <w:tcPr>
            <w:tcW w:w="0" w:type="dxa"/>
            <w:vAlign w:val="bottom"/>
          </w:tcPr>
          <w:p>
            <w:pPr>
              <w:spacing w:after="0"/>
              <w:rPr>
                <w:sz w:val="1"/>
                <w:szCs w:val="1"/>
                <w:color w:val="auto"/>
              </w:rPr>
            </w:pPr>
          </w:p>
        </w:tc>
      </w:tr>
      <w:tr>
        <w:trPr>
          <w:trHeight w:val="217"/>
        </w:trPr>
        <w:tc>
          <w:tcPr>
            <w:tcW w:w="822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2012</w:t>
            </w:r>
          </w:p>
        </w:tc>
        <w:tc>
          <w:tcPr>
            <w:tcW w:w="7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7"/>
              </w:rPr>
              <w:t>3,758,750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12.37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46,504</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Equity Incentive Plan Options</w:t>
            </w: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2011</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9,569,730</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740" w:type="dxa"/>
            <w:vAlign w:val="bottom"/>
          </w:tcPr>
          <w:p>
            <w:pPr>
              <w:ind w:left="60"/>
              <w:spacing w:after="0"/>
              <w:rPr>
                <w:sz w:val="20"/>
                <w:szCs w:val="20"/>
                <w:color w:val="auto"/>
              </w:rPr>
            </w:pPr>
            <w:r>
              <w:rPr>
                <w:rFonts w:ascii="Arial" w:cs="Arial" w:eastAsia="Arial" w:hAnsi="Arial"/>
                <w:sz w:val="17"/>
                <w:szCs w:val="17"/>
                <w:color w:val="auto"/>
                <w:w w:val="87"/>
              </w:rPr>
              <w:t>2,445,000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18.07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87"/>
              </w:rPr>
              <w:t>2,913,805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822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87"/>
              </w:rPr>
              <w:t>1,284,072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7.74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Unvested at March 31, 2012</w:t>
            </w:r>
          </w:p>
        </w:tc>
        <w:tc>
          <w:tcPr>
            <w:tcW w:w="7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7"/>
              </w:rPr>
              <w:t>7,816,853</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7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3620" w:hanging="455"/>
        <w:spacing w:after="0" w:line="474" w:lineRule="auto"/>
        <w:tabs>
          <w:tab w:leader="none" w:pos="227"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Reflects adjustment for $4.642 dividend issued December 11, 2009, and $1.087 dividend issued July 27, 2009. The following table summarizes stock options outstanding at March 31, 2012:</w:t>
      </w:r>
    </w:p>
    <w:tbl>
      <w:tblPr>
        <w:tblLayout w:type="fixed"/>
        <w:tblInd w:w="0" w:type="dxa"/>
        <w:tblCellMar>
          <w:top w:w="0" w:type="dxa"/>
          <w:left w:w="0" w:type="dxa"/>
          <w:bottom w:w="0" w:type="dxa"/>
          <w:right w:w="0" w:type="dxa"/>
        </w:tblCellMar>
      </w:tblPr>
      <w:tr>
        <w:trPr>
          <w:trHeight w:val="145"/>
        </w:trPr>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60" w:type="dxa"/>
            <w:vAlign w:val="bottom"/>
            <w:gridSpan w:val="2"/>
          </w:tcPr>
          <w:p>
            <w:pPr>
              <w:jc w:val="center"/>
              <w:ind w:right="580"/>
              <w:spacing w:after="0" w:line="146" w:lineRule="exact"/>
              <w:rPr>
                <w:sz w:val="20"/>
                <w:szCs w:val="20"/>
                <w:color w:val="auto"/>
              </w:rPr>
            </w:pPr>
            <w:r>
              <w:rPr>
                <w:rFonts w:ascii="Arial" w:cs="Arial" w:eastAsia="Arial" w:hAnsi="Arial"/>
                <w:sz w:val="13"/>
                <w:szCs w:val="13"/>
                <w:b w:val="1"/>
                <w:bCs w:val="1"/>
                <w:color w:val="auto"/>
                <w:w w:val="92"/>
              </w:rPr>
              <w:t>Weighted</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45"/>
        </w:trPr>
        <w:tc>
          <w:tcPr>
            <w:tcW w:w="1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20" w:type="dxa"/>
            <w:vAlign w:val="bottom"/>
            <w:gridSpan w:val="2"/>
          </w:tcPr>
          <w:p>
            <w:pPr>
              <w:jc w:val="center"/>
              <w:ind w:right="620"/>
              <w:spacing w:after="0" w:line="145" w:lineRule="exact"/>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5" w:lineRule="exact"/>
              <w:rPr>
                <w:sz w:val="20"/>
                <w:szCs w:val="20"/>
                <w:color w:val="auto"/>
              </w:rPr>
            </w:pPr>
            <w:r>
              <w:rPr>
                <w:rFonts w:ascii="Arial" w:cs="Arial" w:eastAsia="Arial" w:hAnsi="Arial"/>
                <w:sz w:val="13"/>
                <w:szCs w:val="13"/>
                <w:b w:val="1"/>
                <w:bCs w:val="1"/>
                <w:color w:val="auto"/>
                <w:w w:val="92"/>
              </w:rPr>
              <w:t>Weighted</w:t>
            </w:r>
          </w:p>
        </w:tc>
        <w:tc>
          <w:tcPr>
            <w:tcW w:w="1560" w:type="dxa"/>
            <w:vAlign w:val="bottom"/>
            <w:gridSpan w:val="2"/>
          </w:tcPr>
          <w:p>
            <w:pPr>
              <w:jc w:val="center"/>
              <w:ind w:right="580"/>
              <w:spacing w:after="0" w:line="145" w:lineRule="exact"/>
              <w:rPr>
                <w:sz w:val="20"/>
                <w:szCs w:val="20"/>
                <w:color w:val="auto"/>
              </w:rPr>
            </w:pPr>
            <w:r>
              <w:rPr>
                <w:rFonts w:ascii="Arial" w:cs="Arial" w:eastAsia="Arial" w:hAnsi="Arial"/>
                <w:sz w:val="13"/>
                <w:szCs w:val="13"/>
                <w:b w:val="1"/>
                <w:bCs w:val="1"/>
                <w:color w:val="auto"/>
                <w:w w:val="89"/>
              </w:rPr>
              <w:t>Average</w:t>
            </w: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90"/>
              </w:rPr>
              <w:t>Stock</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20"/>
              <w:spacing w:after="0" w:line="145" w:lineRule="exact"/>
              <w:rPr>
                <w:sz w:val="20"/>
                <w:szCs w:val="20"/>
                <w:color w:val="auto"/>
              </w:rPr>
            </w:pPr>
            <w:r>
              <w:rPr>
                <w:rFonts w:ascii="Arial" w:cs="Arial" w:eastAsia="Arial" w:hAnsi="Arial"/>
                <w:sz w:val="13"/>
                <w:szCs w:val="13"/>
                <w:b w:val="1"/>
                <w:bCs w:val="1"/>
                <w:color w:val="auto"/>
                <w:w w:val="92"/>
              </w:rPr>
              <w:t>Weighted</w:t>
            </w:r>
          </w:p>
        </w:tc>
        <w:tc>
          <w:tcPr>
            <w:tcW w:w="104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45"/>
        </w:trPr>
        <w:tc>
          <w:tcPr>
            <w:tcW w:w="32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Range of exercise prices</w:t>
            </w:r>
          </w:p>
        </w:tc>
        <w:tc>
          <w:tcPr>
            <w:tcW w:w="1420" w:type="dxa"/>
            <w:vAlign w:val="bottom"/>
            <w:gridSpan w:val="2"/>
          </w:tcPr>
          <w:p>
            <w:pPr>
              <w:jc w:val="center"/>
              <w:ind w:right="620"/>
              <w:spacing w:after="0" w:line="145"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2"/>
                <w:szCs w:val="12"/>
                <w:color w:val="auto"/>
              </w:rPr>
            </w:pPr>
          </w:p>
        </w:tc>
        <w:tc>
          <w:tcPr>
            <w:tcW w:w="1320" w:type="dxa"/>
            <w:vAlign w:val="bottom"/>
            <w:gridSpan w:val="2"/>
          </w:tcPr>
          <w:p>
            <w:pPr>
              <w:jc w:val="center"/>
              <w:ind w:right="740"/>
              <w:spacing w:after="0" w:line="145" w:lineRule="exact"/>
              <w:rPr>
                <w:sz w:val="20"/>
                <w:szCs w:val="20"/>
                <w:color w:val="auto"/>
              </w:rPr>
            </w:pPr>
            <w:r>
              <w:rPr>
                <w:rFonts w:ascii="Arial" w:cs="Arial" w:eastAsia="Arial" w:hAnsi="Arial"/>
                <w:sz w:val="13"/>
                <w:szCs w:val="13"/>
                <w:b w:val="1"/>
                <w:bCs w:val="1"/>
                <w:color w:val="auto"/>
                <w:w w:val="89"/>
              </w:rPr>
              <w:t>Average</w:t>
            </w:r>
          </w:p>
        </w:tc>
        <w:tc>
          <w:tcPr>
            <w:tcW w:w="1560" w:type="dxa"/>
            <w:vAlign w:val="bottom"/>
            <w:gridSpan w:val="2"/>
          </w:tcPr>
          <w:p>
            <w:pPr>
              <w:jc w:val="center"/>
              <w:ind w:right="580"/>
              <w:spacing w:after="0" w:line="145" w:lineRule="exact"/>
              <w:rPr>
                <w:sz w:val="20"/>
                <w:szCs w:val="20"/>
                <w:color w:val="auto"/>
              </w:rPr>
            </w:pPr>
            <w:r>
              <w:rPr>
                <w:rFonts w:ascii="Arial" w:cs="Arial" w:eastAsia="Arial" w:hAnsi="Arial"/>
                <w:sz w:val="13"/>
                <w:szCs w:val="13"/>
                <w:b w:val="1"/>
                <w:bCs w:val="1"/>
                <w:color w:val="auto"/>
                <w:w w:val="93"/>
              </w:rPr>
              <w:t>Remaining</w:t>
            </w:r>
          </w:p>
        </w:tc>
        <w:tc>
          <w:tcPr>
            <w:tcW w:w="1040" w:type="dxa"/>
            <w:vAlign w:val="bottom"/>
            <w:gridSpan w:val="2"/>
          </w:tcPr>
          <w:p>
            <w:pPr>
              <w:jc w:val="center"/>
              <w:ind w:right="320"/>
              <w:spacing w:after="0" w:line="145" w:lineRule="exact"/>
              <w:rPr>
                <w:sz w:val="20"/>
                <w:szCs w:val="20"/>
                <w:color w:val="auto"/>
              </w:rPr>
            </w:pPr>
            <w:r>
              <w:rPr>
                <w:rFonts w:ascii="Arial" w:cs="Arial" w:eastAsia="Arial" w:hAnsi="Arial"/>
                <w:sz w:val="13"/>
                <w:szCs w:val="13"/>
                <w:b w:val="1"/>
                <w:bCs w:val="1"/>
                <w:color w:val="auto"/>
                <w:w w:val="89"/>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20"/>
              <w:spacing w:after="0" w:line="145" w:lineRule="exact"/>
              <w:rPr>
                <w:sz w:val="20"/>
                <w:szCs w:val="20"/>
                <w:color w:val="auto"/>
              </w:rPr>
            </w:pPr>
            <w:r>
              <w:rPr>
                <w:rFonts w:ascii="Arial" w:cs="Arial" w:eastAsia="Arial" w:hAnsi="Arial"/>
                <w:sz w:val="13"/>
                <w:szCs w:val="13"/>
                <w:b w:val="1"/>
                <w:bCs w:val="1"/>
                <w:color w:val="auto"/>
                <w:w w:val="89"/>
              </w:rPr>
              <w:t>Average</w:t>
            </w:r>
          </w:p>
        </w:tc>
        <w:tc>
          <w:tcPr>
            <w:tcW w:w="1040" w:type="dxa"/>
            <w:vAlign w:val="bottom"/>
            <w:gridSpan w:val="2"/>
          </w:tcPr>
          <w:p>
            <w:pPr>
              <w:jc w:val="center"/>
              <w:ind w:right="100"/>
              <w:spacing w:after="0" w:line="145"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151"/>
        </w:trPr>
        <w:tc>
          <w:tcPr>
            <w:tcW w:w="3240" w:type="dxa"/>
            <w:vAlign w:val="bottom"/>
            <w:gridSpan w:val="2"/>
            <w:vMerge w:val="continue"/>
          </w:tcPr>
          <w:p>
            <w:pPr>
              <w:spacing w:after="0"/>
              <w:rPr>
                <w:sz w:val="13"/>
                <w:szCs w:val="13"/>
                <w:color w:val="auto"/>
              </w:rPr>
            </w:pPr>
          </w:p>
        </w:tc>
        <w:tc>
          <w:tcPr>
            <w:tcW w:w="1420" w:type="dxa"/>
            <w:vAlign w:val="bottom"/>
            <w:gridSpan w:val="2"/>
          </w:tcPr>
          <w:p>
            <w:pPr>
              <w:jc w:val="center"/>
              <w:ind w:right="600"/>
              <w:spacing w:after="0" w:line="144" w:lineRule="exact"/>
              <w:rPr>
                <w:sz w:val="20"/>
                <w:szCs w:val="20"/>
                <w:color w:val="auto"/>
              </w:rPr>
            </w:pPr>
            <w:r>
              <w:rPr>
                <w:rFonts w:ascii="Arial" w:cs="Arial" w:eastAsia="Arial" w:hAnsi="Arial"/>
                <w:sz w:val="13"/>
                <w:szCs w:val="13"/>
                <w:b w:val="1"/>
                <w:bCs w:val="1"/>
                <w:color w:val="auto"/>
                <w:w w:val="91"/>
              </w:rPr>
              <w:t>Outstanding</w:t>
            </w:r>
          </w:p>
        </w:tc>
        <w:tc>
          <w:tcPr>
            <w:tcW w:w="14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Exercise Price</w:t>
            </w:r>
          </w:p>
        </w:tc>
        <w:tc>
          <w:tcPr>
            <w:tcW w:w="1560" w:type="dxa"/>
            <w:vAlign w:val="bottom"/>
            <w:gridSpan w:val="2"/>
          </w:tcPr>
          <w:p>
            <w:pPr>
              <w:jc w:val="center"/>
              <w:ind w:right="58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Exercisable</w:t>
            </w:r>
          </w:p>
        </w:tc>
        <w:tc>
          <w:tcPr>
            <w:tcW w:w="300" w:type="dxa"/>
            <w:vAlign w:val="bottom"/>
          </w:tcPr>
          <w:p>
            <w:pPr>
              <w:spacing w:after="0"/>
              <w:rPr>
                <w:sz w:val="13"/>
                <w:szCs w:val="13"/>
                <w:color w:val="auto"/>
              </w:rPr>
            </w:pPr>
          </w:p>
        </w:tc>
        <w:tc>
          <w:tcPr>
            <w:tcW w:w="14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Exercise Price</w:t>
            </w:r>
          </w:p>
        </w:tc>
        <w:tc>
          <w:tcPr>
            <w:tcW w:w="10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0" w:type="dxa"/>
            <w:vAlign w:val="bottom"/>
          </w:tcPr>
          <w:p>
            <w:pPr>
              <w:spacing w:after="0"/>
              <w:rPr>
                <w:sz w:val="1"/>
                <w:szCs w:val="1"/>
                <w:color w:val="auto"/>
              </w:rPr>
            </w:pPr>
          </w:p>
        </w:tc>
      </w:tr>
      <w:tr>
        <w:trPr>
          <w:trHeight w:val="145"/>
        </w:trPr>
        <w:tc>
          <w:tcPr>
            <w:tcW w:w="1420" w:type="dxa"/>
            <w:vAlign w:val="bottom"/>
            <w:tcBorders>
              <w:top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3"/>
              </w:rPr>
              <w:t>(In years)</w:t>
            </w:r>
          </w:p>
        </w:tc>
        <w:tc>
          <w:tcPr>
            <w:tcW w:w="6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3"/>
              </w:rPr>
              <w:t>(In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Officers’ Rollover Stock Plan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20" w:type="dxa"/>
            <w:vAlign w:val="bottom"/>
          </w:tcPr>
          <w:p>
            <w:pPr>
              <w:ind w:left="420"/>
              <w:spacing w:after="0"/>
              <w:rPr>
                <w:sz w:val="20"/>
                <w:szCs w:val="20"/>
                <w:color w:val="auto"/>
              </w:rPr>
            </w:pPr>
            <w:r>
              <w:rPr>
                <w:rFonts w:ascii="Arial" w:cs="Arial" w:eastAsia="Arial" w:hAnsi="Arial"/>
                <w:sz w:val="17"/>
                <w:szCs w:val="17"/>
                <w:color w:val="auto"/>
              </w:rPr>
              <w:t>$0.01</w:t>
            </w:r>
          </w:p>
        </w:tc>
        <w:tc>
          <w:tcPr>
            <w:tcW w:w="18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9,437,078</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ind w:left="400"/>
              <w:spacing w:after="0"/>
              <w:rPr>
                <w:sz w:val="20"/>
                <w:szCs w:val="20"/>
                <w:color w:val="auto"/>
              </w:rPr>
            </w:pPr>
            <w:r>
              <w:rPr>
                <w:rFonts w:ascii="Arial" w:cs="Arial" w:eastAsia="Arial" w:hAnsi="Arial"/>
                <w:sz w:val="17"/>
                <w:szCs w:val="17"/>
                <w:color w:val="auto"/>
              </w:rPr>
              <w:t>0.01*</w:t>
            </w:r>
          </w:p>
        </w:tc>
        <w:tc>
          <w:tcPr>
            <w:tcW w:w="960" w:type="dxa"/>
            <w:vAlign w:val="bottom"/>
          </w:tcPr>
          <w:p>
            <w:pPr>
              <w:jc w:val="right"/>
              <w:spacing w:after="0"/>
              <w:rPr>
                <w:sz w:val="20"/>
                <w:szCs w:val="20"/>
                <w:color w:val="auto"/>
              </w:rPr>
            </w:pPr>
            <w:r>
              <w:rPr>
                <w:rFonts w:ascii="Arial" w:cs="Arial" w:eastAsia="Arial" w:hAnsi="Arial"/>
                <w:sz w:val="17"/>
                <w:szCs w:val="17"/>
                <w:color w:val="auto"/>
              </w:rPr>
              <w:t>1.07</w:t>
            </w:r>
          </w:p>
        </w:tc>
        <w:tc>
          <w:tcPr>
            <w:tcW w:w="60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color w:val="auto"/>
              </w:rPr>
              <w:t>5,678,319</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0.01</w:t>
            </w:r>
          </w:p>
        </w:tc>
        <w:tc>
          <w:tcPr>
            <w:tcW w:w="960" w:type="dxa"/>
            <w:vAlign w:val="bottom"/>
          </w:tcPr>
          <w:p>
            <w:pPr>
              <w:jc w:val="right"/>
              <w:spacing w:after="0"/>
              <w:rPr>
                <w:sz w:val="20"/>
                <w:szCs w:val="20"/>
                <w:color w:val="auto"/>
              </w:rPr>
            </w:pPr>
            <w:r>
              <w:rPr>
                <w:rFonts w:ascii="Arial" w:cs="Arial" w:eastAsia="Arial" w:hAnsi="Arial"/>
                <w:sz w:val="17"/>
                <w:szCs w:val="17"/>
                <w:color w:val="auto"/>
              </w:rPr>
              <w:t>0.56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Equity Incentive Plan</w:t>
            </w: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ind w:left="420"/>
              <w:spacing w:after="0"/>
              <w:rPr>
                <w:sz w:val="20"/>
                <w:szCs w:val="20"/>
                <w:color w:val="auto"/>
              </w:rPr>
            </w:pPr>
            <w:r>
              <w:rPr>
                <w:rFonts w:ascii="Arial" w:cs="Arial" w:eastAsia="Arial" w:hAnsi="Arial"/>
                <w:sz w:val="17"/>
                <w:szCs w:val="17"/>
                <w:color w:val="auto"/>
                <w:w w:val="89"/>
              </w:rPr>
              <w:t>$4.27 - $20.00</w:t>
            </w:r>
          </w:p>
        </w:tc>
        <w:tc>
          <w:tcPr>
            <w:tcW w:w="18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w w:val="93"/>
              </w:rPr>
              <w:t>11,341,282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ind w:left="400"/>
              <w:spacing w:after="0"/>
              <w:rPr>
                <w:sz w:val="20"/>
                <w:szCs w:val="20"/>
                <w:color w:val="auto"/>
              </w:rPr>
            </w:pPr>
            <w:r>
              <w:rPr>
                <w:rFonts w:ascii="Arial" w:cs="Arial" w:eastAsia="Arial" w:hAnsi="Arial"/>
                <w:sz w:val="17"/>
                <w:szCs w:val="17"/>
                <w:color w:val="auto"/>
                <w:w w:val="84"/>
              </w:rPr>
              <w:t>9.00</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7.49</w:t>
            </w:r>
          </w:p>
        </w:tc>
        <w:tc>
          <w:tcPr>
            <w:tcW w:w="60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7"/>
                <w:szCs w:val="17"/>
                <w:color w:val="auto"/>
              </w:rPr>
              <w:t>3,533,659</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600"/>
              <w:spacing w:after="0"/>
              <w:rPr>
                <w:sz w:val="20"/>
                <w:szCs w:val="20"/>
                <w:color w:val="auto"/>
              </w:rPr>
            </w:pPr>
            <w:r>
              <w:rPr>
                <w:rFonts w:ascii="Arial" w:cs="Arial" w:eastAsia="Arial" w:hAnsi="Arial"/>
                <w:sz w:val="17"/>
                <w:szCs w:val="17"/>
                <w:color w:val="auto"/>
              </w:rPr>
              <w:t>6.21</w:t>
            </w:r>
          </w:p>
        </w:tc>
        <w:tc>
          <w:tcPr>
            <w:tcW w:w="960" w:type="dxa"/>
            <w:vAlign w:val="bottom"/>
          </w:tcPr>
          <w:p>
            <w:pPr>
              <w:jc w:val="right"/>
              <w:spacing w:after="0"/>
              <w:rPr>
                <w:sz w:val="20"/>
                <w:szCs w:val="20"/>
                <w:color w:val="auto"/>
              </w:rPr>
            </w:pPr>
            <w:r>
              <w:rPr>
                <w:rFonts w:ascii="Arial" w:cs="Arial" w:eastAsia="Arial" w:hAnsi="Arial"/>
                <w:sz w:val="17"/>
                <w:szCs w:val="17"/>
                <w:color w:val="auto"/>
              </w:rPr>
              <w:t>6.98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77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1"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Reflects adjustment for $4.642 dividend issued December 11, 2009, and $1.087 dividend issued July 27, 2009.</w:t>
      </w:r>
    </w:p>
    <w:p>
      <w:pPr>
        <w:spacing w:after="0" w:line="173"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The grant date aggregate intrinsic value for New Options outstanding and New Options exercisable at March 31, 2012 was $40.3 million and $2.4 million, respectively.</w:t>
      </w:r>
    </w:p>
    <w:p>
      <w:pPr>
        <w:spacing w:after="0" w:line="229" w:lineRule="exact"/>
        <w:rPr>
          <w:sz w:val="20"/>
          <w:szCs w:val="20"/>
          <w:color w:val="auto"/>
        </w:rPr>
      </w:pPr>
    </w:p>
    <w:p>
      <w:pPr>
        <w:ind w:left="460" w:hanging="455"/>
        <w:spacing w:after="0"/>
        <w:tabs>
          <w:tab w:leader="none" w:pos="4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00"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Pursuant to an Agreement and Plan of Merger, dated as of May 15, 2008, and subsequently amended, The Carlyle Group indirectly acquired all of the issued and outstanding stock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2012 were $1.5 million and $1.4 million, respectively. Revenue and cost associated with these related parties for fiscal 2011 were $6.3 million and $5.3 million, respectively. Revenue and cost associated with these related party transactions for fiscal 2010 were $15.1 million and $13.5 million,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20"/>
          </w:cols>
          <w:pgMar w:left="240" w:top="451"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80" w:firstLine="457"/>
        <w:spacing w:after="0" w:line="265" w:lineRule="auto"/>
        <w:rPr>
          <w:sz w:val="20"/>
          <w:szCs w:val="20"/>
          <w:color w:val="auto"/>
        </w:rPr>
      </w:pPr>
      <w:r>
        <w:rPr>
          <w:rFonts w:ascii="Arial" w:cs="Arial" w:eastAsia="Arial" w:hAnsi="Arial"/>
          <w:sz w:val="17"/>
          <w:szCs w:val="17"/>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In addition, the Company made a one-time payment to TC Group of $20.0 million for investment banking, financial advisory and other services provided to the Company in connection with the Acquisition. For fiscal 2012, fiscal 2011, and fiscal 2010, the Company incurred $1.0 million per year in advisory fees.</w:t>
      </w:r>
    </w:p>
    <w:p>
      <w:pPr>
        <w:spacing w:after="0" w:line="132" w:lineRule="exact"/>
        <w:rPr>
          <w:sz w:val="20"/>
          <w:szCs w:val="20"/>
          <w:color w:val="auto"/>
        </w:rPr>
      </w:pPr>
    </w:p>
    <w:p>
      <w:pPr>
        <w:ind w:right="20" w:firstLine="457"/>
        <w:spacing w:after="0" w:line="271" w:lineRule="auto"/>
        <w:rPr>
          <w:sz w:val="20"/>
          <w:szCs w:val="20"/>
          <w:color w:val="auto"/>
        </w:rPr>
      </w:pPr>
      <w:r>
        <w:rPr>
          <w:rFonts w:ascii="Arial" w:cs="Arial" w:eastAsia="Arial" w:hAnsi="Arial"/>
          <w:sz w:val="17"/>
          <w:szCs w:val="17"/>
          <w:color w:val="auto"/>
        </w:rPr>
        <w:t>Effective July 31, 2008, the Company entered into a transition services agreement, or TSA, and a collaboration agreement, or CA, with Booz &amp; Company Inc., or Booz &amp; Co. The TSA required the Company and Booz &amp; Co. to provide to each other certain support services for up to 15 months following July 31, 2008. Revenue and expenses were recognized as incurred.</w:t>
      </w:r>
    </w:p>
    <w:p>
      <w:pPr>
        <w:spacing w:after="0" w:line="128" w:lineRule="exact"/>
        <w:rPr>
          <w:sz w:val="20"/>
          <w:szCs w:val="20"/>
          <w:color w:val="auto"/>
        </w:rPr>
      </w:pPr>
    </w:p>
    <w:p>
      <w:pPr>
        <w:ind w:firstLine="457"/>
        <w:spacing w:after="0" w:line="271" w:lineRule="auto"/>
        <w:rPr>
          <w:sz w:val="20"/>
          <w:szCs w:val="20"/>
          <w:color w:val="auto"/>
        </w:rPr>
      </w:pPr>
      <w:r>
        <w:rPr>
          <w:rFonts w:ascii="Arial" w:cs="Arial" w:eastAsia="Arial" w:hAnsi="Arial"/>
          <w:sz w:val="17"/>
          <w:szCs w:val="17"/>
          <w:color w:val="auto"/>
        </w:rPr>
        <w:t>The CA requires the Company and Booz &amp; Co. to provide to each other the services of personnel that were either staffed on existing contracts as of July 31, 2008, or contemplated to be staffed in proposals submitted prior to but accepted after such date. The CA will remain in effect until the termination or expiration of the applicable contracts. Revenue and expenses are recognized as incurred.</w:t>
      </w:r>
    </w:p>
    <w:p>
      <w:pPr>
        <w:spacing w:after="0" w:line="128"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Included in the accompanying consolidated balance sheets and statements of operations are support services between the Company and Booz &amp; Co. under terms of the TSA and CA, as well as occupancy charges based on license agreements, as summarized below:</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As of March 31, 2012:</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1"/>
        </w:trPr>
        <w:tc>
          <w:tcPr>
            <w:tcW w:w="5020" w:type="dxa"/>
            <w:vAlign w:val="bottom"/>
          </w:tcPr>
          <w:p>
            <w:pPr>
              <w:ind w:left="420"/>
              <w:spacing w:after="0"/>
              <w:rPr>
                <w:sz w:val="20"/>
                <w:szCs w:val="20"/>
                <w:color w:val="auto"/>
              </w:rPr>
            </w:pPr>
            <w:r>
              <w:rPr>
                <w:rFonts w:ascii="Arial" w:cs="Arial" w:eastAsia="Arial" w:hAnsi="Arial"/>
                <w:sz w:val="17"/>
                <w:szCs w:val="17"/>
                <w:color w:val="auto"/>
              </w:rPr>
              <w:t>Accounts receivable</w:t>
            </w:r>
          </w:p>
        </w:tc>
        <w:tc>
          <w:tcPr>
            <w:tcW w:w="2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rPr>
              <w:t>149</w:t>
            </w:r>
          </w:p>
        </w:tc>
      </w:t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payable</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65</w:t>
            </w:r>
          </w:p>
        </w:tc>
      </w:tr>
      <w:tr>
        <w:trPr>
          <w:trHeight w:val="211"/>
        </w:trPr>
        <w:tc>
          <w:tcPr>
            <w:tcW w:w="5020" w:type="dxa"/>
            <w:vAlign w:val="bottom"/>
          </w:tcPr>
          <w:p>
            <w:pPr>
              <w:spacing w:after="0"/>
              <w:rPr>
                <w:sz w:val="20"/>
                <w:szCs w:val="20"/>
                <w:color w:val="auto"/>
              </w:rPr>
            </w:pPr>
            <w:r>
              <w:rPr>
                <w:rFonts w:ascii="Arial" w:cs="Arial" w:eastAsia="Arial" w:hAnsi="Arial"/>
                <w:sz w:val="17"/>
                <w:szCs w:val="17"/>
                <w:color w:val="auto"/>
              </w:rPr>
              <w:t>As of March 31, 2011:</w:t>
            </w: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Accounts receivable</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187</w:t>
            </w:r>
          </w:p>
        </w:tc>
      </w:tr>
      <w:tr>
        <w:trPr>
          <w:trHeight w:val="211"/>
        </w:trPr>
        <w:tc>
          <w:tcPr>
            <w:tcW w:w="5020" w:type="dxa"/>
            <w:vAlign w:val="bottom"/>
          </w:tcPr>
          <w:p>
            <w:pPr>
              <w:ind w:left="420"/>
              <w:spacing w:after="0"/>
              <w:rPr>
                <w:sz w:val="20"/>
                <w:szCs w:val="20"/>
                <w:color w:val="auto"/>
              </w:rPr>
            </w:pPr>
            <w:r>
              <w:rPr>
                <w:rFonts w:ascii="Arial" w:cs="Arial" w:eastAsia="Arial" w:hAnsi="Arial"/>
                <w:sz w:val="17"/>
                <w:szCs w:val="17"/>
                <w:color w:val="auto"/>
              </w:rPr>
              <w:t>Accounts payable</w:t>
            </w:r>
          </w:p>
        </w:tc>
        <w:tc>
          <w:tcPr>
            <w:tcW w:w="2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rPr>
              <w:t>91</w:t>
            </w: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For the fiscal year ended March 31, 2012:</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1"/>
        </w:trPr>
        <w:tc>
          <w:tcPr>
            <w:tcW w:w="5020" w:type="dxa"/>
            <w:vAlign w:val="bottom"/>
          </w:tcPr>
          <w:p>
            <w:pPr>
              <w:ind w:left="420"/>
              <w:spacing w:after="0"/>
              <w:rPr>
                <w:sz w:val="20"/>
                <w:szCs w:val="20"/>
                <w:color w:val="auto"/>
              </w:rPr>
            </w:pPr>
            <w:r>
              <w:rPr>
                <w:rFonts w:ascii="Arial" w:cs="Arial" w:eastAsia="Arial" w:hAnsi="Arial"/>
                <w:sz w:val="17"/>
                <w:szCs w:val="17"/>
                <w:color w:val="auto"/>
              </w:rPr>
              <w:t>Revenue</w:t>
            </w:r>
          </w:p>
        </w:tc>
        <w:tc>
          <w:tcPr>
            <w:tcW w:w="2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Expenses</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r>
      <w:tr>
        <w:trPr>
          <w:trHeight w:val="211"/>
        </w:trPr>
        <w:tc>
          <w:tcPr>
            <w:tcW w:w="5020" w:type="dxa"/>
            <w:vAlign w:val="bottom"/>
          </w:tcPr>
          <w:p>
            <w:pPr>
              <w:spacing w:after="0"/>
              <w:rPr>
                <w:sz w:val="20"/>
                <w:szCs w:val="20"/>
                <w:color w:val="auto"/>
              </w:rPr>
            </w:pPr>
            <w:r>
              <w:rPr>
                <w:rFonts w:ascii="Arial" w:cs="Arial" w:eastAsia="Arial" w:hAnsi="Arial"/>
                <w:sz w:val="17"/>
                <w:szCs w:val="17"/>
                <w:color w:val="auto"/>
              </w:rPr>
              <w:t>For the fiscal year ended March 31, 2011:</w:t>
            </w: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Revenue</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9"/>
              </w:rPr>
              <w:t>1,438</w:t>
            </w:r>
          </w:p>
        </w:tc>
      </w:tr>
      <w:tr>
        <w:trPr>
          <w:trHeight w:val="211"/>
        </w:trPr>
        <w:tc>
          <w:tcPr>
            <w:tcW w:w="5020" w:type="dxa"/>
            <w:vAlign w:val="bottom"/>
          </w:tcPr>
          <w:p>
            <w:pPr>
              <w:ind w:left="420"/>
              <w:spacing w:after="0"/>
              <w:rPr>
                <w:sz w:val="20"/>
                <w:szCs w:val="20"/>
                <w:color w:val="auto"/>
              </w:rPr>
            </w:pPr>
            <w:r>
              <w:rPr>
                <w:rFonts w:ascii="Arial" w:cs="Arial" w:eastAsia="Arial" w:hAnsi="Arial"/>
                <w:sz w:val="17"/>
                <w:szCs w:val="17"/>
                <w:color w:val="auto"/>
              </w:rPr>
              <w:t>Expenses</w:t>
            </w:r>
          </w:p>
        </w:tc>
        <w:tc>
          <w:tcPr>
            <w:tcW w:w="2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w w:val="89"/>
              </w:rPr>
              <w:t>1,936</w:t>
            </w:r>
          </w:p>
        </w:tc>
      </w:tr>
      <w:tr>
        <w:trPr>
          <w:trHeight w:val="211"/>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For the fiscal year ended March 31, 2010:</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1"/>
        </w:trPr>
        <w:tc>
          <w:tcPr>
            <w:tcW w:w="5020" w:type="dxa"/>
            <w:vAlign w:val="bottom"/>
          </w:tcPr>
          <w:p>
            <w:pPr>
              <w:ind w:left="420"/>
              <w:spacing w:after="0"/>
              <w:rPr>
                <w:sz w:val="20"/>
                <w:szCs w:val="20"/>
                <w:color w:val="auto"/>
              </w:rPr>
            </w:pPr>
            <w:r>
              <w:rPr>
                <w:rFonts w:ascii="Arial" w:cs="Arial" w:eastAsia="Arial" w:hAnsi="Arial"/>
                <w:sz w:val="17"/>
                <w:szCs w:val="17"/>
                <w:color w:val="auto"/>
              </w:rPr>
              <w:t>Revenue</w:t>
            </w:r>
          </w:p>
        </w:tc>
        <w:tc>
          <w:tcPr>
            <w:tcW w:w="2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w w:val="89"/>
              </w:rPr>
              <w:t>3,712</w:t>
            </w:r>
          </w:p>
        </w:tc>
      </w:tr>
      <w:tr>
        <w:trPr>
          <w:trHeight w:val="211"/>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Expenses</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9"/>
              </w:rPr>
              <w:t>2,889</w:t>
            </w:r>
          </w:p>
        </w:tc>
      </w:tr>
    </w:tbl>
    <w:p>
      <w:pPr>
        <w:spacing w:after="0" w:line="15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 additional $4.6 million is owed to Booz &amp; Co as of March 31, 2012 for payment of foreign tax credits as a result of the Germany and France audit closings.</w:t>
      </w:r>
    </w:p>
    <w:p>
      <w:pPr>
        <w:spacing w:after="0" w:line="309" w:lineRule="exact"/>
        <w:rPr>
          <w:sz w:val="20"/>
          <w:szCs w:val="20"/>
          <w:color w:val="auto"/>
        </w:rPr>
      </w:pPr>
    </w:p>
    <w:p>
      <w:pPr>
        <w:ind w:left="460" w:hanging="455"/>
        <w:spacing w:after="0"/>
        <w:tabs>
          <w:tab w:leader="none" w:pos="46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Leases</w:t>
      </w:r>
    </w:p>
    <w:p>
      <w:pPr>
        <w:spacing w:after="0" w:line="94"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Company leases office space under noncancelable operating leases that expire at various dates through 2022.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380"/>
          </w:cols>
          <w:pgMar w:left="240" w:top="451"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approximately $113.9 million, net of $5.7 million of sublease income, $118.4 million, net of $5.8 million of sublease income, and $109.5 million, net of $7.1 million of sublease income, for fiscal 2012, fiscal 2011, and fiscal 2010, respectively.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Future minimum operating lease payments for noncancelable operating leases and future minimum noncancelable sublease rentals are summarized as follows:</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Operating</w:t>
            </w:r>
          </w:p>
        </w:tc>
        <w:tc>
          <w:tcPr>
            <w:tcW w:w="1380" w:type="dxa"/>
            <w:vAlign w:val="bottom"/>
            <w:gridSpan w:val="4"/>
          </w:tcPr>
          <w:p>
            <w:pPr>
              <w:ind w:left="700"/>
              <w:spacing w:after="0"/>
              <w:rPr>
                <w:sz w:val="20"/>
                <w:szCs w:val="20"/>
                <w:color w:val="auto"/>
              </w:rPr>
            </w:pPr>
            <w:r>
              <w:rPr>
                <w:rFonts w:ascii="Arial" w:cs="Arial" w:eastAsia="Arial" w:hAnsi="Arial"/>
                <w:sz w:val="13"/>
                <w:szCs w:val="13"/>
                <w:b w:val="1"/>
                <w:bCs w:val="1"/>
                <w:color w:val="auto"/>
              </w:rPr>
              <w:t>Operating</w:t>
            </w:r>
          </w:p>
        </w:tc>
        <w:tc>
          <w:tcPr>
            <w:tcW w:w="0" w:type="dxa"/>
            <w:vAlign w:val="bottom"/>
          </w:tcPr>
          <w:p>
            <w:pPr>
              <w:spacing w:after="0"/>
              <w:rPr>
                <w:sz w:val="1"/>
                <w:szCs w:val="1"/>
                <w:color w:val="auto"/>
              </w:rPr>
            </w:pPr>
          </w:p>
        </w:tc>
      </w:tr>
      <w:tr>
        <w:trPr>
          <w:trHeight w:val="145"/>
        </w:trPr>
        <w:tc>
          <w:tcPr>
            <w:tcW w:w="2280" w:type="dxa"/>
            <w:vAlign w:val="bottom"/>
            <w:vMerge w:val="restart"/>
          </w:tcPr>
          <w:p>
            <w:pPr>
              <w:spacing w:after="0"/>
              <w:rPr>
                <w:sz w:val="20"/>
                <w:szCs w:val="20"/>
                <w:color w:val="auto"/>
              </w:rPr>
            </w:pPr>
            <w:r>
              <w:rPr>
                <w:rFonts w:ascii="Arial" w:cs="Arial" w:eastAsia="Arial" w:hAnsi="Arial"/>
                <w:sz w:val="13"/>
                <w:szCs w:val="13"/>
                <w:b w:val="1"/>
                <w:bCs w:val="1"/>
                <w:color w:val="auto"/>
                <w:w w:val="99"/>
              </w:rPr>
              <w:t>For the Fiscal Year Ending March 31,</w:t>
            </w:r>
          </w:p>
        </w:tc>
        <w:tc>
          <w:tcPr>
            <w:tcW w:w="4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6"/>
              </w:rPr>
              <w:t>Lease</w:t>
            </w:r>
          </w:p>
        </w:tc>
        <w:tc>
          <w:tcPr>
            <w:tcW w:w="700" w:type="dxa"/>
            <w:vAlign w:val="bottom"/>
          </w:tcPr>
          <w:p>
            <w:pPr>
              <w:spacing w:after="0"/>
              <w:rPr>
                <w:sz w:val="12"/>
                <w:szCs w:val="12"/>
                <w:color w:val="auto"/>
              </w:rPr>
            </w:pPr>
          </w:p>
        </w:tc>
        <w:tc>
          <w:tcPr>
            <w:tcW w:w="680" w:type="dxa"/>
            <w:vAlign w:val="bottom"/>
            <w:gridSpan w:val="3"/>
          </w:tcPr>
          <w:p>
            <w:pPr>
              <w:ind w:left="40"/>
              <w:spacing w:after="0" w:line="145" w:lineRule="exact"/>
              <w:rPr>
                <w:sz w:val="20"/>
                <w:szCs w:val="20"/>
                <w:color w:val="auto"/>
              </w:rPr>
            </w:pPr>
            <w:r>
              <w:rPr>
                <w:rFonts w:ascii="Arial" w:cs="Arial" w:eastAsia="Arial" w:hAnsi="Arial"/>
                <w:sz w:val="13"/>
                <w:szCs w:val="13"/>
                <w:b w:val="1"/>
                <w:bCs w:val="1"/>
                <w:color w:val="auto"/>
              </w:rPr>
              <w:t>Sublease</w:t>
            </w:r>
          </w:p>
        </w:tc>
        <w:tc>
          <w:tcPr>
            <w:tcW w:w="0" w:type="dxa"/>
            <w:vAlign w:val="bottom"/>
          </w:tcPr>
          <w:p>
            <w:pPr>
              <w:spacing w:after="0"/>
              <w:rPr>
                <w:sz w:val="1"/>
                <w:szCs w:val="1"/>
                <w:color w:val="auto"/>
              </w:rPr>
            </w:pPr>
          </w:p>
        </w:tc>
      </w:tr>
      <w:tr>
        <w:trPr>
          <w:trHeight w:val="165"/>
        </w:trPr>
        <w:tc>
          <w:tcPr>
            <w:tcW w:w="2280" w:type="dxa"/>
            <w:vAlign w:val="bottom"/>
            <w:tcBorders>
              <w:bottom w:val="single" w:sz="8" w:color="auto"/>
            </w:tcBorders>
            <w:vMerge w:val="continue"/>
          </w:tcPr>
          <w:p>
            <w:pPr>
              <w:spacing w:after="0"/>
              <w:rPr>
                <w:sz w:val="14"/>
                <w:szCs w:val="14"/>
                <w:color w:val="auto"/>
              </w:rPr>
            </w:pPr>
          </w:p>
        </w:tc>
        <w:tc>
          <w:tcPr>
            <w:tcW w:w="4380" w:type="dxa"/>
            <w:vAlign w:val="bottom"/>
          </w:tcPr>
          <w:p>
            <w:pPr>
              <w:spacing w:after="0"/>
              <w:rPr>
                <w:sz w:val="14"/>
                <w:szCs w:val="14"/>
                <w:color w:val="auto"/>
              </w:rPr>
            </w:pPr>
          </w:p>
        </w:tc>
        <w:tc>
          <w:tcPr>
            <w:tcW w:w="6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Payments</w:t>
            </w:r>
          </w:p>
        </w:tc>
        <w:tc>
          <w:tcPr>
            <w:tcW w:w="700" w:type="dxa"/>
            <w:vAlign w:val="bottom"/>
          </w:tcPr>
          <w:p>
            <w:pPr>
              <w:spacing w:after="0"/>
              <w:rPr>
                <w:sz w:val="14"/>
                <w:szCs w:val="14"/>
                <w:color w:val="auto"/>
              </w:rPr>
            </w:pPr>
          </w:p>
        </w:tc>
        <w:tc>
          <w:tcPr>
            <w:tcW w:w="68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97"/>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4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82,426</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Arial" w:cs="Arial" w:eastAsia="Arial" w:hAnsi="Arial"/>
                <w:sz w:val="17"/>
                <w:szCs w:val="17"/>
                <w:color w:val="auto"/>
              </w:rPr>
              <w:t>2014</w:t>
            </w: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76,895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65,300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Arial" w:cs="Arial" w:eastAsia="Arial" w:hAnsi="Arial"/>
                <w:sz w:val="17"/>
                <w:szCs w:val="17"/>
                <w:color w:val="auto"/>
              </w:rPr>
              <w:t>2016</w:t>
            </w:r>
          </w:p>
        </w:tc>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49,654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25,094</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7"/>
                <w:szCs w:val="17"/>
                <w:color w:val="auto"/>
              </w:rPr>
              <w:t>Thereafter</w:t>
            </w:r>
          </w:p>
        </w:tc>
        <w:tc>
          <w:tcPr>
            <w:tcW w:w="4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51,542</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350,911</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20" w:firstLine="457"/>
        <w:spacing w:after="0" w:line="317"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93"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As a result of the Merger Transaction, the Company assigned a total of nine leases to Booz &amp; Co. The facilities are located in New York, New York; Troy, Michigan; Florham Park, New Jersey; Parsippany, New Jersey; Houston, Texas; Chicago, Illinois; Cleveland, Ohio; Dallas, Texas; and London, England. Except for the Houston, Cleveland, and Dallas leases, which expired, the Company remains liable under the terms of the original leases should Booz &amp; Co. default on its obligations. There were no events of default under these leases as of March 31, 2012 and March 31, 2011. The maximum potential amount of undiscounted future payments is $35.9 million at March 31, 2012, and the leases expire at different dates between February 2013 and March 2017.</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Government Contracting Matters</w:t>
      </w:r>
    </w:p>
    <w:p>
      <w:pPr>
        <w:spacing w:after="0" w:line="94"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For fiscal 2012, fiscal 2011, and fiscal 2010, approximately 98%, 97%, and 98%, respectively, of the Company’s revenue was generated from contracts with U.S. government agencies or other U.S. government contractors.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2006. Audits of subsequent years may result in cost reductions and/or penalties. Management believes it has adequately reserved for any losses that may be experienced from any such reductions and/or penalties. As of March 31, 2012 and 2011, the Company has recorded a liability of approximately $127.2 million and $100.2 million, respectively, for its current best estimate of net amounts to be refunded to customers for potential adjustments from such audits or reviews of contract costs incurred subsequent to fiscal year 2006.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51"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Litigation</w:t>
      </w:r>
    </w:p>
    <w:p>
      <w:pPr>
        <w:spacing w:after="0" w:line="94" w:lineRule="exact"/>
        <w:rPr>
          <w:sz w:val="20"/>
          <w:szCs w:val="20"/>
          <w:color w:val="auto"/>
        </w:rPr>
      </w:pPr>
    </w:p>
    <w:p>
      <w:pPr>
        <w:ind w:right="120" w:firstLine="457"/>
        <w:spacing w:after="0" w:line="305" w:lineRule="auto"/>
        <w:rPr>
          <w:sz w:val="20"/>
          <w:szCs w:val="20"/>
          <w:color w:val="auto"/>
        </w:rPr>
      </w:pPr>
      <w:r>
        <w:rPr>
          <w:rFonts w:ascii="Arial" w:cs="Arial" w:eastAsia="Arial" w:hAnsi="Arial"/>
          <w:sz w:val="15"/>
          <w:szCs w:val="15"/>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have a reasonably estimated outcome within that range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financial condition and results of operations. As of March 31, 2012 and 2011, there are no amounts accrued in the consolidated financial statements related to these proceedings.</w:t>
      </w:r>
    </w:p>
    <w:p>
      <w:pPr>
        <w:spacing w:after="0" w:line="10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Six former officers and stockholders of the Predecessor who had departed the firm prior to the Acquisition have filed a total of nine suits,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March 31, 2012 and 2011,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42" w:lineRule="exact"/>
        <w:rPr>
          <w:sz w:val="20"/>
          <w:szCs w:val="20"/>
          <w:color w:val="auto"/>
        </w:rPr>
      </w:pPr>
    </w:p>
    <w:p>
      <w:pPr>
        <w:ind w:left="460" w:hanging="455"/>
        <w:spacing w:after="0"/>
        <w:tabs>
          <w:tab w:leader="none" w:pos="46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 INFORMATION</w:t>
      </w:r>
    </w:p>
    <w:p>
      <w:pPr>
        <w:spacing w:after="0" w:line="100" w:lineRule="exact"/>
        <w:rPr>
          <w:sz w:val="20"/>
          <w:szCs w:val="20"/>
          <w:color w:val="auto"/>
        </w:rPr>
      </w:pPr>
    </w:p>
    <w:p>
      <w:pPr>
        <w:ind w:right="40" w:firstLine="457"/>
        <w:spacing w:after="0" w:line="313" w:lineRule="auto"/>
        <w:rPr>
          <w:sz w:val="20"/>
          <w:szCs w:val="20"/>
          <w:color w:val="auto"/>
        </w:rPr>
      </w:pPr>
      <w:r>
        <w:rPr>
          <w:rFonts w:ascii="Arial" w:cs="Arial" w:eastAsia="Arial" w:hAnsi="Arial"/>
          <w:sz w:val="15"/>
          <w:szCs w:val="15"/>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14" w:lineRule="exact"/>
        <w:rPr>
          <w:sz w:val="20"/>
          <w:szCs w:val="20"/>
          <w:color w:val="auto"/>
        </w:rPr>
      </w:pPr>
    </w:p>
    <w:p>
      <w:pPr>
        <w:ind w:left="460" w:hanging="455"/>
        <w:spacing w:after="0"/>
        <w:tabs>
          <w:tab w:leader="none" w:pos="46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UNAUDITED QUARTERLY FINANCIAL DATA</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3"/>
                <w:szCs w:val="13"/>
                <w:b w:val="1"/>
                <w:bCs w:val="1"/>
                <w:color w:val="auto"/>
              </w:rPr>
              <w:t>2012 Quarters</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80"/>
              <w:spacing w:after="0" w:line="138"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2"/>
                <w:szCs w:val="12"/>
                <w:color w:val="auto"/>
              </w:rPr>
            </w:pPr>
          </w:p>
        </w:tc>
        <w:tc>
          <w:tcPr>
            <w:tcW w:w="122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2"/>
                <w:szCs w:val="12"/>
                <w:color w:val="auto"/>
              </w:rPr>
            </w:pPr>
          </w:p>
        </w:tc>
        <w:tc>
          <w:tcPr>
            <w:tcW w:w="1240" w:type="dxa"/>
            <w:vAlign w:val="bottom"/>
            <w:gridSpan w:val="2"/>
          </w:tcPr>
          <w:p>
            <w:pPr>
              <w:jc w:val="right"/>
              <w:ind w:right="760"/>
              <w:spacing w:after="0" w:line="138"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2"/>
                <w:szCs w:val="12"/>
                <w:color w:val="auto"/>
              </w:rPr>
            </w:pPr>
          </w:p>
        </w:tc>
        <w:tc>
          <w:tcPr>
            <w:tcW w:w="7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2"/>
                <w:szCs w:val="12"/>
                <w:color w:val="auto"/>
              </w:rPr>
            </w:pPr>
          </w:p>
        </w:tc>
      </w:tr>
      <w:tr>
        <w:trPr>
          <w:trHeight w:val="204"/>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1,446,836</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1,429,044</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1,442,718</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1,540,620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98,122</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93,665</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98,188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97,457</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85,386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85,522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86,391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86,575</w:t>
            </w:r>
          </w:p>
        </w:tc>
        <w:tc>
          <w:tcPr>
            <w:tcW w:w="120" w:type="dxa"/>
            <w:vAlign w:val="bottom"/>
            <w:shd w:val="clear" w:color="auto" w:fill="CCEEFF"/>
          </w:tcPr>
          <w:p>
            <w:pPr>
              <w:spacing w:after="0"/>
              <w:rPr>
                <w:sz w:val="18"/>
                <w:szCs w:val="18"/>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51,136</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75,332</w:t>
            </w: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62,860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50,627</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1"/>
        </w:trPr>
        <w:tc>
          <w:tcPr>
            <w:tcW w:w="5440" w:type="dxa"/>
            <w:vAlign w:val="bottom"/>
          </w:tcPr>
          <w:p>
            <w:pPr>
              <w:ind w:left="420"/>
              <w:spacing w:after="0"/>
              <w:rPr>
                <w:sz w:val="20"/>
                <w:szCs w:val="20"/>
                <w:color w:val="auto"/>
              </w:rPr>
            </w:pPr>
            <w:r>
              <w:rPr>
                <w:rFonts w:ascii="Arial" w:cs="Arial" w:eastAsia="Arial" w:hAnsi="Arial"/>
                <w:sz w:val="17"/>
                <w:szCs w:val="17"/>
                <w:color w:val="auto"/>
              </w:rPr>
              <w:t>Basic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0.40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00"/>
              <w:spacing w:after="0"/>
              <w:rPr>
                <w:sz w:val="20"/>
                <w:szCs w:val="20"/>
                <w:color w:val="auto"/>
              </w:rPr>
            </w:pPr>
            <w:r>
              <w:rPr>
                <w:rFonts w:ascii="Arial" w:cs="Arial" w:eastAsia="Arial" w:hAnsi="Arial"/>
                <w:sz w:val="17"/>
                <w:szCs w:val="17"/>
                <w:color w:val="auto"/>
              </w:rPr>
              <w:t>0.48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0.38</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20" w:type="dxa"/>
            <w:vAlign w:val="bottom"/>
            <w:shd w:val="clear" w:color="auto" w:fill="CCEEFF"/>
          </w:tcPr>
          <w:p>
            <w:pPr>
              <w:spacing w:after="0"/>
              <w:rPr>
                <w:sz w:val="18"/>
                <w:szCs w:val="18"/>
                <w:color w:val="auto"/>
              </w:rPr>
            </w:pPr>
          </w:p>
        </w:tc>
      </w:tr>
    </w:tbl>
    <w:p>
      <w:pPr>
        <w:spacing w:after="0" w:line="150"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i w:val="1"/>
          <w:iCs w:val="1"/>
          <w:color w:val="auto"/>
        </w:rPr>
        <w:t xml:space="preserve">Out of period adjustments </w:t>
      </w:r>
      <w:r>
        <w:rPr>
          <w:rFonts w:ascii="Arial" w:cs="Arial" w:eastAsia="Arial" w:hAnsi="Arial"/>
          <w:sz w:val="17"/>
          <w:szCs w:val="17"/>
          <w:color w:val="auto"/>
        </w:rPr>
        <w:t>- During the fourth quarter, the Company recorded an adjustment to revenue associated with the recovery of allowable state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expense that in the aggregate increased revenue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51"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operating income by approximately $10.1 million ($6.1 million net of taxes), which should have been allocated to the prior quarters of fiscal 2012 in which the expense was incurred. This operating income figure does not take into account a partially offsetting effect related to incentive compensation expense. The amount of the adjustment allocable to each prior quarter is not material to any of those prior quarters’ financial statements, and the aggregate adjustment is not material to the fourth quarter, therefore the Company recorded the correction of this error in the fourth quarter of fiscal 2012.</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58"/>
        </w:trPr>
        <w:tc>
          <w:tcPr>
            <w:tcW w:w="5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2011 Quarters</w:t>
            </w:r>
          </w:p>
        </w:tc>
        <w:tc>
          <w:tcPr>
            <w:tcW w:w="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80"/>
              <w:spacing w:after="0" w:line="138" w:lineRule="exact"/>
              <w:rPr>
                <w:sz w:val="20"/>
                <w:szCs w:val="20"/>
                <w:color w:val="auto"/>
              </w:rPr>
            </w:pPr>
            <w:r>
              <w:rPr>
                <w:rFonts w:ascii="Arial" w:cs="Arial" w:eastAsia="Arial" w:hAnsi="Arial"/>
                <w:sz w:val="13"/>
                <w:szCs w:val="13"/>
                <w:b w:val="1"/>
                <w:bCs w:val="1"/>
                <w:color w:val="auto"/>
              </w:rPr>
              <w:t>First</w:t>
            </w:r>
          </w:p>
        </w:tc>
        <w:tc>
          <w:tcPr>
            <w:tcW w:w="140" w:type="dxa"/>
            <w:vAlign w:val="bottom"/>
          </w:tcPr>
          <w:p>
            <w:pPr>
              <w:spacing w:after="0"/>
              <w:rPr>
                <w:sz w:val="12"/>
                <w:szCs w:val="12"/>
                <w:color w:val="auto"/>
              </w:rPr>
            </w:pPr>
          </w:p>
        </w:tc>
        <w:tc>
          <w:tcPr>
            <w:tcW w:w="122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rPr>
              <w:t>Second</w:t>
            </w:r>
          </w:p>
        </w:tc>
        <w:tc>
          <w:tcPr>
            <w:tcW w:w="180" w:type="dxa"/>
            <w:vAlign w:val="bottom"/>
          </w:tcPr>
          <w:p>
            <w:pPr>
              <w:spacing w:after="0"/>
              <w:rPr>
                <w:sz w:val="12"/>
                <w:szCs w:val="12"/>
                <w:color w:val="auto"/>
              </w:rPr>
            </w:pPr>
          </w:p>
        </w:tc>
        <w:tc>
          <w:tcPr>
            <w:tcW w:w="1180" w:type="dxa"/>
            <w:vAlign w:val="bottom"/>
            <w:gridSpan w:val="2"/>
          </w:tcPr>
          <w:p>
            <w:pPr>
              <w:jc w:val="right"/>
              <w:ind w:right="760"/>
              <w:spacing w:after="0" w:line="138"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2"/>
                <w:szCs w:val="12"/>
                <w:color w:val="auto"/>
              </w:rPr>
            </w:pPr>
          </w:p>
        </w:tc>
        <w:tc>
          <w:tcPr>
            <w:tcW w:w="7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rPr>
              <w:t>Fourth</w:t>
            </w:r>
          </w:p>
        </w:tc>
        <w:tc>
          <w:tcPr>
            <w:tcW w:w="120" w:type="dxa"/>
            <w:vAlign w:val="bottom"/>
          </w:tcPr>
          <w:p>
            <w:pPr>
              <w:spacing w:after="0"/>
              <w:rPr>
                <w:sz w:val="12"/>
                <w:szCs w:val="12"/>
                <w:color w:val="auto"/>
              </w:rPr>
            </w:pPr>
          </w:p>
        </w:tc>
      </w:tr>
      <w:tr>
        <w:trPr>
          <w:trHeight w:val="204"/>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1,341,929</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1,367,214</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1,389,176</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1,492,977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88,745</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71,909</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75,131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83,659</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48,085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26,276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21,943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31,760</w:t>
            </w:r>
          </w:p>
        </w:tc>
        <w:tc>
          <w:tcPr>
            <w:tcW w:w="120" w:type="dxa"/>
            <w:vAlign w:val="bottom"/>
            <w:shd w:val="clear" w:color="auto" w:fill="CCEEFF"/>
          </w:tcPr>
          <w:p>
            <w:pPr>
              <w:spacing w:after="0"/>
              <w:rPr>
                <w:sz w:val="18"/>
                <w:szCs w:val="18"/>
                <w:color w:val="auto"/>
              </w:rPr>
            </w:pPr>
          </w:p>
        </w:tc>
      </w:tr>
      <w:tr>
        <w:trPr>
          <w:trHeight w:val="211"/>
        </w:trPr>
        <w:tc>
          <w:tcPr>
            <w:tcW w:w="544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28,169</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14,817</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23,638</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18,070</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1"/>
        </w:trPr>
        <w:tc>
          <w:tcPr>
            <w:tcW w:w="5440" w:type="dxa"/>
            <w:vAlign w:val="bottom"/>
          </w:tcPr>
          <w:p>
            <w:pPr>
              <w:ind w:left="420"/>
              <w:spacing w:after="0"/>
              <w:rPr>
                <w:sz w:val="20"/>
                <w:szCs w:val="20"/>
                <w:color w:val="auto"/>
              </w:rPr>
            </w:pPr>
            <w:r>
              <w:rPr>
                <w:rFonts w:ascii="Arial" w:cs="Arial" w:eastAsia="Arial" w:hAnsi="Arial"/>
                <w:sz w:val="17"/>
                <w:szCs w:val="17"/>
                <w:color w:val="auto"/>
              </w:rPr>
              <w:t>Basic (1)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0.26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500"/>
              <w:spacing w:after="0"/>
              <w:rPr>
                <w:sz w:val="20"/>
                <w:szCs w:val="20"/>
                <w:color w:val="auto"/>
              </w:rPr>
            </w:pPr>
            <w:r>
              <w:rPr>
                <w:rFonts w:ascii="Arial" w:cs="Arial" w:eastAsia="Arial" w:hAnsi="Arial"/>
                <w:sz w:val="17"/>
                <w:szCs w:val="17"/>
                <w:color w:val="auto"/>
              </w:rPr>
              <w:t>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00"/>
              <w:spacing w:after="0"/>
              <w:rPr>
                <w:sz w:val="20"/>
                <w:szCs w:val="20"/>
                <w:color w:val="auto"/>
              </w:rPr>
            </w:pPr>
            <w:r>
              <w:rPr>
                <w:rFonts w:ascii="Arial" w:cs="Arial" w:eastAsia="Arial" w:hAnsi="Arial"/>
                <w:sz w:val="17"/>
                <w:szCs w:val="17"/>
                <w:color w:val="auto"/>
              </w:rPr>
              <w:t>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Pr>
          <w:p>
            <w:pPr>
              <w:spacing w:after="0"/>
              <w:rPr>
                <w:sz w:val="18"/>
                <w:szCs w:val="18"/>
                <w:color w:val="auto"/>
              </w:rPr>
            </w:pPr>
          </w:p>
        </w:tc>
      </w:tr>
      <w:tr>
        <w:trPr>
          <w:trHeight w:val="211"/>
        </w:trPr>
        <w:tc>
          <w:tcPr>
            <w:tcW w:w="54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 (1)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0.12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77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116" w:lineRule="exact"/>
        <w:rPr>
          <w:sz w:val="20"/>
          <w:szCs w:val="20"/>
          <w:color w:val="auto"/>
        </w:rPr>
      </w:pPr>
    </w:p>
    <w:p>
      <w:pPr>
        <w:ind w:left="460" w:hanging="455"/>
        <w:spacing w:after="0"/>
        <w:tabs>
          <w:tab w:leader="none" w:pos="4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86" w:lineRule="exact"/>
        <w:rPr>
          <w:sz w:val="20"/>
          <w:szCs w:val="20"/>
          <w:color w:val="auto"/>
        </w:rPr>
      </w:pPr>
    </w:p>
    <w:p>
      <w:pPr>
        <w:ind w:left="460" w:hanging="455"/>
        <w:spacing w:after="0"/>
        <w:tabs>
          <w:tab w:leader="none" w:pos="46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FINANCIAL INFORMATION</w:t>
      </w:r>
    </w:p>
    <w:p>
      <w:pPr>
        <w:spacing w:after="0" w:line="10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schedule summarizes valuation and qualifying accounts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8"/>
          </w:tcPr>
          <w:p>
            <w:pPr>
              <w:jc w:val="right"/>
              <w:spacing w:after="0"/>
              <w:rPr>
                <w:sz w:val="20"/>
                <w:szCs w:val="20"/>
                <w:color w:val="auto"/>
              </w:rPr>
            </w:pPr>
            <w:r>
              <w:rPr>
                <w:rFonts w:ascii="Arial" w:cs="Arial" w:eastAsia="Arial" w:hAnsi="Arial"/>
                <w:sz w:val="13"/>
                <w:szCs w:val="13"/>
                <w:b w:val="1"/>
                <w:bCs w:val="1"/>
                <w:color w:val="auto"/>
              </w:rPr>
              <w:t>Fiscal Year Ended March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38" w:lineRule="exact"/>
              <w:rPr>
                <w:sz w:val="20"/>
                <w:szCs w:val="20"/>
                <w:color w:val="auto"/>
              </w:rPr>
            </w:pPr>
            <w:r>
              <w:rPr>
                <w:rFonts w:ascii="Arial" w:cs="Arial" w:eastAsia="Arial" w:hAnsi="Arial"/>
                <w:sz w:val="13"/>
                <w:szCs w:val="13"/>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rPr>
              <w:t>2011</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72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Allowance for doubtful accounts</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720" w:type="dxa"/>
            <w:vAlign w:val="bottom"/>
          </w:tcPr>
          <w:p>
            <w:pPr>
              <w:spacing w:after="0"/>
              <w:rPr>
                <w:sz w:val="20"/>
                <w:szCs w:val="20"/>
                <w:color w:val="auto"/>
              </w:rPr>
            </w:pPr>
            <w:r>
              <w:rPr>
                <w:rFonts w:ascii="Arial" w:cs="Arial" w:eastAsia="Arial" w:hAnsi="Arial"/>
                <w:sz w:val="17"/>
                <w:szCs w:val="17"/>
                <w:color w:val="auto"/>
              </w:rPr>
              <w:t>Beginning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1,348</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2,127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1,648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Provision for doubtful accounts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tcPr>
          <w:p>
            <w:pPr>
              <w:ind w:left="420"/>
              <w:spacing w:after="0"/>
              <w:rPr>
                <w:sz w:val="20"/>
                <w:szCs w:val="20"/>
                <w:color w:val="auto"/>
              </w:rPr>
            </w:pPr>
            <w:r>
              <w:rPr>
                <w:rFonts w:ascii="Arial" w:cs="Arial" w:eastAsia="Arial" w:hAnsi="Arial"/>
                <w:sz w:val="17"/>
                <w:szCs w:val="17"/>
                <w:color w:val="auto"/>
              </w:rPr>
              <w:t>Charges against allowance</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w w:val="92"/>
              </w:rPr>
              <w:t>(2,051)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w w:val="96"/>
              </w:rPr>
              <w:t>(1,009)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6"/>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87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7"/>
                <w:szCs w:val="17"/>
                <w:color w:val="auto"/>
              </w:rPr>
              <w:t>Tax valuation allowance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42,379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42,379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tcPr>
          <w:p>
            <w:pPr>
              <w:ind w:left="420"/>
              <w:spacing w:after="0"/>
              <w:rPr>
                <w:sz w:val="20"/>
                <w:szCs w:val="20"/>
                <w:color w:val="auto"/>
              </w:rPr>
            </w:pPr>
            <w:r>
              <w:rPr>
                <w:rFonts w:ascii="Arial" w:cs="Arial" w:eastAsia="Arial" w:hAnsi="Arial"/>
                <w:sz w:val="17"/>
                <w:szCs w:val="17"/>
                <w:color w:val="auto"/>
              </w:rPr>
              <w:t>Purchase accounting adjustments</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Sale of capital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(6,044)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840"/>
              <w:spacing w:after="0"/>
              <w:rPr>
                <w:sz w:val="20"/>
                <w:szCs w:val="20"/>
                <w:color w:val="auto"/>
              </w:rPr>
            </w:pPr>
            <w:r>
              <w:rPr>
                <w:rFonts w:ascii="Arial" w:cs="Arial" w:eastAsia="Arial" w:hAnsi="Arial"/>
                <w:sz w:val="17"/>
                <w:szCs w:val="17"/>
                <w:color w:val="auto"/>
              </w:rPr>
              <w:t>Ending balance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36,335</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42,379</w:t>
            </w:r>
          </w:p>
        </w:tc>
        <w:tc>
          <w:tcPr>
            <w:tcW w:w="2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42,379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460" w:hanging="455"/>
        <w:spacing w:after="0"/>
        <w:tabs>
          <w:tab w:leader="none" w:pos="46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5"/>
          <w:szCs w:val="15"/>
          <w:color w:val="auto"/>
        </w:rPr>
        <w:t>On May 29, 2012, the Company’s Board of Directors authorized and declared a regular quarterly cash dividend in the amount of $0.09 per share. In addition,</w:t>
      </w:r>
    </w:p>
    <w:p>
      <w:pPr>
        <w:spacing w:after="0" w:line="3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Board declared a special cash dividend of $1.50 per share. Both the quarterly and special dividend are payable on June 29, 2012 to shareholders of record on June 11, 2012. The Compensation Committee, as the Administrator of the Officers’ Rollover Stock Plan and the Amended and Restated Equity Incentive Plan, made a determination to adjust the outstanding options under each plan by reducing the exercise price of the Rollover Options by the amount of the special dividend and by granting the holders of EIP options a dividend equivalent equal to the special dividend and payable on June 29, 2012 or the vesting of the EIP option, whichever is later.</w:t>
      </w:r>
    </w:p>
    <w:p>
      <w:pPr>
        <w:spacing w:after="0" w:line="135"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On May 29, 2012, the Company’s Board of Directors also authorized the payment of the accrued interest on the DPO as of July 31, 2012. We expect approximately $3.4 million will be paid on that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51"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8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0"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financial statements for external purposes.</w:t>
      </w:r>
    </w:p>
    <w:p>
      <w:pPr>
        <w:spacing w:after="0" w:line="128" w:lineRule="exact"/>
        <w:rPr>
          <w:sz w:val="20"/>
          <w:szCs w:val="20"/>
          <w:color w:val="auto"/>
        </w:rPr>
      </w:pPr>
    </w:p>
    <w:p>
      <w:pPr>
        <w:ind w:firstLine="457"/>
        <w:spacing w:after="0" w:line="296" w:lineRule="auto"/>
        <w:rPr>
          <w:sz w:val="20"/>
          <w:szCs w:val="20"/>
          <w:color w:val="auto"/>
        </w:rPr>
      </w:pPr>
      <w:r>
        <w:rPr>
          <w:rFonts w:ascii="Arial" w:cs="Arial" w:eastAsia="Arial" w:hAnsi="Arial"/>
          <w:sz w:val="16"/>
          <w:szCs w:val="16"/>
          <w:color w:val="auto"/>
        </w:rPr>
        <w:t xml:space="preserve">Our management conducted an assessment of the effectiveness of our internal control over financial reporting as of March 31, 2012. This assessment was based on the criteria set forth by the Committee of Sponsoring Organizations of the Treadway Commission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Based on this assessment, management has concluded that, as of March 31, 2012, our internal control over financial reporting was effective.</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independent registered public accounting firm has issued a report on the effectiveness of our internal control over financial reporting, which is below.</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0" w:lineRule="exact"/>
        <w:rPr>
          <w:sz w:val="20"/>
          <w:szCs w:val="20"/>
          <w:color w:val="auto"/>
        </w:rPr>
      </w:pPr>
    </w:p>
    <w:p>
      <w:pPr>
        <w:ind w:right="220" w:firstLine="457"/>
        <w:spacing w:after="0" w:line="271"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51"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Ernst &amp; Young, LLP, Independent Registered Public Accounting Firm, on 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Booz Allen Hamilton Holding Corporation</w:t>
      </w:r>
    </w:p>
    <w:p>
      <w:pPr>
        <w:spacing w:after="0" w:line="88"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We have audited Booz Allen Hamilton Holding Corporation’s internal control over financial reporting as of March 31, 2012, based on criteria established in Internal Control — Integrated Framework issued by the Committee of Sponsoring Organizations of the Treadway Commission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9"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2"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In our opinion, Booz Allen Hamilton Holding Corporation maintained, in all material respects, effective internal control over financial reporting as of March 31, 2012, based on the COSO criteria.</w:t>
      </w:r>
    </w:p>
    <w:p>
      <w:pPr>
        <w:spacing w:after="0" w:line="117"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Booz Allen Hamilton Holding Corporation as of March 31, 2012 and 2011, and the related consolidated statements of operations, comprehensive income, stockholders’ equity, and cash flows for each of the three years in the period ended March 31, 2012 of Booz Allen Hamilton Holding Corporation and our report dated May 30, 2012 expressed an unqualified opinion thereon.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30, 2012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51"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100" w:lineRule="exact"/>
        <w:rPr>
          <w:sz w:val="20"/>
          <w:szCs w:val="20"/>
          <w:color w:val="auto"/>
        </w:rPr>
      </w:pPr>
    </w:p>
    <w:p>
      <w:pPr>
        <w:ind w:right="460" w:firstLine="457"/>
        <w:spacing w:after="0" w:line="284" w:lineRule="auto"/>
        <w:rPr>
          <w:sz w:val="20"/>
          <w:szCs w:val="20"/>
          <w:color w:val="auto"/>
        </w:rPr>
      </w:pPr>
      <w:r>
        <w:rPr>
          <w:rFonts w:ascii="Arial" w:cs="Arial" w:eastAsia="Arial" w:hAnsi="Arial"/>
          <w:sz w:val="17"/>
          <w:szCs w:val="17"/>
          <w:color w:val="auto"/>
        </w:rPr>
        <w:t>Information related to our directors is set forth under the caption “Election of Directors” of our Proxy Statement for our Annual Meeting of Stockholders scheduled for August 2, 2012. Such information is incorporated herein by reference.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 of the Registrant.”</w:t>
      </w:r>
    </w:p>
    <w:p>
      <w:pPr>
        <w:spacing w:after="0" w:line="173"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Information relating to compliance with Section 16(a) of the Exchange Act is set forth under the caption “Section 16(a) Beneficial Ownership Reporting Compliance” of our 2012 Proxy Statement. Such information is incorporated herein by reference.</w:t>
      </w:r>
    </w:p>
    <w:p>
      <w:pPr>
        <w:spacing w:after="0" w:line="117"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Information related to our code of ethics is set forth under the caption “Corporate Governance and General Information Concerning the Board of Directors and its Committees” of our 2012 Proxy Statement. Such information is incorporated herein by reference.</w:t>
      </w:r>
    </w:p>
    <w:p>
      <w:pPr>
        <w:spacing w:after="0" w:line="117" w:lineRule="exact"/>
        <w:rPr>
          <w:sz w:val="20"/>
          <w:szCs w:val="20"/>
          <w:color w:val="auto"/>
        </w:rPr>
      </w:pPr>
    </w:p>
    <w:p>
      <w:pPr>
        <w:ind w:right="60" w:firstLine="457"/>
        <w:spacing w:after="0" w:line="271" w:lineRule="auto"/>
        <w:rPr>
          <w:sz w:val="20"/>
          <w:szCs w:val="20"/>
          <w:color w:val="auto"/>
        </w:rPr>
      </w:pPr>
      <w:r>
        <w:rPr>
          <w:rFonts w:ascii="Arial" w:cs="Arial" w:eastAsia="Arial" w:hAnsi="Arial"/>
          <w:sz w:val="17"/>
          <w:szCs w:val="17"/>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2012 Proxy Statement. Such information is incorporated herein by reference.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00" w:lineRule="exact"/>
        <w:rPr>
          <w:sz w:val="20"/>
          <w:szCs w:val="20"/>
          <w:color w:val="auto"/>
        </w:rPr>
      </w:pPr>
    </w:p>
    <w:p>
      <w:pPr>
        <w:ind w:right="40" w:firstLine="457"/>
        <w:spacing w:after="0" w:line="271" w:lineRule="auto"/>
        <w:rPr>
          <w:sz w:val="20"/>
          <w:szCs w:val="20"/>
          <w:color w:val="auto"/>
        </w:rPr>
      </w:pPr>
      <w:r>
        <w:rPr>
          <w:rFonts w:ascii="Arial" w:cs="Arial" w:eastAsia="Arial" w:hAnsi="Arial"/>
          <w:sz w:val="17"/>
          <w:szCs w:val="17"/>
          <w:color w:val="auto"/>
        </w:rPr>
        <w:t>Information relating to this item is set forth under the captions “Executive Compensation,” “Director Compensation,” “Compensation Committee Interlocks and Insider Participation” and “Compensation Committee Report on Executive Compensation” of our 2012 Proxy Statement. Such information is incorporated herein by reference.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right="340" w:firstLine="457"/>
        <w:spacing w:after="0" w:line="271" w:lineRule="auto"/>
        <w:rPr>
          <w:sz w:val="20"/>
          <w:szCs w:val="20"/>
          <w:color w:val="auto"/>
        </w:rPr>
      </w:pPr>
      <w:r>
        <w:rPr>
          <w:rFonts w:ascii="Arial" w:cs="Arial" w:eastAsia="Arial" w:hAnsi="Arial"/>
          <w:sz w:val="17"/>
          <w:szCs w:val="17"/>
          <w:color w:val="auto"/>
        </w:rPr>
        <w:t>Information relating to this item is set forth in this Annual Report under the caption “Item 5. Market for Registrant’s Common Equity, Related Stockholder Matters and Issuer Purchases of Equity Securities — Equity Compensation Plan Information” and under the caption “Security Ownership of Certain Beneficial Owners and Management” of our 2012 Proxy Statement. Such information is incorporated herein by reference.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100" w:lineRule="exact"/>
        <w:rPr>
          <w:sz w:val="20"/>
          <w:szCs w:val="20"/>
          <w:color w:val="auto"/>
        </w:rPr>
      </w:pPr>
    </w:p>
    <w:p>
      <w:pPr>
        <w:ind w:firstLine="457"/>
        <w:spacing w:after="0" w:line="317" w:lineRule="auto"/>
        <w:rPr>
          <w:sz w:val="20"/>
          <w:szCs w:val="20"/>
          <w:color w:val="auto"/>
        </w:rPr>
      </w:pPr>
      <w:r>
        <w:rPr>
          <w:rFonts w:ascii="Arial" w:cs="Arial" w:eastAsia="Arial" w:hAnsi="Arial"/>
          <w:sz w:val="16"/>
          <w:szCs w:val="16"/>
          <w:color w:val="auto"/>
        </w:rPr>
        <w:t>Information relating to this item is set forth under the captions “Certain Relationships and Related Party Transactions” and “Corporate Governance and General Information Concerning the Board of Directors and its Committees” of our 2012 Proxy Statement. Such information is incorporated herein by reference.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Accounting Fees and Services.</w:t>
      </w:r>
    </w:p>
    <w:p>
      <w:pPr>
        <w:spacing w:after="0" w:line="100"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Information relating to this item is set forth under the caption “Independent Registered Public Accounting Firm Fees” of our 2012 Proxy Statement. Such information is incorporated herein by reference.</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Financial Statement Schedules.</w:t>
      </w:r>
    </w:p>
    <w:p>
      <w:pPr>
        <w:spacing w:after="0" w:line="100" w:lineRule="exact"/>
        <w:rPr>
          <w:sz w:val="20"/>
          <w:szCs w:val="20"/>
          <w:color w:val="auto"/>
        </w:rPr>
      </w:pPr>
    </w:p>
    <w:p>
      <w:pPr>
        <w:ind w:left="700" w:hanging="238"/>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following documents are filed as part of this Annual Report:</w:t>
      </w:r>
    </w:p>
    <w:p>
      <w:pPr>
        <w:spacing w:after="0" w:line="94" w:lineRule="exact"/>
        <w:rPr>
          <w:rFonts w:ascii="Arial" w:cs="Arial" w:eastAsia="Arial" w:hAnsi="Arial"/>
          <w:sz w:val="17"/>
          <w:szCs w:val="17"/>
          <w:color w:val="auto"/>
        </w:rPr>
      </w:pPr>
    </w:p>
    <w:p>
      <w:pPr>
        <w:ind w:left="1160" w:hanging="241"/>
        <w:spacing w:after="0"/>
        <w:tabs>
          <w:tab w:leader="none" w:pos="1160" w:val="left"/>
        </w:tabs>
        <w:numPr>
          <w:ilvl w:val="1"/>
          <w:numId w:val="81"/>
        </w:numPr>
        <w:rPr>
          <w:rFonts w:ascii="Arial" w:cs="Arial" w:eastAsia="Arial" w:hAnsi="Arial"/>
          <w:sz w:val="17"/>
          <w:szCs w:val="17"/>
          <w:color w:val="auto"/>
        </w:rPr>
      </w:pPr>
      <w:r>
        <w:rPr>
          <w:rFonts w:ascii="Arial" w:cs="Arial" w:eastAsia="Arial" w:hAnsi="Arial"/>
          <w:sz w:val="17"/>
          <w:szCs w:val="17"/>
          <w:color w:val="auto"/>
        </w:rPr>
        <w:t>Our financial statements filed herewith are set forth in Item 8 of this Annual Report.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51" w:right="2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p>
      <w:pPr>
        <w:ind w:left="920" w:right="260" w:hanging="1"/>
        <w:spacing w:after="0" w:line="284" w:lineRule="auto"/>
        <w:tabs>
          <w:tab w:leader="none" w:pos="1162" w:val="left"/>
        </w:tabs>
        <w:numPr>
          <w:ilvl w:val="0"/>
          <w:numId w:val="82"/>
        </w:numPr>
        <w:rPr>
          <w:rFonts w:ascii="Arial" w:cs="Arial" w:eastAsia="Arial" w:hAnsi="Arial"/>
          <w:sz w:val="17"/>
          <w:szCs w:val="17"/>
          <w:color w:val="auto"/>
        </w:rPr>
      </w:pPr>
      <w:r>
        <w:rPr>
          <w:rFonts w:ascii="Arial" w:cs="Arial" w:eastAsia="Arial" w:hAnsi="Arial"/>
          <w:sz w:val="17"/>
          <w:szCs w:val="17"/>
          <w:color w:val="auto"/>
        </w:rPr>
        <w:t>Financial statement schedules have been omitted because either they are not applicable or the required information is included in the financial statements or the notes thereto.</w:t>
      </w:r>
    </w:p>
    <w:p>
      <w:pPr>
        <w:spacing w:after="0" w:line="37" w:lineRule="exact"/>
        <w:rPr>
          <w:rFonts w:ascii="Arial" w:cs="Arial" w:eastAsia="Arial" w:hAnsi="Arial"/>
          <w:sz w:val="17"/>
          <w:szCs w:val="17"/>
          <w:color w:val="auto"/>
        </w:rPr>
      </w:pPr>
    </w:p>
    <w:p>
      <w:pPr>
        <w:ind w:left="920" w:hanging="1"/>
        <w:spacing w:after="0" w:line="284" w:lineRule="auto"/>
        <w:tabs>
          <w:tab w:leader="none" w:pos="116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attached list of exhibits in the “Exhibit Index” immediately following the signature pages to this Annual Report is filed as part of this Annual Report and is incorporated herein by reference.</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140"/>
          </w:cols>
          <w:pgMar w:left="240" w:top="451" w:right="5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SIGNATURES</w:t>
      </w:r>
    </w:p>
    <w:p>
      <w:pPr>
        <w:spacing w:after="0" w:line="17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McLean, Virginia, on this 30</w:t>
      </w:r>
      <w:r>
        <w:rPr>
          <w:rFonts w:ascii="Arial" w:cs="Arial" w:eastAsia="Arial" w:hAnsi="Arial"/>
          <w:sz w:val="10"/>
          <w:szCs w:val="10"/>
          <w:color w:val="auto"/>
        </w:rPr>
        <w:t>th</w:t>
      </w:r>
      <w:r>
        <w:rPr>
          <w:rFonts w:ascii="Arial" w:cs="Arial" w:eastAsia="Arial" w:hAnsi="Arial"/>
          <w:sz w:val="17"/>
          <w:szCs w:val="17"/>
          <w:color w:val="auto"/>
        </w:rPr>
        <w:t xml:space="preserve"> day of May, 2012.</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BOOZ ALLEN HAMILTON HOLDING CORPORATION</w:t>
      </w:r>
    </w:p>
    <w:p>
      <w:pPr>
        <w:spacing w:after="0" w:line="21"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(Registrant)</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R</w:t>
      </w:r>
      <w:r>
        <w:rPr>
          <w:rFonts w:ascii="Arial" w:cs="Arial" w:eastAsia="Arial" w:hAnsi="Arial"/>
          <w:sz w:val="14"/>
          <w:szCs w:val="14"/>
          <w:color w:val="auto"/>
        </w:rPr>
        <w:t>ALPH</w:t>
      </w:r>
      <w:r>
        <w:rPr>
          <w:rFonts w:ascii="Arial" w:cs="Arial" w:eastAsia="Arial" w:hAnsi="Arial"/>
          <w:sz w:val="17"/>
          <w:szCs w:val="17"/>
          <w:color w:val="auto"/>
        </w:rPr>
        <w:t xml:space="preserve"> W. S</w:t>
      </w:r>
      <w:r>
        <w:rPr>
          <w:rFonts w:ascii="Arial" w:cs="Arial" w:eastAsia="Arial" w:hAnsi="Arial"/>
          <w:sz w:val="14"/>
          <w:szCs w:val="14"/>
          <w:color w:val="auto"/>
        </w:rPr>
        <w:t>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15240</wp:posOffset>
            </wp:positionV>
            <wp:extent cx="26841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84145" cy="8255"/>
                    </a:xfrm>
                    <a:prstGeom prst="rect">
                      <a:avLst/>
                    </a:prstGeom>
                    <a:noFill/>
                  </pic:spPr>
                </pic:pic>
              </a:graphicData>
            </a:graphic>
          </wp:anchor>
        </w:drawing>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Name: Ralph W. Shrader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Title: President, Chief Executive Officer and Director</w:t>
      </w:r>
    </w:p>
    <w:p>
      <w:pPr>
        <w:spacing w:after="0" w:line="319"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60" w:type="dxa"/>
            <w:vAlign w:val="bottom"/>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5040" w:type="dxa"/>
            <w:vAlign w:val="bottom"/>
          </w:tcPr>
          <w:p>
            <w:pPr>
              <w:jc w:val="center"/>
              <w:ind w:right="56"/>
              <w:spacing w:after="0"/>
              <w:rPr>
                <w:sz w:val="20"/>
                <w:szCs w:val="20"/>
                <w:color w:val="auto"/>
              </w:rPr>
            </w:pPr>
            <w:r>
              <w:rPr>
                <w:rFonts w:ascii="Arial" w:cs="Arial" w:eastAsia="Arial" w:hAnsi="Arial"/>
                <w:sz w:val="13"/>
                <w:szCs w:val="13"/>
                <w:b w:val="1"/>
                <w:bCs w:val="1"/>
                <w:color w:val="auto"/>
                <w:w w:val="97"/>
              </w:rPr>
              <w:t>Title</w:t>
            </w:r>
          </w:p>
        </w:tc>
        <w:tc>
          <w:tcPr>
            <w:tcW w:w="1380" w:type="dxa"/>
            <w:vAlign w:val="bottom"/>
          </w:tcPr>
          <w:p>
            <w:pPr>
              <w:jc w:val="center"/>
              <w:ind w:left="316"/>
              <w:spacing w:after="0"/>
              <w:rPr>
                <w:sz w:val="20"/>
                <w:szCs w:val="20"/>
                <w:color w:val="auto"/>
              </w:rPr>
            </w:pPr>
            <w:r>
              <w:rPr>
                <w:rFonts w:ascii="Arial" w:cs="Arial" w:eastAsia="Arial" w:hAnsi="Arial"/>
                <w:sz w:val="13"/>
                <w:szCs w:val="13"/>
                <w:b w:val="1"/>
                <w:bCs w:val="1"/>
                <w:color w:val="auto"/>
                <w:w w:val="92"/>
              </w:rPr>
              <w:t>Date</w:t>
            </w:r>
          </w:p>
        </w:tc>
      </w:tr>
      <w:tr>
        <w:trPr>
          <w:trHeight w:val="40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4"/>
                <w:szCs w:val="14"/>
                <w:color w:val="auto"/>
                <w:w w:val="98"/>
              </w:rPr>
              <w:t>S</w:t>
            </w:r>
            <w:r>
              <w:rPr>
                <w:rFonts w:ascii="Arial" w:cs="Arial" w:eastAsia="Arial" w:hAnsi="Arial"/>
                <w:sz w:val="17"/>
                <w:szCs w:val="17"/>
                <w:color w:val="auto"/>
                <w:w w:val="98"/>
              </w:rPr>
              <w:t>/ R</w:t>
            </w:r>
            <w:r>
              <w:rPr>
                <w:rFonts w:ascii="Arial" w:cs="Arial" w:eastAsia="Arial" w:hAnsi="Arial"/>
                <w:sz w:val="14"/>
                <w:szCs w:val="14"/>
                <w:color w:val="auto"/>
                <w:w w:val="98"/>
              </w:rPr>
              <w:t>ALPH</w:t>
            </w:r>
            <w:r>
              <w:rPr>
                <w:rFonts w:ascii="Arial" w:cs="Arial" w:eastAsia="Arial" w:hAnsi="Arial"/>
                <w:sz w:val="17"/>
                <w:szCs w:val="17"/>
                <w:color w:val="auto"/>
                <w:w w:val="98"/>
              </w:rPr>
              <w:t xml:space="preserve"> W. S</w:t>
            </w:r>
            <w:r>
              <w:rPr>
                <w:rFonts w:ascii="Arial" w:cs="Arial" w:eastAsia="Arial" w:hAnsi="Arial"/>
                <w:sz w:val="14"/>
                <w:szCs w:val="14"/>
                <w:color w:val="auto"/>
                <w:w w:val="98"/>
              </w:rPr>
              <w:t>HRADER</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3"/>
              </w:rPr>
              <w:t>President, Chief Executive Officer and Director (Principal</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2"/>
        </w:trPr>
        <w:tc>
          <w:tcPr>
            <w:tcW w:w="4460" w:type="dxa"/>
            <w:vAlign w:val="bottom"/>
          </w:tcPr>
          <w:p>
            <w:pPr>
              <w:spacing w:after="0"/>
              <w:rPr>
                <w:sz w:val="20"/>
                <w:szCs w:val="20"/>
                <w:color w:val="auto"/>
              </w:rPr>
            </w:pPr>
            <w:r>
              <w:rPr>
                <w:rFonts w:ascii="Arial" w:cs="Arial" w:eastAsia="Arial" w:hAnsi="Arial"/>
                <w:sz w:val="17"/>
                <w:szCs w:val="17"/>
                <w:color w:val="auto"/>
              </w:rPr>
              <w:t>Ralph W. Shrader</w:t>
            </w:r>
          </w:p>
        </w:tc>
        <w:tc>
          <w:tcPr>
            <w:tcW w:w="5040" w:type="dxa"/>
            <w:vAlign w:val="bottom"/>
          </w:tcPr>
          <w:p>
            <w:pPr>
              <w:jc w:val="center"/>
              <w:spacing w:after="0"/>
              <w:rPr>
                <w:sz w:val="20"/>
                <w:szCs w:val="20"/>
                <w:color w:val="auto"/>
              </w:rPr>
            </w:pPr>
            <w:r>
              <w:rPr>
                <w:rFonts w:ascii="Arial" w:cs="Arial" w:eastAsia="Arial" w:hAnsi="Arial"/>
                <w:sz w:val="17"/>
                <w:szCs w:val="17"/>
                <w:color w:val="auto"/>
                <w:w w:val="95"/>
              </w:rPr>
              <w:t>Executive Officer)</w:t>
            </w:r>
          </w:p>
        </w:tc>
        <w:tc>
          <w:tcPr>
            <w:tcW w:w="1380" w:type="dxa"/>
            <w:vAlign w:val="bottom"/>
          </w:tcPr>
          <w:p>
            <w:pPr>
              <w:spacing w:after="0"/>
              <w:rPr>
                <w:sz w:val="18"/>
                <w:szCs w:val="18"/>
                <w:color w:val="auto"/>
              </w:rPr>
            </w:pPr>
          </w:p>
        </w:tc>
      </w:tr>
      <w:tr>
        <w:trPr>
          <w:trHeight w:val="426"/>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S</w:t>
            </w:r>
            <w:r>
              <w:rPr>
                <w:rFonts w:ascii="Arial" w:cs="Arial" w:eastAsia="Arial" w:hAnsi="Arial"/>
                <w:sz w:val="14"/>
                <w:szCs w:val="14"/>
                <w:color w:val="auto"/>
              </w:rPr>
              <w:t>AMUEL</w:t>
            </w:r>
            <w:r>
              <w:rPr>
                <w:rFonts w:ascii="Arial" w:cs="Arial" w:eastAsia="Arial" w:hAnsi="Arial"/>
                <w:sz w:val="17"/>
                <w:szCs w:val="17"/>
                <w:color w:val="auto"/>
              </w:rPr>
              <w:t xml:space="preserve"> R. S</w:t>
            </w:r>
            <w:r>
              <w:rPr>
                <w:rFonts w:ascii="Arial" w:cs="Arial" w:eastAsia="Arial" w:hAnsi="Arial"/>
                <w:sz w:val="14"/>
                <w:szCs w:val="14"/>
                <w:color w:val="auto"/>
              </w:rPr>
              <w:t>TRICKLAND</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3"/>
              </w:rPr>
              <w:t>Executive Vice President, Chief Financial Officer Chief</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185"/>
        </w:trPr>
        <w:tc>
          <w:tcPr>
            <w:tcW w:w="4460" w:type="dxa"/>
            <w:vAlign w:val="bottom"/>
          </w:tcPr>
          <w:p>
            <w:pPr>
              <w:spacing w:after="0" w:line="185" w:lineRule="exact"/>
              <w:rPr>
                <w:sz w:val="20"/>
                <w:szCs w:val="20"/>
                <w:color w:val="auto"/>
              </w:rPr>
            </w:pPr>
            <w:r>
              <w:rPr>
                <w:rFonts w:ascii="Arial" w:cs="Arial" w:eastAsia="Arial" w:hAnsi="Arial"/>
                <w:sz w:val="17"/>
                <w:szCs w:val="17"/>
                <w:color w:val="auto"/>
              </w:rPr>
              <w:t>Samuel R. Strickland</w:t>
            </w:r>
          </w:p>
        </w:tc>
        <w:tc>
          <w:tcPr>
            <w:tcW w:w="5040" w:type="dxa"/>
            <w:vAlign w:val="bottom"/>
          </w:tcPr>
          <w:p>
            <w:pPr>
              <w:jc w:val="center"/>
              <w:spacing w:after="0" w:line="185" w:lineRule="exact"/>
              <w:rPr>
                <w:sz w:val="20"/>
                <w:szCs w:val="20"/>
                <w:color w:val="auto"/>
              </w:rPr>
            </w:pPr>
            <w:r>
              <w:rPr>
                <w:rFonts w:ascii="Arial" w:cs="Arial" w:eastAsia="Arial" w:hAnsi="Arial"/>
                <w:sz w:val="17"/>
                <w:szCs w:val="17"/>
                <w:color w:val="auto"/>
                <w:w w:val="94"/>
              </w:rPr>
              <w:t>Administrative Officer and Director (Principal Financial and</w:t>
            </w:r>
          </w:p>
        </w:tc>
        <w:tc>
          <w:tcPr>
            <w:tcW w:w="1380" w:type="dxa"/>
            <w:vAlign w:val="bottom"/>
          </w:tcPr>
          <w:p>
            <w:pPr>
              <w:spacing w:after="0"/>
              <w:rPr>
                <w:sz w:val="16"/>
                <w:szCs w:val="16"/>
                <w:color w:val="auto"/>
              </w:rPr>
            </w:pPr>
          </w:p>
        </w:tc>
      </w:tr>
      <w:tr>
        <w:trPr>
          <w:trHeight w:val="217"/>
        </w:trPr>
        <w:tc>
          <w:tcPr>
            <w:tcW w:w="44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7"/>
                <w:szCs w:val="17"/>
                <w:color w:val="auto"/>
                <w:w w:val="96"/>
              </w:rPr>
              <w:t>Accounting Officer)</w:t>
            </w:r>
          </w:p>
        </w:tc>
        <w:tc>
          <w:tcPr>
            <w:tcW w:w="1380" w:type="dxa"/>
            <w:vAlign w:val="bottom"/>
          </w:tcPr>
          <w:p>
            <w:pPr>
              <w:spacing w:after="0"/>
              <w:rPr>
                <w:sz w:val="18"/>
                <w:szCs w:val="18"/>
                <w:color w:val="auto"/>
              </w:rPr>
            </w:pPr>
          </w:p>
        </w:tc>
      </w:tr>
      <w:tr>
        <w:trPr>
          <w:trHeight w:val="423"/>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4"/>
                <w:szCs w:val="14"/>
                <w:color w:val="auto"/>
                <w:w w:val="98"/>
              </w:rPr>
              <w:t>S</w:t>
            </w:r>
            <w:r>
              <w:rPr>
                <w:rFonts w:ascii="Arial" w:cs="Arial" w:eastAsia="Arial" w:hAnsi="Arial"/>
                <w:sz w:val="17"/>
                <w:szCs w:val="17"/>
                <w:color w:val="auto"/>
                <w:w w:val="98"/>
              </w:rPr>
              <w:t>/ P</w:t>
            </w:r>
            <w:r>
              <w:rPr>
                <w:rFonts w:ascii="Arial" w:cs="Arial" w:eastAsia="Arial" w:hAnsi="Arial"/>
                <w:sz w:val="14"/>
                <w:szCs w:val="14"/>
                <w:color w:val="auto"/>
                <w:w w:val="98"/>
              </w:rPr>
              <w:t>ETER</w:t>
            </w:r>
            <w:r>
              <w:rPr>
                <w:rFonts w:ascii="Arial" w:cs="Arial" w:eastAsia="Arial" w:hAnsi="Arial"/>
                <w:sz w:val="17"/>
                <w:szCs w:val="17"/>
                <w:color w:val="auto"/>
                <w:w w:val="98"/>
              </w:rPr>
              <w:t xml:space="preserve"> C</w:t>
            </w:r>
            <w:r>
              <w:rPr>
                <w:rFonts w:ascii="Arial" w:cs="Arial" w:eastAsia="Arial" w:hAnsi="Arial"/>
                <w:sz w:val="14"/>
                <w:szCs w:val="14"/>
                <w:color w:val="auto"/>
                <w:w w:val="98"/>
              </w:rPr>
              <w:t>LARE</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Peter Clare</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I</w:t>
            </w:r>
            <w:r>
              <w:rPr>
                <w:rFonts w:ascii="Arial" w:cs="Arial" w:eastAsia="Arial" w:hAnsi="Arial"/>
                <w:sz w:val="14"/>
                <w:szCs w:val="14"/>
                <w:color w:val="auto"/>
              </w:rPr>
              <w:t>AN</w:t>
            </w:r>
            <w:r>
              <w:rPr>
                <w:rFonts w:ascii="Arial" w:cs="Arial" w:eastAsia="Arial" w:hAnsi="Arial"/>
                <w:sz w:val="17"/>
                <w:szCs w:val="17"/>
                <w:color w:val="auto"/>
              </w:rPr>
              <w:t xml:space="preserve"> F</w:t>
            </w:r>
            <w:r>
              <w:rPr>
                <w:rFonts w:ascii="Arial" w:cs="Arial" w:eastAsia="Arial" w:hAnsi="Arial"/>
                <w:sz w:val="14"/>
                <w:szCs w:val="14"/>
                <w:color w:val="auto"/>
              </w:rPr>
              <w:t>UJIYAMA</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Ian Fujiyama</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M</w:t>
            </w:r>
            <w:r>
              <w:rPr>
                <w:rFonts w:ascii="Arial" w:cs="Arial" w:eastAsia="Arial" w:hAnsi="Arial"/>
                <w:sz w:val="14"/>
                <w:szCs w:val="14"/>
                <w:color w:val="auto"/>
              </w:rPr>
              <w:t>ARK</w:t>
            </w:r>
            <w:r>
              <w:rPr>
                <w:rFonts w:ascii="Arial" w:cs="Arial" w:eastAsia="Arial" w:hAnsi="Arial"/>
                <w:sz w:val="17"/>
                <w:szCs w:val="17"/>
                <w:color w:val="auto"/>
              </w:rPr>
              <w:t xml:space="preserve"> G</w:t>
            </w:r>
            <w:r>
              <w:rPr>
                <w:rFonts w:ascii="Arial" w:cs="Arial" w:eastAsia="Arial" w:hAnsi="Arial"/>
                <w:sz w:val="14"/>
                <w:szCs w:val="14"/>
                <w:color w:val="auto"/>
              </w:rPr>
              <w:t>AUMOND</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Mark Gaumond</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spacing w:after="0"/>
              <w:rPr>
                <w:sz w:val="24"/>
                <w:szCs w:val="24"/>
                <w:color w:val="auto"/>
              </w:rPr>
            </w:pP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Allan M. Holt</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4"/>
                <w:szCs w:val="14"/>
                <w:color w:val="auto"/>
                <w:w w:val="98"/>
              </w:rPr>
              <w:t>S</w:t>
            </w:r>
            <w:r>
              <w:rPr>
                <w:rFonts w:ascii="Arial" w:cs="Arial" w:eastAsia="Arial" w:hAnsi="Arial"/>
                <w:sz w:val="17"/>
                <w:szCs w:val="17"/>
                <w:color w:val="auto"/>
                <w:w w:val="98"/>
              </w:rPr>
              <w:t>/ A</w:t>
            </w:r>
            <w:r>
              <w:rPr>
                <w:rFonts w:ascii="Arial" w:cs="Arial" w:eastAsia="Arial" w:hAnsi="Arial"/>
                <w:sz w:val="14"/>
                <w:szCs w:val="14"/>
                <w:color w:val="auto"/>
                <w:w w:val="98"/>
              </w:rPr>
              <w:t>RTHUR</w:t>
            </w:r>
            <w:r>
              <w:rPr>
                <w:rFonts w:ascii="Arial" w:cs="Arial" w:eastAsia="Arial" w:hAnsi="Arial"/>
                <w:sz w:val="17"/>
                <w:szCs w:val="17"/>
                <w:color w:val="auto"/>
                <w:w w:val="98"/>
              </w:rPr>
              <w:t xml:space="preserve"> J</w:t>
            </w:r>
            <w:r>
              <w:rPr>
                <w:rFonts w:ascii="Arial" w:cs="Arial" w:eastAsia="Arial" w:hAnsi="Arial"/>
                <w:sz w:val="14"/>
                <w:szCs w:val="14"/>
                <w:color w:val="auto"/>
                <w:w w:val="98"/>
              </w:rPr>
              <w:t>OHNSON</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Arthur Johnson</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P</w:t>
            </w:r>
            <w:r>
              <w:rPr>
                <w:rFonts w:ascii="Arial" w:cs="Arial" w:eastAsia="Arial" w:hAnsi="Arial"/>
                <w:sz w:val="14"/>
                <w:szCs w:val="14"/>
                <w:color w:val="auto"/>
              </w:rPr>
              <w:t>HILIP</w:t>
            </w:r>
            <w:r>
              <w:rPr>
                <w:rFonts w:ascii="Arial" w:cs="Arial" w:eastAsia="Arial" w:hAnsi="Arial"/>
                <w:sz w:val="17"/>
                <w:szCs w:val="17"/>
                <w:color w:val="auto"/>
              </w:rPr>
              <w:t xml:space="preserve"> A. O</w:t>
            </w:r>
            <w:r>
              <w:rPr>
                <w:rFonts w:ascii="Arial" w:cs="Arial" w:eastAsia="Arial" w:hAnsi="Arial"/>
                <w:sz w:val="14"/>
                <w:szCs w:val="14"/>
                <w:color w:val="auto"/>
              </w:rPr>
              <w:t>DEEN</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Philip A. Odeen</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427"/>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4"/>
                <w:szCs w:val="14"/>
                <w:color w:val="auto"/>
                <w:w w:val="97"/>
              </w:rPr>
              <w:t>S</w:t>
            </w:r>
            <w:r>
              <w:rPr>
                <w:rFonts w:ascii="Arial" w:cs="Arial" w:eastAsia="Arial" w:hAnsi="Arial"/>
                <w:sz w:val="17"/>
                <w:szCs w:val="17"/>
                <w:color w:val="auto"/>
                <w:w w:val="97"/>
              </w:rPr>
              <w:t>/ C</w:t>
            </w:r>
            <w:r>
              <w:rPr>
                <w:rFonts w:ascii="Arial" w:cs="Arial" w:eastAsia="Arial" w:hAnsi="Arial"/>
                <w:sz w:val="14"/>
                <w:szCs w:val="14"/>
                <w:color w:val="auto"/>
                <w:w w:val="97"/>
              </w:rPr>
              <w:t>HARLES</w:t>
            </w:r>
            <w:r>
              <w:rPr>
                <w:rFonts w:ascii="Arial" w:cs="Arial" w:eastAsia="Arial" w:hAnsi="Arial"/>
                <w:sz w:val="17"/>
                <w:szCs w:val="17"/>
                <w:color w:val="auto"/>
                <w:w w:val="97"/>
              </w:rPr>
              <w:t xml:space="preserve"> O. R</w:t>
            </w:r>
            <w:r>
              <w:rPr>
                <w:rFonts w:ascii="Arial" w:cs="Arial" w:eastAsia="Arial" w:hAnsi="Arial"/>
                <w:sz w:val="14"/>
                <w:szCs w:val="14"/>
                <w:color w:val="auto"/>
                <w:w w:val="97"/>
              </w:rPr>
              <w:t>OSSOTTI</w:t>
            </w:r>
          </w:p>
        </w:tc>
        <w:tc>
          <w:tcPr>
            <w:tcW w:w="5040" w:type="dxa"/>
            <w:vAlign w:val="bottom"/>
          </w:tcPr>
          <w:p>
            <w:pPr>
              <w:jc w:val="center"/>
              <w:ind w:right="36"/>
              <w:spacing w:after="0"/>
              <w:rPr>
                <w:sz w:val="20"/>
                <w:szCs w:val="20"/>
                <w:color w:val="auto"/>
              </w:rPr>
            </w:pPr>
            <w:r>
              <w:rPr>
                <w:rFonts w:ascii="Arial" w:cs="Arial" w:eastAsia="Arial" w:hAnsi="Arial"/>
                <w:sz w:val="17"/>
                <w:szCs w:val="17"/>
                <w:color w:val="auto"/>
                <w:w w:val="94"/>
              </w:rPr>
              <w:t>Director</w:t>
            </w:r>
          </w:p>
        </w:tc>
        <w:tc>
          <w:tcPr>
            <w:tcW w:w="1380" w:type="dxa"/>
            <w:vAlign w:val="bottom"/>
          </w:tcPr>
          <w:p>
            <w:pPr>
              <w:jc w:val="center"/>
              <w:ind w:left="336"/>
              <w:spacing w:after="0"/>
              <w:rPr>
                <w:sz w:val="20"/>
                <w:szCs w:val="20"/>
                <w:color w:val="auto"/>
              </w:rPr>
            </w:pPr>
            <w:r>
              <w:rPr>
                <w:rFonts w:ascii="Arial" w:cs="Arial" w:eastAsia="Arial" w:hAnsi="Arial"/>
                <w:sz w:val="17"/>
                <w:szCs w:val="17"/>
                <w:color w:val="auto"/>
                <w:w w:val="93"/>
              </w:rPr>
              <w:t>May 30, 2012</w:t>
            </w:r>
          </w:p>
        </w:tc>
      </w:tr>
      <w:tr>
        <w:trPr>
          <w:trHeight w:val="211"/>
        </w:trPr>
        <w:tc>
          <w:tcPr>
            <w:tcW w:w="4460" w:type="dxa"/>
            <w:vAlign w:val="bottom"/>
          </w:tcPr>
          <w:p>
            <w:pPr>
              <w:spacing w:after="0"/>
              <w:rPr>
                <w:sz w:val="20"/>
                <w:szCs w:val="20"/>
                <w:color w:val="auto"/>
              </w:rPr>
            </w:pPr>
            <w:r>
              <w:rPr>
                <w:rFonts w:ascii="Arial" w:cs="Arial" w:eastAsia="Arial" w:hAnsi="Arial"/>
                <w:sz w:val="17"/>
                <w:szCs w:val="17"/>
                <w:color w:val="auto"/>
              </w:rPr>
              <w:t>Charles O. Rossotti</w:t>
            </w:r>
          </w:p>
        </w:tc>
        <w:tc>
          <w:tcPr>
            <w:tcW w:w="50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60"/>
        </w:trPr>
        <w:tc>
          <w:tcPr>
            <w:tcW w:w="4460" w:type="dxa"/>
            <w:vAlign w:val="bottom"/>
          </w:tcPr>
          <w:p>
            <w:pPr>
              <w:spacing w:after="0"/>
              <w:rPr>
                <w:sz w:val="24"/>
                <w:szCs w:val="24"/>
                <w:color w:val="auto"/>
              </w:rPr>
            </w:pPr>
          </w:p>
        </w:tc>
        <w:tc>
          <w:tcPr>
            <w:tcW w:w="5040" w:type="dxa"/>
            <w:vAlign w:val="bottom"/>
          </w:tcPr>
          <w:p>
            <w:pPr>
              <w:jc w:val="right"/>
              <w:ind w:right="3616"/>
              <w:spacing w:after="0"/>
              <w:rPr>
                <w:sz w:val="20"/>
                <w:szCs w:val="20"/>
                <w:color w:val="auto"/>
              </w:rPr>
            </w:pPr>
            <w:r>
              <w:rPr>
                <w:rFonts w:ascii="Arial" w:cs="Arial" w:eastAsia="Arial" w:hAnsi="Arial"/>
                <w:sz w:val="17"/>
                <w:szCs w:val="17"/>
                <w:color w:val="auto"/>
              </w:rPr>
              <w:t>78</w:t>
            </w:r>
          </w:p>
        </w:tc>
        <w:tc>
          <w:tcPr>
            <w:tcW w:w="1380" w:type="dxa"/>
            <w:vAlign w:val="bottom"/>
          </w:tcPr>
          <w:p>
            <w:pPr>
              <w:spacing w:after="0"/>
              <w:rPr>
                <w:sz w:val="24"/>
                <w:szCs w:val="24"/>
                <w:color w:val="auto"/>
              </w:rPr>
            </w:pPr>
          </w:p>
        </w:tc>
      </w:tr>
    </w:tbl>
    <w:p>
      <w:pPr>
        <w:sectPr>
          <w:pgSz w:w="11900" w:h="16838" w:orient="portrait"/>
          <w:cols w:equalWidth="0" w:num="1">
            <w:col w:w="11340"/>
          </w:cols>
          <w:pgMar w:left="240" w:top="451" w:right="31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0" w:type="dxa"/>
            <w:vAlign w:val="bottom"/>
          </w:tcPr>
          <w:p>
            <w:pPr>
              <w:jc w:val="center"/>
              <w:ind w:right="1874"/>
              <w:spacing w:after="0"/>
              <w:rPr>
                <w:sz w:val="20"/>
                <w:szCs w:val="20"/>
                <w:color w:val="auto"/>
              </w:rPr>
            </w:pPr>
            <w:r>
              <w:rPr>
                <w:rFonts w:ascii="Arial" w:cs="Arial" w:eastAsia="Arial" w:hAnsi="Arial"/>
                <w:sz w:val="17"/>
                <w:szCs w:val="17"/>
                <w:b w:val="1"/>
                <w:bCs w:val="1"/>
                <w:color w:val="auto"/>
                <w:w w:val="94"/>
              </w:rPr>
              <w:t>Exhibit Index</w:t>
            </w:r>
          </w:p>
        </w:tc>
      </w:tr>
      <w:tr>
        <w:trPr>
          <w:trHeight w:val="336"/>
        </w:trPr>
        <w:tc>
          <w:tcPr>
            <w:tcW w:w="460" w:type="dxa"/>
            <w:vAlign w:val="bottom"/>
          </w:tcPr>
          <w:p>
            <w:pPr>
              <w:spacing w:after="0"/>
              <w:rPr>
                <w:sz w:val="20"/>
                <w:szCs w:val="20"/>
                <w:color w:val="auto"/>
              </w:rPr>
            </w:pPr>
            <w:r>
              <w:rPr>
                <w:rFonts w:ascii="Arial" w:cs="Arial" w:eastAsia="Arial" w:hAnsi="Arial"/>
                <w:sz w:val="13"/>
                <w:szCs w:val="13"/>
                <w:color w:val="auto"/>
              </w:rPr>
              <w:t>Exhibit</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Number</w:t>
            </w:r>
          </w:p>
        </w:tc>
        <w:tc>
          <w:tcPr>
            <w:tcW w:w="88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8"/>
              </w:rPr>
              <w:t>Description</w:t>
            </w:r>
          </w:p>
        </w:tc>
        <w:tc>
          <w:tcPr>
            <w:tcW w:w="9400" w:type="dxa"/>
            <w:vAlign w:val="bottom"/>
          </w:tcPr>
          <w:p>
            <w:pPr>
              <w:spacing w:after="0"/>
              <w:rPr>
                <w:sz w:val="13"/>
                <w:szCs w:val="13"/>
                <w:color w:val="auto"/>
              </w:rPr>
            </w:pPr>
          </w:p>
        </w:tc>
      </w:tr>
      <w:tr>
        <w:trPr>
          <w:trHeight w:val="301"/>
        </w:trPr>
        <w:tc>
          <w:tcPr>
            <w:tcW w:w="460" w:type="dxa"/>
            <w:vAlign w:val="bottom"/>
          </w:tcPr>
          <w:p>
            <w:pPr>
              <w:spacing w:after="0"/>
              <w:rPr>
                <w:sz w:val="20"/>
                <w:szCs w:val="20"/>
                <w:color w:val="auto"/>
              </w:rPr>
            </w:pPr>
            <w:r>
              <w:rPr>
                <w:rFonts w:ascii="Arial" w:cs="Arial" w:eastAsia="Arial" w:hAnsi="Arial"/>
                <w:sz w:val="17"/>
                <w:szCs w:val="17"/>
                <w:color w:val="auto"/>
              </w:rPr>
              <w:t>2.1</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Agreement and Plan of Merger, dated as of May 15, 2008, by and among Booz Allen Hamilton Inc., Booz Allen Hamilton Holding Corporation</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(formerly known as Explorer Holding Corporation), Booz Allen Hamilton Investor Corporation (formerly known as Explorer Investor</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Corporation), Explorer Merger Sub Corporation and Booz &amp; Company Inc. (Incorporated by reference to Exhibit 2.1 to the Company’s</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Registration Statement on Form S-1 (File No. 333-167645))</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2.2</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5"/>
              </w:rPr>
              <w:t>Spin Off Agreement, dated as of May 15, 2008, by and among Booz Allen Hamilton Inc., Booz &amp; Company Holdings, LLC, Booz &amp; Company</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3"/>
              </w:rPr>
              <w:t>Inc., Booz &amp; Company Intermediate I Inc. and Booz &amp; Company Intermediate II Inc. (Incorporated by reference to Exhibit 2.2 to the Company’s</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Registration Statement on Form S-1 (File No. 333-167645))</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2.3</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Amendment to the Agreement and Plan of Merger and the Spin Off Agreement, dated as of July 30, 2008, by and among Booz Allen Hamilton</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5"/>
              </w:rPr>
              <w:t>Inc., Booz Allen Hamilton Investor Corporation (formerly known as Explorer Investor Corporation), Explorer Merger Sub Corporation, Booz &amp;</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Company Holdings, LLC, Booz &amp; Company Inc., Booz &amp; Company Intermediate I Inc. and Booz &amp; Company Intermediate II Inc. (Incorporated</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by reference to Exhibit 2.3 to the Company’s Registration Statement on Form S-1 (File No. 333-167645))</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3.1</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Second Amended and Restated Certificate of Incorporation of Booz Allen Hamilton Holding Corporation (Incorporated by reference to Exhibit</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3.1 to the Company’s Quarterly Report for the period ended December 31, 2010 on Form 10-Q (File No. 001-34972))</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3.2</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3"/>
              </w:rPr>
              <w:t>Second Amended and Restated Bylaws of Booz Allen Hamilton Holding Corporation (Incorporated by reference to Exhibit 3.2 to the Company’s</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Quarterly Report for the period ended December 31, 2010 on Form 10-Q (File No. 001-34972))</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4.1</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6"/>
              </w:rPr>
              <w:t>Guarantee and Collateral Agreement, among Booz Allen Hamilton Investor Corporation (formerly known as Explorer Investor Corporation),</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Explorer Merger Sub Corporation as the Initial Borrower, Booz Allen Hamilton Inc., as the Surviving Borrower, and the Subsidiary Guarantors</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2"/>
              </w:rPr>
              <w:t>party thereto, in favor of Credit Suisse, as Collateral Agent, dated as of July 31, 2008 (Incorporated by reference to Exhibit 4.1 to the Company’s</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Registration Statement on Form S-1 (File No. 333-167645))</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4.2</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4"/>
              </w:rPr>
              <w:t>Guarantee Agreement, among Booz Allen Hamilton Investor Corporation (formerly known as Explorer Investor Corporation), Explorer Merger</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3"/>
              </w:rPr>
              <w:t>Sub Corporation as the Initial Borrower, Booz Allen Hamilton Inc., as the Surviving Borrower, and the Subsidiary Guarantors party thereto, and</w:t>
            </w:r>
          </w:p>
        </w:tc>
      </w:tr>
      <w:tr>
        <w:trPr>
          <w:trHeight w:val="211"/>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7"/>
              </w:rPr>
              <w:t>Credit Suisse, as Administrative Agent, dated as of July 31, 2008 (Incorporated by reference to Exhibit 4.2 to the Company’s Registration</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Statement on Form S-1 (File No. 333-167645))</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4.3</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1"/>
              </w:rPr>
              <w:t>Amended and Restated Stockholders Agreement (Incorporated by reference to Exhibit 4.3 to the Company’s Quarterly Report for the period ended</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December 31, 2010 on Form 10-Q (File No. 001-34972))</w:t>
            </w:r>
          </w:p>
        </w:tc>
      </w:tr>
      <w:tr>
        <w:trPr>
          <w:trHeight w:val="310"/>
        </w:trPr>
        <w:tc>
          <w:tcPr>
            <w:tcW w:w="460" w:type="dxa"/>
            <w:vAlign w:val="bottom"/>
          </w:tcPr>
          <w:p>
            <w:pPr>
              <w:spacing w:after="0"/>
              <w:rPr>
                <w:sz w:val="20"/>
                <w:szCs w:val="20"/>
                <w:color w:val="auto"/>
              </w:rPr>
            </w:pPr>
            <w:r>
              <w:rPr>
                <w:rFonts w:ascii="Arial" w:cs="Arial" w:eastAsia="Arial" w:hAnsi="Arial"/>
                <w:sz w:val="17"/>
                <w:szCs w:val="17"/>
                <w:color w:val="auto"/>
              </w:rPr>
              <w:t>4.4</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3"/>
              </w:rPr>
              <w:t>Irrevocable Proxy and Tag-Along Agreement (Incorporated by reference to Exhibit 4.4 to the Company’s Quarterly Report for the period ended</w:t>
            </w:r>
          </w:p>
        </w:tc>
      </w:tr>
      <w:tr>
        <w:trPr>
          <w:trHeight w:val="217"/>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rPr>
              <w:t>December 31, 2010 on Form 10-Q (File No. 001-34972))</w:t>
            </w:r>
          </w:p>
        </w:tc>
      </w:tr>
      <w:tr>
        <w:trPr>
          <w:trHeight w:val="316"/>
        </w:trPr>
        <w:tc>
          <w:tcPr>
            <w:tcW w:w="460" w:type="dxa"/>
            <w:vAlign w:val="bottom"/>
          </w:tcPr>
          <w:p>
            <w:pPr>
              <w:spacing w:after="0"/>
              <w:rPr>
                <w:sz w:val="20"/>
                <w:szCs w:val="20"/>
                <w:color w:val="auto"/>
              </w:rPr>
            </w:pPr>
            <w:r>
              <w:rPr>
                <w:rFonts w:ascii="Arial" w:cs="Arial" w:eastAsia="Arial" w:hAnsi="Arial"/>
                <w:sz w:val="17"/>
                <w:szCs w:val="17"/>
                <w:color w:val="auto"/>
              </w:rPr>
              <w:t>4.5</w:t>
            </w:r>
          </w:p>
        </w:tc>
        <w:tc>
          <w:tcPr>
            <w:tcW w:w="88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Arial" w:cs="Arial" w:eastAsia="Arial" w:hAnsi="Arial"/>
                <w:sz w:val="17"/>
                <w:szCs w:val="17"/>
                <w:color w:val="auto"/>
                <w:w w:val="92"/>
              </w:rPr>
              <w:t>Form of Stock Certificate (Incorporated by reference to Exhibit 4.5 to the Company’s Registration Statement on Form S-1 (File No. 333-167645))</w:t>
            </w:r>
          </w:p>
        </w:tc>
      </w:tr>
      <w:tr>
        <w:trPr>
          <w:trHeight w:val="356"/>
        </w:trPr>
        <w:tc>
          <w:tcPr>
            <w:tcW w:w="460" w:type="dxa"/>
            <w:vAlign w:val="bottom"/>
          </w:tcPr>
          <w:p>
            <w:pPr>
              <w:spacing w:after="0"/>
              <w:rPr>
                <w:sz w:val="24"/>
                <w:szCs w:val="24"/>
                <w:color w:val="auto"/>
              </w:rPr>
            </w:pPr>
          </w:p>
        </w:tc>
        <w:tc>
          <w:tcPr>
            <w:tcW w:w="10940" w:type="dxa"/>
            <w:vAlign w:val="bottom"/>
            <w:gridSpan w:val="3"/>
          </w:tcPr>
          <w:p>
            <w:pPr>
              <w:jc w:val="right"/>
              <w:ind w:right="5554"/>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00"/>
          </w:cols>
          <w:pgMar w:left="240" w:top="451" w:right="2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10700" w:type="dxa"/>
            <w:vAlign w:val="bottom"/>
          </w:tcPr>
          <w:p>
            <w:pPr>
              <w:ind w:left="320"/>
              <w:spacing w:after="0"/>
              <w:rPr>
                <w:sz w:val="20"/>
                <w:szCs w:val="20"/>
                <w:color w:val="auto"/>
              </w:rPr>
            </w:pPr>
            <w:r>
              <w:rPr>
                <w:rFonts w:ascii="Arial" w:cs="Arial" w:eastAsia="Arial" w:hAnsi="Arial"/>
                <w:sz w:val="17"/>
                <w:szCs w:val="17"/>
                <w:color w:val="auto"/>
                <w:w w:val="97"/>
              </w:rPr>
              <w:t>Credit Agreement, among Booz Allen Hamilton Investor Corporation (formerly known as Explorer Investor Corporation), Explorer Merger Sub</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Corporation, as the Initial Borrower, Booz Allen Hamilton Inc., as the Surviving Borrower, the several lenders from time to time parties thereto, Credit</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Suisse AG, Cayman Islands Branch (formerly known as Credit Suisse), as Administrative Agent and Collateral Agent, Credit Suisse AG, Cayman</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Islands Branch (formerly known as Credit Suisse), as Issuing Lender, Banc of America Securities LLC and Credit Suisse Securities (USA) LLC, as</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Joint Lead Arrangers, and Banc of America Securities LLC, Credit Suisse Securities (USA) LLC, Barclays Capital, Goldman Sachs Credit Partners</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L.P., and Morgan Stanley Senior Funding, Inc., as Joint Bookrunners and Sumitomo Mitsui Banking Corporation, as Co-Manager, dated as of July 31,</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2008 (Incorporated by reference to Exhibit 10.1 to the 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First Amendment to Credit Agreement, dated as of December 8, 2009 (Incorporated by reference to Exhibit 10.2 to the Company’s Registration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Loan Agreement, Waiver and Amendment No. 2 to the Credit Agreement, dated as of February 3, 2011 (Incorporated by reference to Exhibit 10.1 to</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the Company’s Periodic Report on Form 8-K (File No. 001-34972))</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Second Amended and Restated Credit Agreement, as effected by the Loan Agreement, Waiver and Amendment No. 2 to the Credit Agreement, dated</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as of February 3, 2011 (Incorporated by reference to Exhibit 10.2 to the Company’s Periodic Report on Form 8-K (File No. 001-34972))</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Management Agreement, among Booz Allen Hamilton Holding Corporation (formerly known as Explorer Holding Corporation), Booz Allen Hamilton</w:t>
            </w:r>
          </w:p>
        </w:tc>
      </w:tr>
      <w:tr>
        <w:trPr>
          <w:trHeight w:val="211"/>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Inc., and TC Group V US, LLC, dated as of July 31, 2008 (Incorporated by reference to Exhibit 10.6 to the Company’s Registration Statement 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10700" w:type="dxa"/>
            <w:vAlign w:val="bottom"/>
          </w:tcPr>
          <w:p>
            <w:pPr>
              <w:ind w:left="320"/>
              <w:spacing w:after="0"/>
              <w:rPr>
                <w:sz w:val="20"/>
                <w:szCs w:val="20"/>
                <w:color w:val="auto"/>
              </w:rPr>
            </w:pPr>
            <w:r>
              <w:rPr>
                <w:rFonts w:ascii="Arial" w:cs="Arial" w:eastAsia="Arial" w:hAnsi="Arial"/>
                <w:sz w:val="17"/>
                <w:szCs w:val="17"/>
                <w:color w:val="auto"/>
                <w:w w:val="99"/>
              </w:rPr>
              <w:t>Amended and Restated Equity Incentive Plan of Booz Allen Hamilton Holding Corporation (Incorporated by reference to Exhibit 10.7 to the</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Booz Allen Hamilton Holding Corporation Officers’ Rollover Stock Plan (Incorporated by reference to Exhibit 10.8 to the Company’s Registration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Form of Booz Allen Hamilton Holding Corporation Rollover Stock Option Agreement (Incorporated by reference to Exhibit 10.9 to the Company’s</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Form of Stock Option Agreement under the Equity Incentive Plan of Booz Allen Hamilton Holding Corporation (Incorporated by reference to Exhibit</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10.10 to the 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Form of Stock Option Agreement under the Equity Incentive Plan of Booz Allen Hamilton Holding Corporation (Incorporated by reference to Exhibit</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10.11 to the 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Form of Subscription Agreement (Incorporated by reference to Exhibit 10.12 to the Company’s Registration Statement on Form S-1 (File No. 333-</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Form of Restricted Stock Agreement for Directors under the Equity Incentive Plan of Booz Allen Hamilton Holding Corporation (Incorporated by</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Exhibit 10.13 to the 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Form of Restricted Stock Agreement for Employees under the Equity Incentive Plan of Booz Allen Hamilton Holding Corporation (Incorporated by</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reference to Exhibit 10.14 to the Company’s Registration Statement on Form S-1 (File No. 333-167645))*</w:t>
            </w:r>
          </w:p>
        </w:tc>
      </w:tr>
      <w:tr>
        <w:trPr>
          <w:trHeight w:val="356"/>
        </w:trPr>
        <w:tc>
          <w:tcPr>
            <w:tcW w:w="720" w:type="dxa"/>
            <w:vAlign w:val="bottom"/>
          </w:tcPr>
          <w:p>
            <w:pPr>
              <w:spacing w:after="0"/>
              <w:rPr>
                <w:sz w:val="24"/>
                <w:szCs w:val="24"/>
                <w:color w:val="auto"/>
              </w:rPr>
            </w:pPr>
          </w:p>
        </w:tc>
        <w:tc>
          <w:tcPr>
            <w:tcW w:w="10700" w:type="dxa"/>
            <w:vAlign w:val="bottom"/>
          </w:tcPr>
          <w:p>
            <w:pPr>
              <w:ind w:left="4960"/>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420"/>
          </w:cols>
          <w:pgMar w:left="240" w:top="451"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10700" w:type="dxa"/>
            <w:vAlign w:val="bottom"/>
          </w:tcPr>
          <w:p>
            <w:pPr>
              <w:ind w:left="320"/>
              <w:spacing w:after="0"/>
              <w:rPr>
                <w:sz w:val="20"/>
                <w:szCs w:val="20"/>
                <w:color w:val="auto"/>
              </w:rPr>
            </w:pPr>
            <w:r>
              <w:rPr>
                <w:rFonts w:ascii="Arial" w:cs="Arial" w:eastAsia="Arial" w:hAnsi="Arial"/>
                <w:sz w:val="17"/>
                <w:szCs w:val="17"/>
                <w:color w:val="auto"/>
                <w:w w:val="99"/>
              </w:rPr>
              <w:t>Booz Allen Hamilton Holding Corporation Annual Incentive Plan (Incorporated by reference to Exhibit 10.15 to the Company’s Registration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10700" w:type="dxa"/>
            <w:vAlign w:val="bottom"/>
          </w:tcPr>
          <w:p>
            <w:pPr>
              <w:ind w:left="320"/>
              <w:spacing w:after="0"/>
              <w:rPr>
                <w:sz w:val="20"/>
                <w:szCs w:val="20"/>
                <w:color w:val="auto"/>
              </w:rPr>
            </w:pPr>
            <w:r>
              <w:rPr>
                <w:rFonts w:ascii="Arial" w:cs="Arial" w:eastAsia="Arial" w:hAnsi="Arial"/>
                <w:sz w:val="17"/>
                <w:szCs w:val="17"/>
                <w:color w:val="auto"/>
                <w:w w:val="97"/>
              </w:rPr>
              <w:t>Booz Allen Hamilton Holding Corporation Officers’ Retirement Plan (Incorporated by reference to Exhibit 10.16 to the Company’s Registration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Officer’s Comprehensive Medical and Dental Plans (Incorporated by reference to Exhibit 10.17 to the Company’s Registration Statement on Form S-1</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Retired Officer’s Comprehensive Medical and Dental Plans (Incorporated by reference to Exhibit 10.18 to the Company’s Registration Statement on</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10.18</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Excess ECAP Payment Program (Incorporated by reference to Exhibit 10.19 to the Company’s Registration Statement on Form S-1 (File No. 333-</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10.19</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Group Variable Universal Life Insurance (Incorporated by reference to Exhibit 10.20 to the Company’s Registration Statement on Form S-1 (File No.</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10.20</w:t>
            </w:r>
          </w:p>
        </w:tc>
        <w:tc>
          <w:tcPr>
            <w:tcW w:w="10700" w:type="dxa"/>
            <w:vAlign w:val="bottom"/>
          </w:tcPr>
          <w:p>
            <w:pPr>
              <w:ind w:left="320"/>
              <w:spacing w:after="0"/>
              <w:rPr>
                <w:sz w:val="20"/>
                <w:szCs w:val="20"/>
                <w:color w:val="auto"/>
              </w:rPr>
            </w:pPr>
            <w:r>
              <w:rPr>
                <w:rFonts w:ascii="Arial" w:cs="Arial" w:eastAsia="Arial" w:hAnsi="Arial"/>
                <w:sz w:val="17"/>
                <w:szCs w:val="17"/>
                <w:color w:val="auto"/>
                <w:w w:val="91"/>
              </w:rPr>
              <w:t>Group Personal Excess Liability Insurance (Incorporated by reference to Exhibit 10.21 to the Company’s Registration Statement on Form S-1 (File No.</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10.21</w:t>
            </w:r>
          </w:p>
        </w:tc>
        <w:tc>
          <w:tcPr>
            <w:tcW w:w="10700" w:type="dxa"/>
            <w:vAlign w:val="bottom"/>
          </w:tcPr>
          <w:p>
            <w:pPr>
              <w:ind w:left="320"/>
              <w:spacing w:after="0"/>
              <w:rPr>
                <w:sz w:val="20"/>
                <w:szCs w:val="20"/>
                <w:color w:val="auto"/>
              </w:rPr>
            </w:pPr>
            <w:r>
              <w:rPr>
                <w:rFonts w:ascii="Arial" w:cs="Arial" w:eastAsia="Arial" w:hAnsi="Arial"/>
                <w:sz w:val="17"/>
                <w:szCs w:val="17"/>
                <w:color w:val="auto"/>
                <w:w w:val="96"/>
              </w:rPr>
              <w:t>Annual Performance Program (Incorporated by reference to Exhibit 10.22 to the Company’s Registration Statement on Form S-1 (File No. 333-</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10.22</w:t>
            </w:r>
          </w:p>
        </w:tc>
        <w:tc>
          <w:tcPr>
            <w:tcW w:w="10700" w:type="dxa"/>
            <w:vAlign w:val="bottom"/>
          </w:tcPr>
          <w:p>
            <w:pPr>
              <w:ind w:left="320"/>
              <w:spacing w:after="0"/>
              <w:rPr>
                <w:sz w:val="20"/>
                <w:szCs w:val="20"/>
                <w:color w:val="auto"/>
              </w:rPr>
            </w:pPr>
            <w:r>
              <w:rPr>
                <w:rFonts w:ascii="Arial" w:cs="Arial" w:eastAsia="Arial" w:hAnsi="Arial"/>
                <w:sz w:val="17"/>
                <w:szCs w:val="17"/>
                <w:color w:val="auto"/>
                <w:w w:val="93"/>
              </w:rPr>
              <w:t>Form of Booz Allen Hamilton Holding Corporation Director and Officer Indemnification Agreement (Incorporated by reference to Exhibit 10.23 to the</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Company’s Registration Statement on Form S-1 (File No. 333-167645))*</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10.23</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Form of Stock Option Agreement under the Equity Incentive Plan of Booz Allen Hamilton Holding Corporation (Incorporated by reference to Exhibit</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10.23 to the Company’s Annual Report for the year ended March 31, 2011 on Form 10-K (File No. 001-34972))*</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10.24</w:t>
            </w:r>
          </w:p>
        </w:tc>
        <w:tc>
          <w:tcPr>
            <w:tcW w:w="10700" w:type="dxa"/>
            <w:vAlign w:val="bottom"/>
          </w:tcPr>
          <w:p>
            <w:pPr>
              <w:ind w:left="320"/>
              <w:spacing w:after="0"/>
              <w:rPr>
                <w:sz w:val="20"/>
                <w:szCs w:val="20"/>
                <w:color w:val="auto"/>
              </w:rPr>
            </w:pPr>
            <w:r>
              <w:rPr>
                <w:rFonts w:ascii="Arial" w:cs="Arial" w:eastAsia="Arial" w:hAnsi="Arial"/>
                <w:sz w:val="17"/>
                <w:szCs w:val="17"/>
                <w:color w:val="auto"/>
                <w:w w:val="92"/>
              </w:rPr>
              <w:t>Officer Transition Policy (Incorporated by reference to Exhibit 10.24 to the Company’s Annual Report for the year ended March 31, 2011 on Form 10-</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K (File No. 001-34972))*</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10.25</w:t>
            </w:r>
          </w:p>
        </w:tc>
        <w:tc>
          <w:tcPr>
            <w:tcW w:w="10700" w:type="dxa"/>
            <w:vAlign w:val="bottom"/>
          </w:tcPr>
          <w:p>
            <w:pPr>
              <w:ind w:left="320"/>
              <w:spacing w:after="0"/>
              <w:rPr>
                <w:sz w:val="20"/>
                <w:szCs w:val="20"/>
                <w:color w:val="auto"/>
              </w:rPr>
            </w:pPr>
            <w:r>
              <w:rPr>
                <w:rFonts w:ascii="Arial" w:cs="Arial" w:eastAsia="Arial" w:hAnsi="Arial"/>
                <w:sz w:val="17"/>
                <w:szCs w:val="17"/>
                <w:color w:val="auto"/>
                <w:w w:val="94"/>
              </w:rPr>
              <w:t>Form of Stock Option Agreement under the Equity Incentive Plan of Booz Allen Hamilton Holding Corporation (Incorporated by reference to Exhibit</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10.25 to the Company’s Quarterly Report for the period ended December 31, 2011 on Form 10-Q (File No. 001-34972))*</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10.26</w:t>
            </w:r>
          </w:p>
        </w:tc>
        <w:tc>
          <w:tcPr>
            <w:tcW w:w="10700" w:type="dxa"/>
            <w:vAlign w:val="bottom"/>
          </w:tcPr>
          <w:p>
            <w:pPr>
              <w:ind w:left="320"/>
              <w:spacing w:after="0"/>
              <w:rPr>
                <w:sz w:val="20"/>
                <w:szCs w:val="20"/>
                <w:color w:val="auto"/>
              </w:rPr>
            </w:pPr>
            <w:r>
              <w:rPr>
                <w:rFonts w:ascii="Arial" w:cs="Arial" w:eastAsia="Arial" w:hAnsi="Arial"/>
                <w:sz w:val="17"/>
                <w:szCs w:val="17"/>
                <w:color w:val="auto"/>
                <w:w w:val="99"/>
              </w:rPr>
              <w:t>Administrative Agreement, dated as of April 13, 2012, between Booz Allen Hamilton Inc. and the United States Department of the Air Force</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(Incorporated by reference to Exhibit 10.1 to the Company’s Periodic Report on Form 8-K filed on April 13, 2012 (File No. 001-34972))</w:t>
            </w:r>
          </w:p>
        </w:tc>
      </w:tr>
      <w:tr>
        <w:trPr>
          <w:trHeight w:val="316"/>
        </w:trPr>
        <w:tc>
          <w:tcPr>
            <w:tcW w:w="720" w:type="dxa"/>
            <w:vAlign w:val="bottom"/>
          </w:tcPr>
          <w:p>
            <w:pPr>
              <w:spacing w:after="0"/>
              <w:rPr>
                <w:sz w:val="20"/>
                <w:szCs w:val="20"/>
                <w:color w:val="auto"/>
              </w:rPr>
            </w:pPr>
            <w:r>
              <w:rPr>
                <w:rFonts w:ascii="Arial" w:cs="Arial" w:eastAsia="Arial" w:hAnsi="Arial"/>
                <w:sz w:val="17"/>
                <w:szCs w:val="17"/>
                <w:color w:val="auto"/>
              </w:rPr>
              <w:t>23</w:t>
            </w:r>
          </w:p>
        </w:tc>
        <w:tc>
          <w:tcPr>
            <w:tcW w:w="10700" w:type="dxa"/>
            <w:vAlign w:val="bottom"/>
          </w:tcPr>
          <w:p>
            <w:pPr>
              <w:ind w:left="320"/>
              <w:spacing w:after="0"/>
              <w:rPr>
                <w:sz w:val="20"/>
                <w:szCs w:val="20"/>
                <w:color w:val="auto"/>
              </w:rPr>
            </w:pPr>
            <w:r>
              <w:rPr>
                <w:rFonts w:ascii="Arial" w:cs="Arial" w:eastAsia="Arial" w:hAnsi="Arial"/>
                <w:sz w:val="17"/>
                <w:szCs w:val="17"/>
                <w:color w:val="auto"/>
              </w:rPr>
              <w:t>Consent of Ernst &amp; Young LLP, Independent Registered Public Accounting Firm**</w:t>
            </w:r>
          </w:p>
        </w:tc>
      </w:tr>
      <w:tr>
        <w:trPr>
          <w:trHeight w:val="316"/>
        </w:trPr>
        <w:tc>
          <w:tcPr>
            <w:tcW w:w="720" w:type="dxa"/>
            <w:vAlign w:val="bottom"/>
          </w:tcPr>
          <w:p>
            <w:pPr>
              <w:spacing w:after="0"/>
              <w:rPr>
                <w:sz w:val="20"/>
                <w:szCs w:val="20"/>
                <w:color w:val="auto"/>
              </w:rPr>
            </w:pPr>
            <w:r>
              <w:rPr>
                <w:rFonts w:ascii="Arial" w:cs="Arial" w:eastAsia="Arial" w:hAnsi="Arial"/>
                <w:sz w:val="17"/>
                <w:szCs w:val="17"/>
                <w:color w:val="auto"/>
              </w:rPr>
              <w:t>31.1</w:t>
            </w:r>
          </w:p>
        </w:tc>
        <w:tc>
          <w:tcPr>
            <w:tcW w:w="10700" w:type="dxa"/>
            <w:vAlign w:val="bottom"/>
          </w:tcPr>
          <w:p>
            <w:pPr>
              <w:ind w:left="320"/>
              <w:spacing w:after="0"/>
              <w:rPr>
                <w:sz w:val="20"/>
                <w:szCs w:val="20"/>
                <w:color w:val="auto"/>
              </w:rPr>
            </w:pPr>
            <w:r>
              <w:rPr>
                <w:rFonts w:ascii="Arial" w:cs="Arial" w:eastAsia="Arial" w:hAnsi="Arial"/>
                <w:sz w:val="17"/>
                <w:szCs w:val="17"/>
                <w:color w:val="auto"/>
              </w:rPr>
              <w:t>Rule 13a-14(a)/15d-14(a) Certification of the Chief Executive Officer**</w:t>
            </w:r>
          </w:p>
        </w:tc>
      </w:tr>
      <w:tr>
        <w:trPr>
          <w:trHeight w:val="316"/>
        </w:trPr>
        <w:tc>
          <w:tcPr>
            <w:tcW w:w="720" w:type="dxa"/>
            <w:vAlign w:val="bottom"/>
          </w:tcPr>
          <w:p>
            <w:pPr>
              <w:spacing w:after="0"/>
              <w:rPr>
                <w:sz w:val="20"/>
                <w:szCs w:val="20"/>
                <w:color w:val="auto"/>
              </w:rPr>
            </w:pPr>
            <w:r>
              <w:rPr>
                <w:rFonts w:ascii="Arial" w:cs="Arial" w:eastAsia="Arial" w:hAnsi="Arial"/>
                <w:sz w:val="17"/>
                <w:szCs w:val="17"/>
                <w:color w:val="auto"/>
              </w:rPr>
              <w:t>31.2</w:t>
            </w:r>
          </w:p>
        </w:tc>
        <w:tc>
          <w:tcPr>
            <w:tcW w:w="10700" w:type="dxa"/>
            <w:vAlign w:val="bottom"/>
          </w:tcPr>
          <w:p>
            <w:pPr>
              <w:ind w:left="320"/>
              <w:spacing w:after="0"/>
              <w:rPr>
                <w:sz w:val="20"/>
                <w:szCs w:val="20"/>
                <w:color w:val="auto"/>
              </w:rPr>
            </w:pPr>
            <w:r>
              <w:rPr>
                <w:rFonts w:ascii="Arial" w:cs="Arial" w:eastAsia="Arial" w:hAnsi="Arial"/>
                <w:sz w:val="17"/>
                <w:szCs w:val="17"/>
                <w:color w:val="auto"/>
              </w:rPr>
              <w:t>Rule 13a-14(a)/15d-14(a) Certification of the Chief Financial Officer**</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32.1</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Certification of the Chief Executive Officer required by Rule 13a-14(b) or Rule 15d-14(b) and Section 1350 of Chapter 63 of Title 18 of the United</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States Code (18 U.S.C. 1350)**</w:t>
            </w:r>
          </w:p>
        </w:tc>
      </w:tr>
      <w:tr>
        <w:trPr>
          <w:trHeight w:val="310"/>
        </w:trPr>
        <w:tc>
          <w:tcPr>
            <w:tcW w:w="720" w:type="dxa"/>
            <w:vAlign w:val="bottom"/>
          </w:tcPr>
          <w:p>
            <w:pPr>
              <w:spacing w:after="0"/>
              <w:rPr>
                <w:sz w:val="20"/>
                <w:szCs w:val="20"/>
                <w:color w:val="auto"/>
              </w:rPr>
            </w:pPr>
            <w:r>
              <w:rPr>
                <w:rFonts w:ascii="Arial" w:cs="Arial" w:eastAsia="Arial" w:hAnsi="Arial"/>
                <w:sz w:val="17"/>
                <w:szCs w:val="17"/>
                <w:color w:val="auto"/>
              </w:rPr>
              <w:t>32.2</w:t>
            </w:r>
          </w:p>
        </w:tc>
        <w:tc>
          <w:tcPr>
            <w:tcW w:w="10700" w:type="dxa"/>
            <w:vAlign w:val="bottom"/>
          </w:tcPr>
          <w:p>
            <w:pPr>
              <w:ind w:left="320"/>
              <w:spacing w:after="0"/>
              <w:rPr>
                <w:sz w:val="20"/>
                <w:szCs w:val="20"/>
                <w:color w:val="auto"/>
              </w:rPr>
            </w:pPr>
            <w:r>
              <w:rPr>
                <w:rFonts w:ascii="Arial" w:cs="Arial" w:eastAsia="Arial" w:hAnsi="Arial"/>
                <w:sz w:val="17"/>
                <w:szCs w:val="17"/>
                <w:color w:val="auto"/>
                <w:w w:val="95"/>
              </w:rPr>
              <w:t>Certification of the Chief Financial Officer required by Rule 13a-14(b) or Rule 15d-14(b) and Section 1350 of Chapter 63 of Title 18 of the United</w:t>
            </w:r>
          </w:p>
        </w:tc>
      </w:tr>
      <w:tr>
        <w:trPr>
          <w:trHeight w:val="217"/>
        </w:trPr>
        <w:tc>
          <w:tcPr>
            <w:tcW w:w="720" w:type="dxa"/>
            <w:vAlign w:val="bottom"/>
          </w:tcPr>
          <w:p>
            <w:pPr>
              <w:spacing w:after="0"/>
              <w:rPr>
                <w:sz w:val="18"/>
                <w:szCs w:val="18"/>
                <w:color w:val="auto"/>
              </w:rPr>
            </w:pPr>
          </w:p>
        </w:tc>
        <w:tc>
          <w:tcPr>
            <w:tcW w:w="10700" w:type="dxa"/>
            <w:vAlign w:val="bottom"/>
          </w:tcPr>
          <w:p>
            <w:pPr>
              <w:ind w:left="320"/>
              <w:spacing w:after="0"/>
              <w:rPr>
                <w:sz w:val="20"/>
                <w:szCs w:val="20"/>
                <w:color w:val="auto"/>
              </w:rPr>
            </w:pPr>
            <w:r>
              <w:rPr>
                <w:rFonts w:ascii="Arial" w:cs="Arial" w:eastAsia="Arial" w:hAnsi="Arial"/>
                <w:sz w:val="17"/>
                <w:szCs w:val="17"/>
                <w:color w:val="auto"/>
              </w:rPr>
              <w:t>States Code (18 U.S.C. 1350)**</w:t>
            </w:r>
          </w:p>
        </w:tc>
      </w:tr>
    </w:tbl>
    <w:p>
      <w:pPr>
        <w:spacing w:after="0" w:line="100" w:lineRule="exact"/>
        <w:rPr>
          <w:sz w:val="20"/>
          <w:szCs w:val="20"/>
          <w:color w:val="auto"/>
        </w:rPr>
      </w:pPr>
    </w:p>
    <w:p>
      <w:pPr>
        <w:ind w:left="1040" w:right="20" w:hanging="1035"/>
        <w:spacing w:after="0" w:line="295" w:lineRule="auto"/>
        <w:tabs>
          <w:tab w:leader="none" w:pos="10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following materials from Booz Allen Hamilton Holding Corporation’s Annual Report on Form 10-K for the fiscal year ended March 31, 2012, formatted in XBRL (eXtensible Business Reporting Language): (i) Consolidated Balance Sheets as of March 31, 2012 and 2011; (ii) Consolidated Statements of Operations for fiscal years ended March 31, 2012, 2011 and 2010; (iii) Consolidated Statements of Cash Flows for the fiscal years ended March 31, 2012, 2011 and 2010; (iv) Consolidated Statements of Stockholders’ Equity for the fiscal years ended March 31, 2012, 2011 and 2010; and</w:t>
      </w:r>
    </w:p>
    <w:p>
      <w:pPr>
        <w:ind w:left="1040"/>
        <w:spacing w:after="0"/>
        <w:rPr>
          <w:rFonts w:ascii="Arial" w:cs="Arial" w:eastAsia="Arial" w:hAnsi="Arial"/>
          <w:sz w:val="15"/>
          <w:szCs w:val="15"/>
          <w:color w:val="auto"/>
        </w:rPr>
      </w:pPr>
      <w:r>
        <w:rPr>
          <w:rFonts w:ascii="Arial" w:cs="Arial" w:eastAsia="Arial" w:hAnsi="Arial"/>
          <w:sz w:val="17"/>
          <w:szCs w:val="17"/>
          <w:color w:val="auto"/>
        </w:rPr>
        <w:t>(v) Notes to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1"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727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7340" w:firstLine="5"/>
        <w:spacing w:after="0" w:line="262" w:lineRule="auto"/>
        <w:tabs>
          <w:tab w:leader="none" w:pos="448"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Management contract or compensatory arrangement. ** Filed electronically herewith.</w:t>
      </w:r>
    </w:p>
    <w:p>
      <w:pPr>
        <w:ind w:left="460" w:hanging="448"/>
        <w:spacing w:after="0" w:line="268" w:lineRule="auto"/>
        <w:rPr>
          <w:rFonts w:ascii="Arial" w:cs="Arial" w:eastAsia="Arial" w:hAnsi="Arial"/>
          <w:sz w:val="17"/>
          <w:szCs w:val="17"/>
          <w:color w:val="auto"/>
        </w:rPr>
      </w:pPr>
      <w:r>
        <w:rPr>
          <w:rFonts w:ascii="Arial" w:cs="Arial" w:eastAsia="Arial" w:hAnsi="Arial"/>
          <w:sz w:val="17"/>
          <w:szCs w:val="17"/>
          <w:color w:val="auto"/>
        </w:rPr>
        <w:t>***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 (Form S-8 No. 333-171288) pertaining to the;</w:t>
      </w:r>
    </w:p>
    <w:p>
      <w:pPr>
        <w:spacing w:after="0" w:line="94" w:lineRule="exact"/>
        <w:rPr>
          <w:sz w:val="20"/>
          <w:szCs w:val="20"/>
          <w:color w:val="auto"/>
        </w:rPr>
      </w:pPr>
    </w:p>
    <w:p>
      <w:pPr>
        <w:ind w:left="900" w:hanging="328"/>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Amended and Restated Equity Incentive Plan of Booz Allen Hamilton Holding Corporation,</w:t>
      </w:r>
    </w:p>
    <w:p>
      <w:pPr>
        <w:spacing w:after="0" w:line="21" w:lineRule="exact"/>
        <w:rPr>
          <w:rFonts w:ascii="Arial" w:cs="Arial" w:eastAsia="Arial" w:hAnsi="Arial"/>
          <w:sz w:val="17"/>
          <w:szCs w:val="17"/>
          <w:color w:val="auto"/>
        </w:rPr>
      </w:pPr>
    </w:p>
    <w:p>
      <w:pPr>
        <w:ind w:left="900" w:hanging="328"/>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Booz Allen Hamilton Holding Corporation Officers’ Rollover Stock Plan, and</w:t>
      </w:r>
    </w:p>
    <w:p>
      <w:pPr>
        <w:spacing w:after="0" w:line="15" w:lineRule="exact"/>
        <w:rPr>
          <w:rFonts w:ascii="Arial" w:cs="Arial" w:eastAsia="Arial" w:hAnsi="Arial"/>
          <w:sz w:val="17"/>
          <w:szCs w:val="17"/>
          <w:color w:val="auto"/>
        </w:rPr>
      </w:pPr>
    </w:p>
    <w:p>
      <w:pPr>
        <w:ind w:left="900" w:hanging="328"/>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Booz Allen Hamilton Holding Corporation Employee Stock Purchase Plan</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of our reports dated May 30, 2012,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30, 2012</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 Ralph W. Shrader, certify that:</w:t>
      </w:r>
    </w:p>
    <w:p>
      <w:pPr>
        <w:spacing w:after="0" w:line="94" w:lineRule="exact"/>
        <w:rPr>
          <w:sz w:val="20"/>
          <w:szCs w:val="20"/>
          <w:color w:val="auto"/>
        </w:rPr>
      </w:pPr>
    </w:p>
    <w:p>
      <w:pPr>
        <w:ind w:left="180" w:hanging="175"/>
        <w:spacing w:after="0"/>
        <w:tabs>
          <w:tab w:leader="none" w:pos="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Booz Allen Hamilton Holding Corporation.</w:t>
      </w:r>
    </w:p>
    <w:p>
      <w:pPr>
        <w:spacing w:after="0" w:line="173" w:lineRule="exact"/>
        <w:rPr>
          <w:rFonts w:ascii="Arial" w:cs="Arial" w:eastAsia="Arial" w:hAnsi="Arial"/>
          <w:sz w:val="17"/>
          <w:szCs w:val="17"/>
          <w:color w:val="auto"/>
        </w:rPr>
      </w:pPr>
    </w:p>
    <w:p>
      <w:pPr>
        <w:ind w:right="60" w:firstLine="5"/>
        <w:spacing w:after="0" w:line="317" w:lineRule="auto"/>
        <w:tabs>
          <w:tab w:leader="none" w:pos="171"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600" w:firstLine="5"/>
        <w:spacing w:after="0" w:line="284" w:lineRule="auto"/>
        <w:tabs>
          <w:tab w:leader="none" w:pos="171"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180" w:hanging="175"/>
        <w:spacing w:after="0"/>
        <w:tabs>
          <w:tab w:leader="none" w:pos="18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13a-15(e) and 15d-15(e)) for the registrant and have:</w:t>
      </w:r>
    </w:p>
    <w:p>
      <w:pPr>
        <w:spacing w:after="0" w:line="88" w:lineRule="exact"/>
        <w:rPr>
          <w:sz w:val="20"/>
          <w:szCs w:val="20"/>
          <w:color w:val="auto"/>
        </w:rPr>
      </w:pPr>
    </w:p>
    <w:p>
      <w:pPr>
        <w:ind w:right="80" w:firstLine="5"/>
        <w:spacing w:after="0" w:line="271" w:lineRule="auto"/>
        <w:tabs>
          <w:tab w:leader="none" w:pos="233"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right="220" w:firstLine="5"/>
        <w:spacing w:after="0" w:line="271" w:lineRule="auto"/>
        <w:tabs>
          <w:tab w:leader="none" w:pos="242"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right="580" w:firstLine="5"/>
        <w:spacing w:after="0" w:line="284" w:lineRule="auto"/>
        <w:tabs>
          <w:tab w:leader="none" w:pos="233" w:val="left"/>
        </w:tabs>
        <w:numPr>
          <w:ilvl w:val="0"/>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7"/>
          <w:szCs w:val="17"/>
          <w:color w:val="auto"/>
        </w:rPr>
      </w:pPr>
    </w:p>
    <w:p>
      <w:pPr>
        <w:ind w:right="220" w:firstLine="5"/>
        <w:spacing w:after="0" w:line="284" w:lineRule="auto"/>
        <w:tabs>
          <w:tab w:leader="none" w:pos="242" w:val="left"/>
        </w:tabs>
        <w:numPr>
          <w:ilvl w:val="0"/>
          <w:numId w:val="8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7" w:lineRule="exact"/>
        <w:rPr>
          <w:sz w:val="20"/>
          <w:szCs w:val="20"/>
          <w:color w:val="auto"/>
        </w:rPr>
      </w:pPr>
    </w:p>
    <w:p>
      <w:pPr>
        <w:ind w:right="380" w:firstLine="5"/>
        <w:spacing w:after="0" w:line="284" w:lineRule="auto"/>
        <w:tabs>
          <w:tab w:leader="none" w:pos="171"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8" w:lineRule="exact"/>
        <w:rPr>
          <w:sz w:val="20"/>
          <w:szCs w:val="20"/>
          <w:color w:val="auto"/>
        </w:rPr>
      </w:pPr>
    </w:p>
    <w:p>
      <w:pPr>
        <w:ind w:right="60" w:firstLine="5"/>
        <w:spacing w:after="0" w:line="284" w:lineRule="auto"/>
        <w:tabs>
          <w:tab w:leader="none" w:pos="233"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7"/>
          <w:szCs w:val="17"/>
          <w:color w:val="auto"/>
        </w:rPr>
      </w:pPr>
    </w:p>
    <w:p>
      <w:pPr>
        <w:ind w:right="340" w:firstLine="5"/>
        <w:spacing w:after="0" w:line="284" w:lineRule="auto"/>
        <w:tabs>
          <w:tab w:leader="none" w:pos="242"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80" w:val="left"/>
          <w:tab w:leader="none" w:pos="5580" w:val="left"/>
        </w:tabs>
        <w:rPr>
          <w:sz w:val="20"/>
          <w:szCs w:val="20"/>
          <w:color w:val="auto"/>
        </w:rPr>
      </w:pPr>
      <w:r>
        <w:rPr>
          <w:rFonts w:ascii="Arial" w:cs="Arial" w:eastAsia="Arial" w:hAnsi="Arial"/>
          <w:sz w:val="17"/>
          <w:szCs w:val="17"/>
          <w:color w:val="auto"/>
        </w:rPr>
        <w:t>Date:</w:t>
        <w:tab/>
        <w:t>May 30, 2012</w:t>
      </w:r>
      <w:r>
        <w:rPr>
          <w:sz w:val="20"/>
          <w:szCs w:val="20"/>
          <w:color w:val="auto"/>
        </w:rPr>
        <w:tab/>
      </w:r>
      <w:r>
        <w:rPr>
          <w:rFonts w:ascii="Arial" w:cs="Arial" w:eastAsia="Arial" w:hAnsi="Arial"/>
          <w:sz w:val="15"/>
          <w:szCs w:val="15"/>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15240</wp:posOffset>
            </wp:positionV>
            <wp:extent cx="34785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78530" cy="8255"/>
                    </a:xfrm>
                    <a:prstGeom prst="rect">
                      <a:avLst/>
                    </a:prstGeom>
                    <a:noFill/>
                  </pic:spPr>
                </pic:pic>
              </a:graphicData>
            </a:graphic>
          </wp:anchor>
        </w:drawing>
      </w:r>
    </w:p>
    <w:p>
      <w:pPr>
        <w:spacing w:after="0" w:line="2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Ralph W. Shrader</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Chairman of the Board</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President and Chief Executive Officer</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 Samuel R. Strickland, certify that:</w:t>
      </w:r>
    </w:p>
    <w:p>
      <w:pPr>
        <w:spacing w:after="0" w:line="94" w:lineRule="exact"/>
        <w:rPr>
          <w:sz w:val="20"/>
          <w:szCs w:val="20"/>
          <w:color w:val="auto"/>
        </w:rPr>
      </w:pPr>
    </w:p>
    <w:p>
      <w:pPr>
        <w:ind w:left="180" w:hanging="175"/>
        <w:spacing w:after="0"/>
        <w:tabs>
          <w:tab w:leader="none" w:pos="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Booz Allen Hamilton Holding Corporation.</w:t>
      </w:r>
    </w:p>
    <w:p>
      <w:pPr>
        <w:spacing w:after="0" w:line="94" w:lineRule="exact"/>
        <w:rPr>
          <w:rFonts w:ascii="Arial" w:cs="Arial" w:eastAsia="Arial" w:hAnsi="Arial"/>
          <w:sz w:val="17"/>
          <w:szCs w:val="17"/>
          <w:color w:val="auto"/>
        </w:rPr>
      </w:pPr>
    </w:p>
    <w:p>
      <w:pPr>
        <w:ind w:right="60" w:firstLine="5"/>
        <w:spacing w:after="0" w:line="317" w:lineRule="auto"/>
        <w:tabs>
          <w:tab w:leader="none" w:pos="171"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6"/>
          <w:szCs w:val="16"/>
          <w:color w:val="auto"/>
        </w:rPr>
      </w:pPr>
    </w:p>
    <w:p>
      <w:pPr>
        <w:ind w:right="600" w:firstLine="5"/>
        <w:spacing w:after="0" w:line="284" w:lineRule="auto"/>
        <w:tabs>
          <w:tab w:leader="none" w:pos="1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7"/>
          <w:szCs w:val="17"/>
          <w:color w:val="auto"/>
        </w:rPr>
      </w:pPr>
    </w:p>
    <w:p>
      <w:pPr>
        <w:ind w:left="180" w:hanging="175"/>
        <w:spacing w:after="0"/>
        <w:tabs>
          <w:tab w:leader="none" w:pos="18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4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13a-15(e) and 15d-15(e)) for the registrant and have:</w:t>
      </w:r>
    </w:p>
    <w:p>
      <w:pPr>
        <w:spacing w:after="0" w:line="88" w:lineRule="exact"/>
        <w:rPr>
          <w:sz w:val="20"/>
          <w:szCs w:val="20"/>
          <w:color w:val="auto"/>
        </w:rPr>
      </w:pPr>
    </w:p>
    <w:p>
      <w:pPr>
        <w:ind w:right="80" w:firstLine="5"/>
        <w:spacing w:after="0" w:line="271" w:lineRule="auto"/>
        <w:tabs>
          <w:tab w:leader="none" w:pos="233"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7"/>
          <w:szCs w:val="17"/>
          <w:color w:val="auto"/>
        </w:rPr>
      </w:pPr>
    </w:p>
    <w:p>
      <w:pPr>
        <w:ind w:right="220" w:firstLine="5"/>
        <w:spacing w:after="0" w:line="271" w:lineRule="auto"/>
        <w:tabs>
          <w:tab w:leader="none" w:pos="242"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7"/>
          <w:szCs w:val="17"/>
          <w:color w:val="auto"/>
        </w:rPr>
      </w:pPr>
    </w:p>
    <w:p>
      <w:pPr>
        <w:ind w:right="580" w:firstLine="5"/>
        <w:spacing w:after="0" w:line="284" w:lineRule="auto"/>
        <w:tabs>
          <w:tab w:leader="none" w:pos="233" w:val="left"/>
        </w:tabs>
        <w:numPr>
          <w:ilvl w:val="0"/>
          <w:numId w:val="9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6" w:lineRule="exact"/>
        <w:rPr>
          <w:rFonts w:ascii="Arial" w:cs="Arial" w:eastAsia="Arial" w:hAnsi="Arial"/>
          <w:sz w:val="17"/>
          <w:szCs w:val="17"/>
          <w:color w:val="auto"/>
        </w:rPr>
      </w:pPr>
    </w:p>
    <w:p>
      <w:pPr>
        <w:ind w:right="220" w:firstLine="5"/>
        <w:spacing w:after="0" w:line="284" w:lineRule="auto"/>
        <w:tabs>
          <w:tab w:leader="none" w:pos="242"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7" w:lineRule="exact"/>
        <w:rPr>
          <w:sz w:val="20"/>
          <w:szCs w:val="20"/>
          <w:color w:val="auto"/>
        </w:rPr>
      </w:pPr>
    </w:p>
    <w:p>
      <w:pPr>
        <w:ind w:right="380" w:firstLine="5"/>
        <w:spacing w:after="0" w:line="284" w:lineRule="auto"/>
        <w:tabs>
          <w:tab w:leader="none" w:pos="171"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8" w:lineRule="exact"/>
        <w:rPr>
          <w:sz w:val="20"/>
          <w:szCs w:val="20"/>
          <w:color w:val="auto"/>
        </w:rPr>
      </w:pPr>
    </w:p>
    <w:p>
      <w:pPr>
        <w:ind w:right="60" w:firstLine="5"/>
        <w:spacing w:after="0" w:line="284" w:lineRule="auto"/>
        <w:tabs>
          <w:tab w:leader="none" w:pos="233"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w:t>
      </w:r>
    </w:p>
    <w:p>
      <w:pPr>
        <w:spacing w:after="0" w:line="116" w:lineRule="exact"/>
        <w:rPr>
          <w:rFonts w:ascii="Arial" w:cs="Arial" w:eastAsia="Arial" w:hAnsi="Arial"/>
          <w:sz w:val="17"/>
          <w:szCs w:val="17"/>
          <w:color w:val="auto"/>
        </w:rPr>
      </w:pPr>
    </w:p>
    <w:p>
      <w:pPr>
        <w:ind w:right="340" w:firstLine="5"/>
        <w:spacing w:after="0" w:line="284" w:lineRule="auto"/>
        <w:tabs>
          <w:tab w:leader="none" w:pos="242"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spacing w:after="0"/>
        <w:tabs>
          <w:tab w:leader="none" w:pos="520" w:val="left"/>
          <w:tab w:leader="none" w:pos="4660" w:val="left"/>
        </w:tabs>
        <w:rPr>
          <w:sz w:val="20"/>
          <w:szCs w:val="20"/>
          <w:color w:val="auto"/>
        </w:rPr>
      </w:pPr>
      <w:r>
        <w:rPr>
          <w:rFonts w:ascii="Arial" w:cs="Arial" w:eastAsia="Arial" w:hAnsi="Arial"/>
          <w:sz w:val="17"/>
          <w:szCs w:val="17"/>
          <w:color w:val="auto"/>
        </w:rPr>
        <w:t>Date:</w:t>
        <w:tab/>
        <w:t>May 30, 2012</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15240</wp:posOffset>
            </wp:positionV>
            <wp:extent cx="40557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55745" cy="8255"/>
                    </a:xfrm>
                    <a:prstGeom prst="rect">
                      <a:avLst/>
                    </a:prstGeom>
                    <a:noFill/>
                  </pic:spPr>
                </pic:pic>
              </a:graphicData>
            </a:graphic>
          </wp:anchor>
        </w:drawing>
      </w:r>
    </w:p>
    <w:p>
      <w:pPr>
        <w:spacing w:after="0" w:line="2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Samuel R. Strickland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Executive Vice President</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Chief Financial Officer, Chief Administrative Officer and Director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6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connection with the report on Form 10-K of Booz Allen Hamilton Holding Corporation (the “Company”) for the fiscal year ended March 31, 2012, as filed with the Securities and Exchange Commission on the date hereof (the “Report”), the undersigned Chairman of the Board and President and Chief Executive Officer of the Company certifies, to the best of his knowledge and belief pursuant to 18 U.S.C. Section 1350, as adopted pursuant to Section 906 of the Sarbanes-Oxley Act of 2002, that:</w:t>
      </w:r>
    </w:p>
    <w:p>
      <w:pPr>
        <w:spacing w:after="0" w:line="52" w:lineRule="exact"/>
        <w:rPr>
          <w:sz w:val="20"/>
          <w:szCs w:val="20"/>
          <w:color w:val="auto"/>
        </w:rPr>
      </w:pPr>
    </w:p>
    <w:p>
      <w:pPr>
        <w:ind w:left="240" w:hanging="235"/>
        <w:spacing w:after="0"/>
        <w:tabs>
          <w:tab w:leader="none" w:pos="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73" w:lineRule="exact"/>
        <w:rPr>
          <w:rFonts w:ascii="Arial" w:cs="Arial" w:eastAsia="Arial" w:hAnsi="Arial"/>
          <w:sz w:val="17"/>
          <w:szCs w:val="17"/>
          <w:color w:val="auto"/>
        </w:rPr>
      </w:pPr>
    </w:p>
    <w:p>
      <w:pPr>
        <w:ind w:left="240" w:hanging="235"/>
        <w:spacing w:after="0"/>
        <w:tabs>
          <w:tab w:leader="none" w:pos="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tabs>
          <w:tab w:leader="none" w:pos="520" w:val="left"/>
          <w:tab w:leader="none" w:pos="5580" w:val="left"/>
        </w:tabs>
        <w:rPr>
          <w:sz w:val="20"/>
          <w:szCs w:val="20"/>
          <w:color w:val="auto"/>
        </w:rPr>
      </w:pPr>
      <w:r>
        <w:rPr>
          <w:rFonts w:ascii="Arial" w:cs="Arial" w:eastAsia="Arial" w:hAnsi="Arial"/>
          <w:sz w:val="17"/>
          <w:szCs w:val="17"/>
          <w:color w:val="auto"/>
        </w:rPr>
        <w:t>Date:</w:t>
        <w:tab/>
        <w:t>May 30, 2012</w:t>
      </w:r>
      <w:r>
        <w:rPr>
          <w:sz w:val="20"/>
          <w:szCs w:val="20"/>
          <w:color w:val="auto"/>
        </w:rPr>
        <w:tab/>
      </w:r>
      <w:r>
        <w:rPr>
          <w:rFonts w:ascii="Arial" w:cs="Arial" w:eastAsia="Arial" w:hAnsi="Arial"/>
          <w:sz w:val="15"/>
          <w:szCs w:val="15"/>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15240</wp:posOffset>
            </wp:positionV>
            <wp:extent cx="34785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78530" cy="8255"/>
                    </a:xfrm>
                    <a:prstGeom prst="rect">
                      <a:avLst/>
                    </a:prstGeom>
                    <a:noFill/>
                  </pic:spPr>
                </pic:pic>
              </a:graphicData>
            </a:graphic>
          </wp:anchor>
        </w:drawing>
      </w:r>
    </w:p>
    <w:p>
      <w:pPr>
        <w:spacing w:after="0" w:line="22"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Ralph W. Shrader</w:t>
      </w:r>
    </w:p>
    <w:p>
      <w:pPr>
        <w:spacing w:after="0" w:line="21"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Chairman of the Board</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President and Chief Executive Officer</w:t>
      </w:r>
    </w:p>
    <w:p>
      <w:pPr>
        <w:spacing w:after="0" w:line="15" w:lineRule="exact"/>
        <w:rPr>
          <w:sz w:val="20"/>
          <w:szCs w:val="20"/>
          <w:color w:val="auto"/>
        </w:rPr>
      </w:pPr>
    </w:p>
    <w:p>
      <w:pPr>
        <w:ind w:left="6680"/>
        <w:spacing w:after="0"/>
        <w:rPr>
          <w:sz w:val="20"/>
          <w:szCs w:val="20"/>
          <w:color w:val="auto"/>
        </w:rPr>
      </w:pPr>
      <w:r>
        <w:rPr>
          <w:rFonts w:ascii="Arial" w:cs="Arial" w:eastAsia="Arial" w:hAnsi="Arial"/>
          <w:sz w:val="17"/>
          <w:szCs w:val="17"/>
          <w:color w:val="auto"/>
        </w:rPr>
        <w:t>(Principal Executive Officer)</w:t>
      </w:r>
    </w:p>
    <w:p>
      <w:pPr>
        <w:spacing w:after="0" w:line="181"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6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In connection with the report on Form 10-K of Booz Allen Hamilton Holding Corporation (the “Company”) for the fiscal year ended March 31, 2012,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52" w:lineRule="exact"/>
        <w:rPr>
          <w:sz w:val="20"/>
          <w:szCs w:val="20"/>
          <w:color w:val="auto"/>
        </w:rPr>
      </w:pPr>
    </w:p>
    <w:p>
      <w:pPr>
        <w:ind w:left="240" w:hanging="235"/>
        <w:spacing w:after="0"/>
        <w:tabs>
          <w:tab w:leader="none" w:pos="2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w:t>
      </w:r>
    </w:p>
    <w:p>
      <w:pPr>
        <w:spacing w:after="0" w:line="173" w:lineRule="exact"/>
        <w:rPr>
          <w:rFonts w:ascii="Arial" w:cs="Arial" w:eastAsia="Arial" w:hAnsi="Arial"/>
          <w:sz w:val="17"/>
          <w:szCs w:val="17"/>
          <w:color w:val="auto"/>
        </w:rPr>
      </w:pPr>
    </w:p>
    <w:p>
      <w:pPr>
        <w:ind w:left="240" w:hanging="235"/>
        <w:spacing w:after="0"/>
        <w:tabs>
          <w:tab w:leader="none" w:pos="2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tabs>
          <w:tab w:leader="none" w:pos="520" w:val="left"/>
          <w:tab w:leader="none" w:pos="4560" w:val="left"/>
          <w:tab w:leader="none" w:pos="5020" w:val="left"/>
        </w:tabs>
        <w:rPr>
          <w:sz w:val="20"/>
          <w:szCs w:val="20"/>
          <w:color w:val="auto"/>
        </w:rPr>
      </w:pPr>
      <w:r>
        <w:rPr>
          <w:rFonts w:ascii="Arial" w:cs="Arial" w:eastAsia="Arial" w:hAnsi="Arial"/>
          <w:sz w:val="17"/>
          <w:szCs w:val="17"/>
          <w:color w:val="auto"/>
        </w:rPr>
        <w:t>Date:</w:t>
        <w:tab/>
        <w:t>May 30, 2012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15240</wp:posOffset>
            </wp:positionV>
            <wp:extent cx="40557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55745" cy="8255"/>
                    </a:xfrm>
                    <a:prstGeom prst="rect">
                      <a:avLst/>
                    </a:prstGeom>
                    <a:noFill/>
                  </pic:spPr>
                </pic:pic>
              </a:graphicData>
            </a:graphic>
          </wp:anchor>
        </w:drawing>
      </w:r>
    </w:p>
    <w:p>
      <w:pPr>
        <w:spacing w:after="0" w:line="2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Samuel R. Strickland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Executive Vice President</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Chief Financial Officer, Chief Administrative Officer and Director</w:t>
      </w:r>
    </w:p>
    <w:p>
      <w:pPr>
        <w:spacing w:after="0" w:line="15"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(Principal Financial and Accounting Officer)</w:t>
      </w:r>
    </w:p>
    <w:p>
      <w:pPr>
        <w:spacing w:after="0" w:line="167"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lowerRoman"/>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lvl w:ilvl="1">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lvl w:ilvl="1">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1)"/>
      <w:numFmt w:val="decimal"/>
      <w:start w:val="1"/>
    </w:lvl>
  </w:abstractNum>
  <w:abstractNum w:abstractNumId="19">
    <w:nsid w:val="180115BE"/>
    <w:multiLevelType w:val="hybridMultilevel"/>
    <w:lvl w:ilvl="0">
      <w:lvlJc w:val="left"/>
      <w:lvlText w:val="(%1)"/>
      <w:numFmt w:val="lowerRoman"/>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
      <w:numFmt w:val="bullet"/>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1)"/>
      <w:numFmt w:val="decimal"/>
      <w:start w:val="1"/>
    </w:lvl>
  </w:abstractNum>
  <w:abstractNum w:abstractNumId="38">
    <w:nsid w:val="1F48EAA1"/>
    <w:multiLevelType w:val="hybridMultilevel"/>
    <w:lvl w:ilvl="0">
      <w:lvlJc w:val="left"/>
      <w:lvlText w:val="(%1)"/>
      <w:numFmt w:val="decimal"/>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lowerLetter"/>
      <w:start w:val="1"/>
    </w:lvl>
    <w:lvl w:ilvl="1">
      <w:lvlJc w:val="left"/>
      <w:lvlText w:val="•"/>
      <w:numFmt w:val="bullet"/>
      <w:start w:val="1"/>
    </w:lvl>
  </w:abstractNum>
  <w:abstractNum w:abstractNumId="42">
    <w:nsid w:val="6590700B"/>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3">
    <w:nsid w:val="15014ACB"/>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4">
    <w:nsid w:val="5F5E7FD0"/>
    <w:multiLevelType w:val="hybridMultilevel"/>
    <w:lvl w:ilvl="0">
      <w:lvlJc w:val="left"/>
      <w:lvlText w:val="•"/>
      <w:numFmt w:val="bullet"/>
      <w:start w:val="1"/>
    </w:lvl>
    <w:lvl w:ilvl="1">
      <w:lvlJc w:val="left"/>
      <w:lvlText w:val="(%2)"/>
      <w:numFmt w:val="lowerRoman"/>
      <w:start w:val="2"/>
    </w:lvl>
  </w:abstractNum>
  <w:abstractNum w:abstractNumId="45">
    <w:nsid w:val="98A3148"/>
    <w:multiLevelType w:val="hybridMultilevel"/>
    <w:lvl w:ilvl="0">
      <w:lvlJc w:val="left"/>
      <w:lvlText w:val="•"/>
      <w:numFmt w:val="bullet"/>
      <w:start w:val="1"/>
    </w:lvl>
    <w:lvl w:ilvl="1">
      <w:lvlJc w:val="left"/>
      <w:lvlText w:val="(%2)"/>
      <w:numFmt w:val="lowerRoman"/>
      <w:start w:val="4"/>
    </w:lvl>
  </w:abstractNum>
  <w:abstractNum w:abstractNumId="46">
    <w:nsid w:val="799D0247"/>
    <w:multiLevelType w:val="hybridMultilevel"/>
    <w:lvl w:ilvl="0">
      <w:lvlJc w:val="left"/>
      <w:lvlText w:val="(%1)"/>
      <w:numFmt w:val="lowerLetter"/>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1)"/>
      <w:numFmt w:val="lowerLetter"/>
      <w:start w:val="1"/>
    </w:lvl>
  </w:abstractNum>
  <w:abstractNum w:abstractNumId="56">
    <w:nsid w:val="613EFDC5"/>
    <w:multiLevelType w:val="hybridMultilevel"/>
    <w:lvl w:ilvl="0">
      <w:lvlJc w:val="left"/>
      <w:lvlText w:val="(%1)"/>
      <w:numFmt w:val="lowerLetter"/>
      <w:start w:val="2"/>
    </w:lvl>
  </w:abstractNum>
  <w:abstractNum w:abstractNumId="57">
    <w:nsid w:val="BF72B14"/>
    <w:multiLevelType w:val="hybridMultilevel"/>
    <w:lvl w:ilvl="0">
      <w:lvlJc w:val="left"/>
      <w:lvlText w:val="%1."/>
      <w:numFmt w:val="decimal"/>
      <w:start w:val="1"/>
    </w:lvl>
  </w:abstractNum>
  <w:abstractNum w:abstractNumId="58">
    <w:nsid w:val="11447B73"/>
    <w:multiLevelType w:val="hybridMultilevel"/>
    <w:lvl w:ilvl="0">
      <w:lvlJc w:val="left"/>
      <w:lvlText w:val="%1."/>
      <w:numFmt w:val="decimal"/>
      <w:start w:val="2"/>
    </w:lvl>
  </w:abstractNum>
  <w:abstractNum w:abstractNumId="59">
    <w:nsid w:val="42963E5A"/>
    <w:multiLevelType w:val="hybridMultilevel"/>
    <w:lvl w:ilvl="0">
      <w:lvlJc w:val="left"/>
      <w:lvlText w:val="%1."/>
      <w:numFmt w:val="decimal"/>
      <w:start w:val="3"/>
    </w:lvl>
  </w:abstractNum>
  <w:abstractNum w:abstractNumId="60">
    <w:nsid w:val="A0382C5"/>
    <w:multiLevelType w:val="hybridMultilevel"/>
    <w:lvl w:ilvl="0">
      <w:lvlJc w:val="left"/>
      <w:lvlText w:val="%1."/>
      <w:numFmt w:val="decimal"/>
      <w:start w:val="4"/>
    </w:lvl>
  </w:abstractNum>
  <w:abstractNum w:abstractNumId="61">
    <w:nsid w:val="8F2B15E"/>
    <w:multiLevelType w:val="hybridMultilevel"/>
    <w:lvl w:ilvl="0">
      <w:lvlJc w:val="left"/>
      <w:lvlText w:val="%1."/>
      <w:numFmt w:val="decimal"/>
      <w:start w:val="5"/>
    </w:lvl>
  </w:abstractNum>
  <w:abstractNum w:abstractNumId="62">
    <w:nsid w:val="1A32234B"/>
    <w:multiLevelType w:val="hybridMultilevel"/>
    <w:lvl w:ilvl="0">
      <w:lvlJc w:val="left"/>
      <w:lvlText w:val="%1."/>
      <w:numFmt w:val="decimal"/>
      <w:start w:val="8"/>
    </w:lvl>
  </w:abstractNum>
  <w:abstractNum w:abstractNumId="63">
    <w:nsid w:val="3B0FD379"/>
    <w:multiLevelType w:val="hybridMultilevel"/>
    <w:lvl w:ilvl="0">
      <w:lvlJc w:val="left"/>
      <w:lvlText w:val="%1."/>
      <w:numFmt w:val="decimal"/>
      <w:start w:val="9"/>
    </w:lvl>
  </w:abstractNum>
  <w:abstractNum w:abstractNumId="64">
    <w:nsid w:val="68EB2F63"/>
    <w:multiLevelType w:val="hybridMultilevel"/>
    <w:lvl w:ilvl="0">
      <w:lvlJc w:val="left"/>
      <w:lvlText w:val="%1."/>
      <w:numFmt w:val="decimal"/>
      <w:start w:val="10"/>
    </w:lvl>
  </w:abstractNum>
  <w:abstractNum w:abstractNumId="65">
    <w:nsid w:val="4962813B"/>
    <w:multiLevelType w:val="hybridMultilevel"/>
    <w:lvl w:ilvl="0">
      <w:lvlJc w:val="left"/>
      <w:lvlText w:val="*"/>
      <w:numFmt w:val="bullet"/>
      <w:start w:val="1"/>
    </w:lvl>
  </w:abstractNum>
  <w:abstractNum w:abstractNumId="66">
    <w:nsid w:val="60B6DF70"/>
    <w:multiLevelType w:val="hybridMultilevel"/>
    <w:lvl w:ilvl="0">
      <w:lvlJc w:val="left"/>
      <w:lvlText w:val="%1."/>
      <w:numFmt w:val="decimal"/>
      <w:start w:val="12"/>
    </w:lvl>
  </w:abstractNum>
  <w:abstractNum w:abstractNumId="67">
    <w:nsid w:val="6A5EE64"/>
    <w:multiLevelType w:val="hybridMultilevel"/>
    <w:lvl w:ilvl="0">
      <w:lvlJc w:val="left"/>
      <w:lvlText w:val="%1."/>
      <w:numFmt w:val="decimal"/>
      <w:start w:val="13"/>
    </w:lvl>
  </w:abstractNum>
  <w:abstractNum w:abstractNumId="68">
    <w:nsid w:val="14330624"/>
    <w:multiLevelType w:val="hybridMultilevel"/>
    <w:lvl w:ilvl="0">
      <w:lvlJc w:val="left"/>
      <w:lvlText w:val="%1."/>
      <w:numFmt w:val="decimal"/>
      <w:start w:val="14"/>
    </w:lvl>
  </w:abstractNum>
  <w:abstractNum w:abstractNumId="69">
    <w:nsid w:val="7FFFCA11"/>
    <w:multiLevelType w:val="hybridMultilevel"/>
    <w:lvl w:ilvl="0">
      <w:lvlJc w:val="left"/>
      <w:lvlText w:val="%1."/>
      <w:numFmt w:val="decimal"/>
      <w:start w:val="16"/>
    </w:lvl>
  </w:abstractNum>
  <w:abstractNum w:abstractNumId="70">
    <w:nsid w:val="1A27709E"/>
    <w:multiLevelType w:val="hybridMultilevel"/>
    <w:lvl w:ilvl="0">
      <w:lvlJc w:val="left"/>
      <w:lvlText w:val="%1."/>
      <w:numFmt w:val="decimal"/>
      <w:start w:val="17"/>
    </w:lvl>
  </w:abstractNum>
  <w:abstractNum w:abstractNumId="71">
    <w:nsid w:val="71EA1109"/>
    <w:multiLevelType w:val="hybridMultilevel"/>
    <w:lvl w:ilvl="0">
      <w:lvlJc w:val="left"/>
      <w:lvlText w:val="*"/>
      <w:numFmt w:val="bullet"/>
      <w:start w:val="1"/>
    </w:lvl>
  </w:abstractNum>
  <w:abstractNum w:abstractNumId="72">
    <w:nsid w:val="100F59DC"/>
    <w:multiLevelType w:val="hybridMultilevel"/>
    <w:lvl w:ilvl="0">
      <w:lvlJc w:val="left"/>
      <w:lvlText w:val="*"/>
      <w:numFmt w:val="bullet"/>
      <w:start w:val="1"/>
    </w:lvl>
  </w:abstractNum>
  <w:abstractNum w:abstractNumId="73">
    <w:nsid w:val="7FB7E0AA"/>
    <w:multiLevelType w:val="hybridMultilevel"/>
    <w:lvl w:ilvl="0">
      <w:lvlJc w:val="left"/>
      <w:lvlText w:val="%1."/>
      <w:numFmt w:val="decimal"/>
      <w:start w:val="18"/>
    </w:lvl>
  </w:abstractNum>
  <w:abstractNum w:abstractNumId="74">
    <w:nsid w:val="6EB5BD4"/>
    <w:multiLevelType w:val="hybridMultilevel"/>
    <w:lvl w:ilvl="0">
      <w:lvlJc w:val="left"/>
      <w:lvlText w:val="%1."/>
      <w:numFmt w:val="decimal"/>
      <w:start w:val="19"/>
    </w:lvl>
  </w:abstractNum>
  <w:abstractNum w:abstractNumId="75">
    <w:nsid w:val="6F6DD9AC"/>
    <w:multiLevelType w:val="hybridMultilevel"/>
    <w:lvl w:ilvl="0">
      <w:lvlJc w:val="left"/>
      <w:lvlText w:val="%1."/>
      <w:numFmt w:val="decimal"/>
      <w:start w:val="20"/>
    </w:lvl>
  </w:abstractNum>
  <w:abstractNum w:abstractNumId="76">
    <w:nsid w:val="94211F2"/>
    <w:multiLevelType w:val="hybridMultilevel"/>
    <w:lvl w:ilvl="0">
      <w:lvlJc w:val="left"/>
      <w:lvlText w:val="%1."/>
      <w:numFmt w:val="decimal"/>
      <w:start w:val="2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22"/>
    </w:lvl>
  </w:abstractNum>
  <w:abstractNum w:abstractNumId="79">
    <w:nsid w:val="4C04A8AF"/>
    <w:multiLevelType w:val="hybridMultilevel"/>
    <w:lvl w:ilvl="0">
      <w:lvlJc w:val="left"/>
      <w:lvlText w:val="%1."/>
      <w:numFmt w:val="decimal"/>
      <w:start w:val="23"/>
    </w:lvl>
  </w:abstractNum>
  <w:abstractNum w:abstractNumId="80">
    <w:nsid w:val="1716703B"/>
    <w:multiLevelType w:val="hybridMultilevel"/>
    <w:lvl w:ilvl="0">
      <w:lvlJc w:val="left"/>
      <w:lvlText w:val="(%1)"/>
      <w:numFmt w:val="lowerLetter"/>
      <w:start w:val="1"/>
    </w:lvl>
    <w:lvl w:ilvl="1">
      <w:lvlJc w:val="left"/>
      <w:lvlText w:val="(%2)"/>
      <w:numFmt w:val="decimal"/>
      <w:start w:val="1"/>
    </w:lvl>
  </w:abstractNum>
  <w:abstractNum w:abstractNumId="81">
    <w:nsid w:val="14E17E33"/>
    <w:multiLevelType w:val="hybridMultilevel"/>
    <w:lvl w:ilvl="0">
      <w:lvlJc w:val="left"/>
      <w:lvlText w:val="(%1)"/>
      <w:numFmt w:val="decimal"/>
      <w:start w:val="2"/>
    </w:lvl>
  </w:abstractNum>
  <w:abstractNum w:abstractNumId="82">
    <w:nsid w:val="3222E7CD"/>
    <w:multiLevelType w:val="hybridMultilevel"/>
    <w:lvl w:ilvl="0">
      <w:lvlJc w:val="left"/>
      <w:lvlText w:val="%1"/>
      <w:numFmt w:val="decimal"/>
      <w:start w:val="101"/>
    </w:lvl>
  </w:abstractNum>
  <w:abstractNum w:abstractNumId="83">
    <w:nsid w:val="74DE0EE3"/>
    <w:multiLevelType w:val="hybridMultilevel"/>
    <w:lvl w:ilvl="0">
      <w:lvlJc w:val="left"/>
      <w:lvlText w:val="*"/>
      <w:numFmt w:val="bullet"/>
      <w:start w:val="1"/>
    </w:lvl>
  </w:abstractNum>
  <w:abstractNum w:abstractNumId="84">
    <w:nsid w:val="68EBC550"/>
    <w:multiLevelType w:val="hybridMultilevel"/>
    <w:lvl w:ilvl="0">
      <w:lvlJc w:val="left"/>
      <w:lvlText w:val="•"/>
      <w:numFmt w:val="bullet"/>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lowerLetter"/>
      <w:start w:val="1"/>
    </w:lvl>
  </w:abstractNum>
  <w:abstractNum w:abstractNumId="87">
    <w:nsid w:val="4A2AC315"/>
    <w:multiLevelType w:val="hybridMultilevel"/>
    <w:lvl w:ilvl="0">
      <w:lvlJc w:val="left"/>
      <w:lvlText w:val="%1."/>
      <w:numFmt w:val="decimal"/>
      <w:start w:val="5"/>
    </w:lvl>
  </w:abstractNum>
  <w:abstractNum w:abstractNumId="88">
    <w:nsid w:val="39EE015C"/>
    <w:multiLevelType w:val="hybridMultilevel"/>
    <w:lvl w:ilvl="0">
      <w:lvlJc w:val="left"/>
      <w:lvlText w:val="(%1)"/>
      <w:numFmt w:val="lowerLetter"/>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lowerLetter"/>
      <w:start w:val="1"/>
    </w:lvl>
  </w:abstractNum>
  <w:abstractNum w:abstractNumId="91">
    <w:nsid w:val="43F18422"/>
    <w:multiLevelType w:val="hybridMultilevel"/>
    <w:lvl w:ilvl="0">
      <w:lvlJc w:val="left"/>
      <w:lvlText w:val="%1."/>
      <w:numFmt w:val="decimal"/>
      <w:start w:val="5"/>
    </w:lvl>
  </w:abstractNum>
  <w:abstractNum w:abstractNumId="92">
    <w:nsid w:val="60EF0119"/>
    <w:multiLevelType w:val="hybridMultilevel"/>
    <w:lvl w:ilvl="0">
      <w:lvlJc w:val="left"/>
      <w:lvlText w:val="(%1)"/>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2019-12-09T19:06:30Z</dcterms:created>
  <dcterms:modified xsi:type="dcterms:W3CDTF">2019-12-09T19:06:30Z</dcterms:modified>
</cp:coreProperties>
</file>