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715010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840" w:right="40" w:hanging="805"/>
        <w:spacing w:after="0" w:line="256" w:lineRule="auto"/>
        <w:tabs>
          <w:tab w:leader="none" w:pos="84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270" w:lineRule="exact"/>
        <w:rPr>
          <w:sz w:val="24"/>
          <w:szCs w:val="24"/>
          <w:color w:val="auto"/>
        </w:rPr>
      </w:pPr>
    </w:p>
    <w:p>
      <w:pPr>
        <w:ind w:left="840" w:right="38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351"/>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5"/>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34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113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5000" w:type="dxa"/>
            <w:vAlign w:val="bottom"/>
          </w:tcPr>
          <w:p>
            <w:pPr>
              <w:jc w:val="right"/>
              <w:ind w:right="41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060" w:type="dxa"/>
            <w:vAlign w:val="bottom"/>
          </w:tcPr>
          <w:p>
            <w:pPr>
              <w:spacing w:after="0"/>
              <w:rPr>
                <w:sz w:val="16"/>
                <w:szCs w:val="16"/>
                <w:color w:val="auto"/>
              </w:rPr>
            </w:pPr>
          </w:p>
        </w:tc>
        <w:tc>
          <w:tcPr>
            <w:tcW w:w="5000" w:type="dxa"/>
            <w:vAlign w:val="bottom"/>
          </w:tcPr>
          <w:p>
            <w:pPr>
              <w:jc w:val="right"/>
              <w:ind w:right="336"/>
              <w:spacing w:after="0"/>
              <w:rPr>
                <w:sz w:val="20"/>
                <w:szCs w:val="20"/>
                <w:color w:val="auto"/>
              </w:rPr>
            </w:pPr>
            <w:r>
              <w:rPr>
                <w:rFonts w:ascii="Arial" w:cs="Arial" w:eastAsia="Arial" w:hAnsi="Arial"/>
                <w:sz w:val="14"/>
                <w:szCs w:val="14"/>
                <w:b w:val="1"/>
                <w:bCs w:val="1"/>
                <w:color w:val="auto"/>
              </w:rPr>
              <w:t>as of January 31, 2018</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145,062,716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0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00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60"/>
          </w:cols>
          <w:pgMar w:left="240" w:top="854"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21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1">
              <w:r>
                <w:rPr>
                  <w:rFonts w:ascii="Arial" w:cs="Arial" w:eastAsia="Arial" w:hAnsi="Arial"/>
                  <w:sz w:val="18"/>
                  <w:szCs w:val="18"/>
                  <w:b w:val="1"/>
                  <w:bCs w:val="1"/>
                  <w:color w:val="0000EE"/>
                  <w:w w:val="79"/>
                </w:rPr>
                <w:t>38</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41">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1">
              <w:r>
                <w:rPr>
                  <w:rFonts w:ascii="Arial" w:cs="Arial" w:eastAsia="Arial" w:hAnsi="Arial"/>
                  <w:sz w:val="18"/>
                  <w:szCs w:val="18"/>
                  <w:b w:val="1"/>
                  <w:bCs w:val="1"/>
                  <w:color w:val="0000EE"/>
                  <w:w w:val="79"/>
                </w:rPr>
                <w:t>38</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2">
              <w:r>
                <w:rPr>
                  <w:rFonts w:ascii="Arial" w:cs="Arial" w:eastAsia="Arial" w:hAnsi="Arial"/>
                  <w:sz w:val="18"/>
                  <w:szCs w:val="18"/>
                  <w:b w:val="1"/>
                  <w:bCs w:val="1"/>
                  <w:color w:val="0000EE"/>
                  <w:w w:val="79"/>
                </w:rPr>
                <w:t>39</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2">
              <w:r>
                <w:rPr>
                  <w:rFonts w:ascii="Arial" w:cs="Arial" w:eastAsia="Arial" w:hAnsi="Arial"/>
                  <w:sz w:val="18"/>
                  <w:szCs w:val="18"/>
                  <w:b w:val="1"/>
                  <w:bCs w:val="1"/>
                  <w:color w:val="0000EE"/>
                  <w:w w:val="79"/>
                </w:rPr>
                <w:t>39</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43">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42</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98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1,045,300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991,810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85,253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1,425,160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1,294,480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265,612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271,880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1,571,190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101,097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96,388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3,539,296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3,373,105</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63,150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193,150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276,151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263,816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140,318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955,812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1,101,401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1,470,174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227,939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2,975,018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2,799,514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157,519,640 shares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December 31, 2017 and 155,901,485 shares at March 31, 2017; outstanding, 145,053,009 shares at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December 31, 2017 and 148,887,708 shares at March 31, 2017</w:t>
            </w:r>
          </w:p>
        </w:tc>
        <w:tc>
          <w:tcPr>
            <w:tcW w:w="1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Treasury stock, at cost — 12,466,631 shares at December 31, 2017 and 7,013,777 shares at March 31, 2017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335,698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302,907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478,102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564,278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573,591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3,539,296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3,373,105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86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4"/>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800" w:type="dxa"/>
            <w:vAlign w:val="bottom"/>
            <w:gridSpan w:val="4"/>
          </w:tcPr>
          <w:p>
            <w:pPr>
              <w:jc w:val="center"/>
              <w:ind w:right="25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800" w:type="dxa"/>
            <w:vAlign w:val="bottom"/>
            <w:gridSpan w:val="4"/>
          </w:tcPr>
          <w:p>
            <w:pPr>
              <w:jc w:val="center"/>
              <w:ind w:right="27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1,499,914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1,404,638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4,535,569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4,222,213</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712,255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652,236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2,111,702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1,967,258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443,015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428,685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1,378,235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1,270,941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209,856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613,399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585,340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16,701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14,410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48,196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43,588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1,381,827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1,296,514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4,151,532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3,867,127</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118,087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108,124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384,037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355,086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(46,757)</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325,582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303,726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28,240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105,356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117,489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69,773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220,226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186,237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Dividends declared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500" w:top="985" w:right="479" w:bottom="1440" w:gutter="0" w:footer="0" w:header="0"/>
        </w:sectPr>
      </w:pPr>
    </w:p>
    <w:bookmarkStart w:id="5" w:name="page6"/>
    <w:bookmarkEnd w:id="5"/>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3"/>
                <w:szCs w:val="13"/>
                <w:color w:val="auto"/>
              </w:rPr>
            </w:pPr>
          </w:p>
        </w:tc>
        <w:tc>
          <w:tcPr>
            <w:tcW w:w="1820" w:type="dxa"/>
            <w:vAlign w:val="bottom"/>
            <w:gridSpan w:val="3"/>
          </w:tcPr>
          <w:p>
            <w:pPr>
              <w:jc w:val="center"/>
              <w:ind w:left="478"/>
              <w:spacing w:after="0" w:line="151" w:lineRule="exact"/>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3"/>
                <w:szCs w:val="13"/>
                <w:color w:val="auto"/>
              </w:rPr>
            </w:pPr>
          </w:p>
        </w:tc>
      </w:tr>
      <w:tr>
        <w:trPr>
          <w:trHeight w:val="192"/>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69,773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220,226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186,237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 designated as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1,395</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2,505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72,188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56,071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222,731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187,632</w:t>
            </w:r>
          </w:p>
        </w:tc>
      </w:tr>
      <w:tr>
        <w:trPr>
          <w:trHeight w:val="27"/>
        </w:trPr>
        <w:tc>
          <w:tcPr>
            <w:tcW w:w="5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0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220,226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186,237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43,588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28,972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17,961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14,821</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246,920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283,042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Insurance proceeds received for damage to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(67,311)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(676,750)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428,292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630,273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162,095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187,529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289,495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349,624</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37,288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114,782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66,536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98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85"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both"/>
        <w:ind w:left="2180" w:right="2180" w:firstLine="11"/>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Booz Allen Hamilton Holding Corporation, including its wholly owned subsidiaries, or Holding, the Company or we, us, and our, was incorporated in Delaware in May 2008. The Company provides management and technology consulting, engineering, analytics,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24,700 employees as of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2017.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nine months ended December 31, 2017 are not necessarily indicative of results to be expected for the full fiscal year.</w:t>
      </w:r>
    </w:p>
    <w:p>
      <w:pPr>
        <w:spacing w:after="0" w:line="7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and costs to complete fixed-price contracts,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 xml:space="preserve">On December 22, 2017, the Staff of the SEC issued Staff Accounting Bulletin No. 118, </w:t>
      </w:r>
      <w:r>
        <w:rPr>
          <w:rFonts w:ascii="Arial" w:cs="Arial" w:eastAsia="Arial" w:hAnsi="Arial"/>
          <w:sz w:val="18"/>
          <w:szCs w:val="18"/>
          <w:i w:val="1"/>
          <w:iCs w:val="1"/>
          <w:color w:val="auto"/>
        </w:rPr>
        <w:t>Income Tax Accounting Implications of the Tax Cuts and Jobs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or SAB 118, which addresses situations where the accounting under Financial Accounting Standards Board, or the FASB,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Codification No.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is incomplete for certain income tax effects of Public Law No. 115-97, commonly referred to as the Tax Cuts and Jobs Act, or the 2017 Tax Act, by the time an entity issues its financial statements for the fiscal period that includes the date the 2017 Tax Act was enacted.</w:t>
      </w:r>
    </w:p>
    <w:p>
      <w:pPr>
        <w:spacing w:after="0" w:line="8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Under ASC 740, entities are required to adjust current and deferred tax liabilities and assets for the effects of changes in tax laws or rates at their date of enactment. However, pursuant to SAB 118, if an entity does not have the necessary information available, prepared, or analyzed for certain income tax effects of the 2017 Tax Act at the time an entity's financial statements are issued, an entity shall apply ASC 740 based on the provisions of the tax laws that were in effect immediately prior to the enactment of the 2017 Tax Act. If the accounting for certain income tax effects of the 2017 Tax Act is incomplete, but an entity can determine a reasonable estimate for those effects, an entity can record provisional amounts during a measurement period, which ends on the earlier of when an entity has obtained, prepared, and analyzed the information necessary to complete the accounting requirements of ASC 740 and December 22, 2018.</w:t>
      </w:r>
    </w:p>
    <w:p>
      <w:pPr>
        <w:spacing w:after="0" w:line="5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discussed further in Note 10, the Company is a fiscal year-end taxpayer and is required to use a blended statutory federal tax rate, inclusive of the federal rate change enacted on December 22, 2017, to compute its effective tax rate for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2" w:right="239" w:bottom="1440" w:gutter="0" w:footer="0" w:header="0"/>
        </w:sectPr>
      </w:pPr>
    </w:p>
    <w:bookmarkStart w:id="8" w:name="page9"/>
    <w:bookmarkEnd w:id="8"/>
    <w:p>
      <w:pPr>
        <w:ind w:right="40"/>
        <w:spacing w:after="0" w:line="277" w:lineRule="auto"/>
        <w:rPr>
          <w:sz w:val="20"/>
          <w:szCs w:val="20"/>
          <w:color w:val="auto"/>
        </w:rPr>
      </w:pPr>
      <w:r>
        <w:rPr>
          <w:rFonts w:ascii="Arial" w:cs="Arial" w:eastAsia="Arial" w:hAnsi="Arial"/>
          <w:sz w:val="18"/>
          <w:szCs w:val="18"/>
          <w:color w:val="auto"/>
        </w:rPr>
        <w:t>third quarter of fiscal 2018. These effects contributed to an overall decrease in the Company's effective tax rate. Based on ASC 740, comparative prior period amounts were not adjusted for the rate change effects of the 2017 Tax Act.</w:t>
      </w:r>
    </w:p>
    <w:p>
      <w:pPr>
        <w:spacing w:after="0" w:line="62"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Further, for the third quarter of fiscal 2018, the Company did not report provisional amounts for deferred tax items, in part, because the 2017 Tax Act prompted the Company to consider a tax accounting method change under U.S. tax law associated with unbilled receivables. Moreover, as the 2017 Tax Act provides for significant changes to the U.S. Internal Revenue Code of 1986, as amended, including implementing a territorial tax system, accelerating business asset expense, and changing or limiting certain tax deductions, such changes give rise to significant complexity to the scheduling of the reversal of other deductible and taxable temporary differences. There is judgment in scheduling each temporary difference, including but not limited to, the pattern and timing of the reversal of temporary differences, the magnitude of temporary differences, and the level of taxable income expected to be generated by future operations. Accordingly, the effects of the 2017 Tax Act could be material to the Company's fiscal year end 2018 consolidated financial statements, including a potential, one-time, non-cash expense or benefit in the fourth quarter of fiscal 2018 arising from the analysis and remeasurement of the Company's deferred tax assets and liabilities.</w:t>
      </w:r>
    </w:p>
    <w:p>
      <w:pPr>
        <w:spacing w:after="0" w:line="7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In August 2017, the FASB, issued Accounting Standards Update, or ASU,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guidance eliminates the requirement to separately measure and report hedge ineffectiveness and generally requires, for qualifying hedges, the entire change in the fair value of a hedging instrument to be presented in the same income statement line as the hedged item. Additionally, the guidance also expands an entity's ability to apply hedge accounting for nonfinancial and financial risk components, simplifies the hedge documentation and hedge effectiveness assessment requirements, and modifies certain disclosure requirements. ASU 2017-12 is effective for reporting periods beginning after December 15, 2018, with early adoption permitted. The Company does not expect the adoption of this standard to have a material impact on its consolidated financial statements.</w:t>
      </w:r>
    </w:p>
    <w:p>
      <w:pPr>
        <w:spacing w:after="0" w:line="5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which will change the presentation of net periodic benefit cost components on the condensed consolidated statement of operations. Under this guidance, the service cost component of net periodic benefit cost will continue to be presented in the same line items as other employee compensation costs, while the remaining components of net periodic benefit costs are to be presented outside operating income. ASU 2017-07 is effective for annual reporting periods beginning after December 15, 2017 and is to be applied retrospectively, with early adoption permitted. The Company is assessing the effect that the adoption of this guidance will have on its condensed consolidated financial statements.</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simplifies several aspects of the accounting for share-based payment award transactions related to accounting for income taxes, forfeitures, statutory tax withholding requirements, classification of awards as either equity or liabilities, and classification of employee taxes paid on the statements of cash flows when an employer withholds shares for tax-withholding purposes. The Company adopted ASU 2016-09 in the first quarter of fiscal 2018. Certain of the simplification provisions were not applicable to the Company. The Company will continue its existing practice of estimating the number of forfeitures that are expected to occur rather than account for forfeitures when they occur as permitted under the new guidance.</w:t>
      </w:r>
    </w:p>
    <w:p>
      <w:pPr>
        <w:spacing w:after="0" w:line="70"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primary impacts of adopting ASU 2016-09 were those related to excess tax benefits and tax deficiencies. The new guidance requires that such amounts be recognized as income tax expense or benefit in the statement of operations, which could result in fluctuations in the Company's effective tax rate period over period depending on how many awards vest, or options are exercised, in a quarter. The guidance also requires that the cash flows associated with these transactions be presented with other income tax related cash flows in the operating activities section of the statement of cash flows. The Company recognized excess tax benefits, inclusive of the impact of the 2017 Tax Act, of $1.0 million and $10.3 million during the three and nine months ended December 31, 2017, respectively, as a reduction to income tax expense in the condensed consolidated statement of operations. As discussed further in Note 10, the effect of adopting ASU 2016-09 resulted in a decrease in the Company's current period effective tax rate. As permitted, the Company adopted the guidance related to the presentation of excess tax benefits in the condensed consolidated statement of cash flows on a prospective basis. Prior period amounts were not adjusted.</w:t>
      </w:r>
    </w:p>
    <w:p>
      <w:pPr>
        <w:spacing w:after="0" w:line="8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to increase transparency and comparability of accounting for lease transactions. The new standard requires lessees to recognize lease assets and lease liabilities on their balance sheet for all leases with a lease term of greater than 12 months. Lessor accounting is largely unchanged. ASU 2016-02 is effective for fiscal years beginning after December 15, 2018, with early adoption permitted. The Company is assessing what effect the adoption of this standard may have on its condensed consolidated financial statements.</w:t>
      </w:r>
    </w:p>
    <w:p>
      <w:pPr>
        <w:spacing w:after="0" w:line="6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 xml:space="preserve">In May 2014, the FASB issued Accounting Standard Codification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w:t>
      </w:r>
      <w:r>
        <w:rPr>
          <w:rFonts w:ascii="Arial" w:cs="Arial" w:eastAsia="Arial" w:hAnsi="Arial"/>
          <w:sz w:val="18"/>
          <w:szCs w:val="18"/>
          <w:i w:val="1"/>
          <w:iCs w:val="1"/>
          <w:color w:val="auto"/>
        </w:rPr>
        <w:t>.</w:t>
      </w:r>
      <w:r>
        <w:rPr>
          <w:rFonts w:ascii="Arial" w:cs="Arial" w:eastAsia="Arial" w:hAnsi="Arial"/>
          <w:sz w:val="18"/>
          <w:szCs w:val="18"/>
          <w:color w:val="auto"/>
        </w:rPr>
        <w:t xml:space="preserve"> Topic 606, as amended, will replace existing revenue recognition standards by outlining a single set of comprehensive principles for recognizing revenue. Amendments to Topic 606 have generally focused on promoting a more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854" w:right="279" w:bottom="1440" w:gutter="0" w:footer="0" w:header="0"/>
        </w:sectPr>
      </w:pPr>
    </w:p>
    <w:bookmarkStart w:id="9" w:name="page10"/>
    <w:bookmarkEnd w:id="9"/>
    <w:p>
      <w:pPr>
        <w:ind w:right="140"/>
        <w:spacing w:after="0" w:line="297" w:lineRule="auto"/>
        <w:rPr>
          <w:sz w:val="20"/>
          <w:szCs w:val="20"/>
          <w:color w:val="auto"/>
        </w:rPr>
      </w:pPr>
      <w:r>
        <w:rPr>
          <w:rFonts w:ascii="Arial" w:cs="Arial" w:eastAsia="Arial" w:hAnsi="Arial"/>
          <w:sz w:val="16"/>
          <w:szCs w:val="16"/>
          <w:color w:val="auto"/>
        </w:rPr>
        <w:t>consistent interpretation and application of the principles for recognizing revenue. The new guidance will also significantly expand the disclosure requirements for revenue arrangements. In July 2015, the FASB approved a one-year delay in the effective date of the standard, which will now be effective for the Company beginning on April 1, 2018 (i.e., beginning with the first quarter of fiscal 2019 financial statements). In August 2017, the Securities and Exchange Commission, or the SEC, issued Staff Accounting Bulletin No. 116, which conforms existing SEC staff guidance to the guidance in Topic 606, as amended. This conforming of accounting guidance is not expected to have a significant impact to our revenue recognition policies and related practices.</w:t>
      </w:r>
    </w:p>
    <w:p>
      <w:pPr>
        <w:spacing w:after="0" w:line="5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The Company anticipates adopting the new revenue standard retrospectively to all periods presented; however, the Company's ability to adopt using the full retrospective method is dependent on system and process readiness and the completion of its analysis of information necessary to recast its prior period financial statements and provide related disclosures. While the effort to modify accounting systems and business processes to enable full retrospective adoption is not transformative, the identified modifications are complex and are still being implemented and tested to ensure they can support changes to the Company's accounting practices. Because Topic 606 will also require expanded disclosures regarding the nature, timing and uncertainty of revenue and contract balances, including how and when the Company satisfies our performance obligations and the relationship between revenue recognized and changes in contract balances during a reporting period, the Company is continuing to evaluate these disclosure requirements and is incorporating the relevant collection of data in its systems and processes. The Company anticipates finalizing its systems and process modifications during the fourth quarter of fiscal 2018.</w:t>
      </w:r>
    </w:p>
    <w:p>
      <w:pPr>
        <w:spacing w:after="0" w:line="8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 dedicated implementation team continues to make progress toward adopting and implementing the new standard. During the third quarter of fiscal 2018, the Company made substantial progress toward its overall assessment of Topic 606. The Company's comprehensive assessment has currently identified the following key findings:</w:t>
      </w:r>
    </w:p>
    <w:p>
      <w:pPr>
        <w:spacing w:after="0" w:line="73" w:lineRule="exact"/>
        <w:rPr>
          <w:sz w:val="20"/>
          <w:szCs w:val="20"/>
          <w:color w:val="auto"/>
        </w:rPr>
      </w:pPr>
    </w:p>
    <w:p>
      <w:pPr>
        <w:ind w:left="34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continues to expect insignificant changes related to recognizing revenue and earnings over time for long-term contracts as work progresses because of the continuous transfer of control to the customer, generally using an input measure (e.g., costs incurred) to reflect progress.</w:t>
      </w:r>
    </w:p>
    <w:p>
      <w:pPr>
        <w:spacing w:after="0" w:line="15" w:lineRule="exact"/>
        <w:rPr>
          <w:rFonts w:ascii="Arial" w:cs="Arial" w:eastAsia="Arial" w:hAnsi="Arial"/>
          <w:sz w:val="16"/>
          <w:szCs w:val="16"/>
          <w:color w:val="auto"/>
        </w:rPr>
      </w:pPr>
    </w:p>
    <w:p>
      <w:pPr>
        <w:ind w:left="340" w:right="18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determination of the customer and contract under Topic 606 is not expected to significantly change; however, revenue previously deferred for non-federal government arrangements that commenced without a signed, written contract may be recognized under Topic 606 when such arrangements are legally enforceable under applicable laws and regulations.</w:t>
      </w:r>
    </w:p>
    <w:p>
      <w:pPr>
        <w:spacing w:after="0" w:line="73" w:lineRule="exact"/>
        <w:rPr>
          <w:rFonts w:ascii="Arial" w:cs="Arial" w:eastAsia="Arial" w:hAnsi="Arial"/>
          <w:sz w:val="18"/>
          <w:szCs w:val="18"/>
          <w:color w:val="auto"/>
        </w:rPr>
      </w:pPr>
    </w:p>
    <w:p>
      <w:pPr>
        <w:ind w:left="340" w:right="6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determined that in its federal government contract portfolio, there are certain periods of performance option exercises that will be evaluated as separate performance obligations or new arrangements for accounting purposes due to their distinct nature. For example, these situations may arise when options to renew the period of performance are not exercised within a relatively short period after execution of the base contract are thus evaluated to be separate and unrelated purchasing decisions by the customer, or when an option exercise is not the continuation of an integrated service, finished deliverable, or a single combined output.</w:t>
      </w:r>
    </w:p>
    <w:p>
      <w:pPr>
        <w:spacing w:after="0" w:line="80" w:lineRule="exact"/>
        <w:rPr>
          <w:rFonts w:ascii="Arial" w:cs="Arial" w:eastAsia="Arial" w:hAnsi="Arial"/>
          <w:sz w:val="18"/>
          <w:szCs w:val="18"/>
          <w:color w:val="auto"/>
        </w:rPr>
      </w:pPr>
    </w:p>
    <w:p>
      <w:pPr>
        <w:ind w:left="340" w:right="20" w:hanging="332"/>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determination of contract transaction price associated with performance-based contracts (i.e., incentive or award-based contracts) will generally be consistent with the Company's current measurement practices for such contracts. Additionally, although the amount of revenue is not expected to change, the Company's estimates at completion for most fixed price contracts will now include unfunded components.</w:t>
      </w:r>
    </w:p>
    <w:p>
      <w:pPr>
        <w:spacing w:after="0" w:line="57"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Contracts with significant up-front materials are expected to see an increase in the amount of revenue and costs recognized upon the date of the adoption, but the change in profitability is not expected to be significant.</w:t>
      </w:r>
    </w:p>
    <w:p>
      <w:pPr>
        <w:spacing w:after="0" w:line="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While the Company is continuing to refine its process for quantifying the financial statement impacts associated with the full retrospective method, we do not expect the impact of adopting Topic 606 to be material to the Company's condensed consolidated financial statements. The Company anticipates disclosing those impacts and its final assessment of materiality in conjunction with reporting its results for the fourth quarter of fiscal 2018. The Company will continue to evaluate the impact of Topic 606 and changes thereto on its accounting policies, internal controls (including the adoption of implementation-period controls), and business processes through the date of adoption.</w:t>
      </w:r>
    </w:p>
    <w:p>
      <w:pPr>
        <w:spacing w:after="0" w:line="80"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Other accounting and reporting pronouncements issued after December 31, 2017 are not expected to have a material impact on the Company's condensed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5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second, and third quarters of fiscal 2018 and 2017.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5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252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69,148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184,245</w:t>
            </w:r>
          </w:p>
        </w:tc>
        <w:tc>
          <w:tcPr>
            <w:tcW w:w="0" w:type="dxa"/>
            <w:vAlign w:val="bottom"/>
          </w:tcPr>
          <w:p>
            <w:pPr>
              <w:spacing w:after="0"/>
              <w:rPr>
                <w:sz w:val="1"/>
                <w:szCs w:val="1"/>
                <w:color w:val="auto"/>
              </w:rPr>
            </w:pPr>
          </w:p>
        </w:tc>
      </w:tr>
      <w:tr>
        <w:trPr>
          <w:trHeight w:val="229"/>
        </w:trPr>
        <w:tc>
          <w:tcPr>
            <w:tcW w:w="536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for basic</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w w:val="97"/>
              </w:rPr>
              <w:t>144,942,367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148,679,393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w w:val="97"/>
              </w:rPr>
              <w:t>146,580,891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147,973,044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diluted computations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184,264</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1,628,250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1,927,866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1,866,357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2,170,807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for diluted</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146,570,617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150,607,259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148,447,248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150,143,851</w:t>
            </w:r>
          </w:p>
        </w:tc>
        <w:tc>
          <w:tcPr>
            <w:tcW w:w="0" w:type="dxa"/>
            <w:vAlign w:val="bottom"/>
          </w:tcPr>
          <w:p>
            <w:pPr>
              <w:spacing w:after="0"/>
              <w:rPr>
                <w:sz w:val="1"/>
                <w:szCs w:val="1"/>
                <w:color w:val="auto"/>
              </w:rPr>
            </w:pPr>
          </w:p>
        </w:tc>
      </w:tr>
      <w:tr>
        <w:trPr>
          <w:trHeight w:val="223"/>
        </w:trPr>
        <w:tc>
          <w:tcPr>
            <w:tcW w:w="536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8"/>
        <w:spacing w:after="0" w:line="271"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three months ended December 31, 2017 and 2016, approximately 1.3 million and 1.7 million participating securities, respectively, were paid dividends totaling $0.2 million in each period. During the nine months ended December 31, 2017 and 2016, approximately 1.3 million and 1.7 million participating securities, respectively, were paid dividends totaling $0.6 million and $0.7 million, respectively. For the three and nine months ended December 31, 2017, there were undistributed earnings of $0.4 million and $1.3 million, respectively, allocated to the participating class of securities in both basic and diluted EPS. For the three and nine months ended December 31, 2016, there were undistributed earnings of $0.4 million and $1.3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and nine months ended December 31, 2017 and 2016.</w:t>
      </w:r>
    </w:p>
    <w:p>
      <w:pPr>
        <w:spacing w:after="0" w:line="28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EPS calculation for the three and nine months ended December 31, 2017 excludes 0.4 million and 0.3 million options, respectively, as their impact was anti-dilutive. The EPS calculation for the three and nine months ended December 31, 2016 excludes 0.04 million anti-dilutive options, as their impact was anti-dilutive.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On January 24, 2017, the Company acquired eGov Holdings, Inc., which we refer to as Aquilent. As a result of the transaction, Aquilent became a wholly owned subsidiary of the Company. Aquilent is an architect of IT solutions for the U.S. federal government. The acquisition further expands the Company's ability to blend its consulting heritage with advanced technical expertise.</w:t>
      </w:r>
    </w:p>
    <w:p>
      <w:pPr>
        <w:spacing w:after="0" w:line="7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acquisition of Aquilent has been accounted for under the acquisition method of accounting, which requires the total acquisition consideration to be allocated to the assets acquired and liabilities assumed based on an estimate of the acquisition date fair value, with the difference reflected in goodwill. During the first quarter of fiscal 2018, the Company finalized Aquilent's post-closing working capital.</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850" w:right="35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t>The following table reflects the final determination of the total consideration transferred (including adjustments subsequent to closing):</w:t>
      </w:r>
    </w:p>
    <w:p>
      <w:pPr>
        <w:spacing w:after="0" w:line="267" w:lineRule="exact"/>
        <w:rPr>
          <w:sz w:val="20"/>
          <w:szCs w:val="20"/>
          <w:color w:val="auto"/>
        </w:rPr>
      </w:pPr>
    </w:p>
    <w:tbl>
      <w:tblPr>
        <w:tblLayout w:type="fixed"/>
        <w:tblInd w:w="700" w:type="dxa"/>
        <w:tblCellMar>
          <w:top w:w="0" w:type="dxa"/>
          <w:left w:w="0" w:type="dxa"/>
          <w:bottom w:w="0" w:type="dxa"/>
          <w:right w:w="0" w:type="dxa"/>
        </w:tblCellMar>
      </w:tblP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purchase price paid to Aquilent shareholders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Working capital and other closing adjustments</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cash on hand</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Acquisition-related compensation expenses</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r>
      <w:tr>
        <w:trPr>
          <w:trHeight w:val="257"/>
        </w:trPr>
        <w:tc>
          <w:tcPr>
            <w:tcW w:w="7820" w:type="dxa"/>
            <w:vAlign w:val="bottom"/>
          </w:tcPr>
          <w:p>
            <w:pPr>
              <w:ind w:left="160"/>
              <w:spacing w:after="0"/>
              <w:rPr>
                <w:sz w:val="20"/>
                <w:szCs w:val="20"/>
                <w:color w:val="auto"/>
              </w:rPr>
            </w:pPr>
            <w:r>
              <w:rPr>
                <w:rFonts w:ascii="Arial" w:cs="Arial" w:eastAsia="Arial" w:hAnsi="Arial"/>
                <w:sz w:val="18"/>
                <w:szCs w:val="18"/>
                <w:color w:val="auto"/>
              </w:rPr>
              <w:t>Total purchase consideration transferred at closing</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253,554</w:t>
            </w:r>
          </w:p>
        </w:tc>
      </w:tr>
      <w:tr>
        <w:trPr>
          <w:trHeight w:val="20"/>
        </w:trPr>
        <w:tc>
          <w:tcPr>
            <w:tcW w:w="7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 xml:space="preserve">As part of the acquisition, the Company and the selling shareholders of Aquilent agreed to jointly make an election under Section 338(h)(10) of the Internal Revenue Code of 1986, as amended, or the Code, to treat the acquisition as an asset purchase for income tax purposes. The Company agreed to reimburse the selling stockholders for previously unrealized tax consequences on Aquilent's prior tax-return positions that became realized upon acquisition; and agreed to indemnify the selling stockholders for potential, incremental increases in income taxes and related costs as a result of the Section 338(h)(10) election. The indemnity was evaluated to be acquisition-related contingent consideration, which was valued at the acquisition date fair value of $3.6 million. The acquisition-related contingent consideration was calculated using probability-weighted cash flows and significant unobservable inputs (Level 3) as described under the fair value hierarchy of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or ASC 820.</w:t>
      </w:r>
    </w:p>
    <w:p>
      <w:pPr>
        <w:spacing w:after="0" w:line="7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Company recorded the assets acquired and liabilities assumed at their acquisition date fair value, with the difference between the fair value of the net assets acquired and the acquisition consideration reflected as goodwill. The following table represents the final allocation of fair value of assets acquired and liabilities assumed:</w:t>
      </w:r>
    </w:p>
    <w:p>
      <w:pPr>
        <w:spacing w:after="0" w:line="200" w:lineRule="exact"/>
        <w:rPr>
          <w:sz w:val="20"/>
          <w:szCs w:val="20"/>
          <w:color w:val="auto"/>
        </w:rPr>
      </w:pPr>
    </w:p>
    <w:p>
      <w:pPr>
        <w:spacing w:after="0" w:line="347" w:lineRule="exact"/>
        <w:rPr>
          <w:sz w:val="20"/>
          <w:szCs w:val="20"/>
          <w:color w:val="auto"/>
        </w:rPr>
      </w:pPr>
    </w:p>
    <w:tbl>
      <w:tblPr>
        <w:tblLayout w:type="fixed"/>
        <w:tblInd w:w="700" w:type="dxa"/>
        <w:tblCellMar>
          <w:top w:w="0" w:type="dxa"/>
          <w:left w:w="0" w:type="dxa"/>
          <w:bottom w:w="0" w:type="dxa"/>
          <w:right w:w="0" w:type="dxa"/>
        </w:tblCellMar>
      </w:tblP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15,809</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tangible assets</w:t>
            </w:r>
          </w:p>
        </w:tc>
        <w:tc>
          <w:tcPr>
            <w:tcW w:w="8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Customer-relationship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199,826</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Tax liability</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(13,554)</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uncertainty</w:t>
            </w:r>
          </w:p>
        </w:tc>
        <w:tc>
          <w:tcPr>
            <w:tcW w:w="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r>
      <w:tr>
        <w:trPr>
          <w:trHeight w:val="257"/>
        </w:trPr>
        <w:tc>
          <w:tcPr>
            <w:tcW w:w="7820" w:type="dxa"/>
            <w:vAlign w:val="bottom"/>
          </w:tcPr>
          <w:p>
            <w:pPr>
              <w:ind w:left="100"/>
              <w:spacing w:after="0"/>
              <w:rPr>
                <w:sz w:val="20"/>
                <w:szCs w:val="20"/>
                <w:color w:val="auto"/>
              </w:rPr>
            </w:pPr>
            <w:r>
              <w:rPr>
                <w:rFonts w:ascii="Arial" w:cs="Arial" w:eastAsia="Arial" w:hAnsi="Arial"/>
                <w:sz w:val="18"/>
                <w:szCs w:val="18"/>
                <w:color w:val="auto"/>
              </w:rPr>
              <w:t>Total purchase consideration transfer at closing</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253,554</w:t>
            </w:r>
          </w:p>
        </w:tc>
      </w:tr>
      <w:tr>
        <w:trPr>
          <w:trHeight w:val="20"/>
        </w:trPr>
        <w:tc>
          <w:tcPr>
            <w:tcW w:w="7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identifiable customer-relationship intangible asset of $69 million was valued using the excess earnings method discounted cash flow approach, incorporating Level 3 inputs as described under the fair value hierarchy of ASC 820. These unobservable inputs reflect the Company's own assumptions about which assumptions market participants would use in pricing an asset on a non-recurring basis. This asset will be amortized over the estimated useful life of 12 years.</w:t>
      </w:r>
    </w:p>
    <w:p>
      <w:pPr>
        <w:spacing w:after="0" w:line="7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As part of the acquisition, the Company agreed to reimburse the selling stockholders for previously unrealized tax consequences on Aquilent's prior tax-return positions that become realized with the acquisition. Accordingly, the Company recognized a tax liability of $13.6 million. The obligation was relieved and paid during the first quarter of fiscal 2018. The Company continues to carry a related reserve of $10.2 million for income tax uncertainties created with the acquisition resulting from uncertainty in the sustainability of Aquilent's prior tax-return positions under examination with the relevant tax authorities.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goodwill of $199.8 million was primarily attributed to the specialized workforce and the expected synergies between the Company and Aquilent.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goodwill is expected to be deductible for tax purposes.</w:t>
      </w:r>
    </w:p>
    <w:p>
      <w:pPr>
        <w:spacing w:after="0" w:line="10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There were no material acquisitions during the third quarter of fiscal 2018 or through the subsequent period to the issuance of the current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54" w:right="239" w:bottom="1440" w:gutter="0" w:footer="0" w:header="0"/>
        </w:sectPr>
      </w:pPr>
    </w:p>
    <w:bookmarkStart w:id="12" w:name="page13"/>
    <w:bookmarkEnd w:id="12"/>
    <w:p>
      <w:pPr>
        <w:ind w:left="420" w:right="6280" w:hanging="412"/>
        <w:spacing w:after="0" w:line="445" w:lineRule="auto"/>
        <w:tabs>
          <w:tab w:leader="none" w:pos="19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427,277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340,716</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651,094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1,045,300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991,810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59,913</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1,104,667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1,051,723</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Unbilled amounts represent revenues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(benefit) provision for doubtful accounts (including certain unbilled reserves) of $(0.2) million and $(0.1) million for the three months ended December 31, 2017 and 2016, respectively, and $2.9 million and $0.7 million for the nine months ended December 31, 2017 and 2016, respectively.</w:t>
      </w:r>
    </w:p>
    <w:p>
      <w:pPr>
        <w:spacing w:after="0" w:line="8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69" w:lineRule="exact"/>
        <w:rPr>
          <w:sz w:val="20"/>
          <w:szCs w:val="20"/>
          <w:color w:val="auto"/>
        </w:rPr>
      </w:pPr>
    </w:p>
    <w:p>
      <w:pPr>
        <w:ind w:left="440" w:right="5680" w:hanging="432"/>
        <w:spacing w:after="0" w:line="428" w:lineRule="auto"/>
        <w:tabs>
          <w:tab w:leader="none" w:pos="18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256,905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268,630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230,348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235,487</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487,253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504,117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4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77,765</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77,926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31,879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124,486</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25,117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29,686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4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276,151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263,816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5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March 31, 2017</w:t>
            </w:r>
          </w:p>
        </w:tc>
      </w:tr>
      <w:tr>
        <w:trPr>
          <w:trHeight w:val="152"/>
        </w:trPr>
        <w:tc>
          <w:tcPr>
            <w:tcW w:w="550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w w:val="99"/>
              </w:rPr>
              <w:t>Outstanding</w:t>
            </w:r>
          </w:p>
        </w:tc>
      </w:tr>
      <w:tr>
        <w:trPr>
          <w:trHeight w:val="192"/>
        </w:trPr>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1,109,063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1,153,425</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395,000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398,000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(ABR)</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80,000</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Revolving Credit Facility (LIBOR)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50,000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(21,748)</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(18,101)</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1,832,315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1,663,324</w:t>
            </w:r>
          </w:p>
        </w:tc>
      </w:tr>
      <w:tr>
        <w:trPr>
          <w:trHeight w:val="243"/>
        </w:trPr>
        <w:tc>
          <w:tcPr>
            <w:tcW w:w="5500" w:type="dxa"/>
            <w:vAlign w:val="bottom"/>
          </w:tcPr>
          <w:p>
            <w:pPr>
              <w:ind w:left="70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(63,150)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(193,150)</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1,769,165</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1,470,174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 and Revolving Credit Facility</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February 6, 2017, Booz Allen Hamilton, Booz Allen Hamilton Investor Corporation, or Investor, and certain wholly-owned subsidiaries of Booz Allen Hamilton entered into the Fourth Amendment, or the Fourth Amendment, to the Credit Agreement, or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the Second Amendment to the Credit Agreement, dated as of May 7, 2014, and the Third Amendment to the Credit Agreement, dated as of July 13, 2016). Pursuant to the Fourth Amendment, the Company reduced the interest rate spread applicable to Term Loan B. The interest rate spread applicable to Term Loan A remained unchanged.</w:t>
      </w:r>
    </w:p>
    <w:p>
      <w:pPr>
        <w:spacing w:after="0" w:line="8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As of December 31, 2017, the Credit Agreement, as amended, provided the Company with a $1,109.1 million Term Loan A ("Term Loan A"), a $395.0 million Term Loan B ("Term Loan B" and, together with Term Loan A, the "Term Loans"), and a $500.0 million revolving credit facility (the “Revolving Credit Facility", and together with the Term Loans, the "Secured Credit Facility”), with a sublimit for letters of credit of $100.0 million. As of December 31, 2017, the maturity date of Term Loan A and the termination date for the Revolving Credit Facility was June 30, 2021 and the maturity date of Term Loan B was June 30, 2023.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 (ii) the aggregate principal amount under which pro forma consolidated net secured leverage remains less than or equal to 3.50:1.00.</w:t>
      </w:r>
    </w:p>
    <w:p>
      <w:pPr>
        <w:spacing w:after="0" w:line="70"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firstLine="8"/>
        <w:spacing w:after="0" w:line="252"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B is 2.25% for LIBOR loans and 1.25% for base rate loans.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86"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second and third quarters of fiscal 2018, Booz Allen Hamilton accessed a total of $85.0 million of the $500.0 million Revolving Credit Facility. As of December 31, 2017, there were no amounts outstanding under the Revolving Credit Facility. As of March 31, 2017, there was $130.0 million outstanding under the Revolving Credit Facility.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50" w:right="259" w:bottom="1440" w:gutter="0" w:footer="0" w:header="0"/>
        </w:sectPr>
      </w:pPr>
    </w:p>
    <w:bookmarkStart w:id="14" w:name="page15"/>
    <w:bookmarkEnd w:id="14"/>
    <w:p>
      <w:pPr>
        <w:ind w:right="16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ind w:right="360" w:firstLine="8"/>
        <w:spacing w:after="0" w:line="281"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investments; (vi) transactions with affiliates; (vii) sale and lease back transactions; (viii) change in fiscal periods; (ix) negative pledges; (x) restrictive agreements; (xi) line of business; and (xii) speculative hedging. The events of default include the following, in each case subject to certain exceptions:</w:t>
      </w:r>
    </w:p>
    <w:p>
      <w:pPr>
        <w:spacing w:after="0" w:line="1" w:lineRule="exact"/>
        <w:rPr>
          <w:rFonts w:ascii="Arial" w:cs="Arial" w:eastAsia="Arial" w:hAnsi="Arial"/>
          <w:sz w:val="16"/>
          <w:szCs w:val="16"/>
          <w:color w:val="auto"/>
        </w:rPr>
      </w:pPr>
    </w:p>
    <w:p>
      <w:pPr>
        <w:ind w:right="460" w:firstLine="8"/>
        <w:spacing w:after="0" w:line="281"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w:t>
      </w:r>
    </w:p>
    <w:p>
      <w:pPr>
        <w:spacing w:after="0" w:line="2" w:lineRule="exact"/>
        <w:rPr>
          <w:rFonts w:ascii="Arial" w:cs="Arial" w:eastAsia="Arial" w:hAnsi="Arial"/>
          <w:sz w:val="16"/>
          <w:szCs w:val="16"/>
          <w:color w:val="auto"/>
        </w:rPr>
      </w:pPr>
    </w:p>
    <w:p>
      <w:pPr>
        <w:ind w:right="320"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or the Senior Notes, under an Indenture, dated as of April 25, 2017, among Booz Allen Hamilton, certain subsidiaries of Booz Allen Hamilton, as guarantors, or the Subsidiary Guarantors, and Wilmington Trust, National Association, as trustee, or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will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w:t>
      </w:r>
    </w:p>
    <w:p>
      <w:pPr>
        <w:spacing w:after="0" w:line="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December 31, 2017 and March 31, 2017, Booz Allen Hamilton was in compliance with all financial covenants associated with its debt and debt-like instruments.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60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48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r>
      <w:tr>
        <w:trPr>
          <w:trHeight w:val="250"/>
        </w:trPr>
        <w:tc>
          <w:tcPr>
            <w:tcW w:w="4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jc w:val="center"/>
              <w:ind w:left="536"/>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21"/>
                <w:szCs w:val="21"/>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 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9,198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27,369</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20,344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Term Loan B Interest Expense</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10,284</w:t>
            </w:r>
          </w:p>
        </w:tc>
        <w:tc>
          <w:tcPr>
            <w:tcW w:w="5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15,349</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Senior Notes Interest Expense</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12,258</w:t>
            </w:r>
          </w:p>
        </w:tc>
        <w:tc>
          <w:tcPr>
            <w:tcW w:w="5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6,022</w:t>
            </w: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6,007</w:t>
            </w:r>
          </w:p>
        </w:tc>
      </w:tr>
      <w:tr>
        <w:trPr>
          <w:trHeight w:val="229"/>
        </w:trPr>
        <w:tc>
          <w:tcPr>
            <w:tcW w:w="4880" w:type="dxa"/>
            <w:vAlign w:val="bottom"/>
          </w:tcPr>
          <w:p>
            <w:pPr>
              <w:ind w:left="40"/>
              <w:spacing w:after="0"/>
              <w:rPr>
                <w:sz w:val="20"/>
                <w:szCs w:val="20"/>
                <w:color w:val="auto"/>
              </w:rPr>
            </w:pPr>
            <w:r>
              <w:rPr>
                <w:rFonts w:ascii="Arial" w:cs="Arial" w:eastAsia="Arial" w:hAnsi="Arial"/>
                <w:sz w:val="18"/>
                <w:szCs w:val="18"/>
                <w:color w:val="auto"/>
              </w:rPr>
              <w:t>Amortization of Debt Issuance Cost (DIC) and Original Issue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48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Discount (OID) </w:t>
            </w:r>
            <w:r>
              <w:rPr>
                <w:rFonts w:ascii="Arial" w:cs="Arial" w:eastAsia="Arial" w:hAnsi="Arial"/>
                <w:sz w:val="25"/>
                <w:szCs w:val="25"/>
                <w:color w:val="auto"/>
                <w:vertAlign w:val="superscript"/>
              </w:rPr>
              <w:t>(2)</w:t>
            </w:r>
          </w:p>
        </w:tc>
        <w:tc>
          <w:tcPr>
            <w:tcW w:w="34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4,003</w:t>
            </w:r>
          </w:p>
        </w:tc>
        <w:tc>
          <w:tcPr>
            <w:tcW w:w="58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4,584</w:t>
            </w: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20,604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14,176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60,309</w:t>
            </w: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46,757</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Interest payments on the deferred payment obligation are made twice a year in January and July.</w:t>
      </w:r>
    </w:p>
    <w:p>
      <w:pPr>
        <w:spacing w:after="0" w:line="98" w:lineRule="exact"/>
        <w:rPr>
          <w:rFonts w:ascii="Arial" w:cs="Arial" w:eastAsia="Arial" w:hAnsi="Arial"/>
          <w:sz w:val="23"/>
          <w:szCs w:val="23"/>
          <w:color w:val="auto"/>
          <w:vertAlign w:val="superscript"/>
        </w:rPr>
      </w:pPr>
    </w:p>
    <w:p>
      <w:pPr>
        <w:ind w:right="20" w:firstLine="8"/>
        <w:spacing w:after="0" w:line="260" w:lineRule="auto"/>
        <w:tabs>
          <w:tab w:leader="none" w:pos="192"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DIC and OID on the Term Loans and Senior Notes are recorded as a reduction of long term debt in the condensed consolidated balance sheet and are amortized ratably over the life of the related debt using the effective rate method. DIC on the Revolving Credit Facility is recorded as a long term asset on the consolidated balance sheet and amortized ratably over the term of the Revolving Credit Facility.</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85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DERIVATIVES</w:t>
      </w:r>
    </w:p>
    <w:p>
      <w:pPr>
        <w:spacing w:after="0" w:line="12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utilizes derivative financial instruments to manage interest rate risk related to its variable rate term loans. The Company’s objectives in using these interest rate derivatives, which were designated as cash flow hedges, are to manage its exposure to interest rate movements and reduce volatility to interest expense. During the first quarter of fiscal 2018, the Company entered into several forward starting floating-to-fixed interest rate swap agreements with multiple financial institutions with a start date of April 30, 2018. The aggregate notional amount of these interest rate swap agreements was $450 million as of December 31, 2017. The swaps have staggered maturities, ranging from June 30, 2021 to June 30, 2022. These swaps mature within the last tranche of the Company's floating rate debt (June 30, 2023).</w:t>
      </w:r>
    </w:p>
    <w:p>
      <w:pPr>
        <w:spacing w:after="0" w:line="8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Derivative instruments are recorded in the condensed consolidated balance sheet at estimated fair value. As of December 31, 2017, $2.7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$0.4 million were classified as other long term assets and other current liabilities, respectively, on the condensed consolidated balance sheet. For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swaps designated as cash flow hedges, the effective portion of changes in the fair value of derivatives is recorded in Accumulated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or AOCI, net of taxes, and is subsequently reclassified into interest expense in the period that the hedged forecasted interest payments are made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variable-rate debt. For the three and nine months ended December 31, 2017, a $2.1 million and $1.4 million gain have been recognized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AOCI, respectively, and there were no amounts reclassified into interest expense. The ineffective portion of the change in fair value of the derivatives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recognized directly in earnings. As of the three and nine months ended December 31, 2017, there was no ineffectiveness recognized in earnings.</w:t>
      </w:r>
    </w:p>
    <w:p>
      <w:pPr>
        <w:spacing w:after="0" w:line="114"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Over the next 12 months, the Company estimates that $0.4 million will be reclassified as an increase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On December 22, 2017, the Tax Act was enacted into law. The 2017 Tax Act provides for significant changes to the U.S. Internal Revenue Code of 1986, as amended, including lowering the federal corporate tax rate, implementing a territorial tax system, accelerating business asset expensing, and changing or limiting certain tax deductions.</w:t>
      </w:r>
    </w:p>
    <w:p>
      <w:pPr>
        <w:spacing w:after="0" w:line="73"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ASC 740 requires the Company to recognize the effect of the 2017 Tax Act on the date of enactment. The 2017 Tax Act reduces the federal corporate tax rate from 35% to 21% for tax years beginning after December 31, 2017. The tax rate change is administratively effective at the beginning of the Company's 2018 fiscal year using a blended statutory federal rate for the fiscal period based on the number of days in the periods before and after the effective date of the change. The lower 21% tax rate will be the federal statutory rate used for fiscal periods thereafter. The Company's blended statutory tax rate for the nine months ended December 31, 2017 was 31.5%. The lower federal corporate tax rate will also require the Company to remeasure its deferred tax assets and liabilities as well as reassess the realizability of those deferred items.</w:t>
      </w:r>
    </w:p>
    <w:p>
      <w:pPr>
        <w:spacing w:after="0" w:line="7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Company’s effective income tax rates were 28.8% and 32.4% for the three and nine months ended December 31, 2017, respectively, as compared to 40.0% and 38.7% for the three and nine months ended December 31, 2016, respectively. The effective tax rates for the three and nine months ended December 31, 2017 include the effects of the statutory federal rate provisions of the 2017 Tax Act and exclude any provisional amounts for deferred tax items. As noted in Note 2, the 2017 Tax Act prompted the Company to consider a tax accounting method change under U.S. tax law associated with unbilled receivables. Moreover, as elaborated in Note 2, the 2017 Tax Act provides for significant changes to the U.S. Internal Revenue Code of 1986, as amended, and such changes give rise to significant complexity to the scheduling of the reversal of other deductible and taxable temporary differences. The Company expects to reflect the provisional impact of the 2017 Tax Act on changes to deferred tax items in the fourth quarter of fiscal 2018.</w:t>
      </w:r>
    </w:p>
    <w:p>
      <w:pPr>
        <w:spacing w:after="0" w:line="5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decrease in the effective tax rates as compared to the same periods last fiscal year was primarily due to the tax rate benefit of the 2017 Tax Act and the Company's adoption of ASU 2016-09 in the first quarter of fiscal 2018 as discussed in Note 2. The three and nine months effective tax rates of 28.8% and 32.4% differ from the federal statutory rate of 31.5% primarily due to the inclusion of state income taxes and permanent rate differences, partially offset by discrete tax items.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2" w:right="259" w:bottom="1440" w:gutter="0" w:footer="0" w:header="0"/>
        </w:sectPr>
      </w:pPr>
    </w:p>
    <w:bookmarkStart w:id="16" w:name="page17"/>
    <w:bookmarkEnd w:id="16"/>
    <w:p>
      <w:pPr>
        <w:ind w:right="200" w:firstLine="405"/>
        <w:spacing w:after="0" w:line="257" w:lineRule="auto"/>
        <w:rPr>
          <w:sz w:val="20"/>
          <w:szCs w:val="20"/>
          <w:color w:val="auto"/>
        </w:rPr>
      </w:pPr>
      <w:r>
        <w:rPr>
          <w:rFonts w:ascii="Arial" w:cs="Arial" w:eastAsia="Arial" w:hAnsi="Arial"/>
          <w:sz w:val="18"/>
          <w:szCs w:val="18"/>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$10.8 million, net of associated tax benefits. The Company has taken similar tax positions with respect to subsequent fiscal years. As of December 31, 2017, the Company does not maintain reserves for any uncertain tax positions related to the contested tax benefits and does not believe the resolution of these matters will have a material adverse effect on its results of operations, cash flows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63,854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127,193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123,492</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40,593</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250,041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227,939</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at December 31, 2017 and March 31, 2017 include the Company's long-term disability obligation of $22.5 million as well as contingent consideration of $3.6 million related to the Company's acquisition as discussed in Note 4.</w:t>
      </w:r>
    </w:p>
    <w:p>
      <w:pPr>
        <w:spacing w:after="0" w:line="275" w:lineRule="exact"/>
        <w:rPr>
          <w:sz w:val="20"/>
          <w:szCs w:val="20"/>
          <w:color w:val="auto"/>
        </w:rPr>
      </w:pPr>
    </w:p>
    <w:p>
      <w:pPr>
        <w:ind w:left="340" w:right="8640" w:hanging="332"/>
        <w:spacing w:after="0" w:line="378" w:lineRule="auto"/>
        <w:tabs>
          <w:tab w:leader="none" w:pos="28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100" w:firstLine="405"/>
        <w:spacing w:after="0" w:line="291"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Code for the ECAP. Total expense recognized under ECAP was $30.8 million and $28.1 million for the three months ended December 31, 2017 and 2016, respectively, and $92.7 million and $84.8 million for the nine months ended December 31, 2017 and 2016, respectively. The Company-paid contributions were $15.4 million and $13.7 million for the three months ended December 31, 2017 and 2016, respectively, and $46.5 million and $44.5 million for the nine months ended December 31, 2017 and 2016, respectively.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 Additionally, the Company offers medical and dental benefits to inactive employees (and their eligible dependents) on long-term disability.</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1,252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3,587</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2,287</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8"/>
              </w:rPr>
              <w:t>2,936</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3,171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8,807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9,512</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854" w:right="239" w:bottom="1440" w:gutter="0" w:footer="0" w:header="0"/>
        </w:sectPr>
      </w:pPr>
    </w:p>
    <w:bookmarkStart w:id="17" w:name="page18"/>
    <w:bookmarkEnd w:id="17"/>
    <w:p>
      <w:pPr>
        <w:ind w:right="720" w:firstLine="405"/>
        <w:spacing w:after="0" w:line="308" w:lineRule="auto"/>
        <w:rPr>
          <w:sz w:val="20"/>
          <w:szCs w:val="20"/>
          <w:color w:val="auto"/>
        </w:rPr>
      </w:pPr>
      <w:r>
        <w:rPr>
          <w:rFonts w:ascii="Arial" w:cs="Arial" w:eastAsia="Arial" w:hAnsi="Arial"/>
          <w:sz w:val="17"/>
          <w:szCs w:val="17"/>
          <w:color w:val="auto"/>
        </w:rPr>
        <w:t>As of December 31, 2017 and March 31, 2017, the unfunded status of the post-retirement medical plan was $122.6 million and $118.1 million, respectively, which is included in other long-term liabilities in the accompanying condensed consolidated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b w:val="1"/>
                <w:bCs w:val="1"/>
                <w:color w:val="auto"/>
                <w:w w:val="92"/>
              </w:rPr>
              <w:t>Nine Months Ended December 31, 2017</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Post-retirement</w:t>
            </w:r>
          </w:p>
        </w:tc>
        <w:tc>
          <w:tcPr>
            <w:tcW w:w="140" w:type="dxa"/>
            <w:vAlign w:val="bottom"/>
          </w:tcPr>
          <w:p>
            <w:pPr>
              <w:spacing w:after="0"/>
              <w:rPr>
                <w:sz w:val="13"/>
                <w:szCs w:val="13"/>
                <w:color w:val="auto"/>
              </w:rPr>
            </w:pPr>
          </w:p>
        </w:tc>
        <w:tc>
          <w:tcPr>
            <w:tcW w:w="120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0"/>
              </w:rPr>
              <w:t>Derivatives</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Post-retirement plans</w:t>
            </w:r>
          </w:p>
        </w:tc>
        <w:tc>
          <w:tcPr>
            <w:tcW w:w="100" w:type="dxa"/>
            <w:vAlign w:val="bottom"/>
          </w:tcPr>
          <w:p>
            <w:pPr>
              <w:spacing w:after="0"/>
              <w:rPr>
                <w:sz w:val="12"/>
                <w:szCs w:val="12"/>
                <w:color w:val="auto"/>
              </w:rPr>
            </w:pPr>
          </w:p>
        </w:tc>
        <w:tc>
          <w:tcPr>
            <w:tcW w:w="12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8"/>
              </w:rPr>
              <w:t>designated as cash</w:t>
            </w:r>
          </w:p>
        </w:tc>
        <w:tc>
          <w:tcPr>
            <w:tcW w:w="320" w:type="dxa"/>
            <w:vAlign w:val="bottom"/>
          </w:tcPr>
          <w:p>
            <w:pPr>
              <w:spacing w:after="0"/>
              <w:rPr>
                <w:sz w:val="12"/>
                <w:szCs w:val="12"/>
                <w:color w:val="auto"/>
              </w:rPr>
            </w:pPr>
          </w:p>
        </w:tc>
        <w:tc>
          <w:tcPr>
            <w:tcW w:w="10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Totals</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6"/>
              </w:rPr>
              <w:t>designated as cash</w:t>
            </w:r>
          </w:p>
        </w:tc>
        <w:tc>
          <w:tcPr>
            <w:tcW w:w="340" w:type="dxa"/>
            <w:vAlign w:val="bottom"/>
          </w:tcPr>
          <w:p>
            <w:pPr>
              <w:spacing w:after="0"/>
              <w:rPr>
                <w:sz w:val="12"/>
                <w:szCs w:val="12"/>
                <w:color w:val="auto"/>
              </w:rPr>
            </w:pPr>
          </w:p>
        </w:tc>
        <w:tc>
          <w:tcPr>
            <w:tcW w:w="10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6"/>
              </w:rPr>
              <w:t>flow hedges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plans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flow hedges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(16,353)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0" w:type="dxa"/>
            <w:vAlign w:val="bottom"/>
          </w:tcPr>
          <w:p>
            <w:pPr>
              <w:spacing w:after="0"/>
              <w:rPr>
                <w:sz w:val="1"/>
                <w:szCs w:val="1"/>
                <w:color w:val="auto"/>
              </w:rPr>
            </w:pPr>
          </w:p>
        </w:tc>
      </w:tr>
      <w:tr>
        <w:trPr>
          <w:trHeight w:val="157"/>
        </w:trPr>
        <w:tc>
          <w:tcPr>
            <w:tcW w:w="3200" w:type="dxa"/>
            <w:vAlign w:val="bottom"/>
          </w:tcPr>
          <w:p>
            <w:pPr>
              <w:ind w:left="160"/>
              <w:spacing w:after="0" w:line="157" w:lineRule="exact"/>
              <w:rPr>
                <w:sz w:val="20"/>
                <w:szCs w:val="20"/>
                <w:color w:val="auto"/>
              </w:rPr>
            </w:pPr>
            <w:r>
              <w:rPr>
                <w:rFonts w:ascii="Arial" w:cs="Arial" w:eastAsia="Arial" w:hAnsi="Arial"/>
                <w:sz w:val="14"/>
                <w:szCs w:val="14"/>
                <w:color w:val="auto"/>
              </w:rPr>
              <w:t>Other comprehensive income (loss) before</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60"/>
              <w:spacing w:after="0"/>
              <w:rPr>
                <w:sz w:val="20"/>
                <w:szCs w:val="20"/>
                <w:color w:val="auto"/>
              </w:rPr>
            </w:pPr>
            <w:r>
              <w:rPr>
                <w:rFonts w:ascii="Arial" w:cs="Arial" w:eastAsia="Arial" w:hAnsi="Arial"/>
                <w:sz w:val="14"/>
                <w:szCs w:val="14"/>
                <w:color w:val="auto"/>
              </w:rPr>
              <w:t>reclassifications (1)</w:t>
            </w:r>
          </w:p>
        </w:tc>
        <w:tc>
          <w:tcPr>
            <w:tcW w:w="46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2,052</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2,052</w:t>
            </w:r>
          </w:p>
        </w:tc>
        <w:tc>
          <w:tcPr>
            <w:tcW w:w="1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1,418</w:t>
            </w:r>
          </w:p>
        </w:tc>
        <w:tc>
          <w:tcPr>
            <w:tcW w:w="34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Amounts reclassified from accumulated other</w:t>
            </w: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comprehensive loss</w:t>
            </w: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37"/>
        </w:trPr>
        <w:tc>
          <w:tcPr>
            <w:tcW w:w="3200" w:type="dxa"/>
            <w:vAlign w:val="bottom"/>
          </w:tcPr>
          <w:p>
            <w:pPr>
              <w:ind w:left="280"/>
              <w:spacing w:after="0" w:line="137" w:lineRule="exact"/>
              <w:rPr>
                <w:sz w:val="20"/>
                <w:szCs w:val="20"/>
                <w:color w:val="auto"/>
              </w:rPr>
            </w:pPr>
            <w:r>
              <w:rPr>
                <w:rFonts w:ascii="Arial" w:cs="Arial" w:eastAsia="Arial" w:hAnsi="Arial"/>
                <w:sz w:val="14"/>
                <w:szCs w:val="14"/>
                <w:color w:val="auto"/>
                <w:w w:val="97"/>
              </w:rPr>
              <w:t>Net current-period other comprehensive income</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(loss)</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2,052</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2,415</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1,087</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1,418</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(15,990)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1,418</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1,418</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(14,572)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expenses of $1.3 million and $0.9 million for three and nine months ended December 31, 2017,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5"/>
          </w:tcPr>
          <w:p>
            <w:pPr>
              <w:jc w:val="center"/>
              <w:ind w:right="368"/>
              <w:spacing w:after="0"/>
              <w:rPr>
                <w:sz w:val="20"/>
                <w:szCs w:val="20"/>
                <w:color w:val="auto"/>
              </w:rPr>
            </w:pPr>
            <w:r>
              <w:rPr>
                <w:rFonts w:ascii="Arial" w:cs="Arial" w:eastAsia="Arial" w:hAnsi="Arial"/>
                <w:sz w:val="14"/>
                <w:szCs w:val="14"/>
                <w:b w:val="1"/>
                <w:bCs w:val="1"/>
                <w:color w:val="auto"/>
                <w:w w:val="93"/>
              </w:rPr>
              <w:t>Three Months Ended December 31, 2016</w:t>
            </w:r>
          </w:p>
        </w:tc>
        <w:tc>
          <w:tcPr>
            <w:tcW w:w="1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b w:val="1"/>
                <w:bCs w:val="1"/>
                <w:color w:val="auto"/>
                <w:w w:val="92"/>
              </w:rPr>
              <w:t>Nine Months Ended December 31, 2016</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Post-retirement</w:t>
            </w:r>
          </w:p>
        </w:tc>
        <w:tc>
          <w:tcPr>
            <w:tcW w:w="12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Post-retirement plans</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designated as cash</w:t>
            </w:r>
          </w:p>
        </w:tc>
        <w:tc>
          <w:tcPr>
            <w:tcW w:w="360" w:type="dxa"/>
            <w:vAlign w:val="bottom"/>
          </w:tcPr>
          <w:p>
            <w:pPr>
              <w:spacing w:after="0"/>
              <w:rPr>
                <w:sz w:val="12"/>
                <w:szCs w:val="12"/>
                <w:color w:val="auto"/>
              </w:rPr>
            </w:pPr>
          </w:p>
        </w:tc>
        <w:tc>
          <w:tcPr>
            <w:tcW w:w="10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Totals</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designated as cash</w:t>
            </w:r>
          </w:p>
        </w:tc>
        <w:tc>
          <w:tcPr>
            <w:tcW w:w="340" w:type="dxa"/>
            <w:vAlign w:val="bottom"/>
          </w:tcPr>
          <w:p>
            <w:pPr>
              <w:spacing w:after="0"/>
              <w:rPr>
                <w:sz w:val="12"/>
                <w:szCs w:val="12"/>
                <w:color w:val="auto"/>
              </w:rPr>
            </w:pPr>
          </w:p>
        </w:tc>
        <w:tc>
          <w:tcPr>
            <w:tcW w:w="10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flow hedges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plans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flow hedges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of period</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(18,699)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(19,613)</w:t>
            </w:r>
          </w:p>
        </w:tc>
        <w:tc>
          <w:tcPr>
            <w:tcW w:w="0" w:type="dxa"/>
            <w:vAlign w:val="bottom"/>
          </w:tcPr>
          <w:p>
            <w:pPr>
              <w:spacing w:after="0"/>
              <w:rPr>
                <w:sz w:val="1"/>
                <w:szCs w:val="1"/>
                <w:color w:val="auto"/>
              </w:rPr>
            </w:pPr>
          </w:p>
        </w:tc>
      </w:tr>
      <w:tr>
        <w:trPr>
          <w:trHeight w:val="157"/>
        </w:trPr>
        <w:tc>
          <w:tcPr>
            <w:tcW w:w="3200" w:type="dxa"/>
            <w:vAlign w:val="bottom"/>
          </w:tcPr>
          <w:p>
            <w:pPr>
              <w:ind w:left="180"/>
              <w:spacing w:after="0" w:line="157" w:lineRule="exact"/>
              <w:rPr>
                <w:sz w:val="20"/>
                <w:szCs w:val="20"/>
                <w:color w:val="auto"/>
              </w:rPr>
            </w:pPr>
            <w:r>
              <w:rPr>
                <w:rFonts w:ascii="Arial" w:cs="Arial" w:eastAsia="Arial" w:hAnsi="Arial"/>
                <w:sz w:val="14"/>
                <w:szCs w:val="14"/>
                <w:color w:val="auto"/>
              </w:rPr>
              <w:t>Other comprehensive income (loss) before</w:t>
            </w: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80"/>
              <w:spacing w:after="0"/>
              <w:rPr>
                <w:sz w:val="20"/>
                <w:szCs w:val="20"/>
                <w:color w:val="auto"/>
              </w:rPr>
            </w:pPr>
            <w:r>
              <w:rPr>
                <w:rFonts w:ascii="Arial" w:cs="Arial" w:eastAsia="Arial" w:hAnsi="Arial"/>
                <w:sz w:val="14"/>
                <w:szCs w:val="14"/>
                <w:color w:val="auto"/>
              </w:rPr>
              <w:t>reclassifications</w:t>
            </w:r>
          </w:p>
        </w:tc>
        <w:tc>
          <w:tcPr>
            <w:tcW w:w="4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ind w:left="10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reclassified from accumulated other</w:t>
            </w: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loss</w:t>
            </w:r>
          </w:p>
        </w:tc>
        <w:tc>
          <w:tcPr>
            <w:tcW w:w="4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1,395</w:t>
            </w: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37"/>
        </w:trPr>
        <w:tc>
          <w:tcPr>
            <w:tcW w:w="3200" w:type="dxa"/>
            <w:vAlign w:val="bottom"/>
          </w:tcPr>
          <w:p>
            <w:pPr>
              <w:ind w:left="280"/>
              <w:spacing w:after="0" w:line="137" w:lineRule="exact"/>
              <w:rPr>
                <w:sz w:val="20"/>
                <w:szCs w:val="20"/>
                <w:color w:val="auto"/>
              </w:rPr>
            </w:pPr>
            <w:r>
              <w:rPr>
                <w:rFonts w:ascii="Arial" w:cs="Arial" w:eastAsia="Arial" w:hAnsi="Arial"/>
                <w:sz w:val="14"/>
                <w:szCs w:val="14"/>
                <w:color w:val="auto"/>
                <w:w w:val="97"/>
              </w:rPr>
              <w:t>Net current-period other comprehensive income</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(loss)</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1,395</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 of period</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2016</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Amounts reclassified from accumulated other comprehensive loss:</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net actuarial loss included in net periodic benefit cost (See Note 12)</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2,287</w:t>
            </w:r>
          </w:p>
        </w:tc>
      </w:tr>
      <w:tr>
        <w:trPr>
          <w:trHeight w:val="264"/>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Tax benefit</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(234)</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(281)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r>
      <w:tr>
        <w:trPr>
          <w:trHeight w:val="243"/>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of tax</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1,395</w:t>
            </w: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54" w:right="239" w:bottom="1440" w:gutter="0" w:footer="0" w:header="0"/>
        </w:sectPr>
      </w:pPr>
    </w:p>
    <w:bookmarkStart w:id="18" w:name="page19"/>
    <w:bookmarkEnd w:id="18"/>
    <w:p>
      <w:pPr>
        <w:ind w:left="340" w:right="8820" w:hanging="332"/>
        <w:spacing w:after="0" w:line="378" w:lineRule="auto"/>
        <w:tabs>
          <w:tab w:leader="none" w:pos="28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480" w:type="dxa"/>
            <w:vAlign w:val="bottom"/>
          </w:tcPr>
          <w:p>
            <w:pPr>
              <w:jc w:val="right"/>
              <w:ind w:right="373"/>
              <w:spacing w:after="0"/>
              <w:rPr>
                <w:sz w:val="20"/>
                <w:szCs w:val="20"/>
                <w:color w:val="auto"/>
              </w:rPr>
            </w:pPr>
            <w:r>
              <w:rPr>
                <w:rFonts w:ascii="Arial" w:cs="Arial" w:eastAsia="Arial" w:hAnsi="Arial"/>
                <w:sz w:val="14"/>
                <w:szCs w:val="14"/>
                <w:b w:val="1"/>
                <w:bCs w:val="1"/>
                <w:color w:val="auto"/>
              </w:rPr>
              <w:t>Treasury</w:t>
            </w:r>
          </w:p>
        </w:tc>
      </w:tr>
      <w:tr>
        <w:trPr>
          <w:trHeight w:val="192"/>
        </w:trPr>
        <w:tc>
          <w:tcPr>
            <w:tcW w:w="83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93"/>
              <w:spacing w:after="0"/>
              <w:rPr>
                <w:sz w:val="20"/>
                <w:szCs w:val="20"/>
                <w:color w:val="auto"/>
              </w:rPr>
            </w:pPr>
            <w:r>
              <w:rPr>
                <w:rFonts w:ascii="Arial" w:cs="Arial" w:eastAsia="Arial" w:hAnsi="Arial"/>
                <w:sz w:val="14"/>
                <w:szCs w:val="14"/>
                <w:b w:val="1"/>
                <w:bCs w:val="1"/>
                <w:color w:val="auto"/>
              </w:rPr>
              <w:t>Stock</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153,391,058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5,398,596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578,932</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1,931,495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Repurchase of common stock (1)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1,615,181</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155,901,485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7,013,777</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595,498</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1,022,657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5,452,854</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157,519,640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12,466,631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fiscal 2017, the Company purchased 1.3 million shares of the Company’s Class A Common Stock in a series of open market transactions for $46.4 million. Additionally, the Company repurchased shares during fiscal 2017 to cover the minimum statutory withholding taxes on restricted stock awards and restricted stock units that vested on March 31, 2017. The Company also repurchased shares to cover the minimum statutory withholding taxes on restricted stock for departing officers, as they are no longer subject to a substantial risk of forfeiture.</w:t>
      </w:r>
    </w:p>
    <w:p>
      <w:pPr>
        <w:spacing w:after="0" w:line="46" w:lineRule="exact"/>
        <w:rPr>
          <w:rFonts w:ascii="Arial" w:cs="Arial" w:eastAsia="Arial" w:hAnsi="Arial"/>
          <w:sz w:val="16"/>
          <w:szCs w:val="16"/>
          <w:color w:val="auto"/>
        </w:rPr>
      </w:pPr>
    </w:p>
    <w:p>
      <w:pPr>
        <w:ind w:left="660" w:right="1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fiscal 2018, the Company purchased 5.3 million shares of the Company’s Class A Common Stock in a series of open market transactions for $184.5 million. Additionally, the Company repurchased shares during the first quarter of fiscal 2018 to cover the minimum statutory withholding taxes on restricted stock awards and restricted stock units that vested on June 30, 2017.</w:t>
      </w:r>
    </w:p>
    <w:p>
      <w:pPr>
        <w:spacing w:after="0" w:line="73"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For the quarterly offering period that closed on December 31, 2017, 63,353 Class A Common Stock shares were purchased by employees under the Company's Employee Stock Purchase Plan, or ESPP. Since the program's inception, 2,119,003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11,401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11,801</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16,797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850" w:right="239" w:bottom="1440" w:gutter="0" w:footer="0" w:header="0"/>
        </w:sectPr>
      </w:pPr>
    </w:p>
    <w:bookmarkStart w:id="19" w:name="page20"/>
    <w:bookmarkEnd w:id="19"/>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15,406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14,003</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5,202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16,797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of December 31, 2017, there was $23.0 million of total unrecognized compensation cost related to unvested stock-based compensation agreements. The unrecognized compensation cost as of December 31, 2017 is expected to be fully amortized over the next 4.25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2,897</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3.78</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20,120</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2.03</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there were 3,024,470 EIP options outstanding, of which 848,286 were unvested.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November 1, 2017, the Board of Directors granted 52,732 restricted stock units to certain newly hired individuals and current vice presidents. The aggregate value of this award was estimated at $2.0 million based on the stock price of $37.77 on the grant date.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54" w:right="239" w:bottom="1440" w:gutter="0" w:footer="0" w:header="0"/>
        </w:sectPr>
      </w:pPr>
    </w:p>
    <w:bookmarkStart w:id="20" w:name="page21"/>
    <w:bookmarkEnd w:id="20"/>
    <w:p>
      <w:pPr>
        <w:ind w:right="18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5"/>
          </w:tcPr>
          <w:p>
            <w:pPr>
              <w:ind w:left="60"/>
              <w:spacing w:after="0"/>
              <w:rPr>
                <w:sz w:val="20"/>
                <w:szCs w:val="20"/>
                <w:color w:val="auto"/>
              </w:rPr>
            </w:pPr>
            <w:r>
              <w:rPr>
                <w:rFonts w:ascii="Arial" w:cs="Arial" w:eastAsia="Arial" w:hAnsi="Arial"/>
                <w:sz w:val="18"/>
                <w:szCs w:val="18"/>
                <w:b w:val="1"/>
                <w:bCs w:val="1"/>
                <w:color w:val="auto"/>
              </w:rPr>
              <w:t>as of December 31, 2017</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57,913</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Money market funds (1)</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206,379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231,582</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289,495</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2,690</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Contingent consideration liability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3,576</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Long-term derivative instruments (3)</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3,930</w:t>
            </w:r>
          </w:p>
        </w:tc>
      </w:tr>
      <w:tr>
        <w:trPr>
          <w:trHeight w:val="20"/>
        </w:trPr>
        <w:tc>
          <w:tcPr>
            <w:tcW w:w="6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90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59,825</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157,592</w:t>
            </w: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217,417</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9"/>
          <w:szCs w:val="19"/>
          <w:color w:val="auto"/>
        </w:rPr>
      </w:pPr>
      <w:r>
        <w:rPr>
          <w:rFonts w:ascii="Arial" w:cs="Arial" w:eastAsia="Arial" w:hAnsi="Arial"/>
          <w:sz w:val="17"/>
          <w:szCs w:val="17"/>
          <w:color w:val="auto"/>
        </w:rPr>
        <w:t>Level 2 cash and cash equivalents are invested in money market funds that are intended to maintain a stable net asset value of $1.00 per share by</w:t>
      </w:r>
    </w:p>
    <w:p>
      <w:pPr>
        <w:spacing w:after="0" w:line="38" w:lineRule="exact"/>
        <w:rPr>
          <w:rFonts w:ascii="Arial" w:cs="Arial" w:eastAsia="Arial" w:hAnsi="Arial"/>
          <w:sz w:val="19"/>
          <w:szCs w:val="19"/>
          <w:color w:val="auto"/>
        </w:rPr>
      </w:pPr>
    </w:p>
    <w:p>
      <w:pPr>
        <w:ind w:right="40"/>
        <w:spacing w:after="0" w:line="293" w:lineRule="auto"/>
        <w:rPr>
          <w:rFonts w:ascii="Arial" w:cs="Arial" w:eastAsia="Arial" w:hAnsi="Arial"/>
          <w:sz w:val="19"/>
          <w:szCs w:val="19"/>
          <w:color w:val="auto"/>
        </w:rPr>
      </w:pPr>
      <w:r>
        <w:rPr>
          <w:rFonts w:ascii="Arial" w:cs="Arial" w:eastAsia="Arial" w:hAnsi="Arial"/>
          <w:sz w:val="18"/>
          <w:szCs w:val="18"/>
          <w:color w:val="auto"/>
        </w:rPr>
        <w:t>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48" w:lineRule="exact"/>
        <w:rPr>
          <w:rFonts w:ascii="Arial" w:cs="Arial" w:eastAsia="Arial" w:hAnsi="Arial"/>
          <w:sz w:val="19"/>
          <w:szCs w:val="19"/>
          <w:color w:val="auto"/>
        </w:rPr>
      </w:pPr>
    </w:p>
    <w:p>
      <w:pPr>
        <w:jc w:val="both"/>
        <w:ind w:right="120" w:firstLine="8"/>
        <w:spacing w:after="0" w:line="259"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discussed in Note 4, the Company recognized a contingent consideration liability in connection with the acquisition of Aquilent. As of December 31, 2017 and March 31, 2017, the estimated fair value of the contingent consideration liability was $3.6 million and was valued using probability-weighted cash flows, which is based on the use of Level 3 fair value measurement inputs. The liability is recorded in other long-term liabilities in the consolidated balance sheet.</w:t>
      </w:r>
    </w:p>
    <w:p>
      <w:pPr>
        <w:spacing w:after="0" w:line="78" w:lineRule="exact"/>
        <w:rPr>
          <w:rFonts w:ascii="Arial" w:cs="Arial" w:eastAsia="Arial" w:hAnsi="Arial"/>
          <w:sz w:val="18"/>
          <w:szCs w:val="18"/>
          <w:color w:val="auto"/>
        </w:rPr>
      </w:pPr>
    </w:p>
    <w:p>
      <w:pPr>
        <w:ind w:right="100" w:firstLine="8"/>
        <w:spacing w:after="0" w:line="26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for further discussion on the Company’s derivative instruments designated as cash flow hedges.</w:t>
      </w:r>
    </w:p>
    <w:p>
      <w:pPr>
        <w:spacing w:after="0" w:line="7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fair value of the Company's debt, as well as the Senior Notes, approximates their carrying value at December 31, 2017 and March 31, 2017.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5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17. RELATED-PARTY TRANSACTIONS</w:t>
      </w:r>
    </w:p>
    <w:p>
      <w:pPr>
        <w:spacing w:after="0" w:line="337"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March 2017,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of five of the Booz Allen Foundation's directors and consent rights regarding certain extraordinary corporate actions approved by the board of directors. The Company has made a binding and irrevocable pledge of $5.0 million to the Booz Allen Foundation and recorded the pledge obligation in other current liabilities on the consolidated balance sheet of the Company in March 2017. As of December 31, 2017, $1.7 million of the pledge has been paid to the Booz Allen Foundation and is classified as operating activities in the condensed consolidated statement of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of December 31, 2017 and March 31, 2017, the Company was contingently liable under open standby letters of credit and bank guarantees issued by our banks in favor of third parties that totaled $7.3 million and $8.6 million, respectively. These letters of credit and bank guarantees primarily support insurance and bid and performance obligations. At December 31, 2017 and March 31, 2017, approximately $1.4 million and $1.7 million, respectively, of these instruments reduce the available borrowings under the Revolving Credit Facility. The remaining amounts under these instruments are guaranteed under a separate $15.0 million facility established in fiscal 2015 of which $9.1 million and $3.1 million was available to the Company at December 31, 2017 and March 31, 2017, respectively.</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For each of the three and nine months ended December 31, 2017 and 2016,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Management believes it has recorded the appropriate provision for the estimated losses that may be experienced from any such reductions and/or penalties. As of December 31, 2017 and March 31, 2017, the Company has recorded a liability of approximately $171.7 million and $175.7 million, respectively, 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December 31, 2017 and March 31, 2017, there were no material amounts accrued in the condensed consolidated financial statements related to these proceedings.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958" w:right="279" w:bottom="1440" w:gutter="0" w:footer="0" w:header="0"/>
        </w:sectPr>
      </w:pPr>
    </w:p>
    <w:bookmarkStart w:id="22" w:name="page23"/>
    <w:bookmarkEnd w:id="22"/>
    <w:p>
      <w:pPr>
        <w:ind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December 15, 2016, hearings relating to the appeal were held before the United States Court of Appeals for the Second Circuit. On July 13, 2017, the United States Court of Appeals for the Second Circuit ruled on the case and affirmed the ruling of the United States District Court for the Southern District of New York, except for one plaintiff’s securities fraud claim. The United States Court of Appeals for the Second Circuit remanded the case to the United States District Court for the Southern District of New York to give the plaintiff leave to file another amended complaint to attempt to plead a securities fraud claim. As of December 31, 2017, the aggregate alleged damages that will be sought in the remaining suit is unknown. As of December 31, 2017,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79"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Securities Exchange Act of 1934, as amended,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the court took the matters under advisement.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60" w:firstLine="392"/>
        <w:spacing w:after="0" w:line="272" w:lineRule="auto"/>
        <w:rPr>
          <w:sz w:val="20"/>
          <w:szCs w:val="20"/>
          <w:color w:val="auto"/>
        </w:rPr>
      </w:pPr>
      <w:r>
        <w:rPr>
          <w:rFonts w:ascii="Arial" w:cs="Arial" w:eastAsia="Arial" w:hAnsi="Arial"/>
          <w:sz w:val="17"/>
          <w:szCs w:val="17"/>
          <w:color w:val="auto"/>
        </w:rPr>
        <w:t>On November 13, 2017, a Verified Shareholder Derivative Compliant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Securities Exchange Act of 1934, as amended, purportedly relating to matters that are the subject of the DOJ investigation described above. The parties have stipulated to a stay of the proceedings pending the outcome of the securities litigation (described above), which the court so ordered on January 24, 2018. At this stage of the lawsuit, the Company is not able to reasonably estimate the expected amount or range of cost or any loss associated with the lawsuit.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4" w:right="2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2017 filed with the Securities and Exchange Commission on May 22, 2017,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engineering, analytics, digital solutions, mission operations, and cyber expertise to U.S. and international governments, major corporations, and not-for-profit organizations. Our ability to deliver value to our clients has always been, and continues to be, a product of the strong character, deep expertise and tremendous passion of our people. Our talent base of approximately 24,700 employees endeavor to solve problems that matter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5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clients' needs, we have longstanding and deep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these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Our U.S. commercial clients are primarily in the financial services, healthcare and life sciences, energy, high-tech manufacturing, retail, and automotive industries. Our international clients are primarily in the Middle East, along with a growing presence in Southeast Asia.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During the third quarter of fiscal 2018, the Company generated year over year revenue growth driven by strong demand from clients, while increasing our headcount, growing backlog to a near record level, and delivering improved earnings.</w:t>
      </w:r>
    </w:p>
    <w:p>
      <w:pPr>
        <w:spacing w:after="0" w:line="6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Revenue increased 6.8% from the three months ended December 31, 2016 to the three months ended December 31, 2017 and increased 7.4% from the nine months ended December 31, 2016 to the nine months ended December 31, 2017. The revenue increases in both the three and nine month periods ended December 31, 2017 in comparison to the respective prior year periods were primarily driven by continued strength in client demand, which led to increased client staff headcount, and an increase in client staff labor. Revenue for the nine months ended December 31, 2017 also benefited from higher billable expenses as compared to the prior year period.</w:t>
      </w:r>
    </w:p>
    <w:p>
      <w:pPr>
        <w:spacing w:after="0" w:line="8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Operating income increased 9.2% to $118.1 million in the three months ended December 31, 2017 from $108.1 million in the three months ended December 31, 2016, while operating margin increased to 7.9% from 7.7% in the comparable period. Operating income increased 8.2% to $384.0 million in the nine months ended December 31, 2017 from $355.1 million in the nine months ended December 31, 2016, while operating margin increased to 8.5% from 8.4% in the comparable period. The increase in operating income was primarily driven by the same factors driving revenue as well as improved contract profitability across the enterprise. The growth in operating income for the nine months ended December 31, 2017 was partially offset by increased spending in support of the business operations, on-boarding and deployment of consulting staff headcount. The Company also incurred incremental legal costs during the three and nine months ended December 31, 2017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Adjusted Net Income and Adjusted Diluted Earnings Per Share, and net cash provided by operating activities to Free Cash Flow, (ii) use Revenue, Excluding Billable Expenses, Adjusted Operating Income, Adjusted EBITDA, Adjusted EBITDA Margin,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72" w:lineRule="exact"/>
        <w:rPr>
          <w:sz w:val="20"/>
          <w:szCs w:val="20"/>
          <w:color w:val="auto"/>
        </w:rPr>
      </w:pPr>
    </w:p>
    <w:p>
      <w:pPr>
        <w:ind w:left="1300" w:right="12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40" w:hanging="644"/>
        <w:spacing w:after="0" w:line="25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resulting from the acquisition of our Company by The Carlyle Group (the "Acquisition") and (ii) transaction costs, fees and losses,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right="40" w:hanging="644"/>
        <w:spacing w:after="0" w:line="27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transaction costs, fees and losses, including fees associated with debt prepayments.“Adjusted EBITDA Margin” is calculated as Adjusted EBITDA divided by revenue. The Company prepares Adjusted EBITDA and Adjusted EBITDA Margin to eliminate the impact of items it does not consider indicative of ongoing operating performance due to their inherent unusual, extraordinary or non-recurring nature or because they result from an event of a similar nature.</w:t>
      </w:r>
    </w:p>
    <w:p>
      <w:pPr>
        <w:spacing w:after="0" w:line="64" w:lineRule="exact"/>
        <w:rPr>
          <w:rFonts w:ascii="Arial" w:cs="Arial" w:eastAsia="Arial" w:hAnsi="Arial"/>
          <w:sz w:val="17"/>
          <w:szCs w:val="17"/>
          <w:color w:val="auto"/>
        </w:rPr>
      </w:pPr>
    </w:p>
    <w:p>
      <w:pPr>
        <w:ind w:left="1300" w:right="40" w:hanging="644"/>
        <w:spacing w:after="0" w:line="25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adjustments related to the amortization of intangible assets resulting from the Acquisition, (ii) transaction costs, fees and losses, including fees associated with debt prepayments, and (iii) amortization or write-off of debt issuance costs and write-off of original issue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75" w:right="239" w:bottom="1440" w:gutter="0" w:footer="0" w:header="0"/>
        </w:sectPr>
      </w:pPr>
    </w:p>
    <w:bookmarkStart w:id="25" w:name="page26"/>
    <w:bookmarkEnd w:id="25"/>
    <w:p>
      <w:pPr>
        <w:ind w:left="1300" w:right="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1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Adjusted Net Income, Adjusted Diluted EPS, and Free Cash Flow to the most directly comparable financial measure calculated and presented in accordance with GAAP.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9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5"/>
              </w:rPr>
              <w:t>(Unaudited)</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7"/>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1,499,914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1,404,638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4,535,569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4,222,213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Billable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443,015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428,685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1,378,235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1,270,941</w:t>
            </w:r>
          </w:p>
        </w:tc>
        <w:tc>
          <w:tcPr>
            <w:tcW w:w="0" w:type="dxa"/>
            <w:vAlign w:val="bottom"/>
          </w:tcPr>
          <w:p>
            <w:pPr>
              <w:spacing w:after="0"/>
              <w:rPr>
                <w:sz w:val="1"/>
                <w:szCs w:val="1"/>
                <w:color w:val="auto"/>
              </w:rPr>
            </w:pPr>
          </w:p>
        </w:tc>
      </w:tr>
      <w:tr>
        <w:trPr>
          <w:trHeight w:val="237"/>
        </w:trPr>
        <w:tc>
          <w:tcPr>
            <w:tcW w:w="4940" w:type="dxa"/>
            <w:vAlign w:val="bottom"/>
          </w:tcPr>
          <w:p>
            <w:pPr>
              <w:ind w:left="720"/>
              <w:spacing w:after="0"/>
              <w:rPr>
                <w:sz w:val="20"/>
                <w:szCs w:val="20"/>
                <w:color w:val="auto"/>
              </w:rPr>
            </w:pPr>
            <w:r>
              <w:rPr>
                <w:rFonts w:ascii="Arial" w:cs="Arial" w:eastAsia="Arial" w:hAnsi="Arial"/>
                <w:sz w:val="18"/>
                <w:szCs w:val="18"/>
                <w:color w:val="auto"/>
              </w:rPr>
              <w:t>Revenue, Excluding Billable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1,056,899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975,953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3,157,334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2,951,272</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118,087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108,124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384,037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355,086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118,087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109,180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384,037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361,609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Adjusted EBITDA &amp; Adjusted EBITDA Margin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69,773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220,226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186,237</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28,240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37,025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105,356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117,489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other, net (c)</w:t>
            </w:r>
          </w:p>
        </w:tc>
        <w:tc>
          <w:tcPr>
            <w:tcW w:w="280" w:type="dxa"/>
            <w:vAlign w:val="bottom"/>
            <w:shd w:val="clear" w:color="auto" w:fill="CCEEFF"/>
          </w:tcPr>
          <w:p>
            <w:pPr>
              <w:spacing w:after="0"/>
              <w:rPr>
                <w:sz w:val="21"/>
                <w:szCs w:val="21"/>
                <w:color w:val="auto"/>
              </w:rPr>
            </w:pPr>
          </w:p>
        </w:tc>
        <w:tc>
          <w:tcPr>
            <w:tcW w:w="12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20,074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15,509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58,455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51,360</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16,701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14,410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43,588</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134,788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432,233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398,674</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134,788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122,534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432,233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402,028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1,499,914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1,404,638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4,535,569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4,222,213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 Margin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69,773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220,226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186,237</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Amortization of intangible assets (a)</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29"/>
        </w:trPr>
        <w:tc>
          <w:tcPr>
            <w:tcW w:w="4940" w:type="dxa"/>
            <w:vAlign w:val="bottom"/>
          </w:tcPr>
          <w:p>
            <w:pPr>
              <w:ind w:left="380"/>
              <w:spacing w:after="0"/>
              <w:rPr>
                <w:sz w:val="20"/>
                <w:szCs w:val="20"/>
                <w:color w:val="auto"/>
              </w:rPr>
            </w:pPr>
            <w:r>
              <w:rPr>
                <w:rFonts w:ascii="Arial" w:cs="Arial" w:eastAsia="Arial" w:hAnsi="Arial"/>
                <w:sz w:val="18"/>
                <w:szCs w:val="18"/>
                <w:color w:val="auto"/>
                <w:w w:val="95"/>
              </w:rPr>
              <w:t>Amortization or write-off of debt issuance costs and write-off</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80"/>
              <w:spacing w:after="0"/>
              <w:rPr>
                <w:sz w:val="20"/>
                <w:szCs w:val="20"/>
                <w:color w:val="auto"/>
              </w:rPr>
            </w:pPr>
            <w:r>
              <w:rPr>
                <w:rFonts w:ascii="Arial" w:cs="Arial" w:eastAsia="Arial" w:hAnsi="Arial"/>
                <w:sz w:val="18"/>
                <w:szCs w:val="18"/>
                <w:color w:val="auto"/>
              </w:rPr>
              <w:t>of original issue discount</w:t>
            </w:r>
          </w:p>
        </w:tc>
        <w:tc>
          <w:tcPr>
            <w:tcW w:w="280" w:type="dxa"/>
            <w:vAlign w:val="bottom"/>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8,236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tax effect (d)</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37"/>
        </w:trPr>
        <w:tc>
          <w:tcPr>
            <w:tcW w:w="4940" w:type="dxa"/>
            <w:vAlign w:val="bottom"/>
          </w:tcPr>
          <w:p>
            <w:pPr>
              <w:ind w:left="720"/>
              <w:spacing w:after="0"/>
              <w:rPr>
                <w:sz w:val="20"/>
                <w:szCs w:val="20"/>
                <w:color w:val="auto"/>
              </w:rPr>
            </w:pPr>
            <w:r>
              <w:rPr>
                <w:rFonts w:ascii="Arial" w:cs="Arial" w:eastAsia="Arial" w:hAnsi="Arial"/>
                <w:sz w:val="18"/>
                <w:szCs w:val="18"/>
                <w:color w:val="auto"/>
              </w:rPr>
              <w:t>Adjusted 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70,246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56,625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221,492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195,092</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146,570,617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w w:val="91"/>
              </w:rPr>
              <w:t>150,607,259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148,447,248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w w:val="91"/>
              </w:rPr>
              <w:t>150,143,851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68,858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65,959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246,920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283,042</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(26,078)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(63,067)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42,780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183,853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252,488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for the three and nine months ended December 31, 2016.</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July 13, 2016.</w:t>
      </w:r>
    </w:p>
    <w:p>
      <w:pPr>
        <w:sectPr>
          <w:pgSz w:w="11900" w:h="16838" w:orient="portrait"/>
          <w:cols w:equalWidth="0" w:num="1">
            <w:col w:w="11420"/>
          </w:cols>
          <w:pgMar w:left="240" w:top="85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854" w:right="239" w:bottom="1440" w:gutter="0" w:footer="0" w:header="0"/>
          <w:type w:val="continuous"/>
        </w:sectPr>
      </w:pPr>
    </w:p>
    <w:bookmarkStart w:id="26" w:name="page27"/>
    <w:bookmarkEnd w:id="26"/>
    <w:p>
      <w:pPr>
        <w:ind w:left="652" w:hanging="652"/>
        <w:spacing w:after="0"/>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condensed consolidated statement of operations.</w:t>
      </w:r>
    </w:p>
    <w:p>
      <w:pPr>
        <w:spacing w:after="0" w:line="128" w:lineRule="exact"/>
        <w:rPr>
          <w:rFonts w:ascii="Arial" w:cs="Arial" w:eastAsia="Arial" w:hAnsi="Arial"/>
          <w:sz w:val="17"/>
          <w:szCs w:val="17"/>
          <w:color w:val="auto"/>
        </w:rPr>
      </w:pPr>
    </w:p>
    <w:p>
      <w:pPr>
        <w:jc w:val="both"/>
        <w:ind w:left="652" w:hanging="652"/>
        <w:spacing w:after="0" w:line="264"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Periods related to fiscal 2017 reflect the tax effect of adjustments at an assumed effective tax rate of 40%. Beginning in the third quarter of fiscal 2018 with the Tax Cuts and Jobs Act (the "2017 Tax Act"), adjustments are reflected using an assumed effective tax rate of 36.5%. See Note 10, Income Taxes, to our accompanying condensed consolidated financial statements for information.</w:t>
      </w:r>
    </w:p>
    <w:p>
      <w:pPr>
        <w:spacing w:after="0" w:line="73" w:lineRule="exact"/>
        <w:rPr>
          <w:rFonts w:ascii="Arial" w:cs="Arial" w:eastAsia="Arial" w:hAnsi="Arial"/>
          <w:sz w:val="18"/>
          <w:szCs w:val="18"/>
          <w:color w:val="auto"/>
        </w:rPr>
      </w:pPr>
    </w:p>
    <w:p>
      <w:pPr>
        <w:ind w:left="652" w:right="20" w:hanging="652"/>
        <w:spacing w:after="0" w:line="312" w:lineRule="auto"/>
        <w:tabs>
          <w:tab w:leader="none" w:pos="6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an adjustment of approximately $0.6 million and $1.9 million of net earnings for the three and nine months ended December 31, 2017, respectively, and excludes an adjustment of approximately $0.6 million and $2.0 million of net earnings for the three and nine months ended December 31, 2016, respectively, associated with the application of the two-class method for computing diluted earnings per share.</w:t>
      </w:r>
    </w:p>
    <w:p>
      <w:pPr>
        <w:spacing w:after="0" w:line="174"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72"/>
          </w:cols>
          <w:pgMar w:left="248" w:top="854" w:right="5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hanging="644"/>
        <w:spacing w:after="0" w:line="27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uncertainty around the timing, extent, nature and effect of Congressional and other U.S. government actions to approve funding of the U.S. government beyond February 8, 2018, address budgetary constraints, including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address the ability of Congress to determine how to allocate the available budget authority and pass appropriations bills to fund both U.S. government departments and agencies that are, and those that are not, subject to the caps;</w:t>
      </w:r>
    </w:p>
    <w:p>
      <w:pPr>
        <w:spacing w:after="0" w:line="70"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hanging="644"/>
        <w:spacing w:after="0" w:line="289"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beyond February 8, 2018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50" w:right="239" w:bottom="1440" w:gutter="0" w:footer="0" w:header="0"/>
        </w:sectPr>
      </w:pPr>
    </w:p>
    <w:bookmarkStart w:id="28" w:name="page29"/>
    <w:bookmarkEnd w:id="28"/>
    <w:p>
      <w:pPr>
        <w:ind w:left="1300" w:right="1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3" w:lineRule="exact"/>
        <w:rPr>
          <w:rFonts w:ascii="Arial" w:cs="Arial" w:eastAsia="Arial" w:hAnsi="Arial"/>
          <w:sz w:val="18"/>
          <w:szCs w:val="18"/>
          <w:color w:val="auto"/>
        </w:rPr>
      </w:pPr>
    </w:p>
    <w:p>
      <w:pPr>
        <w:ind w:left="1300" w:right="200" w:hanging="644"/>
        <w:spacing w:after="0" w:line="31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2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3" w:lineRule="exact"/>
        <w:rPr>
          <w:rFonts w:ascii="Arial" w:cs="Arial" w:eastAsia="Arial" w:hAnsi="Arial"/>
          <w:sz w:val="18"/>
          <w:szCs w:val="18"/>
          <w:color w:val="auto"/>
        </w:rPr>
      </w:pPr>
    </w:p>
    <w:p>
      <w:pPr>
        <w:jc w:val="both"/>
        <w:ind w:left="1300" w:right="480" w:hanging="644"/>
        <w:spacing w:after="0" w:line="28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 and</w:t>
      </w:r>
    </w:p>
    <w:p>
      <w:pPr>
        <w:spacing w:after="0" w:line="57"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agency and mission priorities anticipated in the Department of Defense and Civilian agency landscape with the presidential and administration transition.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the Bipartisan Budget Act of 2013 and the Bipartisan Budget Act of 2015), provides for automatic spending cuts (referred to as sequestration) totaling approximately $1.2 trillion between 2013 and 2021, including an estimated $500 billion in federal defense spending cuts over this time period. The Bipartisan Budget Act of 2015 raised existing spending caps on defense spending by $15 billion for government fiscal 2017, but did not address spending caps beyond fiscal 2017. For example, under the Budget Control Act of 2011, as amended, approximately $91 billion in spending cuts are anticipated for the government fiscal 2018.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71" w:lineRule="auto"/>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54" w:right="259" w:bottom="1440" w:gutter="0" w:footer="0" w:header="0"/>
        </w:sectPr>
      </w:pPr>
    </w:p>
    <w:bookmarkStart w:id="29" w:name="page30"/>
    <w:bookmarkEnd w:id="29"/>
    <w:p>
      <w:pPr>
        <w:ind w:left="1960"/>
        <w:spacing w:after="0"/>
        <w:rPr>
          <w:sz w:val="20"/>
          <w:szCs w:val="20"/>
          <w:color w:val="auto"/>
        </w:rPr>
      </w:pPr>
      <w:r>
        <w:rPr>
          <w:rFonts w:ascii="Arial" w:cs="Arial" w:eastAsia="Arial" w:hAnsi="Arial"/>
          <w:sz w:val="17"/>
          <w:szCs w:val="17"/>
          <w:color w:val="auto"/>
        </w:rPr>
        <w:t>performance against a predetermined set of criteria, such as targets for factors like cost, quality, schedule, and performance.</w:t>
      </w:r>
    </w:p>
    <w:p>
      <w:pPr>
        <w:spacing w:after="0" w:line="142" w:lineRule="exact"/>
        <w:rPr>
          <w:sz w:val="20"/>
          <w:szCs w:val="20"/>
          <w:color w:val="auto"/>
        </w:rPr>
      </w:pPr>
    </w:p>
    <w:p>
      <w:pPr>
        <w:ind w:left="1960" w:right="120" w:hanging="655"/>
        <w:spacing w:after="0" w:line="257" w:lineRule="auto"/>
        <w:tabs>
          <w:tab w:leader="none" w:pos="19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216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4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spacing w:after="0"/>
              <w:rPr>
                <w:sz w:val="16"/>
                <w:szCs w:val="16"/>
                <w:color w:val="auto"/>
              </w:rPr>
            </w:pPr>
          </w:p>
        </w:tc>
        <w:tc>
          <w:tcPr>
            <w:tcW w:w="21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434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89"/>
              </w:rPr>
              <w:t>2017</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center"/>
              <w:ind w:left="494"/>
              <w:spacing w:after="0"/>
              <w:rPr>
                <w:sz w:val="20"/>
                <w:szCs w:val="20"/>
                <w:color w:val="auto"/>
              </w:rPr>
            </w:pPr>
            <w:r>
              <w:rPr>
                <w:rFonts w:ascii="Arial" w:cs="Arial" w:eastAsia="Arial" w:hAnsi="Arial"/>
                <w:sz w:val="14"/>
                <w:szCs w:val="14"/>
                <w:b w:val="1"/>
                <w:bCs w:val="1"/>
                <w:color w:val="auto"/>
                <w:w w:val="89"/>
              </w:rPr>
              <w:t>2017</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020" w:type="dxa"/>
            <w:vAlign w:val="bottom"/>
            <w:tcBorders>
              <w:bottom w:val="single" w:sz="8" w:color="CCEEFF"/>
            </w:tcBorders>
            <w:shd w:val="clear" w:color="auto" w:fill="CCEEFF"/>
          </w:tcPr>
          <w:p>
            <w:pPr>
              <w:jc w:val="center"/>
              <w:ind w:left="377"/>
              <w:spacing w:after="0"/>
              <w:rPr>
                <w:sz w:val="20"/>
                <w:szCs w:val="20"/>
                <w:color w:val="auto"/>
              </w:rPr>
            </w:pPr>
            <w:r>
              <w:rPr>
                <w:rFonts w:ascii="Arial" w:cs="Arial" w:eastAsia="Arial" w:hAnsi="Arial"/>
                <w:sz w:val="18"/>
                <w:szCs w:val="18"/>
                <w:color w:val="auto"/>
                <w:w w:val="88"/>
              </w:rPr>
              <w:t>51%</w:t>
            </w:r>
          </w:p>
        </w:tc>
        <w:tc>
          <w:tcPr>
            <w:tcW w:w="2080" w:type="dxa"/>
            <w:vAlign w:val="bottom"/>
            <w:tcBorders>
              <w:bottom w:val="single" w:sz="8" w:color="CCEEFF"/>
            </w:tcBorders>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88"/>
              </w:rPr>
              <w:t>51%</w:t>
            </w:r>
          </w:p>
        </w:tc>
        <w:tc>
          <w:tcPr>
            <w:tcW w:w="2160" w:type="dxa"/>
            <w:vAlign w:val="bottom"/>
            <w:tcBorders>
              <w:bottom w:val="single" w:sz="8" w:color="CCEEFF"/>
            </w:tcBorders>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49%</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20" w:type="dxa"/>
            <w:vAlign w:val="bottom"/>
          </w:tcPr>
          <w:p>
            <w:pPr>
              <w:jc w:val="center"/>
              <w:ind w:left="377"/>
              <w:spacing w:after="0"/>
              <w:rPr>
                <w:sz w:val="20"/>
                <w:szCs w:val="20"/>
                <w:color w:val="auto"/>
              </w:rPr>
            </w:pPr>
            <w:r>
              <w:rPr>
                <w:rFonts w:ascii="Arial" w:cs="Arial" w:eastAsia="Arial" w:hAnsi="Arial"/>
                <w:sz w:val="18"/>
                <w:szCs w:val="18"/>
                <w:color w:val="auto"/>
                <w:w w:val="88"/>
              </w:rPr>
              <w:t>25%</w:t>
            </w:r>
          </w:p>
        </w:tc>
        <w:tc>
          <w:tcPr>
            <w:tcW w:w="2080" w:type="dxa"/>
            <w:vAlign w:val="bottom"/>
            <w:gridSpan w:val="3"/>
          </w:tcPr>
          <w:p>
            <w:pPr>
              <w:jc w:val="center"/>
              <w:ind w:left="494"/>
              <w:spacing w:after="0"/>
              <w:rPr>
                <w:sz w:val="20"/>
                <w:szCs w:val="20"/>
                <w:color w:val="auto"/>
              </w:rPr>
            </w:pPr>
            <w:r>
              <w:rPr>
                <w:rFonts w:ascii="Arial" w:cs="Arial" w:eastAsia="Arial" w:hAnsi="Arial"/>
                <w:sz w:val="18"/>
                <w:szCs w:val="18"/>
                <w:color w:val="auto"/>
                <w:w w:val="94"/>
              </w:rPr>
              <w:t>26%</w:t>
            </w:r>
          </w:p>
        </w:tc>
        <w:tc>
          <w:tcPr>
            <w:tcW w:w="100" w:type="dxa"/>
            <w:vAlign w:val="bottom"/>
          </w:tcPr>
          <w:p>
            <w:pPr>
              <w:spacing w:after="0"/>
              <w:rPr>
                <w:sz w:val="21"/>
                <w:szCs w:val="21"/>
                <w:color w:val="auto"/>
              </w:rPr>
            </w:pPr>
          </w:p>
        </w:tc>
        <w:tc>
          <w:tcPr>
            <w:tcW w:w="900" w:type="dxa"/>
            <w:vAlign w:val="bottom"/>
          </w:tcPr>
          <w:p>
            <w:pPr>
              <w:jc w:val="center"/>
              <w:ind w:left="494"/>
              <w:spacing w:after="0"/>
              <w:rPr>
                <w:sz w:val="20"/>
                <w:szCs w:val="20"/>
                <w:color w:val="auto"/>
              </w:rPr>
            </w:pPr>
            <w:r>
              <w:rPr>
                <w:rFonts w:ascii="Arial" w:cs="Arial" w:eastAsia="Arial" w:hAnsi="Arial"/>
                <w:sz w:val="18"/>
                <w:szCs w:val="18"/>
                <w:color w:val="auto"/>
                <w:w w:val="88"/>
              </w:rPr>
              <w:t>25%</w:t>
            </w:r>
          </w:p>
        </w:tc>
        <w:tc>
          <w:tcPr>
            <w:tcW w:w="2160" w:type="dxa"/>
            <w:vAlign w:val="bottom"/>
            <w:gridSpan w:val="3"/>
          </w:tcPr>
          <w:p>
            <w:pPr>
              <w:jc w:val="center"/>
              <w:ind w:left="597"/>
              <w:spacing w:after="0"/>
              <w:rPr>
                <w:sz w:val="20"/>
                <w:szCs w:val="20"/>
                <w:color w:val="auto"/>
              </w:rPr>
            </w:pPr>
            <w:r>
              <w:rPr>
                <w:rFonts w:ascii="Arial" w:cs="Arial" w:eastAsia="Arial" w:hAnsi="Arial"/>
                <w:sz w:val="18"/>
                <w:szCs w:val="18"/>
                <w:color w:val="auto"/>
                <w:w w:val="88"/>
              </w:rPr>
              <w:t>26%</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0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24%</w:t>
            </w:r>
          </w:p>
        </w:tc>
        <w:tc>
          <w:tcPr>
            <w:tcW w:w="208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25%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88"/>
              </w:rPr>
              <w:t>24%</w:t>
            </w:r>
          </w:p>
        </w:tc>
        <w:tc>
          <w:tcPr>
            <w:tcW w:w="2160" w:type="dxa"/>
            <w:vAlign w:val="bottom"/>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25%</w:t>
            </w:r>
          </w:p>
        </w:tc>
      </w:tr>
      <w:tr>
        <w:trPr>
          <w:trHeight w:val="27"/>
        </w:trPr>
        <w:tc>
          <w:tcPr>
            <w:tcW w:w="4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81" w:right="2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2017 and 2016, we employed approximately 24,700 and 23,000 people, respectively, of which approximately 22,300 and 20,800,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457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2,787</w:t>
            </w: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7,511</w:t>
            </w:r>
          </w:p>
        </w:tc>
      </w:tr>
      <w:tr>
        <w:trPr>
          <w:trHeight w:val="27"/>
        </w:trPr>
        <w:tc>
          <w:tcPr>
            <w:tcW w:w="5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23.2% from December 31, 2016 to December 31, 2017. Additions to funded backlog during the twelve months ended December 31, 2017 totaled $6.2 billion in comparison to $5.7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54" w:right="239" w:bottom="1440" w:gutter="0" w:footer="0" w:header="0"/>
        </w:sectPr>
      </w:pPr>
    </w:p>
    <w:bookmarkStart w:id="31" w:name="page32"/>
    <w:bookmarkEnd w:id="31"/>
    <w:p>
      <w:pPr>
        <w:ind w:right="60"/>
        <w:spacing w:after="0" w:line="273" w:lineRule="auto"/>
        <w:rPr>
          <w:sz w:val="20"/>
          <w:szCs w:val="20"/>
          <w:color w:val="auto"/>
        </w:rPr>
      </w:pPr>
      <w:r>
        <w:rPr>
          <w:rFonts w:ascii="Arial" w:cs="Arial" w:eastAsia="Arial" w:hAnsi="Arial"/>
          <w:sz w:val="17"/>
          <w:szCs w:val="17"/>
          <w:color w:val="auto"/>
        </w:rPr>
        <w:t>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addition,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7.7% of funded backlog as of the end of any of the four fiscal quarters preceding the fiscal quarter ended December 31, 2017.</w:t>
      </w:r>
    </w:p>
    <w:p>
      <w:pPr>
        <w:spacing w:after="0" w:line="50"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expect to recognize revenue from a substantial portion of funded backlog as of December 31, 2017 within the next twelve months. However, given the uncertainties discussed above, as well as the risks described in "Item 1A.Risk Factors" of our Annual Report on Form 10-K for the fiscal year ended March 31, 2017, we can give no assurance that we will be able to convert our backlog into revenue in any particular period, if at all.</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6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20" w:hanging="644"/>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include indirect labor of executive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functions, marketing and bid and proposal costs, legal expenses, and other discretionary spending.</w:t>
      </w:r>
    </w:p>
    <w:p>
      <w:pPr>
        <w:spacing w:after="0" w:line="38" w:lineRule="exact"/>
        <w:rPr>
          <w:rFonts w:ascii="Arial" w:cs="Arial" w:eastAsia="Arial" w:hAnsi="Arial"/>
          <w:sz w:val="17"/>
          <w:szCs w:val="17"/>
          <w:color w:val="auto"/>
        </w:rPr>
      </w:pPr>
    </w:p>
    <w:p>
      <w:pPr>
        <w:ind w:left="1300" w:right="18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54" w:right="25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4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10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1,499,914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1,404,638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4,535,569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4,222,213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712,255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652,236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2,111,702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1,967,258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443,015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428,685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1,378,235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1,270,941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201,183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613,399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585,340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14,410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43,588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1,381,827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1,296,514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4,151,532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3,867,127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118,087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108,124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384,037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355,086</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92,615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325,582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303,726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28,240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37,025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105,356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117,489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69,773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55,590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220,226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186,237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Three Months Ended December 31, 2017 Compared to Three Months Ended December 31, 2016</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Revenue increased to $1,499.9 million from $1,404.6 million or a 6.8% increase, primarily due to increased client demand which led to increased client staff headcount, and an increase in client staff labor. Total headcount as of December 31, 2017 increased approximately 1,700 compared to December 31, 2016.</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 of revenue increased to $712.3 million from $652.2 million, or a 9.2% increase. The increase was primarily due to increases in salaries and salary-related benefits of $51.4 million driven by increased headcount. Cost of revenue as a percentage of revenue was 47.5% and 46.4% for the three months ended December 31, 2017 and 2016,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Billable expenses increased to $443.0 million from $428.7 million, or a 3.3% increase, primarily attributable to an increase in the use of subcontractors in the current year driven by client demand, as well as an increase in contracts which require the Company to incur direct expenses on behalf of clients over the prior year period. Billable expenses as a percentage of revenue were 29.5% and 30.5% for the three months ended December 31, 2017 and 2016,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General and administrative expenses increased to $209.9 million from $201.2 million, or an 4.3% increase, primarily due to increases in salaries and salary-related benefits of $14.9 million, driven by an increase in headcount growth as well as annual base salary increases, partially offset by lower incentive compensation of $3.1 million and decrease in business expenses of $1.7 million. General and administrative expenses as a percentage of revenue was 14.0% for both the three months ended December 31, 2017 and 2016.</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854" w:right="29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Depreciation and amortization increased to $16.7 million from $14.4 million, or a 15.9% increase, primarily due to increases in intangible asset amortization related to the Company's acquisition of Aquilent in fiscal 2017, partially offset by a decrease in amortization of other amortizable intangible assets that fully amortized in fiscal 2017.</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Interest expense increased to $20.6 million from $14.2 million, or a 45.3% increase, primarily as a result of interest expense related to the issuance of the Senior Notes (as defined below) in April 2017.</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Income tax expense decreased to $28.2 million from $37.0 million, or a 23.7% decrease. The effective tax rate decreased from 40.0% to 28.8% due to the blended federal tax rate benefit of the 2017 Tax Act. See Note 10 in our condensed consolidated financial statements in this Form 10-Q for additional information. The effective tax rate also decreased with the recognition of excess tax benefits of $1.0 million being reflected in earnings as a reduction to income tax expense in the third quarter of fiscal 2018. This was driven by the Company's initial adoption of new accounting guidance in the first quarter of fiscal 2018 whereby excess tax benefits on employee share-based payment awards are now recognized in earnings as a reduction to income tax expense instead of as an adjustment to additional paid-in-capital, as was the case historically. See Notes 2 and 10 in our condensed consolidated financial statements in this Form 10-Q for additional information on how this accounting change could impact earnings in future periods.</w:t>
      </w:r>
    </w:p>
    <w:p>
      <w:pPr>
        <w:spacing w:after="0" w:line="70" w:lineRule="exact"/>
        <w:rPr>
          <w:sz w:val="20"/>
          <w:szCs w:val="20"/>
          <w:color w:val="auto"/>
        </w:rPr>
      </w:pPr>
    </w:p>
    <w:p>
      <w:pPr>
        <w:ind w:left="260" w:right="4160"/>
        <w:spacing w:after="0" w:line="375" w:lineRule="auto"/>
        <w:rPr>
          <w:sz w:val="20"/>
          <w:szCs w:val="20"/>
          <w:color w:val="auto"/>
        </w:rPr>
      </w:pPr>
      <w:r>
        <w:rPr>
          <w:rFonts w:ascii="Arial" w:cs="Arial" w:eastAsia="Arial" w:hAnsi="Arial"/>
          <w:sz w:val="18"/>
          <w:szCs w:val="18"/>
          <w:b w:val="1"/>
          <w:bCs w:val="1"/>
          <w:i w:val="1"/>
          <w:iCs w:val="1"/>
          <w:color w:val="auto"/>
        </w:rPr>
        <w:t xml:space="preserve">Nine Months Ended December 31, 2017 Compared to Nine Months Ended December 31, 2016 </w:t>
      </w:r>
      <w:r>
        <w:rPr>
          <w:rFonts w:ascii="Arial" w:cs="Arial" w:eastAsia="Arial" w:hAnsi="Arial"/>
          <w:sz w:val="18"/>
          <w:szCs w:val="18"/>
          <w:i w:val="1"/>
          <w:iCs w:val="1"/>
          <w:color w:val="auto"/>
        </w:rPr>
        <w:t>Revenue</w:t>
      </w:r>
    </w:p>
    <w:p>
      <w:pPr>
        <w:spacing w:after="0" w:line="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Revenue increased to $4,535.6 million from $4,222.2 million, or a 7.4% increase, primarily due to increased client demand which led to increased client staff headcount, and an increase in client staff labor. Total headcount as of December 31, 2017 increased approximately 1,700 compared to December 31, 2016. Growth in revenue was also due to an increase in billable expenses over the prior year period.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Cost of revenue increased to $2,111.7 million from $1,967.3 million, or a 7.3% increase. The increase was primarily due to increases in salaries and salary-related benefits of $129.8 million driven by increased headcount. Cost of revenue as a percentage of revenue was 46.6% for both the nine months ended December 31, 2017 and 2016.</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Billable expenses increased to $1,378.2 million from $1,270.9 million, or an 8.4% increase, primarily attributable to an increase in the use of subcontractors in the current year driven by client demand. In addition, contracts which require the Company to incur travel expenses on behalf of clients increased over the prior year period. Billable expenses as a percentage of revenue were 30.4% and 30.1% for the nine months ended December 31, 2017 and 2016,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General and administrative expenses increased to $613.4 million from $585.3 million, or a 4.8% increase, primarily due to increases in salaries and salary-related benefits of $32.1 million, driven by headcount growth as well as annual base salary increases, and increases in business expenses of $3.3 million, partially offset by lower incentive compensation of $8.9 million. General and administrative expenses as a percentage of revenue were 13.5% and 13.9% for the nine months ended December 31, 2017 and 2016,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Depreciation and amortization increased to $48.2 million from $43.6 million, or a 10.6% increase, primarily due to increases in intangible asset amortization related to the Company's acquisition of Aquilent in fiscal 2017, partially offset by a decrease in amortization of other amortizable intangible assets that fully amortized in fiscal 2017.</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Interest expense increased to $60.3 million from $46.8 million, or a 29.0% increase, primarily as a result of interest expense related to the issuance of the Senior Notes in April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54" w:right="25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Income tax expense decreased to $105.4 million from $117.5 million, or a 10.3% decrease. The effective tax rate decreased from 38.7% to 32.4% due to the blended federal tax rate benefit of the 2017 Tax Act. See Note 10 in our condensed consolidated financial statements in this Form 10-Q for additional information. The effective tax rate also decreased with the recognition of excess tax benefits of $10.3 million being reflected in earnings as a reduction to income tax expense for the nine months ended December 31, 2017. This was driven by the Company's initial adoption of new accounting guidance in the first quarter of fiscal 2018 whereby excess tax benefits on employee share-based payment awards are now recognized in earnings as a reduction to income tax expense instead of as an adjustment to additional paid-in-capital, as was the case historically. See Notes 2 and 10 in our condensed consolidated financial statements in this Form 10-Q for additional information on how this accounting change could impact earnings in future periods.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selected financial information as of December 31, 2017 and March 31, 2017 and for the first nine months of fiscal 2018 and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4"/>
                <w:szCs w:val="14"/>
                <w:color w:val="auto"/>
              </w:rPr>
            </w:pPr>
          </w:p>
        </w:tc>
        <w:tc>
          <w:tcPr>
            <w:tcW w:w="1400" w:type="dxa"/>
            <w:vAlign w:val="bottom"/>
          </w:tcPr>
          <w:p>
            <w:pPr>
              <w:jc w:val="center"/>
              <w:ind w:right="47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289,495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217,417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1,832,315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1,663,324</w:t>
            </w:r>
          </w:p>
        </w:tc>
      </w:tr>
      <w:tr>
        <w:trPr>
          <w:trHeight w:val="477"/>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4"/>
          </w:tcPr>
          <w:p>
            <w:pPr>
              <w:jc w:val="center"/>
              <w:ind w:right="177"/>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1061"/>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2016</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246,920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283,042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(81,370)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(30,755)</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(90,192)</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72,078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162,095</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recurring dividends, and special dividends.</w:t>
      </w:r>
    </w:p>
    <w:p>
      <w:pPr>
        <w:spacing w:after="0" w:line="18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(the "Revolving Credit Facility") will be sufficient to meet our anticipated cash requirements for the next twelve months, which primarily include:</w:t>
      </w:r>
    </w:p>
    <w:p>
      <w:pPr>
        <w:spacing w:after="0" w:line="197"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ectPr>
          <w:pgSz w:w="11900" w:h="16838" w:orient="portrait"/>
          <w:cols w:equalWidth="0" w:num="1">
            <w:col w:w="11420"/>
          </w:cols>
          <w:pgMar w:left="240" w:top="85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854" w:right="239" w:bottom="1440" w:gutter="0" w:footer="0" w:header="0"/>
          <w:type w:val="continuous"/>
        </w:sectPr>
      </w:pPr>
    </w:p>
    <w:bookmarkStart w:id="35" w:name="page36"/>
    <w:bookmarkEnd w:id="35"/>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68 as of December 31, 2017 and 60 as of March 31, 2017. DSO increased as a result of sustained revenue growth, the timing of billings associated with higher indirect spending compared to the prior year period and administrative delays in client collections.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cash from clients in a timely manner, and our ability to manage vendor payments. Continued uncertainty in global economic conditions may also affect our business as customers and suppliers may decide to downsize, defer, or cancel contracts, which could negatively affect the operating cash flows. Net cash provided by operations was $246.9 million in the nine months ended December 31, 2017 compared to $283.0 million in the prior year period, or a 12.8% decrease. The decline from the prior year-to-date period was primarily the result of higher cash taxes paid during fiscal 2018 due to a benefit received in the prior year and the continued residual impact on cash collections due to changes in the processing of payments at one of the Company’s customer payment centers.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Net cash used in investing activities was $81.4 million in the nine months ended December 31, 2017 compared to $30.8 million in the prior year period, or a 164.6% increase. The increase in net cash used in investing activities was due to an acquisition and an increase in capital expenditures over the prior year primarily related to the timing of the leasehold improvements to update existing office space.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Net cash used in financing activities was $93.5 million in the nine months ended December 31, 2017 compared to $90.2 million in the prior year period. The increase in net cash used in financing activities was primarily due to net proceeds of $343.3 million received from the issuance of the Senior Notes, partially offset by a decrease in net borrowings on the Revolving Credit Facility of $95.0 million as compared to the prior year period. In addition, during fiscal 2018, the Company repurchased a total of 5.3 million shares of Class A Common Stock in a series of open market transactions for $184.5 million, as compared to a total of 0.08 million shares repurchased for $2.3 million in the prior year period. Further, the Company paid $9.9 million during the first quarter of fiscal 2018 for shares repurchased during the fourth quarter of fiscal 2017 that had not settled by March 31, 2017.</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February 5, 2018, the Company announced a regular quarterly cash dividend in the amount of $0.19 per share. The quarterly dividend is payable on February 28, 2018 to stockholders of record on February 14, 2018.</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854" w:right="27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dividends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24,882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75,748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2,157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24,882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22,522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76,638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69,468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represent quarterly dividends of $0.17 per share and $0.15 per share that were declared and paid during fiscal 2018 and fiscal 2017,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December 12, 2011, the Board of Directors authorized the repurchase of up to $30.0 million of shares. On January 27, 2015, the share repurchase authorization was increased to $180.0 million. On January 25, 2017, the Board of Directors approved an increase to share repurchase authorization from $180.0 million to $410.0 million. On November 2, 2017, the Board of Directors approved an increase to our share repurchase authorization from $410.0 million to up to $610.0 million. During fiscal 2018, the Company purchased 5.3 million shares of the Company's Class A Common Stock for an aggregate of $184.5 million. Following the aforementioned repurchases, as of December 31, 2017, the Company had $270.9 million remaining under the repurchase program.</w:t>
      </w:r>
    </w:p>
    <w:p>
      <w:pPr>
        <w:spacing w:after="0" w:line="166"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February 6, 2017, Booz Allen Hamilton, Booz Allen Hamilton Investor Corporation ("Investor") and certain wholly-owned subsidiaries of Booz Allen Hamilton entered into the Fourth Amendment, to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the Second Amendment to the Credit Agreement, dated as of May 7, 2014, and the Third Amendment to the Credit Agreement, dated as of July 13, 2016). Pursuant to the Fourth Amendment, the Company reduced the interest rate spread applicable to Term Loan B (as defined below). The interest rate spread applicable to Term Loan A (as defined below) remained unchanged.</w:t>
      </w:r>
    </w:p>
    <w:p>
      <w:pPr>
        <w:spacing w:after="0" w:line="5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As of December 31, 2017, the Credit Agreement, as amended, provided the Company with a $1,109.1 million Term Loan A ("Term Loan A"), a $395.0 million Term Loan B ("Term Loan B" and, together with Term Loan A, the "Term Loans"), and a $500.0 million Revolving Credit Facility (and together with the Term Loans, the "Secured Credit Facility"), with a sub-limit for letters of credit of $100.0 million. As of December 31, 2017, the maturity date of Term Loan A and the termination date for the Revolving Credit Facility was June 30, 2021 and the maturity date of Term Loan B was June 30, 2023.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 (ii) the aggregate principal amount under which pro forma consolidated net secured leverage remains less than or equal to 3.50:1.00.</w:t>
      </w:r>
    </w:p>
    <w:p>
      <w:pPr>
        <w:spacing w:after="0" w:line="15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Booz Allen Hamilton occasionally borrows under our Revolving Credit Facility in anticipation of cash demands. During the first, second and third quarters of fiscal 2018, Booz Allen Hamilton accessed a total of $85.0 million of its $500.0 million Revolving Credit Facility. As of December 31, 2017, there were no amounts outstanding under the Revolving Credit Facility. As of March 31, 2017, there was $130.0 million outstanding on the Revolving Credit Facility.</w:t>
      </w:r>
    </w:p>
    <w:p>
      <w:pPr>
        <w:spacing w:after="0" w:line="7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4" w:right="239" w:bottom="1440" w:gutter="0" w:footer="0" w:header="0"/>
        </w:sectPr>
      </w:pPr>
    </w:p>
    <w:bookmarkStart w:id="37" w:name="page38"/>
    <w:bookmarkEnd w:id="37"/>
    <w:p>
      <w:pPr>
        <w:ind w:right="20" w:firstLine="405"/>
        <w:spacing w:after="0" w:line="254" w:lineRule="auto"/>
        <w:rPr>
          <w:sz w:val="20"/>
          <w:szCs w:val="20"/>
          <w:color w:val="auto"/>
        </w:rPr>
      </w:pPr>
      <w:r>
        <w:rPr>
          <w:rFonts w:ascii="Arial" w:cs="Arial" w:eastAsia="Arial" w:hAnsi="Arial"/>
          <w:sz w:val="18"/>
          <w:szCs w:val="18"/>
          <w:color w:val="auto"/>
        </w:rPr>
        <w:t>At our option, borrowings under the Secured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B is 2.25% for LIBOR loans and 1.25% for base rate loans.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also have agreed to pay customary letter of credit and agency fees. As of December 31, 2017 and March 31, 2017, we were contingently liable under open standby letters of credit and bank guarantees issued by our banks in favor of third parties that totaled $7.3 million and $8.6 million, respectively. These letters of credit and bank guarantees primarily support insurance and bid and performance obligations. At December 31, 2017 and March 31, 2017, approximately $1.4 million and $1.7 million, respectively, of these instruments reduce the available borrowings under the Revolving Credit Facility. The remainder is guaranteed under a separate $15.0 million facility established in fiscal 2015 of which $9.1 million and $3.1 million, respectively, was available to us at December 31, 2017 and March 31, 2017. As of December 31, 2017, we had $498.6 million of capacity available for additional borrowings under the Revolving Credit Facility.</w:t>
      </w:r>
    </w:p>
    <w:p>
      <w:pPr>
        <w:spacing w:after="0" w:line="81"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ind w:right="220" w:firstLine="8"/>
        <w:spacing w:after="0" w:line="281"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investments; (vi) transactions with affiliates; (vii) sale and lease back transactions; (viii) change in fiscal periods; (ix) negative pledges; (x) restrictive agreements; (xi) line of business; and (xii) speculative hedging. In addition, we are required to meet certain financial covenants at each quarter end, namely Consolidated Net Total Leverage and Consolidated Net Interest Coverage Ratios. As of December 31, 2017, we were compliant with these covenants. The events of default include the following, in each case subject to certain exceptions: (a) failure to make required payments under the Secured Credit Facility;</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material breaches of representations or warranties under the Secured Credit Facility; (c) failure to observe covenants or agreements under the Secured</w:t>
      </w:r>
    </w:p>
    <w:p>
      <w:pPr>
        <w:spacing w:after="0" w:line="32" w:lineRule="exact"/>
        <w:rPr>
          <w:rFonts w:ascii="Arial" w:cs="Arial" w:eastAsia="Arial" w:hAnsi="Arial"/>
          <w:sz w:val="16"/>
          <w:szCs w:val="16"/>
          <w:color w:val="auto"/>
        </w:rPr>
      </w:pPr>
    </w:p>
    <w:p>
      <w:pPr>
        <w:ind w:right="60"/>
        <w:spacing w:after="0" w:line="252" w:lineRule="auto"/>
        <w:rPr>
          <w:rFonts w:ascii="Arial" w:cs="Arial" w:eastAsia="Arial" w:hAnsi="Arial"/>
          <w:sz w:val="16"/>
          <w:szCs w:val="16"/>
          <w:color w:val="auto"/>
        </w:rPr>
      </w:pPr>
      <w:r>
        <w:rPr>
          <w:rFonts w:ascii="Arial" w:cs="Arial" w:eastAsia="Arial" w:hAnsi="Arial"/>
          <w:sz w:val="18"/>
          <w:szCs w:val="18"/>
          <w:color w:val="auto"/>
        </w:rPr>
        <w:t>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From time to time we evaluate, and we currently are evaluating, conditions in the financing markets for opportunities to improve the terms of indebtedness, including indebtedness under the Credit Agreement. Such improvements could include a reduction of the effective interest on our outstanding indebtedness, improvements to the covenants and other provisions governing our outstanding indebtedness or both.</w:t>
      </w:r>
    </w:p>
    <w:p>
      <w:pPr>
        <w:spacing w:after="0" w:line="86"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April 25, 2017, Booz Allen Hamilton issued $350 million aggregate principal amount of its 5.125% Senior Notes (the "Senior Notes") due 2025 under an Indenture, dated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We intend to use the remaining proceeds for working capital and other general corporate purposes, which may include the repayment of a portion or all of the outstanding DPO (See Note 8 in our condensed consolidated financial statements for additional information on our indebtedness).</w:t>
      </w:r>
    </w:p>
    <w:p>
      <w:pPr>
        <w:spacing w:after="0" w:line="18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Borrowings under our term loans and, if used, our Revolving Credit Facility, incur interest at a variable rate. In accordance with our risk management strategy between April 6, 2017 and May 24, 2017, Booz Allen Hamilton executed a series of interest rate swaps. As of December 31, 2017, we had interest rate swaps with an aggregate notional amount of $450 million. These instruments hedge the variability of cash outflows for interest payments on the floating portion of our term loan debt. The Company's objectives in using cash flow hedges are to reduce volatility due to interest rate movements and to add stability to interest expense (See Note 9 in our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5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stockholders’ equity amounted to $564.3 million as of December 31, 2017, a decrease of $9.3 million compared to stockholders’ equity of $573.6 million as of March 31, 2017. The decrease was primarily due to a $184.5 million increase in treasury stock resulting from the repurchase of shares of our Class A Common Stock and $75.7 million in recurring dividend payments during the nine months ended December 31, 2017. These are partially offset by net income of $220.2 million in the nine months ended December 31, 2017, stock-based compensation expense of $16.8 million, and stock option exercises of $9.9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nine months ended December 31, 2017 and 2016 were $63.1 million and $30.6 million, respectively, and the majority of such capital expenditures related to facilities infrastructure, equipment, and information technology. The increase in capital expenditures over the prior year primarily related to the timing of the leasehold improvements to update existing office space.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This Quarterly Report on Form 10-Q, or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59" w:lineRule="exact"/>
        <w:rPr>
          <w:sz w:val="20"/>
          <w:szCs w:val="20"/>
          <w:color w:val="auto"/>
        </w:rPr>
      </w:pPr>
    </w:p>
    <w:p>
      <w:pPr>
        <w:ind w:left="660" w:right="60" w:hanging="328"/>
        <w:spacing w:after="0" w:line="27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w:t>
      </w:r>
    </w:p>
    <w:p>
      <w:pPr>
        <w:spacing w:after="0" w:line="64"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and a possible failure of Congressional efforts to approve funding of the U.S. government beyond February 8, 2018 and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w:t>
      </w:r>
    </w:p>
    <w:p>
      <w:pPr>
        <w:spacing w:after="0" w:line="78"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nature, and effect of ongoing Congressional and other U.S. government action to address budgetary constraints, including, but not limited to, uncertainty around the outcome of Congressional efforts to approve funding of the U.S. government beyond February 8, 2018 and to craft a long-term agreement on the U.S. government’s ability to incur indebtedness in excess of its current limits, and the U.S. deficit;</w:t>
      </w:r>
    </w:p>
    <w:p>
      <w:pPr>
        <w:spacing w:after="0" w:line="78"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62"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850" w:right="279" w:bottom="1440" w:gutter="0" w:footer="0" w:header="0"/>
        </w:sectPr>
      </w:pPr>
    </w:p>
    <w:bookmarkStart w:id="39" w:name="page40"/>
    <w:bookmarkEnd w:id="39"/>
    <w:p>
      <w:pPr>
        <w:ind w:left="328" w:right="52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government shutdowns due to, among other reasons, a failure by elected officials to reach a long-term agreement to fund the government beyond February 8, 2018;</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comply with numerous laws and regulations;</w:t>
      </w:r>
    </w:p>
    <w:p>
      <w:pPr>
        <w:spacing w:after="0" w:line="117"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8"/>
          <w:szCs w:val="18"/>
          <w:color w:val="auto"/>
        </w:rPr>
      </w:pPr>
    </w:p>
    <w:p>
      <w:pPr>
        <w:ind w:left="328" w:right="84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128" w:lineRule="exact"/>
        <w:rPr>
          <w:rFonts w:ascii="Arial" w:cs="Arial" w:eastAsia="Arial" w:hAnsi="Arial"/>
          <w:sz w:val="17"/>
          <w:szCs w:val="17"/>
          <w:color w:val="auto"/>
        </w:rPr>
      </w:pPr>
    </w:p>
    <w:p>
      <w:pPr>
        <w:ind w:left="328" w:hanging="328"/>
        <w:spacing w:after="0" w:line="259"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w:t>
      </w:r>
    </w:p>
    <w:p>
      <w:pPr>
        <w:spacing w:after="0" w:line="78"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revenue under certain of our contracts;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realize the full value of and replenish our backlog and the timing of our receipt of revenue under contracts included in backlog;</w:t>
      </w:r>
    </w:p>
    <w:p>
      <w:pPr>
        <w:spacing w:after="0" w:line="128" w:lineRule="exact"/>
        <w:rPr>
          <w:rFonts w:ascii="Arial" w:cs="Arial" w:eastAsia="Arial" w:hAnsi="Arial"/>
          <w:sz w:val="17"/>
          <w:szCs w:val="17"/>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experience, and security clearances;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hire, assimilate, and deploy enough employees to serve our clients under existing contracts;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timely and effectively utilize our employees or manage our cost structure;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or our employees to obtain and maintain necessary security clearances;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328" w:right="68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3"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w:t>
      </w:r>
    </w:p>
    <w:p>
      <w:pPr>
        <w:spacing w:after="0" w:line="62"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new relationships, clients, capabilities, and service offerings in our U.S. and international businesses;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27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8"/>
          </w:cols>
          <w:pgMar w:left="572" w:top="854" w:right="259" w:bottom="1440" w:gutter="0" w:footer="0" w:header="0"/>
        </w:sectPr>
      </w:pPr>
    </w:p>
    <w:bookmarkStart w:id="40" w:name="page41"/>
    <w:bookmarkEnd w:id="40"/>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jc w:val="both"/>
        <w:ind w:left="660" w:right="8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inability to anticipate or estimate the tax implications of changes in tax law, including the 2017 Tax Act, or utilize existing or future tax benefits, including those related to our stock-based compensation expense, for any reason, including as a result of a change in law, such as the 2017 Tax Act;</w:t>
      </w:r>
    </w:p>
    <w:p>
      <w:pPr>
        <w:spacing w:after="0" w:line="15"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risks and factors described in Part II, “Item 1A. Risk Factors” and elsewhere in this Quarterly Report.</w:t>
      </w:r>
    </w:p>
    <w:p>
      <w:pPr>
        <w:spacing w:after="0" w:line="11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exposure to market risk for changes in interest rates relates primarily to our outstanding debt and cash equivalents, which consist primarily of funds invested in U.S. government money-market funds, and our cash flow hedges. Our exposure to market risk for changes in prevailing interest rates may impact our interest payments under our Secured Credit Facility. Pursuant to our interest rate risk management strategies, we began using interest rate cash flow hedges in April 2017 with the goal of adding stability to our incurrence of interest rate expense and to manage exposure to related interest rate movement.</w:t>
      </w:r>
    </w:p>
    <w:p>
      <w:pPr>
        <w:spacing w:after="0" w:line="46"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As of December 31, 2017, we had interest rate swaps with an aggregate notional amount of $450 million. These derivative instruments hedge the variability of cash outflows for interest payments on our variable rate term loan debt and are recorded at fair value on our condensed consolidated balance sheet. As of December 31, 2017, a 25 basis point increase in the interest rates would increase the fair value of our interest rate swaps by approximately $6 million and a 25 basis point decrease in the interest rates would decrease the fair value of our interest rate swaps by approximately $1.4 million.</w:t>
      </w:r>
    </w:p>
    <w:p>
      <w:pPr>
        <w:spacing w:after="0" w:line="4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With the exception of the interest rate swaps discussed above, 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2017 filed with the Securities and Exchange Commission on May 22, 2017.</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855" w:right="29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2017 and March 31, 2017, there were no material amounts accrued in the condensed consolidated financial statements related to these proceedings.</w:t>
      </w:r>
    </w:p>
    <w:p>
      <w:pPr>
        <w:spacing w:after="0" w:line="153"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December 15, 2016, hearings relating to the appeal were held before the United States Court of Appeals for the Second Circuit. On July 13, 2017, the United States Court of Appeals for the Second Circuit ruled on the case and affirmed the ruling of the United States District Court for the Southern District of New York, except for one plaintiff’s securities fraud claim. The United States Court of Appeals for the Second Circuit remanded the case to the United States District Court for the Southern District of New York to give the plaintiff leave to file another amended complaint to attempt to plead a securities fraud claim. As of December 31, 2017, the aggregate alleged damages that will be sought in the remaining suit is unknown. As of December 31, 2017, although the outcome of any of these cases is inherently uncertain and may be materially adverse, based on current information, we do not expect them to have a material adverse effect on our financial condition and results of operations.</w:t>
      </w:r>
    </w:p>
    <w:p>
      <w:pPr>
        <w:spacing w:after="0" w:line="360"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580" w:firstLine="392"/>
        <w:spacing w:after="0" w:line="277" w:lineRule="auto"/>
        <w:rPr>
          <w:sz w:val="20"/>
          <w:szCs w:val="20"/>
          <w:color w:val="auto"/>
        </w:rPr>
      </w:pPr>
      <w:r>
        <w:rPr>
          <w:rFonts w:ascii="Arial" w:cs="Arial" w:eastAsia="Arial" w:hAnsi="Arial"/>
          <w:sz w:val="18"/>
          <w:szCs w:val="18"/>
          <w:color w:val="auto"/>
        </w:rPr>
        <w:t>On June 19, 2017, a purported stockholder of the Company filed a putative class action lawsuit in the United States District Court for the Eastern District of Virginia styled Langley v. Booz Allen Hamilton Holding Corp., No. 17-cv-00696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42" w:name="page43"/>
    <w:bookmarkEnd w:id="42"/>
    <w:p>
      <w:pPr>
        <w:ind w:right="120"/>
        <w:spacing w:after="0" w:line="254" w:lineRule="auto"/>
        <w:rPr>
          <w:sz w:val="20"/>
          <w:szCs w:val="20"/>
          <w:color w:val="auto"/>
        </w:rPr>
      </w:pPr>
      <w:r>
        <w:rPr>
          <w:rFonts w:ascii="Arial" w:cs="Arial" w:eastAsia="Arial" w:hAnsi="Arial"/>
          <w:sz w:val="18"/>
          <w:szCs w:val="18"/>
          <w:color w:val="auto"/>
        </w:rPr>
        <w:t>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Securities Exchange Act of 1934, as amended,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the court took the matters under advisement. At this stage of the lawsuit, the Company is not able to reasonably estimate the expected amount or range of cost or any loss associated with the lawsuit.</w:t>
      </w:r>
    </w:p>
    <w:p>
      <w:pPr>
        <w:spacing w:after="0" w:line="84" w:lineRule="exact"/>
        <w:rPr>
          <w:sz w:val="20"/>
          <w:szCs w:val="20"/>
          <w:color w:val="auto"/>
        </w:rPr>
      </w:pPr>
    </w:p>
    <w:p>
      <w:pPr>
        <w:ind w:right="80" w:firstLine="392"/>
        <w:spacing w:after="0" w:line="272" w:lineRule="auto"/>
        <w:rPr>
          <w:sz w:val="20"/>
          <w:szCs w:val="20"/>
          <w:color w:val="auto"/>
        </w:rPr>
      </w:pPr>
      <w:r>
        <w:rPr>
          <w:rFonts w:ascii="Arial" w:cs="Arial" w:eastAsia="Arial" w:hAnsi="Arial"/>
          <w:sz w:val="17"/>
          <w:szCs w:val="17"/>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Securities Exchange Act of 1934, as amended, purportedly relating to matters that are the subject of the DOJ investigation described above. The parties have stipulated to a stay of the proceedings pending the outcome of the securities litigation (described above), which the court so ordered on January 24, 2018. At this stage of the lawsuit, the Company is not able to reasonably estimate the expected amount or range of cost or any loss associated with the lawsuit.</w:t>
      </w:r>
    </w:p>
    <w:p>
      <w:pPr>
        <w:spacing w:after="0" w:line="3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2017 filed with the Securities and Exchange Commission on May 22, 2017.</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share repurchase activity during the three months ended December 31, 2017:</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6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Arial" w:cs="Arial" w:eastAsia="Arial" w:hAnsi="Arial"/>
                <w:sz w:val="16"/>
                <w:szCs w:val="16"/>
                <w:b w:val="1"/>
                <w:bCs w:val="1"/>
                <w:color w:val="auto"/>
              </w:rPr>
              <w:t>(1)</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101,397,537</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November 2017</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833,286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$36.60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30,494,952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680"/>
              <w:spacing w:after="0"/>
              <w:rPr>
                <w:sz w:val="20"/>
                <w:szCs w:val="20"/>
                <w:color w:val="auto"/>
              </w:rPr>
            </w:pPr>
            <w:r>
              <w:rPr>
                <w:rFonts w:ascii="Arial" w:cs="Arial" w:eastAsia="Arial" w:hAnsi="Arial"/>
                <w:sz w:val="18"/>
                <w:szCs w:val="18"/>
                <w:color w:val="auto"/>
                <w:w w:val="97"/>
              </w:rPr>
              <w:t>270,902,584</w:t>
            </w: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270,902,584</w:t>
            </w:r>
          </w:p>
        </w:tc>
      </w:tr>
      <w:tr>
        <w:trPr>
          <w:trHeight w:val="257"/>
        </w:trPr>
        <w:tc>
          <w:tcPr>
            <w:tcW w:w="3760" w:type="dxa"/>
            <w:vAlign w:val="bottom"/>
            <w:gridSpan w:val="2"/>
          </w:tcPr>
          <w:p>
            <w:pPr>
              <w:ind w:left="326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833,286</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30,494,952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00" w:hanging="652"/>
        <w:spacing w:after="0" w:line="270"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December 12, 2011, the Board of Directors approved a $30.0 million share repurchase program. On January 27, 2015, the Board of Directors approved an increase to our share repurchase authorization from $30.0 million to up to $180.0 million. On January 25, 2017, the Board of Directors approved an increase to our share repurchase authorization from $180.0 million to up to $410.0 million. On November 2, 2017, the Board of Directors approved an increase to our share repurchase authorization from $410.0 million to up to $610.0 million. As of December 31, 2017, taking into effect the increase in the share repurchase authorization, the Company may repurchase up to approximately $270.9 million of additional shares of common stock under its share repurchase program.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See Note 14 to our unaudited condensed consolidated financial statements in this Form 10-Q for further information about the share repurchase program.</w:t>
      </w:r>
    </w:p>
    <w:p>
      <w:pPr>
        <w:spacing w:after="0" w:line="200" w:lineRule="exact"/>
        <w:rPr>
          <w:sz w:val="20"/>
          <w:szCs w:val="20"/>
          <w:color w:val="auto"/>
        </w:rPr>
      </w:pP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54" w:right="25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On January 31, 2018, the Company’s Board of Directors (the “Board”) amended and restated the Company’s bylaws to change the voting standard for the election of directors in uncontested elections from a plurality to a majority voting standard. Pursuant to Section 2.02 of the Company’s Third Amended and Restated Bylaws (the “Bylaws”), under the new majority voting standard, a nominee for director shall be elected to the Board only upon the vote of the majority of the votes cast with respect to that nominee’s election. Any nominee who is an incumbent director and does not receive a majority of the votes cast in an election that is not a contested election must promptly tender his or her resignation contingent on the acceptance of that resignation by the Board to the chairman of the Board following certification of the election results. Plurality voting would continue to apply in any contested election. The foregoing description of the amendment does not purport to be complete and is qualified in its entirety by reference to the full text of the Bylaws, a copy of which is filed as Exhibit 3.2 to this Quarterly Report on Form 10-Q and is incorporated herein by reference.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855" w:right="2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7"/>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080" w:type="dxa"/>
            <w:vAlign w:val="bottom"/>
            <w:gridSpan w:val="7"/>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320" w:type="dxa"/>
            <w:vAlign w:val="bottom"/>
          </w:tcPr>
          <w:p>
            <w:pPr>
              <w:spacing w:after="0"/>
              <w:rPr>
                <w:sz w:val="11"/>
                <w:szCs w:val="11"/>
                <w:color w:val="auto"/>
              </w:rPr>
            </w:pPr>
          </w:p>
        </w:tc>
        <w:tc>
          <w:tcPr>
            <w:tcW w:w="100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Third Amended and Restated Bylaws of Booz Allen Hamilton Holding Corporation*</w:t>
              </w:r>
            </w:hyperlink>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51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w:anchor="page75">
              <w:r>
                <w:rPr>
                  <w:rFonts w:ascii="Arial" w:cs="Arial" w:eastAsia="Arial" w:hAnsi="Arial"/>
                  <w:sz w:val="18"/>
                  <w:szCs w:val="18"/>
                  <w:color w:val="0000FF"/>
                  <w:w w:val="93"/>
                </w:rPr>
                <w:t>Rule 13a-14(a)/15d-14(a) Certification of the Chief Executive Officer*</w:t>
              </w:r>
            </w:hyperlink>
          </w:p>
        </w:tc>
        <w:tc>
          <w:tcPr>
            <w:tcW w:w="1000" w:type="dxa"/>
            <w:vAlign w:val="bottom"/>
            <w:tcBorders>
              <w:top w:val="single" w:sz="8" w:color="0000FF"/>
            </w:tcBorders>
          </w:tcPr>
          <w:p>
            <w:pPr>
              <w:spacing w:after="0"/>
              <w:rPr>
                <w:sz w:val="24"/>
                <w:szCs w:val="24"/>
                <w:color w:val="auto"/>
              </w:rPr>
            </w:pPr>
          </w:p>
        </w:tc>
        <w:tc>
          <w:tcPr>
            <w:tcW w:w="3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08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77">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United States Code (18 U.S.C. 1350)*</w:t>
              </w:r>
            </w:hyperlink>
          </w:p>
        </w:tc>
        <w:tc>
          <w:tcPr>
            <w:tcW w:w="7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hanging="925"/>
        <w:spacing w:after="0" w:line="255"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nine months ended December 31, 2017 formatted in XBRL (eXtensible Business Reporting Language): (i) Condensed Consolidated Balance Sheets at December 31, 2017 and March 31, 2017; (ii) Condensed Consolidated Statements of Operations for the three and nine months ended December 31, 2017 and 2016; (iii) Condensed Consolidated Statements of Comprehensive Income for the three and nine months ended December 31, 2017 and 2016; (iv) Condensed Consolidated Statements of Cash Flows for the nine months ended December 31, 2017 and 2016;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742" w:right="459" w:bottom="1440" w:gutter="0" w:footer="0" w:header="0"/>
        </w:sectPr>
      </w:pPr>
    </w:p>
    <w:bookmarkStart w:id="45" w:name="page46"/>
    <w:bookmarkEnd w:id="45"/>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February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240" w:top="742" w:right="59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1118235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40"/>
        <w:spacing w:after="0"/>
        <w:rPr>
          <w:sz w:val="20"/>
          <w:szCs w:val="20"/>
          <w:color w:val="auto"/>
        </w:rPr>
      </w:pPr>
      <w:r>
        <w:rPr>
          <w:rFonts w:ascii="Arial" w:cs="Arial" w:eastAsia="Arial" w:hAnsi="Arial"/>
          <w:sz w:val="22"/>
          <w:szCs w:val="22"/>
          <w:u w:val="single" w:color="auto"/>
          <w:color w:val="auto"/>
        </w:rPr>
        <w:t>BOOZ ALLEN HAMILTON HOLDING CORPORATION</w:t>
      </w:r>
    </w:p>
    <w:p>
      <w:pPr>
        <w:spacing w:after="0" w:line="200" w:lineRule="exact"/>
        <w:rPr>
          <w:sz w:val="20"/>
          <w:szCs w:val="20"/>
          <w:color w:val="auto"/>
        </w:rPr>
      </w:pPr>
    </w:p>
    <w:p>
      <w:pPr>
        <w:spacing w:after="0" w:line="236" w:lineRule="exact"/>
        <w:rPr>
          <w:sz w:val="20"/>
          <w:szCs w:val="20"/>
          <w:color w:val="auto"/>
        </w:rPr>
      </w:pPr>
    </w:p>
    <w:p>
      <w:pPr>
        <w:ind w:left="2320"/>
        <w:spacing w:after="0"/>
        <w:rPr>
          <w:sz w:val="20"/>
          <w:szCs w:val="20"/>
          <w:color w:val="auto"/>
        </w:rPr>
      </w:pPr>
      <w:r>
        <w:rPr>
          <w:rFonts w:ascii="Arial" w:cs="Arial" w:eastAsia="Arial" w:hAnsi="Arial"/>
          <w:sz w:val="22"/>
          <w:szCs w:val="22"/>
          <w:u w:val="single" w:color="auto"/>
          <w:color w:val="auto"/>
        </w:rPr>
        <w:t>THIRD AMENDED AND RESTATED BYLAWS</w:t>
      </w:r>
    </w:p>
    <w:p>
      <w:pPr>
        <w:spacing w:after="0" w:line="200" w:lineRule="exact"/>
        <w:rPr>
          <w:sz w:val="20"/>
          <w:szCs w:val="20"/>
          <w:color w:val="auto"/>
        </w:rPr>
      </w:pPr>
    </w:p>
    <w:p>
      <w:pPr>
        <w:spacing w:after="0" w:line="236" w:lineRule="exact"/>
        <w:rPr>
          <w:sz w:val="20"/>
          <w:szCs w:val="20"/>
          <w:color w:val="auto"/>
        </w:rPr>
      </w:pPr>
    </w:p>
    <w:p>
      <w:pPr>
        <w:ind w:left="3100"/>
        <w:spacing w:after="0"/>
        <w:rPr>
          <w:sz w:val="20"/>
          <w:szCs w:val="20"/>
          <w:color w:val="auto"/>
        </w:rPr>
      </w:pPr>
      <w:r>
        <w:rPr>
          <w:rFonts w:ascii="Arial" w:cs="Arial" w:eastAsia="Arial" w:hAnsi="Arial"/>
          <w:sz w:val="22"/>
          <w:szCs w:val="22"/>
          <w:u w:val="single" w:color="auto"/>
          <w:color w:val="auto"/>
        </w:rPr>
        <w:t>As Adopted on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269240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32" w:right="239" w:bottom="1440" w:gutter="0" w:footer="0" w:header="0"/>
        </w:sectPr>
      </w:pPr>
    </w:p>
    <w:bookmarkStart w:id="47" w:name="page48"/>
    <w:bookmarkEnd w:id="47"/>
    <w:p>
      <w:pPr>
        <w:ind w:left="414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67" w:lineRule="exact"/>
        <w:rPr>
          <w:sz w:val="20"/>
          <w:szCs w:val="20"/>
          <w:color w:val="auto"/>
        </w:rPr>
      </w:pPr>
    </w:p>
    <w:p>
      <w:pPr>
        <w:spacing w:after="0"/>
        <w:tabs>
          <w:tab w:leader="dot" w:pos="10420" w:val="left"/>
        </w:tabs>
        <w:rPr>
          <w:sz w:val="20"/>
          <w:szCs w:val="20"/>
          <w:color w:val="auto"/>
        </w:rPr>
      </w:pPr>
      <w:r>
        <w:rPr>
          <w:rFonts w:ascii="Arial" w:cs="Arial" w:eastAsia="Arial" w:hAnsi="Arial"/>
          <w:sz w:val="18"/>
          <w:szCs w:val="18"/>
          <w:color w:val="auto"/>
        </w:rPr>
        <w:t>ARTICLE I MEETINGS OF STOCKHOLDERS</w:t>
      </w:r>
      <w:r>
        <w:rPr>
          <w:sz w:val="20"/>
          <w:szCs w:val="20"/>
          <w:color w:val="auto"/>
        </w:rPr>
        <w:tab/>
      </w:r>
      <w:r>
        <w:rPr>
          <w:rFonts w:ascii="Arial" w:cs="Arial" w:eastAsia="Arial" w:hAnsi="Arial"/>
          <w:sz w:val="14"/>
          <w:szCs w:val="14"/>
          <w:color w:val="auto"/>
        </w:rPr>
        <w:t>1</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Annual Meetings</w:t>
      </w:r>
      <w:r>
        <w:rPr>
          <w:sz w:val="20"/>
          <w:szCs w:val="20"/>
          <w:color w:val="auto"/>
        </w:rPr>
        <w:tab/>
      </w:r>
      <w:r>
        <w:rPr>
          <w:rFonts w:ascii="Arial" w:cs="Arial" w:eastAsia="Arial" w:hAnsi="Arial"/>
          <w:sz w:val="14"/>
          <w:szCs w:val="14"/>
          <w:color w:val="auto"/>
        </w:rPr>
        <w:t>1</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Special Meetings</w:t>
      </w:r>
      <w:r>
        <w:rPr>
          <w:sz w:val="20"/>
          <w:szCs w:val="20"/>
          <w:color w:val="auto"/>
        </w:rPr>
        <w:tab/>
      </w:r>
      <w:r>
        <w:rPr>
          <w:rFonts w:ascii="Arial" w:cs="Arial" w:eastAsia="Arial" w:hAnsi="Arial"/>
          <w:sz w:val="14"/>
          <w:szCs w:val="14"/>
          <w:color w:val="auto"/>
        </w:rPr>
        <w:t>1</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Participation in Meetings by Remote Communication</w:t>
      </w:r>
      <w:r>
        <w:rPr>
          <w:sz w:val="20"/>
          <w:szCs w:val="20"/>
          <w:color w:val="auto"/>
        </w:rPr>
        <w:tab/>
      </w:r>
      <w:r>
        <w:rPr>
          <w:rFonts w:ascii="Arial" w:cs="Arial" w:eastAsia="Arial" w:hAnsi="Arial"/>
          <w:sz w:val="14"/>
          <w:szCs w:val="14"/>
          <w:color w:val="auto"/>
        </w:rPr>
        <w:t>1</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Notice of Meetings; Waiver of Notice</w:t>
      </w:r>
      <w:r>
        <w:rPr>
          <w:sz w:val="20"/>
          <w:szCs w:val="20"/>
          <w:color w:val="auto"/>
        </w:rPr>
        <w:tab/>
      </w:r>
      <w:r>
        <w:rPr>
          <w:rFonts w:ascii="Arial" w:cs="Arial" w:eastAsia="Arial" w:hAnsi="Arial"/>
          <w:sz w:val="14"/>
          <w:szCs w:val="14"/>
          <w:color w:val="auto"/>
        </w:rPr>
        <w:t>1</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Proxies</w:t>
      </w:r>
      <w:r>
        <w:rPr>
          <w:sz w:val="20"/>
          <w:szCs w:val="20"/>
          <w:color w:val="auto"/>
        </w:rPr>
        <w:tab/>
      </w:r>
      <w:r>
        <w:rPr>
          <w:rFonts w:ascii="Arial" w:cs="Arial" w:eastAsia="Arial" w:hAnsi="Arial"/>
          <w:sz w:val="14"/>
          <w:szCs w:val="14"/>
          <w:color w:val="auto"/>
        </w:rPr>
        <w:t>2</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Voting Lists</w:t>
      </w:r>
      <w:r>
        <w:rPr>
          <w:sz w:val="20"/>
          <w:szCs w:val="20"/>
          <w:color w:val="auto"/>
        </w:rPr>
        <w:tab/>
      </w:r>
      <w:r>
        <w:rPr>
          <w:rFonts w:ascii="Arial" w:cs="Arial" w:eastAsia="Arial" w:hAnsi="Arial"/>
          <w:sz w:val="14"/>
          <w:szCs w:val="14"/>
          <w:color w:val="auto"/>
        </w:rPr>
        <w:t>2</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Quorum</w:t>
      </w:r>
      <w:r>
        <w:rPr>
          <w:sz w:val="20"/>
          <w:szCs w:val="20"/>
          <w:color w:val="auto"/>
        </w:rPr>
        <w:tab/>
      </w:r>
      <w:r>
        <w:rPr>
          <w:rFonts w:ascii="Arial" w:cs="Arial" w:eastAsia="Arial" w:hAnsi="Arial"/>
          <w:sz w:val="14"/>
          <w:szCs w:val="14"/>
          <w:color w:val="auto"/>
        </w:rPr>
        <w:t>3</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Voting</w:t>
      </w:r>
      <w:r>
        <w:rPr>
          <w:sz w:val="20"/>
          <w:szCs w:val="20"/>
          <w:color w:val="auto"/>
        </w:rPr>
        <w:tab/>
      </w:r>
      <w:r>
        <w:rPr>
          <w:rFonts w:ascii="Arial" w:cs="Arial" w:eastAsia="Arial" w:hAnsi="Arial"/>
          <w:sz w:val="14"/>
          <w:szCs w:val="14"/>
          <w:color w:val="auto"/>
        </w:rPr>
        <w:t>3</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Adjournment</w:t>
      </w:r>
      <w:r>
        <w:rPr>
          <w:sz w:val="20"/>
          <w:szCs w:val="20"/>
          <w:color w:val="auto"/>
        </w:rPr>
        <w:tab/>
      </w:r>
      <w:r>
        <w:rPr>
          <w:rFonts w:ascii="Arial" w:cs="Arial" w:eastAsia="Arial" w:hAnsi="Arial"/>
          <w:sz w:val="14"/>
          <w:szCs w:val="14"/>
          <w:color w:val="auto"/>
        </w:rPr>
        <w:t>3</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Organization; Procedure; Inspection of Elections</w:t>
      </w:r>
      <w:r>
        <w:rPr>
          <w:sz w:val="20"/>
          <w:szCs w:val="20"/>
          <w:color w:val="auto"/>
        </w:rPr>
        <w:tab/>
      </w:r>
      <w:r>
        <w:rPr>
          <w:rFonts w:ascii="Arial" w:cs="Arial" w:eastAsia="Arial" w:hAnsi="Arial"/>
          <w:sz w:val="14"/>
          <w:szCs w:val="14"/>
          <w:color w:val="auto"/>
        </w:rPr>
        <w:t>4</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Stockholder Action by Written Consent</w:t>
      </w:r>
      <w:r>
        <w:rPr>
          <w:sz w:val="20"/>
          <w:szCs w:val="20"/>
          <w:color w:val="auto"/>
        </w:rPr>
        <w:tab/>
      </w:r>
      <w:r>
        <w:rPr>
          <w:rFonts w:ascii="Arial" w:cs="Arial" w:eastAsia="Arial" w:hAnsi="Arial"/>
          <w:sz w:val="14"/>
          <w:szCs w:val="14"/>
          <w:color w:val="auto"/>
        </w:rPr>
        <w:t>4</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Notice of Stockholder Proposals and Nominations</w:t>
      </w:r>
      <w:r>
        <w:rPr>
          <w:sz w:val="20"/>
          <w:szCs w:val="20"/>
          <w:color w:val="auto"/>
        </w:rPr>
        <w:tab/>
      </w:r>
      <w:r>
        <w:rPr>
          <w:rFonts w:ascii="Arial" w:cs="Arial" w:eastAsia="Arial" w:hAnsi="Arial"/>
          <w:sz w:val="14"/>
          <w:szCs w:val="14"/>
          <w:color w:val="auto"/>
        </w:rPr>
        <w:t>5</w:t>
      </w:r>
    </w:p>
    <w:p>
      <w:pPr>
        <w:spacing w:after="0" w:line="63" w:lineRule="exact"/>
        <w:rPr>
          <w:sz w:val="20"/>
          <w:szCs w:val="20"/>
          <w:color w:val="auto"/>
        </w:rPr>
      </w:pPr>
    </w:p>
    <w:p>
      <w:pPr>
        <w:spacing w:after="0"/>
        <w:tabs>
          <w:tab w:leader="dot" w:pos="10420" w:val="left"/>
        </w:tabs>
        <w:rPr>
          <w:sz w:val="20"/>
          <w:szCs w:val="20"/>
          <w:color w:val="auto"/>
        </w:rPr>
      </w:pPr>
      <w:r>
        <w:rPr>
          <w:rFonts w:ascii="Arial" w:cs="Arial" w:eastAsia="Arial" w:hAnsi="Arial"/>
          <w:sz w:val="18"/>
          <w:szCs w:val="18"/>
          <w:color w:val="auto"/>
        </w:rPr>
        <w:t>ARTICLE II BOARD OF DIRECTORS</w:t>
      </w:r>
      <w:r>
        <w:rPr>
          <w:sz w:val="20"/>
          <w:szCs w:val="20"/>
          <w:color w:val="auto"/>
        </w:rPr>
        <w:tab/>
      </w:r>
      <w:r>
        <w:rPr>
          <w:rFonts w:ascii="Arial" w:cs="Arial" w:eastAsia="Arial" w:hAnsi="Arial"/>
          <w:sz w:val="14"/>
          <w:szCs w:val="14"/>
          <w:color w:val="auto"/>
        </w:rPr>
        <w:t>9</w:t>
      </w:r>
    </w:p>
    <w:p>
      <w:pPr>
        <w:spacing w:after="0" w:line="63"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General Powers</w:t>
      </w:r>
      <w:r>
        <w:rPr>
          <w:sz w:val="20"/>
          <w:szCs w:val="20"/>
          <w:color w:val="auto"/>
        </w:rPr>
        <w:tab/>
      </w:r>
      <w:r>
        <w:rPr>
          <w:rFonts w:ascii="Arial" w:cs="Arial" w:eastAsia="Arial" w:hAnsi="Arial"/>
          <w:sz w:val="14"/>
          <w:szCs w:val="14"/>
          <w:color w:val="auto"/>
        </w:rPr>
        <w:t>9</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Number and Term of Office</w:t>
      </w:r>
      <w:r>
        <w:rPr>
          <w:sz w:val="20"/>
          <w:szCs w:val="20"/>
          <w:color w:val="auto"/>
        </w:rPr>
        <w:tab/>
      </w:r>
      <w:r>
        <w:rPr>
          <w:rFonts w:ascii="Arial" w:cs="Arial" w:eastAsia="Arial" w:hAnsi="Arial"/>
          <w:sz w:val="16"/>
          <w:szCs w:val="16"/>
          <w:color w:val="auto"/>
        </w:rPr>
        <w:t>10</w:t>
      </w:r>
    </w:p>
    <w:p>
      <w:pPr>
        <w:spacing w:after="0" w:line="63" w:lineRule="exact"/>
        <w:rPr>
          <w:sz w:val="20"/>
          <w:szCs w:val="20"/>
          <w:color w:val="auto"/>
        </w:rPr>
      </w:pPr>
    </w:p>
    <w:p>
      <w:pPr>
        <w:spacing w:after="0"/>
        <w:tabs>
          <w:tab w:leader="none" w:pos="10340" w:val="left"/>
        </w:tabs>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Regular Meetings</w:t>
      </w:r>
      <w:r>
        <w:rPr>
          <w:sz w:val="20"/>
          <w:szCs w:val="20"/>
          <w:color w:val="auto"/>
        </w:rPr>
        <w:tab/>
      </w:r>
      <w:r>
        <w:rPr>
          <w:rFonts w:ascii="Arial" w:cs="Arial" w:eastAsia="Arial" w:hAnsi="Arial"/>
          <w:sz w:val="14"/>
          <w:szCs w:val="14"/>
          <w:color w:val="auto"/>
        </w:rPr>
        <w:t>11</w:t>
      </w:r>
    </w:p>
    <w:p>
      <w:pPr>
        <w:spacing w:after="0" w:line="63" w:lineRule="exact"/>
        <w:rPr>
          <w:sz w:val="20"/>
          <w:szCs w:val="20"/>
          <w:color w:val="auto"/>
        </w:rPr>
      </w:pPr>
    </w:p>
    <w:p>
      <w:pPr>
        <w:spacing w:after="0"/>
        <w:tabs>
          <w:tab w:leader="none" w:pos="10340" w:val="left"/>
        </w:tabs>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Special Meetings</w:t>
      </w:r>
      <w:r>
        <w:rPr>
          <w:sz w:val="20"/>
          <w:szCs w:val="20"/>
          <w:color w:val="auto"/>
        </w:rPr>
        <w:tab/>
      </w:r>
      <w:r>
        <w:rPr>
          <w:rFonts w:ascii="Arial" w:cs="Arial" w:eastAsia="Arial" w:hAnsi="Arial"/>
          <w:sz w:val="14"/>
          <w:szCs w:val="14"/>
          <w:color w:val="auto"/>
        </w:rPr>
        <w:t>11</w:t>
      </w:r>
    </w:p>
    <w:p>
      <w:pPr>
        <w:spacing w:after="0" w:line="63" w:lineRule="exact"/>
        <w:rPr>
          <w:sz w:val="20"/>
          <w:szCs w:val="20"/>
          <w:color w:val="auto"/>
        </w:rPr>
      </w:pPr>
    </w:p>
    <w:p>
      <w:pPr>
        <w:spacing w:after="0"/>
        <w:tabs>
          <w:tab w:leader="none" w:pos="10340" w:val="left"/>
        </w:tabs>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Notice of Meetings; Waiver of Notice</w:t>
      </w:r>
      <w:r>
        <w:rPr>
          <w:sz w:val="20"/>
          <w:szCs w:val="20"/>
          <w:color w:val="auto"/>
        </w:rPr>
        <w:tab/>
      </w:r>
      <w:r>
        <w:rPr>
          <w:rFonts w:ascii="Arial" w:cs="Arial" w:eastAsia="Arial" w:hAnsi="Arial"/>
          <w:sz w:val="14"/>
          <w:szCs w:val="14"/>
          <w:color w:val="auto"/>
        </w:rPr>
        <w:t>11</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Quorum; Voting</w:t>
      </w:r>
      <w:r>
        <w:rPr>
          <w:sz w:val="20"/>
          <w:szCs w:val="20"/>
          <w:color w:val="auto"/>
        </w:rPr>
        <w:tab/>
      </w:r>
      <w:r>
        <w:rPr>
          <w:rFonts w:ascii="Arial" w:cs="Arial" w:eastAsia="Arial" w:hAnsi="Arial"/>
          <w:sz w:val="16"/>
          <w:szCs w:val="16"/>
          <w:color w:val="auto"/>
        </w:rPr>
        <w:t>12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Action by Telephonic Communications</w:t>
      </w:r>
      <w:r>
        <w:rPr>
          <w:sz w:val="20"/>
          <w:szCs w:val="20"/>
          <w:color w:val="auto"/>
        </w:rPr>
        <w:tab/>
      </w:r>
      <w:r>
        <w:rPr>
          <w:rFonts w:ascii="Arial" w:cs="Arial" w:eastAsia="Arial" w:hAnsi="Arial"/>
          <w:sz w:val="16"/>
          <w:szCs w:val="16"/>
          <w:color w:val="auto"/>
        </w:rPr>
        <w:t>12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Adjournment</w:t>
      </w:r>
      <w:r>
        <w:rPr>
          <w:sz w:val="20"/>
          <w:szCs w:val="20"/>
          <w:color w:val="auto"/>
        </w:rPr>
        <w:tab/>
      </w:r>
      <w:r>
        <w:rPr>
          <w:rFonts w:ascii="Arial" w:cs="Arial" w:eastAsia="Arial" w:hAnsi="Arial"/>
          <w:sz w:val="16"/>
          <w:szCs w:val="16"/>
          <w:color w:val="auto"/>
        </w:rPr>
        <w:t>12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Action Without a Meeting</w:t>
      </w:r>
      <w:r>
        <w:rPr>
          <w:sz w:val="20"/>
          <w:szCs w:val="20"/>
          <w:color w:val="auto"/>
        </w:rPr>
        <w:tab/>
      </w:r>
      <w:r>
        <w:rPr>
          <w:rFonts w:ascii="Arial" w:cs="Arial" w:eastAsia="Arial" w:hAnsi="Arial"/>
          <w:sz w:val="16"/>
          <w:szCs w:val="16"/>
          <w:color w:val="auto"/>
        </w:rPr>
        <w:t>12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Regulations</w:t>
      </w:r>
      <w:r>
        <w:rPr>
          <w:sz w:val="20"/>
          <w:szCs w:val="20"/>
          <w:color w:val="auto"/>
        </w:rPr>
        <w:tab/>
      </w:r>
      <w:r>
        <w:rPr>
          <w:rFonts w:ascii="Arial" w:cs="Arial" w:eastAsia="Arial" w:hAnsi="Arial"/>
          <w:sz w:val="16"/>
          <w:szCs w:val="16"/>
          <w:color w:val="auto"/>
        </w:rPr>
        <w:t>12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Resignations of Directors</w:t>
      </w:r>
      <w:r>
        <w:rPr>
          <w:sz w:val="20"/>
          <w:szCs w:val="20"/>
          <w:color w:val="auto"/>
        </w:rPr>
        <w:tab/>
      </w:r>
      <w:r>
        <w:rPr>
          <w:rFonts w:ascii="Arial" w:cs="Arial" w:eastAsia="Arial" w:hAnsi="Arial"/>
          <w:sz w:val="16"/>
          <w:szCs w:val="16"/>
          <w:color w:val="auto"/>
        </w:rPr>
        <w:t>12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Removal of Directors</w:t>
      </w:r>
      <w:r>
        <w:rPr>
          <w:sz w:val="20"/>
          <w:szCs w:val="20"/>
          <w:color w:val="auto"/>
        </w:rPr>
        <w:tab/>
      </w:r>
      <w:r>
        <w:rPr>
          <w:rFonts w:ascii="Arial" w:cs="Arial" w:eastAsia="Arial" w:hAnsi="Arial"/>
          <w:sz w:val="16"/>
          <w:szCs w:val="16"/>
          <w:color w:val="auto"/>
        </w:rPr>
        <w:t>12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Vacancies and Newly Created Directorships</w:t>
      </w:r>
      <w:r>
        <w:rPr>
          <w:sz w:val="20"/>
          <w:szCs w:val="20"/>
          <w:color w:val="auto"/>
        </w:rPr>
        <w:tab/>
      </w:r>
      <w:r>
        <w:rPr>
          <w:rFonts w:ascii="Arial" w:cs="Arial" w:eastAsia="Arial" w:hAnsi="Arial"/>
          <w:sz w:val="16"/>
          <w:szCs w:val="16"/>
          <w:color w:val="auto"/>
        </w:rPr>
        <w:t>13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Director Fees and Expenses</w:t>
      </w:r>
      <w:r>
        <w:rPr>
          <w:sz w:val="20"/>
          <w:szCs w:val="20"/>
          <w:color w:val="auto"/>
        </w:rPr>
        <w:tab/>
      </w:r>
      <w:r>
        <w:rPr>
          <w:rFonts w:ascii="Arial" w:cs="Arial" w:eastAsia="Arial" w:hAnsi="Arial"/>
          <w:sz w:val="16"/>
          <w:szCs w:val="16"/>
          <w:color w:val="auto"/>
        </w:rPr>
        <w:t>13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Reliance on Accounts and Reports, etc</w:t>
      </w:r>
      <w:r>
        <w:rPr>
          <w:sz w:val="20"/>
          <w:szCs w:val="20"/>
          <w:color w:val="auto"/>
        </w:rPr>
        <w:tab/>
      </w:r>
      <w:r>
        <w:rPr>
          <w:rFonts w:ascii="Arial" w:cs="Arial" w:eastAsia="Arial" w:hAnsi="Arial"/>
          <w:sz w:val="16"/>
          <w:szCs w:val="16"/>
          <w:color w:val="auto"/>
        </w:rPr>
        <w:t>13</w:t>
      </w:r>
    </w:p>
    <w:p>
      <w:pPr>
        <w:spacing w:after="0" w:line="63" w:lineRule="exact"/>
        <w:rPr>
          <w:sz w:val="20"/>
          <w:szCs w:val="20"/>
          <w:color w:val="auto"/>
        </w:rPr>
      </w:pPr>
    </w:p>
    <w:p>
      <w:pPr>
        <w:spacing w:after="0"/>
        <w:tabs>
          <w:tab w:leader="dot" w:pos="10320" w:val="left"/>
        </w:tabs>
        <w:rPr>
          <w:sz w:val="20"/>
          <w:szCs w:val="20"/>
          <w:color w:val="auto"/>
        </w:rPr>
      </w:pPr>
      <w:r>
        <w:rPr>
          <w:rFonts w:ascii="Arial" w:cs="Arial" w:eastAsia="Arial" w:hAnsi="Arial"/>
          <w:sz w:val="18"/>
          <w:szCs w:val="18"/>
          <w:color w:val="auto"/>
        </w:rPr>
        <w:t>ARTICLE III COMMITTEES</w:t>
      </w:r>
      <w:r>
        <w:rPr>
          <w:sz w:val="20"/>
          <w:szCs w:val="20"/>
          <w:color w:val="auto"/>
        </w:rPr>
        <w:tab/>
      </w:r>
      <w:r>
        <w:rPr>
          <w:rFonts w:ascii="Arial" w:cs="Arial" w:eastAsia="Arial" w:hAnsi="Arial"/>
          <w:sz w:val="16"/>
          <w:szCs w:val="16"/>
          <w:color w:val="auto"/>
        </w:rPr>
        <w:t>13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Designation of Committees</w:t>
      </w:r>
      <w:r>
        <w:rPr>
          <w:sz w:val="20"/>
          <w:szCs w:val="20"/>
          <w:color w:val="auto"/>
        </w:rPr>
        <w:tab/>
      </w:r>
      <w:r>
        <w:rPr>
          <w:rFonts w:ascii="Arial" w:cs="Arial" w:eastAsia="Arial" w:hAnsi="Arial"/>
          <w:sz w:val="16"/>
          <w:szCs w:val="16"/>
          <w:color w:val="auto"/>
        </w:rPr>
        <w:t>13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Members and Alternate Members</w:t>
      </w:r>
      <w:r>
        <w:rPr>
          <w:sz w:val="20"/>
          <w:szCs w:val="20"/>
          <w:color w:val="auto"/>
        </w:rPr>
        <w:tab/>
      </w:r>
      <w:r>
        <w:rPr>
          <w:rFonts w:ascii="Arial" w:cs="Arial" w:eastAsia="Arial" w:hAnsi="Arial"/>
          <w:sz w:val="16"/>
          <w:szCs w:val="16"/>
          <w:color w:val="auto"/>
        </w:rPr>
        <w:t>14</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Committee Procedures</w:t>
      </w:r>
      <w:r>
        <w:rPr>
          <w:sz w:val="20"/>
          <w:szCs w:val="20"/>
          <w:color w:val="auto"/>
        </w:rPr>
        <w:tab/>
      </w:r>
      <w:r>
        <w:rPr>
          <w:rFonts w:ascii="Arial" w:cs="Arial" w:eastAsia="Arial" w:hAnsi="Arial"/>
          <w:sz w:val="16"/>
          <w:szCs w:val="16"/>
          <w:color w:val="auto"/>
        </w:rPr>
        <w:t>14</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Meetings and Actions of Committees</w:t>
      </w:r>
      <w:r>
        <w:rPr>
          <w:sz w:val="20"/>
          <w:szCs w:val="20"/>
          <w:color w:val="auto"/>
        </w:rPr>
        <w:tab/>
      </w:r>
      <w:r>
        <w:rPr>
          <w:rFonts w:ascii="Arial" w:cs="Arial" w:eastAsia="Arial" w:hAnsi="Arial"/>
          <w:sz w:val="16"/>
          <w:szCs w:val="16"/>
          <w:color w:val="auto"/>
        </w:rPr>
        <w:t>14</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Resignations and Removals</w:t>
      </w:r>
      <w:r>
        <w:rPr>
          <w:sz w:val="20"/>
          <w:szCs w:val="20"/>
          <w:color w:val="auto"/>
        </w:rPr>
        <w:tab/>
      </w:r>
      <w:r>
        <w:rPr>
          <w:rFonts w:ascii="Arial" w:cs="Arial" w:eastAsia="Arial" w:hAnsi="Arial"/>
          <w:sz w:val="16"/>
          <w:szCs w:val="16"/>
          <w:color w:val="auto"/>
        </w:rPr>
        <w:t>15</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Vacancies</w:t>
      </w:r>
      <w:r>
        <w:rPr>
          <w:sz w:val="20"/>
          <w:szCs w:val="20"/>
          <w:color w:val="auto"/>
        </w:rPr>
        <w:tab/>
      </w:r>
      <w:r>
        <w:rPr>
          <w:rFonts w:ascii="Arial" w:cs="Arial" w:eastAsia="Arial" w:hAnsi="Arial"/>
          <w:sz w:val="16"/>
          <w:szCs w:val="16"/>
          <w:color w:val="auto"/>
        </w:rPr>
        <w:t>15</w:t>
      </w:r>
    </w:p>
    <w:p>
      <w:pPr>
        <w:spacing w:after="0" w:line="63" w:lineRule="exact"/>
        <w:rPr>
          <w:sz w:val="20"/>
          <w:szCs w:val="20"/>
          <w:color w:val="auto"/>
        </w:rPr>
      </w:pPr>
    </w:p>
    <w:p>
      <w:pPr>
        <w:spacing w:after="0"/>
        <w:tabs>
          <w:tab w:leader="dot" w:pos="10320" w:val="left"/>
        </w:tabs>
        <w:rPr>
          <w:sz w:val="20"/>
          <w:szCs w:val="20"/>
          <w:color w:val="auto"/>
        </w:rPr>
      </w:pPr>
      <w:r>
        <w:rPr>
          <w:rFonts w:ascii="Arial" w:cs="Arial" w:eastAsia="Arial" w:hAnsi="Arial"/>
          <w:sz w:val="18"/>
          <w:szCs w:val="18"/>
          <w:color w:val="auto"/>
        </w:rPr>
        <w:t>ARTICLE IV OFFICERS</w:t>
      </w:r>
      <w:r>
        <w:rPr>
          <w:sz w:val="20"/>
          <w:szCs w:val="20"/>
          <w:color w:val="auto"/>
        </w:rPr>
        <w:tab/>
      </w:r>
      <w:r>
        <w:rPr>
          <w:rFonts w:ascii="Arial" w:cs="Arial" w:eastAsia="Arial" w:hAnsi="Arial"/>
          <w:sz w:val="16"/>
          <w:szCs w:val="16"/>
          <w:color w:val="auto"/>
        </w:rPr>
        <w:t>15</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Officers</w:t>
      </w:r>
      <w:r>
        <w:rPr>
          <w:sz w:val="20"/>
          <w:szCs w:val="20"/>
          <w:color w:val="auto"/>
        </w:rPr>
        <w:tab/>
      </w:r>
      <w:r>
        <w:rPr>
          <w:rFonts w:ascii="Arial" w:cs="Arial" w:eastAsia="Arial" w:hAnsi="Arial"/>
          <w:sz w:val="16"/>
          <w:szCs w:val="16"/>
          <w:color w:val="auto"/>
        </w:rPr>
        <w:t>15</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Election</w:t>
      </w:r>
      <w:r>
        <w:rPr>
          <w:sz w:val="20"/>
          <w:szCs w:val="20"/>
          <w:color w:val="auto"/>
        </w:rPr>
        <w:tab/>
      </w:r>
      <w:r>
        <w:rPr>
          <w:rFonts w:ascii="Arial" w:cs="Arial" w:eastAsia="Arial" w:hAnsi="Arial"/>
          <w:sz w:val="16"/>
          <w:szCs w:val="16"/>
          <w:color w:val="auto"/>
        </w:rPr>
        <w:t>15</w:t>
      </w:r>
    </w:p>
    <w:p>
      <w:pPr>
        <w:sectPr>
          <w:pgSz w:w="11900" w:h="16838" w:orient="portrait"/>
          <w:cols w:equalWidth="0" w:num="1">
            <w:col w:w="10520"/>
          </w:cols>
          <w:pgMar w:left="660" w:top="841" w:right="719" w:bottom="1440" w:gutter="0" w:footer="0" w:header="0"/>
        </w:sectPr>
      </w:pPr>
    </w:p>
    <w:bookmarkStart w:id="48" w:name="page49"/>
    <w:bookmarkEnd w:id="48"/>
    <w:p>
      <w:pPr>
        <w:spacing w:after="0"/>
        <w:tabs>
          <w:tab w:leader="none" w:pos="10320" w:val="left"/>
        </w:tabs>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Compensation</w:t>
      </w:r>
      <w:r>
        <w:rPr>
          <w:sz w:val="20"/>
          <w:szCs w:val="20"/>
          <w:color w:val="auto"/>
        </w:rPr>
        <w:tab/>
      </w:r>
      <w:r>
        <w:rPr>
          <w:rFonts w:ascii="Arial" w:cs="Arial" w:eastAsia="Arial" w:hAnsi="Arial"/>
          <w:sz w:val="16"/>
          <w:szCs w:val="16"/>
          <w:color w:val="auto"/>
        </w:rPr>
        <w:t>16</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Removal and Resignation; Vacancies</w:t>
      </w:r>
      <w:r>
        <w:rPr>
          <w:sz w:val="20"/>
          <w:szCs w:val="20"/>
          <w:color w:val="auto"/>
        </w:rPr>
        <w:tab/>
      </w:r>
      <w:r>
        <w:rPr>
          <w:rFonts w:ascii="Arial" w:cs="Arial" w:eastAsia="Arial" w:hAnsi="Arial"/>
          <w:sz w:val="16"/>
          <w:szCs w:val="16"/>
          <w:color w:val="auto"/>
        </w:rPr>
        <w:t>16</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Authority and Duties of Officers</w:t>
      </w:r>
      <w:r>
        <w:rPr>
          <w:sz w:val="20"/>
          <w:szCs w:val="20"/>
          <w:color w:val="auto"/>
        </w:rPr>
        <w:tab/>
      </w:r>
      <w:r>
        <w:rPr>
          <w:rFonts w:ascii="Arial" w:cs="Arial" w:eastAsia="Arial" w:hAnsi="Arial"/>
          <w:sz w:val="16"/>
          <w:szCs w:val="16"/>
          <w:color w:val="auto"/>
        </w:rPr>
        <w:t>16</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President</w:t>
      </w:r>
      <w:r>
        <w:rPr>
          <w:sz w:val="20"/>
          <w:szCs w:val="20"/>
          <w:color w:val="auto"/>
        </w:rPr>
        <w:tab/>
      </w:r>
      <w:r>
        <w:rPr>
          <w:rFonts w:ascii="Arial" w:cs="Arial" w:eastAsia="Arial" w:hAnsi="Arial"/>
          <w:sz w:val="16"/>
          <w:szCs w:val="16"/>
          <w:color w:val="auto"/>
        </w:rPr>
        <w:t>16</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Vice Presidents</w:t>
      </w:r>
      <w:r>
        <w:rPr>
          <w:sz w:val="20"/>
          <w:szCs w:val="20"/>
          <w:color w:val="auto"/>
        </w:rPr>
        <w:tab/>
      </w:r>
      <w:r>
        <w:rPr>
          <w:rFonts w:ascii="Arial" w:cs="Arial" w:eastAsia="Arial" w:hAnsi="Arial"/>
          <w:sz w:val="16"/>
          <w:szCs w:val="16"/>
          <w:color w:val="auto"/>
        </w:rPr>
        <w:t>16</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Secretary</w:t>
      </w:r>
      <w:r>
        <w:rPr>
          <w:sz w:val="20"/>
          <w:szCs w:val="20"/>
          <w:color w:val="auto"/>
        </w:rPr>
        <w:tab/>
      </w:r>
      <w:r>
        <w:rPr>
          <w:rFonts w:ascii="Arial" w:cs="Arial" w:eastAsia="Arial" w:hAnsi="Arial"/>
          <w:sz w:val="16"/>
          <w:szCs w:val="16"/>
          <w:color w:val="auto"/>
        </w:rPr>
        <w:t>17</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Treasurer</w:t>
      </w:r>
      <w:r>
        <w:rPr>
          <w:sz w:val="20"/>
          <w:szCs w:val="20"/>
          <w:color w:val="auto"/>
        </w:rPr>
        <w:tab/>
      </w:r>
      <w:r>
        <w:rPr>
          <w:rFonts w:ascii="Arial" w:cs="Arial" w:eastAsia="Arial" w:hAnsi="Arial"/>
          <w:sz w:val="16"/>
          <w:szCs w:val="16"/>
          <w:color w:val="auto"/>
        </w:rPr>
        <w:t>17</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Security</w:t>
      </w:r>
      <w:r>
        <w:rPr>
          <w:sz w:val="20"/>
          <w:szCs w:val="20"/>
          <w:color w:val="auto"/>
        </w:rPr>
        <w:tab/>
      </w:r>
      <w:r>
        <w:rPr>
          <w:rFonts w:ascii="Arial" w:cs="Arial" w:eastAsia="Arial" w:hAnsi="Arial"/>
          <w:sz w:val="16"/>
          <w:szCs w:val="16"/>
          <w:color w:val="auto"/>
        </w:rPr>
        <w:t>18</w:t>
      </w:r>
    </w:p>
    <w:p>
      <w:pPr>
        <w:spacing w:after="0" w:line="63" w:lineRule="exact"/>
        <w:rPr>
          <w:sz w:val="20"/>
          <w:szCs w:val="20"/>
          <w:color w:val="auto"/>
        </w:rPr>
      </w:pPr>
    </w:p>
    <w:p>
      <w:pPr>
        <w:spacing w:after="0"/>
        <w:tabs>
          <w:tab w:leader="dot" w:pos="10320" w:val="left"/>
        </w:tabs>
        <w:rPr>
          <w:sz w:val="20"/>
          <w:szCs w:val="20"/>
          <w:color w:val="auto"/>
        </w:rPr>
      </w:pPr>
      <w:r>
        <w:rPr>
          <w:rFonts w:ascii="Arial" w:cs="Arial" w:eastAsia="Arial" w:hAnsi="Arial"/>
          <w:sz w:val="18"/>
          <w:szCs w:val="18"/>
          <w:color w:val="auto"/>
        </w:rPr>
        <w:t>ARTICLE V CAPITAL STOCK</w:t>
      </w:r>
      <w:r>
        <w:rPr>
          <w:sz w:val="20"/>
          <w:szCs w:val="20"/>
          <w:color w:val="auto"/>
        </w:rPr>
        <w:tab/>
      </w:r>
      <w:r>
        <w:rPr>
          <w:rFonts w:ascii="Arial" w:cs="Arial" w:eastAsia="Arial" w:hAnsi="Arial"/>
          <w:sz w:val="16"/>
          <w:szCs w:val="16"/>
          <w:color w:val="auto"/>
        </w:rPr>
        <w:t>18</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Certificates of Stock; Uncertificated Shares</w:t>
      </w:r>
      <w:r>
        <w:rPr>
          <w:sz w:val="20"/>
          <w:szCs w:val="20"/>
          <w:color w:val="auto"/>
        </w:rPr>
        <w:tab/>
      </w:r>
      <w:r>
        <w:rPr>
          <w:rFonts w:ascii="Arial" w:cs="Arial" w:eastAsia="Arial" w:hAnsi="Arial"/>
          <w:sz w:val="16"/>
          <w:szCs w:val="16"/>
          <w:color w:val="auto"/>
        </w:rPr>
        <w:t>18</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Facsimile Signatures</w:t>
      </w:r>
      <w:r>
        <w:rPr>
          <w:sz w:val="20"/>
          <w:szCs w:val="20"/>
          <w:color w:val="auto"/>
        </w:rPr>
        <w:tab/>
      </w:r>
      <w:r>
        <w:rPr>
          <w:rFonts w:ascii="Arial" w:cs="Arial" w:eastAsia="Arial" w:hAnsi="Arial"/>
          <w:sz w:val="16"/>
          <w:szCs w:val="16"/>
          <w:color w:val="auto"/>
        </w:rPr>
        <w:t>19</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Lost, Stolen or Destroyed Certificates</w:t>
      </w:r>
      <w:r>
        <w:rPr>
          <w:sz w:val="20"/>
          <w:szCs w:val="20"/>
          <w:color w:val="auto"/>
        </w:rPr>
        <w:tab/>
      </w:r>
      <w:r>
        <w:rPr>
          <w:rFonts w:ascii="Arial" w:cs="Arial" w:eastAsia="Arial" w:hAnsi="Arial"/>
          <w:sz w:val="16"/>
          <w:szCs w:val="16"/>
          <w:color w:val="auto"/>
        </w:rPr>
        <w:t>19</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Transfer of Stock</w:t>
      </w:r>
      <w:r>
        <w:rPr>
          <w:sz w:val="20"/>
          <w:szCs w:val="20"/>
          <w:color w:val="auto"/>
        </w:rPr>
        <w:tab/>
      </w:r>
      <w:r>
        <w:rPr>
          <w:rFonts w:ascii="Arial" w:cs="Arial" w:eastAsia="Arial" w:hAnsi="Arial"/>
          <w:sz w:val="16"/>
          <w:szCs w:val="16"/>
          <w:color w:val="auto"/>
        </w:rPr>
        <w:t>19</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Registered Stockholders</w:t>
      </w:r>
      <w:r>
        <w:rPr>
          <w:sz w:val="20"/>
          <w:szCs w:val="20"/>
          <w:color w:val="auto"/>
        </w:rPr>
        <w:tab/>
      </w:r>
      <w:r>
        <w:rPr>
          <w:rFonts w:ascii="Arial" w:cs="Arial" w:eastAsia="Arial" w:hAnsi="Arial"/>
          <w:sz w:val="16"/>
          <w:szCs w:val="16"/>
          <w:color w:val="auto"/>
        </w:rPr>
        <w:t>19</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Transfer Agent and Registrar</w:t>
      </w:r>
      <w:r>
        <w:rPr>
          <w:sz w:val="20"/>
          <w:szCs w:val="20"/>
          <w:color w:val="auto"/>
        </w:rPr>
        <w:tab/>
      </w:r>
      <w:r>
        <w:rPr>
          <w:rFonts w:ascii="Arial" w:cs="Arial" w:eastAsia="Arial" w:hAnsi="Arial"/>
          <w:sz w:val="16"/>
          <w:szCs w:val="16"/>
          <w:color w:val="auto"/>
        </w:rPr>
        <w:t>20</w:t>
      </w:r>
    </w:p>
    <w:p>
      <w:pPr>
        <w:spacing w:after="0" w:line="63" w:lineRule="exact"/>
        <w:rPr>
          <w:sz w:val="20"/>
          <w:szCs w:val="20"/>
          <w:color w:val="auto"/>
        </w:rPr>
      </w:pPr>
    </w:p>
    <w:p>
      <w:pPr>
        <w:spacing w:after="0"/>
        <w:tabs>
          <w:tab w:leader="dot" w:pos="10320" w:val="left"/>
        </w:tabs>
        <w:rPr>
          <w:sz w:val="20"/>
          <w:szCs w:val="20"/>
          <w:color w:val="auto"/>
        </w:rPr>
      </w:pPr>
      <w:r>
        <w:rPr>
          <w:rFonts w:ascii="Arial" w:cs="Arial" w:eastAsia="Arial" w:hAnsi="Arial"/>
          <w:sz w:val="18"/>
          <w:szCs w:val="18"/>
          <w:color w:val="auto"/>
        </w:rPr>
        <w:t>ARTICLE VI INDEMNIFICATION</w:t>
      </w:r>
      <w:r>
        <w:rPr>
          <w:sz w:val="20"/>
          <w:szCs w:val="20"/>
          <w:color w:val="auto"/>
        </w:rPr>
        <w:tab/>
      </w:r>
      <w:r>
        <w:rPr>
          <w:rFonts w:ascii="Arial" w:cs="Arial" w:eastAsia="Arial" w:hAnsi="Arial"/>
          <w:sz w:val="16"/>
          <w:szCs w:val="16"/>
          <w:color w:val="auto"/>
        </w:rPr>
        <w:t>20</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Indemnification</w:t>
      </w:r>
      <w:r>
        <w:rPr>
          <w:sz w:val="20"/>
          <w:szCs w:val="20"/>
          <w:color w:val="auto"/>
        </w:rPr>
        <w:tab/>
      </w:r>
      <w:r>
        <w:rPr>
          <w:rFonts w:ascii="Arial" w:cs="Arial" w:eastAsia="Arial" w:hAnsi="Arial"/>
          <w:sz w:val="16"/>
          <w:szCs w:val="16"/>
          <w:color w:val="auto"/>
        </w:rPr>
        <w:t>20</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Advance of Expenses</w:t>
      </w:r>
      <w:r>
        <w:rPr>
          <w:sz w:val="20"/>
          <w:szCs w:val="20"/>
          <w:color w:val="auto"/>
        </w:rPr>
        <w:tab/>
      </w:r>
      <w:r>
        <w:rPr>
          <w:rFonts w:ascii="Arial" w:cs="Arial" w:eastAsia="Arial" w:hAnsi="Arial"/>
          <w:sz w:val="16"/>
          <w:szCs w:val="16"/>
          <w:color w:val="auto"/>
        </w:rPr>
        <w:t>21</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Procedure for Indemnification</w:t>
      </w:r>
      <w:r>
        <w:rPr>
          <w:sz w:val="20"/>
          <w:szCs w:val="20"/>
          <w:color w:val="auto"/>
        </w:rPr>
        <w:tab/>
      </w:r>
      <w:r>
        <w:rPr>
          <w:rFonts w:ascii="Arial" w:cs="Arial" w:eastAsia="Arial" w:hAnsi="Arial"/>
          <w:sz w:val="16"/>
          <w:szCs w:val="16"/>
          <w:color w:val="auto"/>
        </w:rPr>
        <w:t>21</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Burden of Proof</w:t>
      </w:r>
      <w:r>
        <w:rPr>
          <w:sz w:val="20"/>
          <w:szCs w:val="20"/>
          <w:color w:val="auto"/>
        </w:rPr>
        <w:tab/>
      </w:r>
      <w:r>
        <w:rPr>
          <w:rFonts w:ascii="Arial" w:cs="Arial" w:eastAsia="Arial" w:hAnsi="Arial"/>
          <w:sz w:val="16"/>
          <w:szCs w:val="16"/>
          <w:color w:val="auto"/>
        </w:rPr>
        <w:t>21</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Contract Right; Non-Exclusivity; Survival</w:t>
      </w:r>
      <w:r>
        <w:rPr>
          <w:sz w:val="20"/>
          <w:szCs w:val="20"/>
          <w:color w:val="auto"/>
        </w:rPr>
        <w:tab/>
      </w:r>
      <w:r>
        <w:rPr>
          <w:rFonts w:ascii="Arial" w:cs="Arial" w:eastAsia="Arial" w:hAnsi="Arial"/>
          <w:sz w:val="16"/>
          <w:szCs w:val="16"/>
          <w:color w:val="auto"/>
        </w:rPr>
        <w:t>21</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Insurance</w:t>
      </w:r>
      <w:r>
        <w:rPr>
          <w:sz w:val="20"/>
          <w:szCs w:val="20"/>
          <w:color w:val="auto"/>
        </w:rPr>
        <w:tab/>
      </w:r>
      <w:r>
        <w:rPr>
          <w:rFonts w:ascii="Arial" w:cs="Arial" w:eastAsia="Arial" w:hAnsi="Arial"/>
          <w:sz w:val="16"/>
          <w:szCs w:val="16"/>
          <w:color w:val="auto"/>
        </w:rPr>
        <w:t>22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Employees and Agents</w:t>
      </w:r>
      <w:r>
        <w:rPr>
          <w:sz w:val="20"/>
          <w:szCs w:val="20"/>
          <w:color w:val="auto"/>
        </w:rPr>
        <w:tab/>
      </w:r>
      <w:r>
        <w:rPr>
          <w:rFonts w:ascii="Arial" w:cs="Arial" w:eastAsia="Arial" w:hAnsi="Arial"/>
          <w:sz w:val="16"/>
          <w:szCs w:val="16"/>
          <w:color w:val="auto"/>
        </w:rPr>
        <w:t>22</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Interpretation; Severability</w:t>
      </w:r>
      <w:r>
        <w:rPr>
          <w:sz w:val="20"/>
          <w:szCs w:val="20"/>
          <w:color w:val="auto"/>
        </w:rPr>
        <w:tab/>
      </w:r>
      <w:r>
        <w:rPr>
          <w:rFonts w:ascii="Arial" w:cs="Arial" w:eastAsia="Arial" w:hAnsi="Arial"/>
          <w:sz w:val="16"/>
          <w:szCs w:val="16"/>
          <w:color w:val="auto"/>
        </w:rPr>
        <w:t>22</w:t>
      </w:r>
    </w:p>
    <w:p>
      <w:pPr>
        <w:spacing w:after="0" w:line="63" w:lineRule="exact"/>
        <w:rPr>
          <w:sz w:val="20"/>
          <w:szCs w:val="20"/>
          <w:color w:val="auto"/>
        </w:rPr>
      </w:pPr>
    </w:p>
    <w:p>
      <w:pPr>
        <w:spacing w:after="0"/>
        <w:tabs>
          <w:tab w:leader="dot" w:pos="10320" w:val="left"/>
        </w:tabs>
        <w:rPr>
          <w:sz w:val="20"/>
          <w:szCs w:val="20"/>
          <w:color w:val="auto"/>
        </w:rPr>
      </w:pPr>
      <w:r>
        <w:rPr>
          <w:rFonts w:ascii="Arial" w:cs="Arial" w:eastAsia="Arial" w:hAnsi="Arial"/>
          <w:sz w:val="18"/>
          <w:szCs w:val="18"/>
          <w:color w:val="auto"/>
        </w:rPr>
        <w:t>ARTICLE VII OFFICES</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Registered Office</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Other Offices</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spacing w:after="0"/>
        <w:tabs>
          <w:tab w:leader="dot" w:pos="10320" w:val="left"/>
        </w:tabs>
        <w:rPr>
          <w:sz w:val="20"/>
          <w:szCs w:val="20"/>
          <w:color w:val="auto"/>
        </w:rPr>
      </w:pPr>
      <w:r>
        <w:rPr>
          <w:rFonts w:ascii="Arial" w:cs="Arial" w:eastAsia="Arial" w:hAnsi="Arial"/>
          <w:sz w:val="18"/>
          <w:szCs w:val="18"/>
          <w:color w:val="auto"/>
        </w:rPr>
        <w:t>ARTICLE VIII GENERAL PROVISIONS</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Dividends</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Reserves</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Execution of Instruments</w:t>
      </w:r>
      <w:r>
        <w:rPr>
          <w:sz w:val="20"/>
          <w:szCs w:val="20"/>
          <w:color w:val="auto"/>
        </w:rPr>
        <w:tab/>
      </w:r>
      <w:r>
        <w:rPr>
          <w:rFonts w:ascii="Arial" w:cs="Arial" w:eastAsia="Arial" w:hAnsi="Arial"/>
          <w:sz w:val="16"/>
          <w:szCs w:val="16"/>
          <w:color w:val="auto"/>
        </w:rPr>
        <w:t>23</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Voting as Stockholder</w:t>
      </w:r>
      <w:r>
        <w:rPr>
          <w:sz w:val="20"/>
          <w:szCs w:val="20"/>
          <w:color w:val="auto"/>
        </w:rPr>
        <w:tab/>
      </w:r>
      <w:r>
        <w:rPr>
          <w:rFonts w:ascii="Arial" w:cs="Arial" w:eastAsia="Arial" w:hAnsi="Arial"/>
          <w:sz w:val="16"/>
          <w:szCs w:val="16"/>
          <w:color w:val="auto"/>
        </w:rPr>
        <w:t>24</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Fiscal Year</w:t>
      </w:r>
      <w:r>
        <w:rPr>
          <w:sz w:val="20"/>
          <w:szCs w:val="20"/>
          <w:color w:val="auto"/>
        </w:rPr>
        <w:tab/>
      </w:r>
      <w:r>
        <w:rPr>
          <w:rFonts w:ascii="Arial" w:cs="Arial" w:eastAsia="Arial" w:hAnsi="Arial"/>
          <w:sz w:val="16"/>
          <w:szCs w:val="16"/>
          <w:color w:val="auto"/>
        </w:rPr>
        <w:t>24</w:t>
      </w:r>
    </w:p>
    <w:p>
      <w:pPr>
        <w:spacing w:after="0" w:line="63"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Seal</w:t>
      </w:r>
      <w:r>
        <w:rPr>
          <w:sz w:val="20"/>
          <w:szCs w:val="20"/>
          <w:color w:val="auto"/>
        </w:rPr>
        <w:tab/>
      </w:r>
      <w:r>
        <w:rPr>
          <w:rFonts w:ascii="Arial" w:cs="Arial" w:eastAsia="Arial" w:hAnsi="Arial"/>
          <w:sz w:val="16"/>
          <w:szCs w:val="16"/>
          <w:color w:val="auto"/>
        </w:rPr>
        <w:t>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Books and Records; Inspection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Electronic Transmission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49" w:lineRule="exact"/>
        <w:rPr>
          <w:sz w:val="20"/>
          <w:szCs w:val="20"/>
          <w:color w:val="auto"/>
        </w:rPr>
      </w:pPr>
    </w:p>
    <w:p>
      <w:pPr>
        <w:spacing w:after="0"/>
        <w:tabs>
          <w:tab w:leader="dot" w:pos="10320" w:val="left"/>
        </w:tabs>
        <w:rPr>
          <w:sz w:val="20"/>
          <w:szCs w:val="20"/>
          <w:color w:val="auto"/>
        </w:rPr>
      </w:pPr>
      <w:r>
        <w:rPr>
          <w:rFonts w:ascii="Arial" w:cs="Arial" w:eastAsia="Arial" w:hAnsi="Arial"/>
          <w:sz w:val="18"/>
          <w:szCs w:val="18"/>
          <w:color w:val="auto"/>
        </w:rPr>
        <w:t>ARTICLE IX AMENDMENT OF BYLAWS</w:t>
      </w:r>
      <w:r>
        <w:rPr>
          <w:sz w:val="20"/>
          <w:szCs w:val="20"/>
          <w:color w:val="auto"/>
        </w:rPr>
        <w:tab/>
      </w:r>
      <w:r>
        <w:rPr>
          <w:rFonts w:ascii="Arial" w:cs="Arial" w:eastAsia="Arial" w:hAnsi="Arial"/>
          <w:sz w:val="16"/>
          <w:szCs w:val="16"/>
          <w:color w:val="auto"/>
        </w:rPr>
        <w:t>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20"/>
          </w:cols>
          <w:pgMar w:left="660" w:top="1003" w:right="71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22"/>
          <w:szCs w:val="22"/>
          <w:color w:val="auto"/>
        </w:rPr>
        <w:t>BOOZ ALLEN HAMILTON HOLDING CORPORATION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THIRD AMENDED AND RESTATED BYLAWS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adopted on January 31, 2018</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MEETINGS OF STOCKHOLDERS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Annual Meetings</w:t>
      </w:r>
      <w:r>
        <w:rPr>
          <w:rFonts w:ascii="Arial" w:cs="Arial" w:eastAsia="Arial" w:hAnsi="Arial"/>
          <w:sz w:val="19"/>
          <w:szCs w:val="19"/>
          <w:color w:val="auto"/>
        </w:rPr>
        <w:t>. The annual meeting of the stockholders of the Booz Allen Hamilton Holding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for the election of directors (each, a “</w:t>
      </w:r>
      <w:r>
        <w:rPr>
          <w:rFonts w:ascii="Arial" w:cs="Arial" w:eastAsia="Arial" w:hAnsi="Arial"/>
          <w:sz w:val="19"/>
          <w:szCs w:val="19"/>
          <w:u w:val="single" w:color="auto"/>
          <w:color w:val="auto"/>
        </w:rPr>
        <w:t>Director</w:t>
      </w:r>
      <w:r>
        <w:rPr>
          <w:rFonts w:ascii="Arial" w:cs="Arial" w:eastAsia="Arial" w:hAnsi="Arial"/>
          <w:sz w:val="19"/>
          <w:szCs w:val="19"/>
          <w:color w:val="auto"/>
        </w:rPr>
        <w:t>”) and for the transaction of such other business as properly may come before such meeting shall be held each year either within or without the State of Delaware at such place, if any, and on such date and at such time, as may be fixed from time to time by resolution of the Corporation’s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and set forth in the notice or waiver of notice of the meeting, unless, subject to Section 1.11 of these bylaws and the certificate of incorporation of the Corporation, the stockholders have acted by written consent to elect Directors as permitted by the General Corporation Law of the State of Delaware, as amended from time to time (the “</w:t>
      </w:r>
      <w:r>
        <w:rPr>
          <w:rFonts w:ascii="Arial" w:cs="Arial" w:eastAsia="Arial" w:hAnsi="Arial"/>
          <w:sz w:val="19"/>
          <w:szCs w:val="19"/>
          <w:u w:val="single" w:color="auto"/>
          <w:color w:val="auto"/>
        </w:rPr>
        <w:t>DGCL</w:t>
      </w:r>
      <w:r>
        <w:rPr>
          <w:rFonts w:ascii="Arial" w:cs="Arial" w:eastAsia="Arial" w:hAnsi="Arial"/>
          <w:sz w:val="19"/>
          <w:szCs w:val="19"/>
          <w:color w:val="auto"/>
        </w:rPr>
        <w:t>”).</w:t>
      </w:r>
    </w:p>
    <w:p>
      <w:pPr>
        <w:spacing w:after="0" w:line="368"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Special Meetings</w:t>
      </w:r>
      <w:r>
        <w:rPr>
          <w:rFonts w:ascii="Arial" w:cs="Arial" w:eastAsia="Arial" w:hAnsi="Arial"/>
          <w:sz w:val="22"/>
          <w:szCs w:val="22"/>
          <w:color w:val="auto"/>
        </w:rPr>
        <w:t>. A special meeting of the stockholders for any purpose may be called at any time only by or at the direction of the Board pursuant to a resolution of the Board adopted by a majority of the total number of Directors then in office. Any special meeting of the stockholders shall be held at such place, if any, within or without the State of Delaware, and on such date and at such time, as shall be specified in such resolution. The stockholders of the Corporation do not have the power to call a special meeting.</w:t>
      </w:r>
    </w:p>
    <w:p>
      <w:pPr>
        <w:spacing w:after="0" w:line="200" w:lineRule="exact"/>
        <w:rPr>
          <w:sz w:val="20"/>
          <w:szCs w:val="20"/>
          <w:color w:val="auto"/>
        </w:rPr>
      </w:pPr>
    </w:p>
    <w:p>
      <w:pPr>
        <w:spacing w:after="0" w:line="206"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Participation in Meetings by Remote Communication</w:t>
      </w:r>
      <w:r>
        <w:rPr>
          <w:rFonts w:ascii="Arial" w:cs="Arial" w:eastAsia="Arial" w:hAnsi="Arial"/>
          <w:sz w:val="21"/>
          <w:szCs w:val="21"/>
          <w:color w:val="auto"/>
        </w:rPr>
        <w:t>.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39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Notice of Meetings; Waiver of Notice</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80" w:firstLine="980"/>
        <w:spacing w:after="0" w:line="266" w:lineRule="auto"/>
        <w:tabs>
          <w:tab w:leader="none" w:pos="1446"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Secretary or any Assistant Secretary shall cause notice of each meeting of stockholders to be given in writing in a manner permitted by the DGCL not less than 10 days nor more than 60 days prior to the meeting to each stockholder of record entitled to vote at such meeting, subject to such exclusions as are then permitted by the DGCL. The notice shall specify (i) the place, if any, date and time of such meeting, (ii) the means of remote communications, if any, by which stockholders and proxy holders may be deemed to be present in person and vote at</w:t>
      </w:r>
    </w:p>
    <w:p>
      <w:pPr>
        <w:sectPr>
          <w:pgSz w:w="11900" w:h="16838" w:orient="portrait"/>
          <w:cols w:equalWidth="0" w:num="1">
            <w:col w:w="11400"/>
          </w:cols>
          <w:pgMar w:left="240" w:top="847" w:right="259" w:bottom="1440" w:gutter="0" w:footer="0" w:header="0"/>
        </w:sectPr>
      </w:pPr>
    </w:p>
    <w:bookmarkStart w:id="50" w:name="page51"/>
    <w:bookmarkEnd w:id="50"/>
    <w:p>
      <w:pPr>
        <w:ind w:right="260"/>
        <w:spacing w:after="0" w:line="247" w:lineRule="auto"/>
        <w:rPr>
          <w:sz w:val="20"/>
          <w:szCs w:val="20"/>
          <w:color w:val="auto"/>
        </w:rPr>
      </w:pPr>
      <w:r>
        <w:rPr>
          <w:rFonts w:ascii="Arial" w:cs="Arial" w:eastAsia="Arial" w:hAnsi="Arial"/>
          <w:sz w:val="22"/>
          <w:szCs w:val="22"/>
          <w:color w:val="auto"/>
        </w:rPr>
        <w:t>such meeting, (iii) in the case of a special meeting, the purpose or purposes for which such meeting is called and (iv) such other information as may be required by law or as may be deemed appropriate by the Board, the President or the Secretary of the Corporation. If the stockholder list referred to in Section 1.06 of these bylaws is made accessible on an electronic network, the notice of meeting must indicate how the stockholder list can be accessed. If the meeting of stockholders is to be held solely by means of electronic communications, the notice of meeting must provide the information required to access such stockholder list during the meeting.</w:t>
      </w:r>
    </w:p>
    <w:p>
      <w:pPr>
        <w:spacing w:after="0" w:line="200" w:lineRule="exact"/>
        <w:rPr>
          <w:sz w:val="20"/>
          <w:szCs w:val="20"/>
          <w:color w:val="auto"/>
        </w:rPr>
      </w:pPr>
    </w:p>
    <w:p>
      <w:pPr>
        <w:spacing w:after="0" w:line="210" w:lineRule="exact"/>
        <w:rPr>
          <w:sz w:val="20"/>
          <w:szCs w:val="20"/>
          <w:color w:val="auto"/>
        </w:rPr>
      </w:pPr>
    </w:p>
    <w:p>
      <w:pPr>
        <w:ind w:firstLine="980"/>
        <w:spacing w:after="0" w:line="250" w:lineRule="auto"/>
        <w:tabs>
          <w:tab w:leader="none" w:pos="14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written waiver of notice of meeting signed by a stockholder or a waiver by electronic transmission by a stockholder, whether given before or after the meeting time stated in such notice, is deemed equivalent to notice. Neither the business to be transacted at, nor the purpose of, any regular or special meeting of the stockholders need be specified in a waiver of notice. Attendance of a stockholder at a meeting is a waiver of notice of such meeting, except when the stockholder attends a meeting for the express purpose of objecting at the beginning of the meeting to the transaction of any business at the meeting on the ground that the meeting is not lawfully called or convened.</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Proxies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280" w:firstLine="980"/>
        <w:spacing w:after="0" w:line="358" w:lineRule="auto"/>
        <w:tabs>
          <w:tab w:leader="none" w:pos="1446"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stockholder entitled to vote at a meeting of stockholders or to express consent to or dissent from corporate action in writing without a meeting may authorize another person or persons to act for such stockholder by proxy.</w:t>
      </w:r>
    </w:p>
    <w:p>
      <w:pPr>
        <w:spacing w:after="0" w:line="307" w:lineRule="exact"/>
        <w:rPr>
          <w:rFonts w:ascii="Arial" w:cs="Arial" w:eastAsia="Arial" w:hAnsi="Arial"/>
          <w:sz w:val="19"/>
          <w:szCs w:val="19"/>
          <w:color w:val="auto"/>
        </w:rPr>
      </w:pPr>
    </w:p>
    <w:p>
      <w:pPr>
        <w:ind w:right="20" w:firstLine="980"/>
        <w:spacing w:after="0" w:line="291" w:lineRule="auto"/>
        <w:tabs>
          <w:tab w:leader="none" w:pos="1458"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stockholder may authorize a valid proxy by executing a written instrument signed by such stockholder, or by causing his or her signature to be affixed to such writing by any reasonable means, including but not limited to by facsimile signature, or by transmitting or authorizing an electronic transmission (as defined in Section 8.08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w:t>
      </w:r>
    </w:p>
    <w:p>
      <w:pPr>
        <w:spacing w:after="0" w:line="370" w:lineRule="exact"/>
        <w:rPr>
          <w:rFonts w:ascii="Arial" w:cs="Arial" w:eastAsia="Arial" w:hAnsi="Arial"/>
          <w:sz w:val="19"/>
          <w:szCs w:val="19"/>
          <w:color w:val="auto"/>
        </w:rPr>
      </w:pPr>
    </w:p>
    <w:p>
      <w:pPr>
        <w:jc w:val="both"/>
        <w:ind w:right="160" w:firstLine="980"/>
        <w:spacing w:after="0" w:line="251" w:lineRule="auto"/>
        <w:tabs>
          <w:tab w:leader="none" w:pos="1446"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 proxy may be voted or acted upon after the expiration of three years from the date of such proxy, unless such proxy provides for a longer period. Every proxy is revocable at the pleasure of the stockholder executing it unless the proxy states that it is irrevocable and applicable law makes it irrevocable. A stockholder may revoke any proxy that is not irrevocable by attending the meeting and voting in person or by filing an instrument in writing revoking the proxy or by filing another duly executed proxy bearing a later date with the Secretary.</w:t>
      </w:r>
    </w:p>
    <w:p>
      <w:pPr>
        <w:spacing w:after="0" w:line="200" w:lineRule="exact"/>
        <w:rPr>
          <w:sz w:val="20"/>
          <w:szCs w:val="20"/>
          <w:color w:val="auto"/>
        </w:rPr>
      </w:pPr>
    </w:p>
    <w:p>
      <w:pPr>
        <w:spacing w:after="0" w:line="206" w:lineRule="exact"/>
        <w:rPr>
          <w:sz w:val="20"/>
          <w:szCs w:val="20"/>
          <w:color w:val="auto"/>
        </w:rPr>
      </w:pPr>
    </w:p>
    <w:p>
      <w:pPr>
        <w:ind w:right="500" w:firstLine="648"/>
        <w:spacing w:after="0" w:line="276"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Voting Lists</w:t>
      </w:r>
      <w:r>
        <w:rPr>
          <w:rFonts w:ascii="Arial" w:cs="Arial" w:eastAsia="Arial" w:hAnsi="Arial"/>
          <w:sz w:val="22"/>
          <w:szCs w:val="22"/>
          <w:color w:val="auto"/>
        </w:rPr>
        <w:t>. The officer of the Corporation who has charge of the stock ledger of the Corporation shall prepare, at least 10 days before every meeting of the stockholders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847" w:right="259" w:bottom="1440" w:gutter="0" w:footer="0" w:header="0"/>
        </w:sectPr>
      </w:pPr>
    </w:p>
    <w:bookmarkStart w:id="51" w:name="page52"/>
    <w:bookmarkEnd w:id="51"/>
    <w:p>
      <w:pPr>
        <w:ind w:right="100"/>
        <w:spacing w:after="0" w:line="294" w:lineRule="auto"/>
        <w:rPr>
          <w:sz w:val="20"/>
          <w:szCs w:val="20"/>
          <w:color w:val="auto"/>
        </w:rPr>
      </w:pPr>
      <w:r>
        <w:rPr>
          <w:rFonts w:ascii="Arial" w:cs="Arial" w:eastAsia="Arial" w:hAnsi="Arial"/>
          <w:sz w:val="19"/>
          <w:szCs w:val="19"/>
          <w:color w:val="auto"/>
        </w:rPr>
        <w:t>(and before any adjournment thereof for which a new record date has been set), a complete list of the stockholders of record entitled to vote at the meeting, arranged in alphabetical order and showing the address of each stockholder and the number of shares registered in the name of each stockholder. This list, which may be in any format including electronic format, shall be open to the examination of any stockholder prior to and during the meeting for any purpose germane to the meeting in the manner required by the DGCL and other applicable law. The stock ledger shall be the only evidence as to who are the stockholders entitled by this section to examine the list required by this section or to vote in person or by proxy at any meeting of stockholders.</w:t>
      </w:r>
    </w:p>
    <w:p>
      <w:pPr>
        <w:spacing w:after="0" w:line="36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Quorum</w:t>
      </w:r>
      <w:r>
        <w:rPr>
          <w:rFonts w:ascii="Arial" w:cs="Arial" w:eastAsia="Arial" w:hAnsi="Arial"/>
          <w:sz w:val="19"/>
          <w:szCs w:val="19"/>
          <w:color w:val="auto"/>
        </w:rPr>
        <w:t xml:space="preserve">. Except as otherwise provided in the certificate of incorporation or by law, the presence in person or by proxy of the holders of record of a majority of the shares entitled to vote at a meeting of stockholders shall constitute a quorum for the transaction of business at such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In the absence of a quorum, the stockholders so present may, by a majority in voting power thereof, adjourn the meeting from time to time in the manner provided in Section 1.09 of these bylaws until a quorum shall attend.</w:t>
      </w:r>
    </w:p>
    <w:p>
      <w:pPr>
        <w:spacing w:after="0" w:line="368"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u w:val="single" w:color="auto"/>
          <w:color w:val="auto"/>
        </w:rPr>
        <w:t>Voting</w:t>
      </w:r>
      <w:r>
        <w:rPr>
          <w:rFonts w:ascii="Arial" w:cs="Arial" w:eastAsia="Arial" w:hAnsi="Arial"/>
          <w:sz w:val="21"/>
          <w:szCs w:val="21"/>
          <w:color w:val="auto"/>
        </w:rPr>
        <w:t>. Except as otherwise provided in the certificate of incorporation or by law, every holder of record of shares entitled to vote at a meeting of stockholders is entitled to one vote for each share outstanding in his or her name on the books of the Corporation (x) at the close of business on the record date for such meeting, or (y) if no record date has been fixed,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these bylaws, the rules and regulations of any stock exchange applicable to the Corporation or pursuant to any other rule or regulation applicable to the Corporation or its stockholders, the vote of a majority of the shares entitled to vote at a meeting of stockholders on the subject matter in question represented in person or by proxy at any meeting at which a quorum is present shall be sufficient for the transaction of any business at such meeting. The stockholders do not have the right to cumulate their votes for the election of Directors.</w:t>
      </w:r>
    </w:p>
    <w:p>
      <w:pPr>
        <w:spacing w:after="0" w:line="396"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 xml:space="preserve">Section 1.09 </w:t>
      </w:r>
      <w:r>
        <w:rPr>
          <w:rFonts w:ascii="Arial" w:cs="Arial" w:eastAsia="Arial" w:hAnsi="Arial"/>
          <w:sz w:val="21"/>
          <w:szCs w:val="21"/>
          <w:u w:val="single" w:color="auto"/>
          <w:color w:val="auto"/>
        </w:rPr>
        <w:t>Adjournment</w:t>
      </w:r>
      <w:r>
        <w:rPr>
          <w:rFonts w:ascii="Arial" w:cs="Arial" w:eastAsia="Arial" w:hAnsi="Arial"/>
          <w:sz w:val="21"/>
          <w:szCs w:val="21"/>
          <w:color w:val="auto"/>
        </w:rPr>
        <w:t>. Any meeting of stockholders may be adjourned from time to time, by the chairperson of the meeting or by the vote of a majority of the shares of stock present in person or represented by proxy at the meeting, to reconvene at the same or some other place, and notice need not be given of any such adjourned meeting if the place, if any, and date and time thereof (and the means of remote communication, if any, by which stockholders and proxy holders may be deemed to be present in person and vote at such meeting) are announced at the meeting at which the adjournment is taken unless the adjournment is for more than 30 days or a new record date is fixed for the adjourned meeting after the adjournment, in which case notice of the adjourned meeting in accordance with Section 1.04 of these bylaws shall be given to each stockholder of record entitled to vote at the meeting. At the adjourned meeting, the Corporation may transact any business that might have been transacted at the original meeting.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52" w:name="page53"/>
    <w:bookmarkEnd w:id="52"/>
    <w:p>
      <w:pPr>
        <w:ind w:left="640"/>
        <w:spacing w:after="0"/>
        <w:tabs>
          <w:tab w:leader="none" w:pos="1940" w:val="left"/>
        </w:tabs>
        <w:rPr>
          <w:sz w:val="20"/>
          <w:szCs w:val="20"/>
          <w:color w:val="auto"/>
        </w:rPr>
      </w:pPr>
      <w:r>
        <w:rPr>
          <w:rFonts w:ascii="Arial" w:cs="Arial" w:eastAsia="Arial" w:hAnsi="Arial"/>
          <w:sz w:val="22"/>
          <w:szCs w:val="22"/>
          <w:color w:val="auto"/>
        </w:rPr>
        <w:t>Section 1.10</w:t>
      </w:r>
      <w:r>
        <w:rPr>
          <w:sz w:val="20"/>
          <w:szCs w:val="20"/>
          <w:color w:val="auto"/>
        </w:rPr>
        <w:tab/>
      </w:r>
      <w:r>
        <w:rPr>
          <w:rFonts w:ascii="Arial" w:cs="Arial" w:eastAsia="Arial" w:hAnsi="Arial"/>
          <w:sz w:val="19"/>
          <w:szCs w:val="19"/>
          <w:u w:val="single" w:color="auto"/>
          <w:color w:val="auto"/>
        </w:rPr>
        <w:t>Organization; Procedure; Inspection of Elections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left="-20" w:firstLine="980"/>
        <w:spacing w:after="0" w:line="286" w:lineRule="auto"/>
        <w:tabs>
          <w:tab w:leader="none" w:pos="1426" w:val="left"/>
        </w:tabs>
        <w:numPr>
          <w:ilvl w:val="0"/>
          <w:numId w:val="43"/>
        </w:numPr>
        <w:rPr>
          <w:rFonts w:ascii="Arial" w:cs="Arial" w:eastAsia="Arial" w:hAnsi="Arial"/>
          <w:sz w:val="19"/>
          <w:szCs w:val="19"/>
          <w:color w:val="auto"/>
        </w:rPr>
      </w:pPr>
      <w:r>
        <w:rPr>
          <w:rFonts w:ascii="Arial" w:cs="Arial" w:eastAsia="Arial" w:hAnsi="Arial"/>
          <w:sz w:val="19"/>
          <w:szCs w:val="19"/>
          <w:color w:val="auto"/>
        </w:rPr>
        <w:t>At every meeting of stockholders the presiding officer shall be the Chairman of the Board, or in the event of his or her absence or disability, a presiding officer chosen by resolution of the Board. The Secretary, or in the event of his or her absence or disability, the Assistant Secretary, if any, or if there be no Assistant Secretary, in the absence of the Secretary, an appointee of the presiding officer, shall act as secretary of the meeting. The Board may make such rules or regulations for the conduct of meetings of stockholders as it shall deem necessary, appropriate or convenient. Subject to any such rules and regulations, the presiding officer of any meeting shall have the right and authority to prescribe rules, regulations and procedures for such meeting and to take all such actions as in the judgment of the presiding officer are appropriate for the proper conduct of such meetings. Such rules, regulations or procedures, whether adopted by the Board or prescribed by the presiding officer of the meeting, may include, without limitation, the following: (</w:t>
      </w:r>
      <w:r>
        <w:rPr>
          <w:rFonts w:ascii="Arial" w:cs="Arial" w:eastAsia="Arial" w:hAnsi="Arial"/>
          <w:sz w:val="19"/>
          <w:szCs w:val="19"/>
          <w:u w:val="single" w:color="auto"/>
          <w:color w:val="auto"/>
        </w:rPr>
        <w:t>i</w:t>
      </w:r>
      <w:r>
        <w:rPr>
          <w:rFonts w:ascii="Arial" w:cs="Arial" w:eastAsia="Arial" w:hAnsi="Arial"/>
          <w:sz w:val="19"/>
          <w:szCs w:val="19"/>
          <w:color w:val="auto"/>
        </w:rPr>
        <w:t>) the establishment of an agenda or order of business for the meeting; (</w:t>
      </w:r>
      <w:r>
        <w:rPr>
          <w:rFonts w:ascii="Arial" w:cs="Arial" w:eastAsia="Arial" w:hAnsi="Arial"/>
          <w:sz w:val="19"/>
          <w:szCs w:val="19"/>
          <w:u w:val="single" w:color="auto"/>
          <w:color w:val="auto"/>
        </w:rPr>
        <w:t>ii</w:t>
      </w:r>
      <w:r>
        <w:rPr>
          <w:rFonts w:ascii="Arial" w:cs="Arial" w:eastAsia="Arial" w:hAnsi="Arial"/>
          <w:sz w:val="19"/>
          <w:szCs w:val="19"/>
          <w:color w:val="auto"/>
        </w:rPr>
        <w:t>) rules and procedures for maintaining order at the meeting and the safety of those present; (</w:t>
      </w:r>
      <w:r>
        <w:rPr>
          <w:rFonts w:ascii="Arial" w:cs="Arial" w:eastAsia="Arial" w:hAnsi="Arial"/>
          <w:sz w:val="19"/>
          <w:szCs w:val="19"/>
          <w:u w:val="single" w:color="auto"/>
          <w:color w:val="auto"/>
        </w:rPr>
        <w:t>iii</w:t>
      </w:r>
      <w:r>
        <w:rPr>
          <w:rFonts w:ascii="Arial" w:cs="Arial" w:eastAsia="Arial" w:hAnsi="Arial"/>
          <w:sz w:val="19"/>
          <w:szCs w:val="19"/>
          <w:color w:val="auto"/>
        </w:rPr>
        <w:t>) limitations on attendance at or participation in the meeting to stockholders of record of the Corporation, their duly authorized and constituted proxies or such other persons as the presiding person of the meeting shall determine; (</w:t>
      </w:r>
      <w:r>
        <w:rPr>
          <w:rFonts w:ascii="Arial" w:cs="Arial" w:eastAsia="Arial" w:hAnsi="Arial"/>
          <w:sz w:val="19"/>
          <w:szCs w:val="19"/>
          <w:u w:val="single" w:color="auto"/>
          <w:color w:val="auto"/>
        </w:rPr>
        <w:t>iv</w:t>
      </w:r>
      <w:r>
        <w:rPr>
          <w:rFonts w:ascii="Arial" w:cs="Arial" w:eastAsia="Arial" w:hAnsi="Arial"/>
          <w:sz w:val="19"/>
          <w:szCs w:val="19"/>
          <w:color w:val="auto"/>
        </w:rPr>
        <w:t>) restrictions on entry to the meeting after the time fixed for the commencement thereof; and (</w:t>
      </w:r>
      <w:r>
        <w:rPr>
          <w:rFonts w:ascii="Arial" w:cs="Arial" w:eastAsia="Arial" w:hAnsi="Arial"/>
          <w:sz w:val="19"/>
          <w:szCs w:val="19"/>
          <w:u w:val="single" w:color="auto"/>
          <w:color w:val="auto"/>
        </w:rPr>
        <w:t>v</w:t>
      </w:r>
      <w:r>
        <w:rPr>
          <w:rFonts w:ascii="Arial" w:cs="Arial" w:eastAsia="Arial" w:hAnsi="Arial"/>
          <w:sz w:val="19"/>
          <w:szCs w:val="19"/>
          <w:color w:val="auto"/>
        </w:rPr>
        <w:t>)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20" w:right="240" w:firstLine="980"/>
        <w:spacing w:after="0" w:line="248" w:lineRule="auto"/>
        <w:tabs>
          <w:tab w:leader="none" w:pos="1438" w:val="left"/>
        </w:tabs>
        <w:numPr>
          <w:ilvl w:val="0"/>
          <w:numId w:val="43"/>
        </w:numPr>
        <w:rPr>
          <w:rFonts w:ascii="Arial" w:cs="Arial" w:eastAsia="Arial" w:hAnsi="Arial"/>
          <w:sz w:val="22"/>
          <w:szCs w:val="22"/>
          <w:color w:val="auto"/>
        </w:rPr>
      </w:pPr>
      <w:r>
        <w:rPr>
          <w:rFonts w:ascii="Arial" w:cs="Arial" w:eastAsia="Arial" w:hAnsi="Arial"/>
          <w:sz w:val="22"/>
          <w:szCs w:val="22"/>
          <w:color w:val="auto"/>
        </w:rPr>
        <w:t>Preceding any meeting of the stockholders, the Board may, and when required by law shall, appoint one or more persons to act as inspectors of elections,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No Director or nominee for the office of Director shall be appointed as an inspector of elections.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w:t>
      </w:r>
    </w:p>
    <w:p>
      <w:pPr>
        <w:spacing w:after="0" w:line="200" w:lineRule="exact"/>
        <w:rPr>
          <w:sz w:val="20"/>
          <w:szCs w:val="20"/>
          <w:color w:val="auto"/>
        </w:rPr>
      </w:pPr>
    </w:p>
    <w:p>
      <w:pPr>
        <w:spacing w:after="0" w:line="20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Stockholder Action by Written Consent</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left="-20" w:right="540" w:firstLine="980"/>
        <w:spacing w:after="0" w:line="320" w:lineRule="auto"/>
        <w:tabs>
          <w:tab w:leader="none" w:pos="1426" w:val="left"/>
        </w:tabs>
        <w:numPr>
          <w:ilvl w:val="0"/>
          <w:numId w:val="44"/>
        </w:numPr>
        <w:rPr>
          <w:rFonts w:ascii="Arial" w:cs="Arial" w:eastAsia="Arial" w:hAnsi="Arial"/>
          <w:sz w:val="19"/>
          <w:szCs w:val="19"/>
          <w:color w:val="auto"/>
        </w:rPr>
      </w:pPr>
      <w:r>
        <w:rPr>
          <w:rFonts w:ascii="Arial" w:cs="Arial" w:eastAsia="Arial" w:hAnsi="Arial"/>
          <w:sz w:val="19"/>
          <w:szCs w:val="19"/>
          <w:color w:val="auto"/>
        </w:rPr>
        <w:t>Until the Effective Date (as such term is defined in the certificate of incorporation) and except as otherwise provided in the certificate of incorporation, any action required or permitted to be taken at an annual or special meeting of the stockholders may be taken without a meeting, without prior notice and without a vote of stockholders, if a consent 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847" w:right="239" w:bottom="1440" w:gutter="0" w:footer="0" w:header="0"/>
        </w:sectPr>
      </w:pPr>
    </w:p>
    <w:bookmarkStart w:id="53" w:name="page54"/>
    <w:bookmarkEnd w:id="53"/>
    <w:p>
      <w:pPr>
        <w:ind w:right="80"/>
        <w:spacing w:after="0" w:line="261" w:lineRule="auto"/>
        <w:rPr>
          <w:sz w:val="20"/>
          <w:szCs w:val="20"/>
          <w:color w:val="auto"/>
        </w:rPr>
      </w:pPr>
      <w:r>
        <w:rPr>
          <w:rFonts w:ascii="Arial" w:cs="Arial" w:eastAsia="Arial" w:hAnsi="Arial"/>
          <w:sz w:val="21"/>
          <w:szCs w:val="21"/>
          <w:color w:val="auto"/>
        </w:rPr>
        <w:t>consents in writing, setting forth the action so taken, are: (</w:t>
      </w:r>
      <w:r>
        <w:rPr>
          <w:rFonts w:ascii="Arial" w:cs="Arial" w:eastAsia="Arial" w:hAnsi="Arial"/>
          <w:sz w:val="21"/>
          <w:szCs w:val="21"/>
          <w:u w:val="single" w:color="auto"/>
          <w:color w:val="auto"/>
        </w:rPr>
        <w:t>i</w:t>
      </w:r>
      <w:r>
        <w:rPr>
          <w:rFonts w:ascii="Arial" w:cs="Arial" w:eastAsia="Arial" w:hAnsi="Arial"/>
          <w:sz w:val="21"/>
          <w:szCs w:val="21"/>
          <w:color w:val="auto"/>
        </w:rPr>
        <w:t>) signed by the holders of outstanding stock having not less than the minimum number of votes that would be necessary to authorize or take such action at a meeting at which all shares entitled to vote thereon were present and voted (but not less than the minimum number of votes otherwise prescribed by law) and (</w:t>
      </w:r>
      <w:r>
        <w:rPr>
          <w:rFonts w:ascii="Arial" w:cs="Arial" w:eastAsia="Arial" w:hAnsi="Arial"/>
          <w:sz w:val="21"/>
          <w:szCs w:val="21"/>
          <w:u w:val="single" w:color="auto"/>
          <w:color w:val="auto"/>
        </w:rPr>
        <w:t>ii</w:t>
      </w:r>
      <w:r>
        <w:rPr>
          <w:rFonts w:ascii="Arial" w:cs="Arial" w:eastAsia="Arial" w:hAnsi="Arial"/>
          <w:sz w:val="21"/>
          <w:szCs w:val="21"/>
          <w:color w:val="auto"/>
        </w:rPr>
        <w:t>) delivered to the Corporation by delivery to its registered office in the State of Delaware, its principal place of business, or an officer or agent of the Corporation having custody of the book in which proceedings of meetings of stockholders are recorded within 60 days of the earliest dated consent so delivered to the Corporation.</w:t>
      </w:r>
    </w:p>
    <w:p>
      <w:pPr>
        <w:spacing w:after="0" w:line="396" w:lineRule="exact"/>
        <w:rPr>
          <w:sz w:val="20"/>
          <w:szCs w:val="20"/>
          <w:color w:val="auto"/>
        </w:rPr>
      </w:pPr>
    </w:p>
    <w:p>
      <w:pPr>
        <w:jc w:val="both"/>
        <w:ind w:right="180" w:firstLine="980"/>
        <w:spacing w:after="0" w:line="320" w:lineRule="auto"/>
        <w:tabs>
          <w:tab w:leader="none" w:pos="1458" w:val="left"/>
        </w:tabs>
        <w:numPr>
          <w:ilvl w:val="0"/>
          <w:numId w:val="45"/>
        </w:numPr>
        <w:rPr>
          <w:rFonts w:ascii="Arial" w:cs="Arial" w:eastAsia="Arial" w:hAnsi="Arial"/>
          <w:sz w:val="19"/>
          <w:szCs w:val="19"/>
          <w:color w:val="auto"/>
        </w:rPr>
      </w:pPr>
      <w:r>
        <w:rPr>
          <w:rFonts w:ascii="Arial" w:cs="Arial" w:eastAsia="Arial" w:hAnsi="Arial"/>
          <w:sz w:val="19"/>
          <w:szCs w:val="19"/>
          <w:color w:val="auto"/>
        </w:rPr>
        <w:t>From and after the Effective Date and except as otherwise provided in the certificate of incorporation, any action required or permitted to be taken at any annual or special meeting of stockholders of the Corporation may be taken only upon the vote of the stockholders at an annual or special meeting duly called and may not be taken by written consent of the stockholders.</w:t>
      </w:r>
    </w:p>
    <w:p>
      <w:pPr>
        <w:spacing w:after="0" w:line="341" w:lineRule="exact"/>
        <w:rPr>
          <w:rFonts w:ascii="Arial" w:cs="Arial" w:eastAsia="Arial" w:hAnsi="Arial"/>
          <w:sz w:val="19"/>
          <w:szCs w:val="19"/>
          <w:color w:val="auto"/>
        </w:rPr>
      </w:pPr>
    </w:p>
    <w:p>
      <w:pPr>
        <w:ind w:firstLine="980"/>
        <w:spacing w:after="0" w:line="260" w:lineRule="auto"/>
        <w:tabs>
          <w:tab w:leader="none" w:pos="1446" w:val="left"/>
        </w:tabs>
        <w:numPr>
          <w:ilvl w:val="0"/>
          <w:numId w:val="45"/>
        </w:numPr>
        <w:rPr>
          <w:rFonts w:ascii="Arial" w:cs="Arial" w:eastAsia="Arial" w:hAnsi="Arial"/>
          <w:sz w:val="21"/>
          <w:szCs w:val="21"/>
          <w:color w:val="auto"/>
        </w:rPr>
      </w:pPr>
      <w:r>
        <w:rPr>
          <w:rFonts w:ascii="Arial" w:cs="Arial" w:eastAsia="Arial" w:hAnsi="Arial"/>
          <w:sz w:val="21"/>
          <w:szCs w:val="21"/>
          <w:color w:val="auto"/>
        </w:rPr>
        <w:t>If a stockholder action by written consent is permitted under these bylaws and the certificate of incorporation, and the Board has not fixed a record date for the purpose of determining the stockholders entitled to participate in such consent to be given, then: (</w:t>
      </w:r>
      <w:r>
        <w:rPr>
          <w:rFonts w:ascii="Arial" w:cs="Arial" w:eastAsia="Arial" w:hAnsi="Arial"/>
          <w:sz w:val="21"/>
          <w:szCs w:val="21"/>
          <w:u w:val="single" w:color="auto"/>
          <w:color w:val="auto"/>
        </w:rPr>
        <w:t>i</w:t>
      </w:r>
      <w:r>
        <w:rPr>
          <w:rFonts w:ascii="Arial" w:cs="Arial" w:eastAsia="Arial" w:hAnsi="Arial"/>
          <w:sz w:val="21"/>
          <w:szCs w:val="21"/>
          <w:color w:val="auto"/>
        </w:rPr>
        <w:t>) if the DGCL does not require action by the Board prior to the proposed stockholder action, the record date shall be the first date on which a signed written consent setting forth the action taken or proposed to be taken is delivered to the Corporation at any of the locations referred to in Section 1.11(a)(ii) of these bylaws; and (</w:t>
      </w:r>
      <w:r>
        <w:rPr>
          <w:rFonts w:ascii="Arial" w:cs="Arial" w:eastAsia="Arial" w:hAnsi="Arial"/>
          <w:sz w:val="21"/>
          <w:szCs w:val="21"/>
          <w:u w:val="single" w:color="auto"/>
          <w:color w:val="auto"/>
        </w:rPr>
        <w:t>ii</w:t>
      </w:r>
      <w:r>
        <w:rPr>
          <w:rFonts w:ascii="Arial" w:cs="Arial" w:eastAsia="Arial" w:hAnsi="Arial"/>
          <w:sz w:val="21"/>
          <w:szCs w:val="21"/>
          <w:color w:val="auto"/>
        </w:rPr>
        <w:t>) if the DGCL requires action by the Board prior to the proposed stockholder action, the record date shall be at the close of business on the day on which the Board adopts the resolution taking such prior action. Every written consent to action without a meeting shall bear the date of signature of each stockholder who signs the consent, and shall be valid if timely delivered to the Corporation at any of the locations referred to in Section 1.11(a)(ii) of these bylaws.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firstLine="980"/>
        <w:spacing w:after="0" w:line="307" w:lineRule="auto"/>
        <w:tabs>
          <w:tab w:leader="none" w:pos="1458"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Secretary shall give prompt notice of the taking of an action without a meeting by less than unanimous written consent to those stockholders who have not consented in writing and who, if the action had been taken at a meeting, would have been entitled to notice of the meeting if the record date for such meeting had been the date that written consents signed by a sufficient number of stockholders to take the action were delivered to the Corporation in accordance with the DGCL.</w:t>
      </w:r>
    </w:p>
    <w:p>
      <w:pPr>
        <w:spacing w:after="0" w:line="35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Notice of Stockholder Proposals and Nominations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left="1460" w:hanging="480"/>
        <w:spacing w:after="0"/>
        <w:tabs>
          <w:tab w:leader="none" w:pos="14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Annual Meetings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60" w:firstLine="980"/>
        <w:spacing w:after="0" w:line="250" w:lineRule="auto"/>
        <w:tabs>
          <w:tab w:leader="none" w:pos="1410"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Nominations of persons for election to the Board and proposals of business to be considered by the stockholders at an annual meeting of stockholders may be made only (x) as specified in the Corporation’s notice of meeting (or any notice supplemental thereto), (y) by or at the direction of the Board, or a committee appointed by the Board for such purpose, or (z) subject to the provisions of the Amended and Restated Stockholders Agreement among the Corporation and certain of its stockholders, dated as of November 8, 2010 (as amended from time to time, the “</w:t>
      </w:r>
      <w:r>
        <w:rPr>
          <w:rFonts w:ascii="Arial" w:cs="Arial" w:eastAsia="Arial" w:hAnsi="Arial"/>
          <w:sz w:val="22"/>
          <w:szCs w:val="22"/>
          <w:u w:val="single" w:color="auto"/>
          <w:color w:val="auto"/>
        </w:rPr>
        <w:t>Stockholders Agreement</w:t>
      </w:r>
      <w:r>
        <w:rPr>
          <w:rFonts w:ascii="Arial" w:cs="Arial" w:eastAsia="Arial" w:hAnsi="Arial"/>
          <w:sz w:val="22"/>
          <w:szCs w:val="22"/>
          <w:color w:val="auto"/>
        </w:rPr>
        <w:t>”), by any stockholder of the Corporation who 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847" w:right="259" w:bottom="1440" w:gutter="0" w:footer="0" w:header="0"/>
        </w:sectPr>
      </w:pPr>
    </w:p>
    <w:bookmarkStart w:id="54" w:name="page55"/>
    <w:bookmarkEnd w:id="54"/>
    <w:p>
      <w:pPr>
        <w:jc w:val="both"/>
        <w:ind w:right="40"/>
        <w:spacing w:after="0" w:line="253" w:lineRule="auto"/>
        <w:rPr>
          <w:sz w:val="20"/>
          <w:szCs w:val="20"/>
          <w:color w:val="auto"/>
        </w:rPr>
      </w:pPr>
      <w:r>
        <w:rPr>
          <w:rFonts w:ascii="Arial" w:cs="Arial" w:eastAsia="Arial" w:hAnsi="Arial"/>
          <w:sz w:val="22"/>
          <w:szCs w:val="22"/>
          <w:color w:val="auto"/>
        </w:rPr>
        <w:t>which (1) is entitled to vote at the meeting, (2) complies in a timely manner with all notice procedures set forth in this Section 1.12, and (3) is a stockholder of record when the required notice is delivered and at the date of the meeting. A stockholder proposal must constitute a proper matter for corporate action under the DGCL.</w:t>
      </w:r>
    </w:p>
    <w:p>
      <w:pPr>
        <w:spacing w:after="0" w:line="200" w:lineRule="exact"/>
        <w:rPr>
          <w:sz w:val="20"/>
          <w:szCs w:val="20"/>
          <w:color w:val="auto"/>
        </w:rPr>
      </w:pPr>
    </w:p>
    <w:p>
      <w:pPr>
        <w:spacing w:after="0" w:line="202" w:lineRule="exact"/>
        <w:rPr>
          <w:sz w:val="20"/>
          <w:szCs w:val="20"/>
          <w:color w:val="auto"/>
        </w:rPr>
      </w:pPr>
    </w:p>
    <w:p>
      <w:pPr>
        <w:ind w:firstLine="980"/>
        <w:spacing w:after="0" w:line="288" w:lineRule="auto"/>
        <w:tabs>
          <w:tab w:leader="none" w:pos="1470"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Notice in writing of a stockholder nomination or stockholder proposal must be delivered to the attention of the Secretary at the principal place of business of the Corporation not fewer than 90 days nor more than 120 days prior to the first anniversary of the preceding year’s annual meeting (which anniversary date, in the case of the first annual meeting of stockholders following the closing of the Corporation’s initial underwritten public offering of common stock, shall be deemed to be August 15, 2011)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date of the annual meeting is advanced by more than 30 days or delayed by more than 70 days from such anniversary date of the preceding year’s annual meeting, notice by the stockholder to be timely must be so delivered not earlier than 120 days prior to such annual meeting and not later than the close of business on the later of the 90th day prior to such annual meeting or the 10th day following the day on which public announcement of the date of such meeting is first made. If the number of Directors to be elected to the Board at an annual meeting is increased, and if the Corporation does not make a public announcement naming all of the nominees for Director or specifying the size of the increased Board at least 100 days prior to the first anniversary of the preceding year’s annual meeting, then any stockholder nomination in respect of the increased number of positions shall be considered timely if delivered not later than the close of business on the 10th day following the day on which a public announcement naming all nominees or specifying the size of the increased Board is first made by the Corporation.</w:t>
      </w:r>
    </w:p>
    <w:p>
      <w:pPr>
        <w:spacing w:after="0" w:line="373" w:lineRule="exact"/>
        <w:rPr>
          <w:rFonts w:ascii="Arial" w:cs="Arial" w:eastAsia="Arial" w:hAnsi="Arial"/>
          <w:sz w:val="19"/>
          <w:szCs w:val="19"/>
          <w:color w:val="auto"/>
        </w:rPr>
      </w:pPr>
    </w:p>
    <w:p>
      <w:pPr>
        <w:ind w:right="100" w:firstLine="980"/>
        <w:spacing w:after="0" w:line="290" w:lineRule="auto"/>
        <w:tabs>
          <w:tab w:leader="none" w:pos="1530"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Notice of a stockholder nomination shall include, as to each person whom the stockholder proposes to nominate for election or re-election as a Director, all information relating to such person required to be disclosed in solicitations of proxies for election of Directors or is otherwise required, in each case pursuant to and in accordance with Section 14(a)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the rules and regulations promulgated thereunder, including such person’s written consent to being named in the proxy statement as a nominee and to serving as a Director if elected. Notice of a stockholder proposal shall include a brief description of the business desired to be brought before the meeting, the text of the proposal (including the text of any resolutions proposed for consideration and if such business includes proposed amendments to the certificate of incorporation and/or bylaws of the Corporation, the text of the proposed amendments), the reasons for conducting such business at the meeting and any material interest in such business of such stockholder and the beneficial owner, if any, on whose behalf the proposal is made.</w:t>
      </w:r>
    </w:p>
    <w:p>
      <w:pPr>
        <w:spacing w:after="0" w:line="371" w:lineRule="exact"/>
        <w:rPr>
          <w:rFonts w:ascii="Arial" w:cs="Arial" w:eastAsia="Arial" w:hAnsi="Arial"/>
          <w:sz w:val="19"/>
          <w:szCs w:val="19"/>
          <w:color w:val="auto"/>
        </w:rPr>
      </w:pPr>
    </w:p>
    <w:p>
      <w:pPr>
        <w:ind w:right="80" w:firstLine="980"/>
        <w:spacing w:after="0" w:line="276" w:lineRule="auto"/>
        <w:tabs>
          <w:tab w:leader="none" w:pos="1518"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Notice of a stockholder nomination or proposal shall also set forth, as to the stockholder giving the notice and the beneficial owner, if any, on whose behalf the nomination or proposal is made:</w:t>
      </w:r>
    </w:p>
    <w:p>
      <w:pPr>
        <w:spacing w:after="0" w:line="377" w:lineRule="exact"/>
        <w:rPr>
          <w:sz w:val="20"/>
          <w:szCs w:val="20"/>
          <w:color w:val="auto"/>
        </w:rPr>
      </w:pPr>
    </w:p>
    <w:p>
      <w:pPr>
        <w:ind w:right="540" w:firstLine="980"/>
        <w:spacing w:after="0" w:line="276" w:lineRule="auto"/>
        <w:tabs>
          <w:tab w:leader="none" w:pos="1369"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name and address of such stockholder, as they appear on the Corporation’s books and records, and of such beneficial owner;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7" w:right="239" w:bottom="1440" w:gutter="0" w:footer="0" w:header="0"/>
        </w:sectPr>
      </w:pPr>
    </w:p>
    <w:bookmarkStart w:id="55" w:name="page56"/>
    <w:bookmarkEnd w:id="55"/>
    <w:p>
      <w:pPr>
        <w:ind w:right="360" w:firstLine="980"/>
        <w:spacing w:after="0" w:line="276" w:lineRule="auto"/>
        <w:tabs>
          <w:tab w:leader="none" w:pos="1369"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class or series and number of shares of capital stock of the Corporation which are owned beneficially and of record by such stockholder and such beneficial owner;</w:t>
      </w:r>
    </w:p>
    <w:p>
      <w:pPr>
        <w:spacing w:after="0" w:line="377" w:lineRule="exact"/>
        <w:rPr>
          <w:rFonts w:ascii="Arial" w:cs="Arial" w:eastAsia="Arial" w:hAnsi="Arial"/>
          <w:sz w:val="22"/>
          <w:szCs w:val="22"/>
          <w:color w:val="auto"/>
        </w:rPr>
      </w:pPr>
    </w:p>
    <w:p>
      <w:pPr>
        <w:ind w:right="320" w:firstLine="980"/>
        <w:spacing w:after="0" w:line="260" w:lineRule="auto"/>
        <w:tabs>
          <w:tab w:leader="none" w:pos="1369"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393" w:lineRule="exact"/>
        <w:rPr>
          <w:rFonts w:ascii="Arial" w:cs="Arial" w:eastAsia="Arial" w:hAnsi="Arial"/>
          <w:sz w:val="22"/>
          <w:szCs w:val="22"/>
          <w:color w:val="auto"/>
        </w:rPr>
      </w:pPr>
    </w:p>
    <w:p>
      <w:pPr>
        <w:ind w:right="60" w:firstLine="980"/>
        <w:spacing w:after="0" w:line="297" w:lineRule="auto"/>
        <w:tabs>
          <w:tab w:leader="none" w:pos="1369"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Corporation’s securities (a “</w:t>
      </w:r>
      <w:r>
        <w:rPr>
          <w:rFonts w:ascii="Arial" w:cs="Arial" w:eastAsia="Arial" w:hAnsi="Arial"/>
          <w:sz w:val="19"/>
          <w:szCs w:val="19"/>
          <w:u w:val="single" w:color="auto"/>
          <w:color w:val="auto"/>
        </w:rPr>
        <w:t>Derivative Instrument</w:t>
      </w:r>
      <w:r>
        <w:rPr>
          <w:rFonts w:ascii="Arial" w:cs="Arial" w:eastAsia="Arial" w:hAnsi="Arial"/>
          <w:sz w:val="19"/>
          <w:szCs w:val="19"/>
          <w:color w:val="auto"/>
        </w:rPr>
        <w:t>”);</w:t>
      </w:r>
    </w:p>
    <w:p>
      <w:pPr>
        <w:spacing w:after="0" w:line="363" w:lineRule="exact"/>
        <w:rPr>
          <w:rFonts w:ascii="Arial" w:cs="Arial" w:eastAsia="Arial" w:hAnsi="Arial"/>
          <w:sz w:val="19"/>
          <w:szCs w:val="19"/>
          <w:color w:val="auto"/>
        </w:rPr>
      </w:pPr>
    </w:p>
    <w:p>
      <w:pPr>
        <w:ind w:right="120" w:firstLine="980"/>
        <w:spacing w:after="0" w:line="251" w:lineRule="auto"/>
        <w:tabs>
          <w:tab w:leader="none" w:pos="1369"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the extent not disclosed pursuant to clause (4) above, the principal amount of any indebtedness of the Corporation or any of its subsidiaries beneficially owned by such stockholder or by any such beneficial owner, together with the title of the instrument under which such indebtedness was issued and a description of any Derivative Instrument entered into by or on behalf of such stockholder or such beneficial owner relating to the value or payment of any indebtedness of the Corporation or any such subsidiary;</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700" w:firstLine="980"/>
        <w:spacing w:after="0" w:line="358" w:lineRule="auto"/>
        <w:tabs>
          <w:tab w:leader="none" w:pos="1369"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representation that the stockholder is a holder of record of stock of the Corporation entitled to vote at such meeting and intends to appear in person or by proxy at the meeting to propose such business or nomination; and</w:t>
      </w:r>
    </w:p>
    <w:p>
      <w:pPr>
        <w:spacing w:after="0" w:line="307" w:lineRule="exact"/>
        <w:rPr>
          <w:rFonts w:ascii="Arial" w:cs="Arial" w:eastAsia="Arial" w:hAnsi="Arial"/>
          <w:sz w:val="19"/>
          <w:szCs w:val="19"/>
          <w:color w:val="auto"/>
        </w:rPr>
      </w:pPr>
    </w:p>
    <w:p>
      <w:pPr>
        <w:ind w:right="160" w:firstLine="980"/>
        <w:spacing w:after="0" w:line="254" w:lineRule="auto"/>
        <w:tabs>
          <w:tab w:leader="none" w:pos="1369"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representation as to whether the stockholder or the beneficial owner, if any, intends or is part of a group which intends (x) to deliver a proxy statement and/or form of proxy to holders of at least the percentage of the Corporation’s outstanding capital stock required to elect the nominee or to approve or adopt the proposal or and/or (y) otherwise to solicit proxies from stockholders in support of such nomination or proposal.</w:t>
      </w:r>
    </w:p>
    <w:p>
      <w:pPr>
        <w:spacing w:after="0" w:line="200" w:lineRule="exact"/>
        <w:rPr>
          <w:sz w:val="20"/>
          <w:szCs w:val="20"/>
          <w:color w:val="auto"/>
        </w:rPr>
      </w:pPr>
    </w:p>
    <w:p>
      <w:pPr>
        <w:spacing w:after="0" w:line="201"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If requested by the Corporation, the information required under clauses (iv)(2), (3), (4) and (5) of the preceding sentence of this Section 1.12(a) shall be supplemented by such stockholder and any such beneficial owner not later than 10 days after the record date for notice of the meeting to disclose such information as of such record date. The foregoing notice requirements of this Section 1.12(a) shall be deemed satisfied by a stockholder with respect to business or a nomination if the stockholder has notified the Corporation of his or her intention to present a proposal or make a nomination at an annual meeting in compliance with the applicable rules and regulations promulgated under the Exchange Act and such stockholder’s proposal or nomination has been included in a proxy statement that has been prepared by the Corporation to solicit proxies for such annual meeting.</w:t>
      </w:r>
    </w:p>
    <w:p>
      <w:pPr>
        <w:spacing w:after="0" w:line="368" w:lineRule="exact"/>
        <w:rPr>
          <w:sz w:val="20"/>
          <w:szCs w:val="20"/>
          <w:color w:val="auto"/>
        </w:rPr>
      </w:pPr>
    </w:p>
    <w:p>
      <w:pPr>
        <w:ind w:left="1460" w:hanging="480"/>
        <w:spacing w:after="0"/>
        <w:tabs>
          <w:tab w:leader="none" w:pos="14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Special Meetings.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847" w:right="259" w:bottom="1440" w:gutter="0" w:footer="0" w:header="0"/>
        </w:sectPr>
      </w:pPr>
    </w:p>
    <w:bookmarkStart w:id="56" w:name="page57"/>
    <w:bookmarkEnd w:id="56"/>
    <w:p>
      <w:pPr>
        <w:ind w:left="-20" w:right="40" w:firstLine="980"/>
        <w:spacing w:after="0" w:line="290" w:lineRule="auto"/>
        <w:tabs>
          <w:tab w:leader="none" w:pos="1390" w:val="left"/>
        </w:tabs>
        <w:numPr>
          <w:ilvl w:val="0"/>
          <w:numId w:val="52"/>
        </w:numPr>
        <w:rPr>
          <w:rFonts w:ascii="Arial" w:cs="Arial" w:eastAsia="Arial" w:hAnsi="Arial"/>
          <w:sz w:val="19"/>
          <w:szCs w:val="19"/>
          <w:color w:val="auto"/>
        </w:rPr>
      </w:pPr>
      <w:r>
        <w:rPr>
          <w:rFonts w:ascii="Arial" w:cs="Arial" w:eastAsia="Arial" w:hAnsi="Arial"/>
          <w:sz w:val="19"/>
          <w:szCs w:val="19"/>
          <w:color w:val="auto"/>
        </w:rPr>
        <w:t>Only such business shall be conducted at a special meeting of stockholders as shall have been brought before the meeting pursuant to the Corporation’s notice of meeting pursuant to Section 1.04 of these bylaws. Nominations of persons for election to the Board at a special meeting of stockholders may be made only (x) as specified in the Corporation’s notice of meeting (or any supplement thereto), (y) by or at the direction of the Board, or a committee appointed by the Board for such purpose, if the Corporation’s notice of meeting indicated that the purposes of meeting included the election of Directors and specified the number of Directors to be elected, or (z) subject to the provisions of these bylaws, by any stockholder of the Corporation. Subject to the provisions of the Stockholders Agreement, a stockholder may nominate persons for election to the board (a “</w:t>
      </w:r>
      <w:r>
        <w:rPr>
          <w:rFonts w:ascii="Arial" w:cs="Arial" w:eastAsia="Arial" w:hAnsi="Arial"/>
          <w:sz w:val="19"/>
          <w:szCs w:val="19"/>
          <w:u w:val="single" w:color="auto"/>
          <w:color w:val="auto"/>
        </w:rPr>
        <w:t>stockholder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nomination</w:t>
      </w:r>
      <w:r>
        <w:rPr>
          <w:rFonts w:ascii="Arial" w:cs="Arial" w:eastAsia="Arial" w:hAnsi="Arial"/>
          <w:sz w:val="19"/>
          <w:szCs w:val="19"/>
          <w:color w:val="auto"/>
        </w:rPr>
        <w:t>”) at a special meeting only if the stockholder (1) is entitled to vote at the meeting, (2) complies in a timely manner with the notice procedures set forth in paragraph (ii) of this Section 1.12(b), and (3) is a stockholder of record when the required notice is delivered and at the date of the meeting.</w:t>
      </w:r>
    </w:p>
    <w:p>
      <w:pPr>
        <w:spacing w:after="0" w:line="371" w:lineRule="exact"/>
        <w:rPr>
          <w:rFonts w:ascii="Arial" w:cs="Arial" w:eastAsia="Arial" w:hAnsi="Arial"/>
          <w:sz w:val="19"/>
          <w:szCs w:val="19"/>
          <w:color w:val="auto"/>
        </w:rPr>
      </w:pPr>
    </w:p>
    <w:p>
      <w:pPr>
        <w:ind w:left="-20" w:right="20" w:firstLine="980"/>
        <w:spacing w:after="0" w:line="295" w:lineRule="auto"/>
        <w:tabs>
          <w:tab w:leader="none" w:pos="1450"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Notice in writing of a stockholder nomination must be delivered to the attention of the Secretary at the principal place of business of the Corporation not more than 120 days prior to the date of the meeting and not later than the close of business on the later of the 90</w:t>
      </w:r>
      <w:r>
        <w:rPr>
          <w:rFonts w:ascii="Arial" w:cs="Arial" w:eastAsia="Arial" w:hAnsi="Arial"/>
          <w:sz w:val="14"/>
          <w:szCs w:val="14"/>
          <w:color w:val="auto"/>
        </w:rPr>
        <w:t>th</w:t>
      </w:r>
      <w:r>
        <w:rPr>
          <w:rFonts w:ascii="Arial" w:cs="Arial" w:eastAsia="Arial" w:hAnsi="Arial"/>
          <w:sz w:val="19"/>
          <w:szCs w:val="19"/>
          <w:color w:val="auto"/>
        </w:rPr>
        <w:t xml:space="preserve"> day prior to the meeting or the 10th day following the last to occur of the public announcement by the Corporation of the date of such meeting and the public announcement by the Corporation of the nominees proposed by the Board to be elected at such meeting, and must comply with the provisions of Sections 1.12(a)(iii) and (iv) of these bylaws. The foregoing notice requirements of this Section 1.12(b) shall be deemed satisfied by a stockholder with respect to a nomination if the stockholder has notified the Corporation of his or her intention to present a nomination at such special meeting in compliance with the applicable rules and regulations promulgated under the Exchange Act and such stockholder’s nomination has been included in a proxy statement that has been prepared by the Corporation to solicit proxies for such special meeting.</w:t>
      </w:r>
    </w:p>
    <w:p>
      <w:pPr>
        <w:spacing w:after="0" w:line="365" w:lineRule="exact"/>
        <w:rPr>
          <w:sz w:val="20"/>
          <w:szCs w:val="20"/>
          <w:color w:val="auto"/>
        </w:rPr>
      </w:pPr>
    </w:p>
    <w:p>
      <w:pPr>
        <w:ind w:left="1440" w:hanging="480"/>
        <w:spacing w:after="0"/>
        <w:tabs>
          <w:tab w:leader="none" w:pos="14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20" w:firstLine="980"/>
        <w:spacing w:after="0" w:line="291" w:lineRule="auto"/>
        <w:tabs>
          <w:tab w:leader="none" w:pos="139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Except as otherwise expressly provided in any applicable rule or regulation promulgated under the Exchange Act, only such persons who are nominated in accordance with the procedures set forth in this Section 1.12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1.12. Except as otherwise provided by law, the certificate of incorporation or these bylaws, the presiding officer of a meeting of stockholders shall have the power and duty (x) to determine whether a nomination or any business proposed to be brought before the meeting was made in accordance with the procedures set forth in this Section 1.12, and (y) if any proposed nomination or business is not in compliance with this Section 1.12, to declare that such defective nomination shall be disregarded or that such proposed business shall not be transacted.</w:t>
      </w:r>
    </w:p>
    <w:p>
      <w:pPr>
        <w:spacing w:after="0" w:line="370" w:lineRule="exact"/>
        <w:rPr>
          <w:rFonts w:ascii="Arial" w:cs="Arial" w:eastAsia="Arial" w:hAnsi="Arial"/>
          <w:sz w:val="19"/>
          <w:szCs w:val="19"/>
          <w:color w:val="auto"/>
        </w:rPr>
      </w:pPr>
    </w:p>
    <w:p>
      <w:pPr>
        <w:ind w:left="-20" w:right="120" w:firstLine="980"/>
        <w:spacing w:after="0" w:line="276" w:lineRule="auto"/>
        <w:tabs>
          <w:tab w:leader="none" w:pos="145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Corporation may require any proposed stockholder nominee for Director to furnish such other information as it may reasonably require to determine the eligibility of such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60" w:top="847" w:right="239" w:bottom="1440" w:gutter="0" w:footer="0" w:header="0"/>
        </w:sectPr>
      </w:pPr>
    </w:p>
    <w:bookmarkStart w:id="57" w:name="page58"/>
    <w:bookmarkEnd w:id="57"/>
    <w:p>
      <w:pPr>
        <w:ind w:right="180"/>
        <w:spacing w:after="0" w:line="290" w:lineRule="auto"/>
        <w:rPr>
          <w:sz w:val="20"/>
          <w:szCs w:val="20"/>
          <w:color w:val="auto"/>
        </w:rPr>
      </w:pPr>
      <w:r>
        <w:rPr>
          <w:rFonts w:ascii="Arial" w:cs="Arial" w:eastAsia="Arial" w:hAnsi="Arial"/>
          <w:sz w:val="19"/>
          <w:szCs w:val="19"/>
          <w:color w:val="auto"/>
        </w:rPr>
        <w:t>proposed nominee to serve as a Director of the Corporation. If the stockholder (or a qualified representative of the stockholder) making a nomination or proposal under this Section 1.12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For purposes of this Section 1.12,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373" w:lineRule="exact"/>
        <w:rPr>
          <w:sz w:val="20"/>
          <w:szCs w:val="20"/>
          <w:color w:val="auto"/>
        </w:rPr>
      </w:pPr>
    </w:p>
    <w:p>
      <w:pPr>
        <w:jc w:val="both"/>
        <w:ind w:firstLine="980"/>
        <w:spacing w:after="0" w:line="320" w:lineRule="auto"/>
        <w:tabs>
          <w:tab w:leader="none" w:pos="1530" w:val="left"/>
        </w:tabs>
        <w:numPr>
          <w:ilvl w:val="1"/>
          <w:numId w:val="55"/>
        </w:numPr>
        <w:rPr>
          <w:rFonts w:ascii="Arial" w:cs="Arial" w:eastAsia="Arial" w:hAnsi="Arial"/>
          <w:sz w:val="19"/>
          <w:szCs w:val="19"/>
          <w:color w:val="auto"/>
        </w:rPr>
      </w:pPr>
      <w:r>
        <w:rPr>
          <w:rFonts w:ascii="Arial" w:cs="Arial" w:eastAsia="Arial" w:hAnsi="Arial"/>
          <w:sz w:val="19"/>
          <w:szCs w:val="19"/>
          <w:color w:val="auto"/>
        </w:rPr>
        <w:t>For purposes of this Section 1.12, “</w:t>
      </w:r>
      <w:r>
        <w:rPr>
          <w:rFonts w:ascii="Arial" w:cs="Arial" w:eastAsia="Arial" w:hAnsi="Arial"/>
          <w:sz w:val="19"/>
          <w:szCs w:val="19"/>
          <w:u w:val="single" w:color="auto"/>
          <w:color w:val="auto"/>
        </w:rPr>
        <w:t>public announcement</w:t>
      </w:r>
      <w:r>
        <w:rPr>
          <w:rFonts w:ascii="Arial" w:cs="Arial" w:eastAsia="Arial" w:hAnsi="Arial"/>
          <w:sz w:val="19"/>
          <w:szCs w:val="19"/>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341" w:lineRule="exact"/>
        <w:rPr>
          <w:rFonts w:ascii="Arial" w:cs="Arial" w:eastAsia="Arial" w:hAnsi="Arial"/>
          <w:sz w:val="19"/>
          <w:szCs w:val="19"/>
          <w:color w:val="auto"/>
        </w:rPr>
      </w:pPr>
    </w:p>
    <w:p>
      <w:pPr>
        <w:ind w:right="40" w:firstLine="980"/>
        <w:spacing w:after="0" w:line="287" w:lineRule="auto"/>
        <w:tabs>
          <w:tab w:leader="none" w:pos="1518" w:val="left"/>
        </w:tabs>
        <w:numPr>
          <w:ilvl w:val="1"/>
          <w:numId w:val="55"/>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1.12, a stockholder shall also comply with all applicable requirements of the Exchange Act and the rules and regulations thereunder with respect to the matters set forth in this Section 1.12;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1.12 and compliance with paragraphs (a) and (b) of this Section 1.12 shall be the exclusive means for a stockholder to make nominations or submit other business (other than, as provided in the last sentences of paragraphs</w:t>
      </w:r>
    </w:p>
    <w:p>
      <w:pPr>
        <w:spacing w:after="0" w:line="3" w:lineRule="exact"/>
        <w:rPr>
          <w:rFonts w:ascii="Arial" w:cs="Arial" w:eastAsia="Arial" w:hAnsi="Arial"/>
          <w:sz w:val="19"/>
          <w:szCs w:val="19"/>
          <w:color w:val="auto"/>
        </w:rPr>
      </w:pPr>
    </w:p>
    <w:p>
      <w:pPr>
        <w:ind w:right="60" w:firstLine="8"/>
        <w:spacing w:after="0" w:line="258" w:lineRule="auto"/>
        <w:tabs>
          <w:tab w:leader="none" w:pos="294"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and (b) hereof, business or nominations brought properly under and in compliance with Rule 14a-8 or Rule 14a-11 of the Exchange Act, as such Rules may be amended from time to time). Nothing in this Section 1.12 shall be deemed to affect any rights of (x) stockholders to request inclusion of proposals in the Corporation’s proxy statement pursuant to Rule 14a-8 under the Exchange Act or (y) the holders of any series of preferred stock to elect Directors pursuant to any applicable provisions of the certificate of incorporation or of the relevant preferred stock certificate or designation.</w:t>
      </w:r>
    </w:p>
    <w:p>
      <w:pPr>
        <w:spacing w:after="0" w:line="399" w:lineRule="exact"/>
        <w:rPr>
          <w:rFonts w:ascii="Arial" w:cs="Arial" w:eastAsia="Arial" w:hAnsi="Arial"/>
          <w:sz w:val="21"/>
          <w:szCs w:val="21"/>
          <w:color w:val="auto"/>
        </w:rPr>
      </w:pPr>
    </w:p>
    <w:p>
      <w:pPr>
        <w:ind w:right="40" w:firstLine="980"/>
        <w:spacing w:after="0" w:line="358" w:lineRule="auto"/>
        <w:tabs>
          <w:tab w:leader="none" w:pos="1458"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announcement of an adjournment or postponement of an annual or special meeting does not commence a new time period (and does not extend any time period) for the giving of notice of a stockholder nomination or a stockholder proposal.</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20" w:firstLine="648"/>
        <w:spacing w:after="0" w:line="254"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General Powers</w:t>
      </w:r>
      <w:r>
        <w:rPr>
          <w:rFonts w:ascii="Arial" w:cs="Arial" w:eastAsia="Arial" w:hAnsi="Arial"/>
          <w:sz w:val="22"/>
          <w:szCs w:val="22"/>
          <w:color w:val="auto"/>
        </w:rPr>
        <w:t>. Except as may otherwise be provided by law or by the certificate of incorporation, the affairs and business of the Corporation shall be managed by or under the direction of the Board and the Board may exercise all the powers and authority of the Corporation. The Directors shall act only as a Board, and the individual Directors shall have no power as such.</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847" w:right="259" w:bottom="1440" w:gutter="0" w:footer="0" w:header="0"/>
        </w:sectPr>
      </w:pPr>
    </w:p>
    <w:bookmarkStart w:id="58" w:name="page59"/>
    <w:bookmarkEnd w:id="58"/>
    <w:p>
      <w:pPr>
        <w:ind w:right="20" w:firstLine="648"/>
        <w:spacing w:after="0" w:line="287"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Number and Term of Office</w:t>
      </w:r>
      <w:r>
        <w:rPr>
          <w:rFonts w:ascii="Arial" w:cs="Arial" w:eastAsia="Arial" w:hAnsi="Arial"/>
          <w:sz w:val="19"/>
          <w:szCs w:val="19"/>
          <w:color w:val="auto"/>
        </w:rPr>
        <w:t xml:space="preserve">. The number of Directors, subject to any rights of the holders of shares of any class or series of preferred stock, shall initially be seven, classified (including Directors in office as of the date hereof) with respect to the time for which they severally hold office into three classes, as nearly equal in number as possible, which number may be modified (but not reduced to less than three) from time to time exclusively by resolution of the Board, subject to the terms of the Stockholders Agreement and any rights of the holders of shares of any class or series of preferred stock, if in effect. One class’s initial term will expire at the first annual meeting of the stockholders following the date hereof, another class’s initial term will expire at the second annual meeting of the stockholders following the date hereof and another class’s initial term will expire at the third annual meeting of stockholders following the date hereof, with Directors of each class to hold office until their successors are duly elected and qualified,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of each Director shall continue until the election and qualification of a successor and be subject to such Director’s earlier death, resignation or removal. At each annual meeting of stockholders of the Corporation beginning with the first annual meeting of stockholders following the date hereof, subject to any rights of the holders of shares of any class or series of preferred stock, the successors of the Directors whose term expires at that meeting shall be elected to hold office for a term expiring at the annual meeting of stockholders held in the third year following the year of their election. In the case of any increase or decrease, from time to time, in the number of Directors of the Corporation, the number of Directors in each class shall be apportioned as nearly equal as possible. No decrease in the number of Directors shall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648"/>
        <w:spacing w:after="0" w:line="263" w:lineRule="auto"/>
        <w:rPr>
          <w:sz w:val="20"/>
          <w:szCs w:val="20"/>
          <w:color w:val="auto"/>
        </w:rPr>
      </w:pPr>
      <w:r>
        <w:rPr>
          <w:rFonts w:ascii="Arial" w:cs="Arial" w:eastAsia="Arial" w:hAnsi="Arial"/>
          <w:sz w:val="20"/>
          <w:szCs w:val="20"/>
          <w:color w:val="auto"/>
        </w:rPr>
        <w:t>At each meeting of the stockholders for the election of Directors, provided a quorum is present, the Directors shall be elected by the vote of the majority of the votes cast with respect to that Director’s election; provided, however, that the Directors shall be elected by the vote of a plurality of votes cast in connection with the election of Directors at any meeting of stockholders with respect to which (i) a stockholder has nominated a person for election to the Board in compliance with the requirements for stockholder nominees for director set forth in Section 1.12 of these bylaws, and (ii) such nomination has not been withdrawn by such stockholder prior to the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preceding the date the Corporation first mails its notice of meeting for such meeting to the stockholders (a “Contested Election”). For purposes of this Section, “a majority of the votes cast” means that the number of shares voted “for” a nominee’s election exceeds the number of shares voted “against” such nominee’s election (with “abstentions” and “broker nonvotes” not counted as a vote cast either “for” or “against” that Director’s election).</w:t>
      </w:r>
    </w:p>
    <w:p>
      <w:pPr>
        <w:spacing w:after="0" w:line="398"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Any nominee who is an incumbent Director and does not receive a majority of the votes cast in an election that is not a Contested Election must promptly tender his or her resignation contingent on the acceptance of that resignation by the Board to the Chairman of the Board following certification of the election results. In the event that such a resignation is tendered, the Nominating and Corporate Governance Committee, or another duly authorized committee designated by the Board, shall recommend to the Board whether to accept or reject the tendered resignation or whether other action should be taken. The Board shall act on the resignation, considering the Nominating and Corporate Governance Committee’s recommendation no later than at its first regularly scheduled meeting following certification of the election results and shall publicly disclose the Board’s decision (including, if applicable, the reasons for rejecting the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40"/>
          </w:cols>
          <w:pgMar w:left="240" w:top="847" w:right="31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tendered resignation) in a periodic or current report filed with the Securities and Exchange Commission.</w:t>
      </w:r>
    </w:p>
    <w:p>
      <w:pPr>
        <w:spacing w:after="0" w:line="200" w:lineRule="exact"/>
        <w:rPr>
          <w:sz w:val="20"/>
          <w:szCs w:val="20"/>
          <w:color w:val="auto"/>
        </w:rPr>
      </w:pPr>
    </w:p>
    <w:p>
      <w:pPr>
        <w:spacing w:after="0" w:line="23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If one or more Directors’ resignations are accepted by the Board, or if a nominee for director who is not an incumbent director is not elected, the Board may fill the resulting vacancy or vacancies pursuant to Section 2.13 of these Bylaws or reduce the size of the Board pursuant to Section 2.02 of these Bylaws.</w:t>
      </w:r>
    </w:p>
    <w:p>
      <w:pPr>
        <w:spacing w:after="0" w:line="200" w:lineRule="exact"/>
        <w:rPr>
          <w:sz w:val="20"/>
          <w:szCs w:val="20"/>
          <w:color w:val="auto"/>
        </w:rPr>
      </w:pPr>
    </w:p>
    <w:p>
      <w:pPr>
        <w:spacing w:after="0" w:line="20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Any Director who tenders his or her resignation pursuant to this provision will not participate in the Nominating and Corporate Governance Committee’s recommendation or Board’s decision regarding the tendered resignation. If a majority of the members of the Nominating and Corporate Governance Committee failed to receive a majority vote at the same election, then the Board will appoint a Board committee solely for the purpose of considering the tendered resignations, consisting of one or more of the Directors who were not required to tender a resignation pursuant to this provision, and will recommend to the Board whether to accept or reject them.</w:t>
      </w:r>
    </w:p>
    <w:p>
      <w:pPr>
        <w:spacing w:after="0" w:line="200" w:lineRule="exact"/>
        <w:rPr>
          <w:sz w:val="20"/>
          <w:szCs w:val="20"/>
          <w:color w:val="auto"/>
        </w:rPr>
      </w:pPr>
    </w:p>
    <w:p>
      <w:pPr>
        <w:spacing w:after="0" w:line="210"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Regular Meetings</w:t>
      </w:r>
      <w:r>
        <w:rPr>
          <w:rFonts w:ascii="Arial" w:cs="Arial" w:eastAsia="Arial" w:hAnsi="Arial"/>
          <w:sz w:val="22"/>
          <w:szCs w:val="22"/>
          <w:color w:val="auto"/>
        </w:rPr>
        <w:t>. Regular meetings of the Board shall be held on such dates, and at such times and places as are determined from time to time by resolution of the Board.</w:t>
      </w:r>
    </w:p>
    <w:p>
      <w:pPr>
        <w:spacing w:after="0" w:line="377" w:lineRule="exact"/>
        <w:rPr>
          <w:sz w:val="20"/>
          <w:szCs w:val="20"/>
          <w:color w:val="auto"/>
        </w:rPr>
      </w:pPr>
    </w:p>
    <w:p>
      <w:pPr>
        <w:ind w:right="160" w:firstLine="648"/>
        <w:spacing w:after="0" w:line="254"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shall be held whenever called by the President or, in the event of his or her absence or disability, by any Vice President, or by a majority of the Directors then in office, at such place, date and time as may be specified in the respective notices or waivers of notice of such meetings. Any business may be conducted at a special meeting.</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Notice of Meetings; Waiver of Notice</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80" w:firstLine="980"/>
        <w:spacing w:after="0" w:line="262" w:lineRule="auto"/>
        <w:tabs>
          <w:tab w:leader="none" w:pos="1446"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Notices of special meetings shall be given to each Director, and notice of each resolution or other action affecting the date, time or place of one or more regular meetings shall be given to each Director not present at the meeting adopting such resolution or other action, subject to Section 2.08 of these bylaws. Notices shall be given personally, or by telephone confirmed by facsimile or email dispatched promptly thereafter, or by facsimile or email confirmed by a writing delivered by a recognized overnight courier service, directed to each Director at the address from time to time designated by such Director to the Secretary. Each such notice and confirmation must be given (received in the case of personal service or delivery of written confirmation) at least 24 hours prior to the time of a meeting.</w:t>
      </w:r>
    </w:p>
    <w:p>
      <w:pPr>
        <w:spacing w:after="0" w:line="396" w:lineRule="exact"/>
        <w:rPr>
          <w:rFonts w:ascii="Arial" w:cs="Arial" w:eastAsia="Arial" w:hAnsi="Arial"/>
          <w:sz w:val="21"/>
          <w:szCs w:val="21"/>
          <w:color w:val="auto"/>
        </w:rPr>
      </w:pPr>
    </w:p>
    <w:p>
      <w:pPr>
        <w:ind w:right="80" w:firstLine="980"/>
        <w:spacing w:after="0" w:line="251" w:lineRule="auto"/>
        <w:tabs>
          <w:tab w:leader="none" w:pos="1458"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written waiver of notice of meeting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60"/>
          </w:cols>
          <w:pgMar w:left="240" w:top="847" w:right="299" w:bottom="1440" w:gutter="0" w:footer="0" w:header="0"/>
        </w:sectPr>
      </w:pPr>
    </w:p>
    <w:bookmarkStart w:id="60" w:name="page61"/>
    <w:bookmarkEnd w:id="60"/>
    <w:p>
      <w:pPr>
        <w:ind w:right="160" w:firstLine="648"/>
        <w:spacing w:after="0" w:line="254"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Quorum; Voting</w:t>
      </w:r>
      <w:r>
        <w:rPr>
          <w:rFonts w:ascii="Arial" w:cs="Arial" w:eastAsia="Arial" w:hAnsi="Arial"/>
          <w:sz w:val="22"/>
          <w:szCs w:val="22"/>
          <w:color w:val="auto"/>
        </w:rPr>
        <w:t>. At all meetings of the Board, the presence of a majority of the total authorized number of Directors shall constitute a quorum for the transaction of business. Except as otherwise provided by law, the certificate of incorporation or these bylaws, the vote of a majority of the Directors present at any meeting at which a quorum is present shall be the act of the Board.</w:t>
      </w:r>
    </w:p>
    <w:p>
      <w:pPr>
        <w:spacing w:after="0" w:line="200" w:lineRule="exact"/>
        <w:rPr>
          <w:sz w:val="20"/>
          <w:szCs w:val="20"/>
          <w:color w:val="auto"/>
        </w:rPr>
      </w:pPr>
    </w:p>
    <w:p>
      <w:pPr>
        <w:spacing w:after="0" w:line="201" w:lineRule="exact"/>
        <w:rPr>
          <w:sz w:val="20"/>
          <w:szCs w:val="20"/>
          <w:color w:val="auto"/>
        </w:rPr>
      </w:pPr>
    </w:p>
    <w:p>
      <w:pPr>
        <w:ind w:right="40" w:firstLine="648"/>
        <w:spacing w:after="0" w:line="320"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Action by Telephonic Communications</w:t>
      </w:r>
      <w:r>
        <w:rPr>
          <w:rFonts w:ascii="Arial" w:cs="Arial" w:eastAsia="Arial" w:hAnsi="Arial"/>
          <w:sz w:val="19"/>
          <w:szCs w:val="19"/>
          <w:color w:val="auto"/>
        </w:rPr>
        <w:t>. Members of the Board may participate in a meeting of the Board by means of conference telephone or similar communications equipment by means of which all persons participating in the meeting can hear each other, and participation in a meeting pursuant to this provision shall constitute presence in person at such meeting.</w:t>
      </w:r>
    </w:p>
    <w:p>
      <w:pPr>
        <w:spacing w:after="0" w:line="34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Adjournment</w:t>
      </w:r>
      <w:r>
        <w:rPr>
          <w:rFonts w:ascii="Arial" w:cs="Arial" w:eastAsia="Arial" w:hAnsi="Arial"/>
          <w:sz w:val="22"/>
          <w:szCs w:val="22"/>
          <w:color w:val="auto"/>
        </w:rPr>
        <w:t>. A majority of the Directors present may adjourn any meeting of the Board to another date, time or place, whether or not a quorum is present. No notice need be given of any adjourned meeting unless (a) the date, time and place of the adjourned meeting are not announced at the time of adjournment, in which case notice conforming to the requirements of Section 2.05 of these bylaws shall be given to each Director, or (b) the meeting is adjourned for more than 24 hours, in which case the notice referred to in clause (a) shall be given to those Directors not present at the announcement of the date, time and place of the adjourned meeting.</w:t>
      </w:r>
    </w:p>
    <w:p>
      <w:pPr>
        <w:spacing w:after="0" w:line="200" w:lineRule="exact"/>
        <w:rPr>
          <w:sz w:val="20"/>
          <w:szCs w:val="20"/>
          <w:color w:val="auto"/>
        </w:rPr>
      </w:pPr>
    </w:p>
    <w:p>
      <w:pPr>
        <w:spacing w:after="0" w:line="204" w:lineRule="exact"/>
        <w:rPr>
          <w:sz w:val="20"/>
          <w:szCs w:val="20"/>
          <w:color w:val="auto"/>
        </w:rPr>
      </w:pPr>
    </w:p>
    <w:p>
      <w:pPr>
        <w:ind w:right="40" w:firstLine="648"/>
        <w:spacing w:after="0" w:line="307"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Action Without a Meeting</w:t>
      </w:r>
      <w:r>
        <w:rPr>
          <w:rFonts w:ascii="Arial" w:cs="Arial" w:eastAsia="Arial" w:hAnsi="Arial"/>
          <w:sz w:val="19"/>
          <w:szCs w:val="19"/>
          <w:color w:val="auto"/>
        </w:rPr>
        <w:t>. Any action required or permitted to be taken at any meeting of the Board may be taken without a meeting if all members of the Board consent thereto in writing or by electronic transmission, and such writing or writings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354" w:lineRule="exact"/>
        <w:rPr>
          <w:sz w:val="20"/>
          <w:szCs w:val="20"/>
          <w:color w:val="auto"/>
        </w:rPr>
      </w:pPr>
    </w:p>
    <w:p>
      <w:pPr>
        <w:ind w:right="20" w:firstLine="648"/>
        <w:spacing w:after="0" w:line="307"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Regulations</w:t>
      </w:r>
      <w:r>
        <w:rPr>
          <w:rFonts w:ascii="Arial" w:cs="Arial" w:eastAsia="Arial" w:hAnsi="Arial"/>
          <w:sz w:val="19"/>
          <w:szCs w:val="19"/>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chairperson and one or more vice-chairpersons to preside over meetings and to perform such other duties as may be designated by the Board.</w:t>
      </w:r>
    </w:p>
    <w:p>
      <w:pPr>
        <w:spacing w:after="0" w:line="354" w:lineRule="exact"/>
        <w:rPr>
          <w:sz w:val="20"/>
          <w:szCs w:val="20"/>
          <w:color w:val="auto"/>
        </w:rPr>
      </w:pPr>
    </w:p>
    <w:p>
      <w:pPr>
        <w:jc w:val="both"/>
        <w:ind w:right="140" w:firstLine="648"/>
        <w:spacing w:after="0" w:line="254"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Resignations of Directors</w:t>
      </w:r>
      <w:r>
        <w:rPr>
          <w:rFonts w:ascii="Arial" w:cs="Arial" w:eastAsia="Arial" w:hAnsi="Arial"/>
          <w:sz w:val="22"/>
          <w:szCs w:val="22"/>
          <w:color w:val="auto"/>
        </w:rPr>
        <w:t>. Any Director may resign at any time by submitting an electronic transmission or by delivering a written notice of resignation, signed by such Director, to the President or the Secretary. Such resignation shall take effect upon delivery unless the resignation specifies a later effective date or an effective date determined upon the happening of a specified event.</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Removal of Directors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40" w:firstLine="980"/>
        <w:spacing w:after="0" w:line="260" w:lineRule="auto"/>
        <w:tabs>
          <w:tab w:leader="none" w:pos="14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Until the Effective Date, any Director may be removed at any time, either for or without cause, upon the affirmative vote of the holders of a majority of the outstanding shares of stock of the Corporation entitled to vote generally for the election of Directors, acting at a</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40" w:top="847" w:right="279" w:bottom="1440" w:gutter="0" w:footer="0" w:header="0"/>
        </w:sectPr>
      </w:pPr>
    </w:p>
    <w:bookmarkStart w:id="61" w:name="page62"/>
    <w:bookmarkEnd w:id="61"/>
    <w:p>
      <w:pPr>
        <w:ind w:right="140"/>
        <w:spacing w:after="0" w:line="263" w:lineRule="auto"/>
        <w:rPr>
          <w:sz w:val="20"/>
          <w:szCs w:val="20"/>
          <w:color w:val="auto"/>
        </w:rPr>
      </w:pPr>
      <w:r>
        <w:rPr>
          <w:rFonts w:ascii="Arial" w:cs="Arial" w:eastAsia="Arial" w:hAnsi="Arial"/>
          <w:sz w:val="22"/>
          <w:szCs w:val="22"/>
          <w:color w:val="auto"/>
        </w:rPr>
        <w:t>meeting of the stockholders or by written consent (if permitted) in accordance with the DGCL, the certificate of incorporation and these bylaws.</w:t>
      </w:r>
    </w:p>
    <w:p>
      <w:pPr>
        <w:spacing w:after="0" w:line="391" w:lineRule="exact"/>
        <w:rPr>
          <w:sz w:val="20"/>
          <w:szCs w:val="20"/>
          <w:color w:val="auto"/>
        </w:rPr>
      </w:pPr>
    </w:p>
    <w:p>
      <w:pPr>
        <w:ind w:right="20" w:firstLine="980"/>
        <w:spacing w:after="0" w:line="250" w:lineRule="auto"/>
        <w:tabs>
          <w:tab w:leader="none" w:pos="1458" w:val="left"/>
        </w:tabs>
        <w:numPr>
          <w:ilvl w:val="0"/>
          <w:numId w:val="59"/>
        </w:numPr>
        <w:rPr>
          <w:rFonts w:ascii="Arial" w:cs="Arial" w:eastAsia="Arial" w:hAnsi="Arial"/>
          <w:sz w:val="22"/>
          <w:szCs w:val="22"/>
          <w:color w:val="auto"/>
        </w:rPr>
      </w:pPr>
      <w:r>
        <w:rPr>
          <w:rFonts w:ascii="Arial" w:cs="Arial" w:eastAsia="Arial" w:hAnsi="Arial"/>
          <w:sz w:val="22"/>
          <w:szCs w:val="22"/>
          <w:color w:val="auto"/>
        </w:rPr>
        <w:t>From and after the Effective Date and subject to the rights of the holders of shares of any class or series of preferred stock, if any, to elect additional Directors pursuant to the certificate of incorporation (including any certificate of designation thereunder), any Director may be removed only for cause, upon the affirmative vote of the holders of at least a majority of the outstanding shares of stock of the Corporation entitled to vote generally for the election of Directors, acting at a meeting of the stockholders or by written consent (if permitted) in accordance with the DGCL, the certificate of incorporation and these bylaws.</w:t>
      </w:r>
    </w:p>
    <w:p>
      <w:pPr>
        <w:spacing w:after="0" w:line="200" w:lineRule="exact"/>
        <w:rPr>
          <w:sz w:val="20"/>
          <w:szCs w:val="20"/>
          <w:color w:val="auto"/>
        </w:rPr>
      </w:pPr>
    </w:p>
    <w:p>
      <w:pPr>
        <w:spacing w:after="0" w:line="204"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Vacancies and Newly Created Directorships</w:t>
      </w:r>
      <w:r>
        <w:rPr>
          <w:rFonts w:ascii="Arial" w:cs="Arial" w:eastAsia="Arial" w:hAnsi="Arial"/>
          <w:sz w:val="19"/>
          <w:szCs w:val="19"/>
          <w:color w:val="auto"/>
        </w:rPr>
        <w:t>. Subject to the rights of the holders of shares of any class or series of preferred stock, if any, to elect additional Directors pursuant to the certificate of incorporation (including any certificate of designation thereunder) and the Stockholders Agreement (if in effect), any vacancy in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Any Director filling a vacancy shall be of the same class as that of the Director whose death, resignation, disqualification, removal or other event caused the vacancy, and any Director filling a newly created directorship shall be of the class specified by the Board at the time the newly created directorships were created. A Director elected to fill a vacancy or newly created Directorship shall hold office until his or her successor has been elected and qualified or until his or her earlier death, resignation or removal.</w:t>
      </w:r>
    </w:p>
    <w:p>
      <w:pPr>
        <w:spacing w:after="0" w:line="3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Director Fees and Expenses</w:t>
      </w:r>
      <w:r>
        <w:rPr>
          <w:rFonts w:ascii="Arial" w:cs="Arial" w:eastAsia="Arial" w:hAnsi="Arial"/>
          <w:sz w:val="22"/>
          <w:szCs w:val="22"/>
          <w:color w:val="auto"/>
        </w:rPr>
        <w:t>. The amount, if any, which each Director shall be entitled to receive as compensation for his or her services shall be fixed from time to time by the Board. The Corporation will cause each non-employee Director serving on the Board to be reimbursed for all reasonable out-of-pocket costs and expenses incurred by him or her in connection with such service.</w:t>
      </w:r>
    </w:p>
    <w:p>
      <w:pPr>
        <w:spacing w:after="0" w:line="200" w:lineRule="exact"/>
        <w:rPr>
          <w:sz w:val="20"/>
          <w:szCs w:val="20"/>
          <w:color w:val="auto"/>
        </w:rPr>
      </w:pPr>
    </w:p>
    <w:p>
      <w:pPr>
        <w:spacing w:after="0" w:line="20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Reliance on Accounts and Reports, etc</w:t>
      </w:r>
      <w:r>
        <w:rPr>
          <w:rFonts w:ascii="Arial" w:cs="Arial" w:eastAsia="Arial" w:hAnsi="Arial"/>
          <w:sz w:val="22"/>
          <w:szCs w:val="22"/>
          <w:color w:val="auto"/>
        </w:rPr>
        <w:t>.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COMMITTEES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80" w:firstLine="648"/>
        <w:spacing w:after="0" w:line="276"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Designation of Committees</w:t>
      </w:r>
      <w:r>
        <w:rPr>
          <w:rFonts w:ascii="Arial" w:cs="Arial" w:eastAsia="Arial" w:hAnsi="Arial"/>
          <w:sz w:val="22"/>
          <w:szCs w:val="22"/>
          <w:color w:val="auto"/>
        </w:rPr>
        <w:t>. The Board shall designate such committees as may be required by applicable laws, regulations or stock exchange rules, and may designate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847" w:right="259" w:bottom="1440" w:gutter="0" w:footer="0" w:header="0"/>
        </w:sectPr>
      </w:pPr>
    </w:p>
    <w:bookmarkStart w:id="62" w:name="page63"/>
    <w:bookmarkEnd w:id="62"/>
    <w:p>
      <w:pPr>
        <w:ind w:right="20"/>
        <w:spacing w:after="0" w:line="289" w:lineRule="auto"/>
        <w:rPr>
          <w:sz w:val="20"/>
          <w:szCs w:val="20"/>
          <w:color w:val="auto"/>
        </w:rPr>
      </w:pPr>
      <w:r>
        <w:rPr>
          <w:rFonts w:ascii="Arial" w:cs="Arial" w:eastAsia="Arial" w:hAnsi="Arial"/>
          <w:sz w:val="19"/>
          <w:szCs w:val="19"/>
          <w:color w:val="auto"/>
        </w:rPr>
        <w:t>such additional committees as it deems necessary or appropriate. Each committee shall consist of such number of Directors, with such qualifications, as may be required by applicable laws, regulations or stock exchange rules, or as from time to time may be fixed by the Board and shall have and may exercise all the powers and authority of the Board in the management of the business and affairs of the Corporation to the extent delegated to such committee by resolution of the Board, which delegation shall include all such powers and authority as may be required by applicable laws, regulations or stock exchange rules. No committee shall have any power or authority as to (a) approving or adopting, or recommending to the stockholders, any action or matter (other than the election or removal of directors) expressly required by the DGCL to be submitted to stockholders for approval, (b) adopting, amending or repealing any of these bylaws or (c) as may otherwise be excluded by law or by the certificate of incorporation, and no committee may delegate any of its power or authority to a subcommittee unless so authorized by the Board.</w:t>
      </w:r>
    </w:p>
    <w:p>
      <w:pPr>
        <w:spacing w:after="0" w:line="374"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Members and Alternate Members</w:t>
      </w:r>
      <w:r>
        <w:rPr>
          <w:rFonts w:ascii="Arial" w:cs="Arial" w:eastAsia="Arial" w:hAnsi="Arial"/>
          <w:sz w:val="22"/>
          <w:szCs w:val="22"/>
          <w:color w:val="auto"/>
        </w:rPr>
        <w:t>. The members of each committee and any alternate members shall be selected by the Board. The Board may provide that the members and alternate members serve at the pleasure of the Board. An alternate member may replace any absent or disqualified member at any meeting of the committee. An alternate member shall be given all notices of committee meetings, may attend any meeting of the committee, but may count towards a quorum and vote only if a member for whom such person is an alternate is absent or disqualified. Each member (and each alternate member) of any committee shall hold office only until the time he or she shall cease for any reason to be a Director, or until his or her earlier death, resignation or removal.</w:t>
      </w:r>
    </w:p>
    <w:p>
      <w:pPr>
        <w:spacing w:after="0" w:line="200" w:lineRule="exact"/>
        <w:rPr>
          <w:sz w:val="20"/>
          <w:szCs w:val="20"/>
          <w:color w:val="auto"/>
        </w:rPr>
      </w:pPr>
    </w:p>
    <w:p>
      <w:pPr>
        <w:spacing w:after="0" w:line="212"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Committee Procedures</w:t>
      </w:r>
      <w:r>
        <w:rPr>
          <w:rFonts w:ascii="Arial" w:cs="Arial" w:eastAsia="Arial" w:hAnsi="Arial"/>
          <w:sz w:val="19"/>
          <w:szCs w:val="19"/>
          <w:color w:val="auto"/>
        </w:rPr>
        <w:t>. A quorum for each committee shall be a majority of its members, unless the committee has only one or two members, in which case a quorum shall be one member, or unless a greater quorum is established by the Board. The vote of a majority of the committee members present at a meeting at which a quorum is present shall be the act of the committee. Each committee shall keep regular minutes of its meetings and report to the Board when required. The Board shall adopt a charter for each committee for which a charter is required by applicable laws, regulations or stock exchange rules, may adopt a charter for any other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the Board.</w:t>
      </w:r>
    </w:p>
    <w:p>
      <w:pPr>
        <w:spacing w:after="0" w:line="372" w:lineRule="exact"/>
        <w:rPr>
          <w:sz w:val="20"/>
          <w:szCs w:val="20"/>
          <w:color w:val="auto"/>
        </w:rPr>
      </w:pPr>
    </w:p>
    <w:p>
      <w:pPr>
        <w:ind w:right="80" w:firstLine="648"/>
        <w:spacing w:after="0" w:line="307"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Meetings and Actions of Committees</w:t>
      </w:r>
      <w:r>
        <w:rPr>
          <w:rFonts w:ascii="Arial" w:cs="Arial" w:eastAsia="Arial" w:hAnsi="Arial"/>
          <w:sz w:val="19"/>
          <w:szCs w:val="19"/>
          <w:color w:val="auto"/>
        </w:rPr>
        <w:t>. Except to the extent that the same may be inconsistent with the terms of any committee charter required by applicable laws, regulations or stock exchange rules, meetings and actions of each committee shall be governed by, and held and taken in accordance with, the provisions of the following sections of these bylaws, with such bylaws being deemed to refer to the committee and its members in lieu of the Board and its members:</w:t>
      </w:r>
    </w:p>
    <w:p>
      <w:pPr>
        <w:spacing w:after="0" w:line="354" w:lineRule="exact"/>
        <w:rPr>
          <w:sz w:val="20"/>
          <w:szCs w:val="20"/>
          <w:color w:val="auto"/>
        </w:rPr>
      </w:pPr>
    </w:p>
    <w:p>
      <w:pPr>
        <w:ind w:left="1460" w:hanging="480"/>
        <w:spacing w:after="0"/>
        <w:tabs>
          <w:tab w:leader="none" w:pos="14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Section 2.03 (to the extent relating to place and time of regular meetings);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60" w:hanging="480"/>
        <w:spacing w:after="0"/>
        <w:tabs>
          <w:tab w:leader="none" w:pos="14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Section 2.04 (relating to special meetings);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63" w:name="page64"/>
    <w:bookmarkEnd w:id="63"/>
    <w:p>
      <w:pPr>
        <w:ind w:left="1460" w:hanging="480"/>
        <w:spacing w:after="0"/>
        <w:tabs>
          <w:tab w:leader="none" w:pos="14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2.05 (relating to notice and waiver of notice);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60" w:hanging="480"/>
        <w:spacing w:after="0"/>
        <w:tabs>
          <w:tab w:leader="none" w:pos="14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Sections 2.07 and 2.9 (relating to telephonic communication and action without a meeting); and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460" w:hanging="480"/>
        <w:spacing w:after="0"/>
        <w:tabs>
          <w:tab w:leader="none" w:pos="14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2.08 (relating to adjournment and notice of adjournment).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Special meetings of committees may also be called by resolution of the Board.</w:t>
      </w:r>
    </w:p>
    <w:p>
      <w:pPr>
        <w:spacing w:after="0" w:line="200" w:lineRule="exact"/>
        <w:rPr>
          <w:sz w:val="20"/>
          <w:szCs w:val="20"/>
          <w:color w:val="auto"/>
        </w:rPr>
      </w:pPr>
    </w:p>
    <w:p>
      <w:pPr>
        <w:spacing w:after="0" w:line="236" w:lineRule="exact"/>
        <w:rPr>
          <w:sz w:val="20"/>
          <w:szCs w:val="20"/>
          <w:color w:val="auto"/>
        </w:rPr>
      </w:pPr>
    </w:p>
    <w:p>
      <w:pPr>
        <w:ind w:right="80" w:firstLine="648"/>
        <w:spacing w:after="0" w:line="300"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Resignations and Removals</w:t>
      </w:r>
      <w:r>
        <w:rPr>
          <w:rFonts w:ascii="Arial" w:cs="Arial" w:eastAsia="Arial" w:hAnsi="Arial"/>
          <w:sz w:val="19"/>
          <w:szCs w:val="19"/>
          <w:color w:val="auto"/>
        </w:rPr>
        <w:t>. Any member (and any alternate member) of any committee may resign from such position at any time by submitting an electronic transmission or by delivering a written notice of resignation, signed by such member, to the President or the Secretary. Such resignation shall take effect upon delivery unless the resignation specifies a later effective date or an effective date determined upon the happening of a specified event. Any member (and any alternate member) of any committee may be removed from such position by the Board at any time, either for or without cause.</w:t>
      </w:r>
    </w:p>
    <w:p>
      <w:pPr>
        <w:spacing w:after="0" w:line="363" w:lineRule="exact"/>
        <w:rPr>
          <w:sz w:val="20"/>
          <w:szCs w:val="20"/>
          <w:color w:val="auto"/>
        </w:rPr>
      </w:pPr>
    </w:p>
    <w:p>
      <w:pPr>
        <w:ind w:right="180" w:firstLine="648"/>
        <w:spacing w:after="0" w:line="301"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Vacancies</w:t>
      </w:r>
      <w:r>
        <w:rPr>
          <w:rFonts w:ascii="Arial" w:cs="Arial" w:eastAsia="Arial" w:hAnsi="Arial"/>
          <w:sz w:val="21"/>
          <w:szCs w:val="21"/>
          <w:color w:val="auto"/>
        </w:rPr>
        <w:t>. If a vacancy occurs in any committee for any reason, the remaining members (and any alternate members) may continue to act if a quorum is present. A committee vacancy may be filled only by the Board.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Officers</w:t>
      </w:r>
      <w:r>
        <w:rPr>
          <w:rFonts w:ascii="Arial" w:cs="Arial" w:eastAsia="Arial" w:hAnsi="Arial"/>
          <w:sz w:val="19"/>
          <w:szCs w:val="19"/>
          <w:color w:val="auto"/>
        </w:rPr>
        <w:t>. The Board shall elect a President and a Secretary as officers of the Corporation. The Board may also elect a Treasurer, one or more Vice Presidents (any one or more of whom may be designated an Executive Vice President or Senior Vice President), Assistant Secretaries and Assistant Treasurers, and such other officers and agents as the Board may determine. In addition, the Board from time to time may delegate to any officer the power to appoint subordinate officers or agents and to prescribe their respective rights, terms of office, authorities and duties. Any action by an appointing officer may be superseded by action by the Board. Any number of offices may be held by the same person, except that one person may not hold both the office of President and the office of Secretary. No officer need be a Director of the Corporation. For the avoidance of doubt, the term Vice President shall refer to an officer elected by the Board as Vice President and shall not include any employees of the Corporation whose employment title is “Vice President” unless such individual has been elected as a Vice President of the Corporation in accordance with these bylaws.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Election</w:t>
      </w:r>
      <w:r>
        <w:rPr>
          <w:rFonts w:ascii="Arial" w:cs="Arial" w:eastAsia="Arial" w:hAnsi="Arial"/>
          <w:sz w:val="22"/>
          <w:szCs w:val="22"/>
          <w:color w:val="auto"/>
        </w:rPr>
        <w:t>. Unless otherwise determined by the Board, the officers of the Corporation need not be elected for a specified term but shall serve at the pleasure of the Board or for such terms as may be agreed in the individual case by each officer and the Board. Officers and agents appointed pursuant to delegated authority as provided in Section 4.01 (or, in the case of agents, as provided in Section 4.06) shall hold their offices for such terms as may be determined from time to time by the appointing officer. Each officer shall hold office until his or her successor has been elected or appointed and qualified, or until his or her earlier death,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847" w:right="25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resignation or removal. A failure to elect officers shall not dissolve or otherwise affect the Corporation.</w:t>
      </w:r>
    </w:p>
    <w:p>
      <w:pPr>
        <w:spacing w:after="0" w:line="200" w:lineRule="exact"/>
        <w:rPr>
          <w:sz w:val="20"/>
          <w:szCs w:val="20"/>
          <w:color w:val="auto"/>
        </w:rPr>
      </w:pPr>
    </w:p>
    <w:p>
      <w:pPr>
        <w:spacing w:after="0" w:line="236" w:lineRule="exact"/>
        <w:rPr>
          <w:sz w:val="20"/>
          <w:szCs w:val="20"/>
          <w:color w:val="auto"/>
        </w:rPr>
      </w:pPr>
    </w:p>
    <w:p>
      <w:pPr>
        <w:ind w:right="380" w:firstLine="648"/>
        <w:spacing w:after="0" w:line="276"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Compensation</w:t>
      </w:r>
      <w:r>
        <w:rPr>
          <w:rFonts w:ascii="Arial" w:cs="Arial" w:eastAsia="Arial" w:hAnsi="Arial"/>
          <w:sz w:val="22"/>
          <w:szCs w:val="22"/>
          <w:color w:val="auto"/>
        </w:rPr>
        <w:t>. The salaries and other compensation of all officers and agents of the Corporation shall be fixed by the Board or in the manner established by the Board.</w:t>
      </w:r>
    </w:p>
    <w:p>
      <w:pPr>
        <w:spacing w:after="0" w:line="377"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Removal and Resignation; Vacancies</w:t>
      </w:r>
      <w:r>
        <w:rPr>
          <w:rFonts w:ascii="Arial" w:cs="Arial" w:eastAsia="Arial" w:hAnsi="Arial"/>
          <w:sz w:val="22"/>
          <w:szCs w:val="22"/>
          <w:color w:val="auto"/>
        </w:rPr>
        <w:t>. Any officer may be removed for or without cause at any time by the Board. Any officer granted the power to appoint subordinate officers and agents as provided in Section 4.01 may remove any subordinate officer or agent appointed by such officer, at any time, for or without cause. Any officer or agent may resign at any time by delivering notice of resignation, either in writing signed by such officer or by electronic transmission, to the Board or the President. Unless otherwise specified therein, such resignation shall take effect upon delivery. Any vacancy occurring in any office of the Corporation by death, resignation, removal or otherwise, may be filled by the Board or by the officer, if any, who appointed the person formerly holding such office.</w:t>
      </w:r>
    </w:p>
    <w:p>
      <w:pPr>
        <w:spacing w:after="0" w:line="200" w:lineRule="exact"/>
        <w:rPr>
          <w:sz w:val="20"/>
          <w:szCs w:val="20"/>
          <w:color w:val="auto"/>
        </w:rPr>
      </w:pPr>
    </w:p>
    <w:p>
      <w:pPr>
        <w:spacing w:after="0" w:line="212" w:lineRule="exact"/>
        <w:rPr>
          <w:sz w:val="20"/>
          <w:szCs w:val="20"/>
          <w:color w:val="auto"/>
        </w:rPr>
      </w:pPr>
    </w:p>
    <w:p>
      <w:pPr>
        <w:ind w:right="140" w:firstLine="648"/>
        <w:spacing w:after="0" w:line="266"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u w:val="single" w:color="auto"/>
          <w:color w:val="auto"/>
        </w:rPr>
        <w:t>Authority and Duties of Officers</w:t>
      </w:r>
      <w:r>
        <w:rPr>
          <w:rFonts w:ascii="Arial" w:cs="Arial" w:eastAsia="Arial" w:hAnsi="Arial"/>
          <w:sz w:val="21"/>
          <w:szCs w:val="21"/>
          <w:color w:val="auto"/>
        </w:rPr>
        <w:t>. An officer of the Corporation shall have such authority and shall exercise such powers and perform such duties (a) as may be required by law, (b) to the extent not inconsistent with law, as are specified in these bylaws, (c) to the extent not inconsistent with law or these bylaws, as may be specified by resolution of the Board, and (d) to the extent not inconsistent with any of the foregoing, as may be specified by the appointing officer with respect to a subordinate officer appointed pursuant to delegated authority under Section 4.01.</w:t>
      </w:r>
    </w:p>
    <w:p>
      <w:pPr>
        <w:spacing w:after="0" w:line="39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President</w:t>
      </w:r>
      <w:r>
        <w:rPr>
          <w:rFonts w:ascii="Arial" w:cs="Arial" w:eastAsia="Arial" w:hAnsi="Arial"/>
          <w:sz w:val="19"/>
          <w:szCs w:val="19"/>
          <w:color w:val="auto"/>
        </w:rPr>
        <w:t>. The President shall preside at all meetings of the stockholders and Directors at which he or she is present, shall be the chief executive officer of the Corporation, shall have general control and supervision of the policies and operations of the Corporation and shall see that all orders and resolutions of the Board are carried into effect. He or she shall manage and administer the Corporation’s business and affairs and shall also perform all duties and exercise all powers usually pertaining to the office of a chief executive officer of a corporation, including, without limitation under the DGCL. He or she shall have the authority to sign, in the name and on behalf of the Corporation, checks, orders, contracts, leases, notes, drafts and all other documents and instruments in connection with the business of the Corporation. Except as otherwise determined by the Board, he or she shall have the authority to cause the employment or appointment of such employees (other than the President) or agents of the Corporation as the conduct of the business of the Corporation may require, to fix their compensation, and to remove or suspend such employee or any agent employed or appointed by any officer or to suspend any agent appointed by the Board. The President shall have the duties and powers of the Treasurer if no Treasurer is elected and shall have such other duties and powers as the Board may from time to time prescribe.</w:t>
      </w:r>
    </w:p>
    <w:p>
      <w:pPr>
        <w:spacing w:after="0" w:line="379" w:lineRule="exact"/>
        <w:rPr>
          <w:sz w:val="20"/>
          <w:szCs w:val="20"/>
          <w:color w:val="auto"/>
        </w:rPr>
      </w:pPr>
    </w:p>
    <w:p>
      <w:pPr>
        <w:jc w:val="center"/>
        <w:ind w:right="20"/>
        <w:spacing w:after="0"/>
        <w:tabs>
          <w:tab w:leader="none" w:pos="22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u w:val="single" w:color="auto"/>
          <w:color w:val="auto"/>
        </w:rPr>
        <w:t>Vice Presidents</w:t>
      </w:r>
      <w:r>
        <w:rPr>
          <w:rFonts w:ascii="Arial" w:cs="Arial" w:eastAsia="Arial" w:hAnsi="Arial"/>
          <w:sz w:val="19"/>
          <w:szCs w:val="19"/>
          <w:color w:val="auto"/>
        </w:rPr>
        <w:t>. Unless otherwise determined by the Board, if one or more Vice Presidents have been</w:t>
      </w:r>
    </w:p>
    <w:p>
      <w:pPr>
        <w:spacing w:after="0" w:line="2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elected, each Vice President shall perform such duties and exercise such powers as may be assigned to him or her from time to time by the Board or the President. In the event of absence or disability of the President, the duties of the President shall be performed, and his or her powers may be exercised, by such Vice President as shall be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7" w:right="239" w:bottom="1440" w:gutter="0" w:footer="0" w:header="0"/>
        </w:sectPr>
      </w:pPr>
    </w:p>
    <w:bookmarkStart w:id="65" w:name="page66"/>
    <w:bookmarkEnd w:id="65"/>
    <w:p>
      <w:pPr>
        <w:spacing w:after="0"/>
        <w:rPr>
          <w:sz w:val="20"/>
          <w:szCs w:val="20"/>
          <w:color w:val="auto"/>
        </w:rPr>
      </w:pPr>
      <w:r>
        <w:rPr>
          <w:rFonts w:ascii="Arial" w:cs="Arial" w:eastAsia="Arial" w:hAnsi="Arial"/>
          <w:sz w:val="21"/>
          <w:szCs w:val="21"/>
          <w:color w:val="auto"/>
        </w:rPr>
        <w:t>designated by the Board or, failing such designation, by the Vice President in order of seniority of election to that office.</w:t>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u w:val="single" w:color="auto"/>
          <w:color w:val="auto"/>
        </w:rPr>
        <w:t>Secretary</w:t>
      </w:r>
      <w:r>
        <w:rPr>
          <w:rFonts w:ascii="Arial" w:cs="Arial" w:eastAsia="Arial" w:hAnsi="Arial"/>
          <w:sz w:val="19"/>
          <w:szCs w:val="19"/>
          <w:color w:val="auto"/>
        </w:rPr>
        <w:t>. Unless otherwise determined by the Board, the Secretary shall have the following powers 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duties:</w:t>
      </w:r>
    </w:p>
    <w:p>
      <w:pPr>
        <w:spacing w:after="0" w:line="200" w:lineRule="exact"/>
        <w:rPr>
          <w:sz w:val="20"/>
          <w:szCs w:val="20"/>
          <w:color w:val="auto"/>
        </w:rPr>
      </w:pPr>
    </w:p>
    <w:p>
      <w:pPr>
        <w:spacing w:after="0" w:line="231" w:lineRule="exact"/>
        <w:rPr>
          <w:sz w:val="20"/>
          <w:szCs w:val="20"/>
          <w:color w:val="auto"/>
        </w:rPr>
      </w:pPr>
    </w:p>
    <w:p>
      <w:pPr>
        <w:ind w:firstLine="980"/>
        <w:spacing w:after="0" w:line="276" w:lineRule="auto"/>
        <w:tabs>
          <w:tab w:leader="none" w:pos="14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Secretary shall keep or cause to be kept a record of all the proceedings of the meetings of the stockholders, the Board and any committees thereof in books provided for that purpose.</w:t>
      </w:r>
    </w:p>
    <w:p>
      <w:pPr>
        <w:spacing w:after="0" w:line="377" w:lineRule="exact"/>
        <w:rPr>
          <w:rFonts w:ascii="Arial" w:cs="Arial" w:eastAsia="Arial" w:hAnsi="Arial"/>
          <w:sz w:val="22"/>
          <w:szCs w:val="22"/>
          <w:color w:val="auto"/>
        </w:rPr>
      </w:pPr>
    </w:p>
    <w:p>
      <w:pPr>
        <w:ind w:left="1460" w:hanging="480"/>
        <w:spacing w:after="0"/>
        <w:tabs>
          <w:tab w:leader="none" w:pos="14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Secretary shall cause all notices to be duly given in accordance with the provisions of these bylaws and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required by law.</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360" w:firstLine="980"/>
        <w:spacing w:after="0" w:line="276" w:lineRule="auto"/>
        <w:tabs>
          <w:tab w:leader="none" w:pos="14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Whenever any committee shall be appointed pursuant to a resolution of the Board, the Secretary shall furnish a copy of such resolution to the members of such committee.</w:t>
      </w:r>
    </w:p>
    <w:p>
      <w:pPr>
        <w:spacing w:after="0" w:line="377" w:lineRule="exact"/>
        <w:rPr>
          <w:rFonts w:ascii="Arial" w:cs="Arial" w:eastAsia="Arial" w:hAnsi="Arial"/>
          <w:sz w:val="22"/>
          <w:szCs w:val="22"/>
          <w:color w:val="auto"/>
        </w:rPr>
      </w:pPr>
    </w:p>
    <w:p>
      <w:pPr>
        <w:ind w:right="280" w:firstLine="980"/>
        <w:spacing w:after="0" w:line="251" w:lineRule="auto"/>
        <w:tabs>
          <w:tab w:leader="none" w:pos="1458"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Secretary shall be the custodian of the records and of the seal of the Corporation and cause such seal (or a facsimile thereof) to be affixed to all certificates representing shares of the Corporation prior to the issuance thereof and to all documents and instruments that the Board or any officer of the Corporation has determined should be executed under seal, may sign (together with any other authorized officer) any such document or instrument, and when the seal is so affixed he or she may attest the same.</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220" w:firstLine="980"/>
        <w:spacing w:after="0" w:line="276" w:lineRule="auto"/>
        <w:tabs>
          <w:tab w:leader="none" w:pos="14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Secretary shall properly maintain and file all books, reports, statements, certificates and all other documents and records required by law, the certificate of incorporation or these bylaws.</w:t>
      </w:r>
    </w:p>
    <w:p>
      <w:pPr>
        <w:spacing w:after="0" w:line="377" w:lineRule="exact"/>
        <w:rPr>
          <w:rFonts w:ascii="Arial" w:cs="Arial" w:eastAsia="Arial" w:hAnsi="Arial"/>
          <w:sz w:val="22"/>
          <w:szCs w:val="22"/>
          <w:color w:val="auto"/>
        </w:rPr>
      </w:pPr>
    </w:p>
    <w:p>
      <w:pPr>
        <w:ind w:right="220" w:firstLine="980"/>
        <w:spacing w:after="0" w:line="307" w:lineRule="auto"/>
        <w:tabs>
          <w:tab w:leader="none" w:pos="1422"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Secretary shall have charge of the stock books and ledgers of the Corporation and shall cause the stock and transfer books to be kept in such manner as to show at any time the number of shares of stock of the Corporation of each class issued and outstanding, the names (alphabetically arranged) and the addresses of the holders of record of such shares, the number of shares held by each holder and the date as of which each such holder became a holder of record.</w:t>
      </w:r>
    </w:p>
    <w:p>
      <w:pPr>
        <w:spacing w:after="0" w:line="354" w:lineRule="exact"/>
        <w:rPr>
          <w:rFonts w:ascii="Arial" w:cs="Arial" w:eastAsia="Arial" w:hAnsi="Arial"/>
          <w:sz w:val="19"/>
          <w:szCs w:val="19"/>
          <w:color w:val="auto"/>
        </w:rPr>
      </w:pPr>
    </w:p>
    <w:p>
      <w:pPr>
        <w:ind w:right="140" w:firstLine="980"/>
        <w:spacing w:after="0" w:line="358" w:lineRule="auto"/>
        <w:tabs>
          <w:tab w:leader="none" w:pos="145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Secretary shall sign (unless the Treasurer, an Assistant Treasurer or an Assistant Secretary shall have signed) certificates representing shares of the Corporation the issuance of which shall have been authorized by the Board.</w:t>
      </w:r>
    </w:p>
    <w:p>
      <w:pPr>
        <w:spacing w:after="0" w:line="307" w:lineRule="exact"/>
        <w:rPr>
          <w:rFonts w:ascii="Arial" w:cs="Arial" w:eastAsia="Arial" w:hAnsi="Arial"/>
          <w:sz w:val="19"/>
          <w:szCs w:val="19"/>
          <w:color w:val="auto"/>
        </w:rPr>
      </w:pPr>
    </w:p>
    <w:p>
      <w:pPr>
        <w:ind w:right="200" w:firstLine="980"/>
        <w:spacing w:after="0" w:line="358" w:lineRule="auto"/>
        <w:tabs>
          <w:tab w:leader="none" w:pos="145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Secretary shall perform, in general, all duties incident to the office of secretary and such other duties as may be specified in these bylaws or as may be assigned to the Secretary from time to time by the Board or the President.</w:t>
      </w:r>
    </w:p>
    <w:p>
      <w:pPr>
        <w:spacing w:after="0" w:line="307" w:lineRule="exact"/>
        <w:rPr>
          <w:sz w:val="20"/>
          <w:szCs w:val="20"/>
          <w:color w:val="auto"/>
        </w:rPr>
      </w:pPr>
    </w:p>
    <w:p>
      <w:pPr>
        <w:ind w:right="660" w:firstLine="648"/>
        <w:spacing w:after="0" w:line="276" w:lineRule="auto"/>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u w:val="single" w:color="auto"/>
          <w:color w:val="auto"/>
        </w:rPr>
        <w:t>Treasurer</w:t>
      </w:r>
      <w:r>
        <w:rPr>
          <w:rFonts w:ascii="Arial" w:cs="Arial" w:eastAsia="Arial" w:hAnsi="Arial"/>
          <w:sz w:val="22"/>
          <w:szCs w:val="22"/>
          <w:color w:val="auto"/>
        </w:rPr>
        <w:t>. Unless otherwise determined by the Board, the Treasurer, if there be one, shall be the chief financial officer of the Corporation and shall have the following powers and duties: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847" w:right="259" w:bottom="1440" w:gutter="0" w:footer="0" w:header="0"/>
        </w:sectPr>
      </w:pPr>
    </w:p>
    <w:bookmarkStart w:id="66" w:name="page67"/>
    <w:bookmarkEnd w:id="66"/>
    <w:p>
      <w:pPr>
        <w:ind w:right="220" w:firstLine="980"/>
        <w:spacing w:after="0" w:line="301" w:lineRule="auto"/>
        <w:tabs>
          <w:tab w:leader="none" w:pos="1446"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Treasurer shall have charge and supervision over and be responsible for the moneys, securities, receipts and disbursements of the Corporation, and shall keep or cause to be kept full and accurate records thereof.</w:t>
      </w:r>
    </w:p>
    <w:p>
      <w:pPr>
        <w:spacing w:after="0" w:line="353" w:lineRule="exact"/>
        <w:rPr>
          <w:rFonts w:ascii="Arial" w:cs="Arial" w:eastAsia="Arial" w:hAnsi="Arial"/>
          <w:sz w:val="21"/>
          <w:szCs w:val="21"/>
          <w:color w:val="auto"/>
        </w:rPr>
      </w:pPr>
    </w:p>
    <w:p>
      <w:pPr>
        <w:ind w:right="320" w:firstLine="980"/>
        <w:spacing w:after="0" w:line="254" w:lineRule="auto"/>
        <w:tabs>
          <w:tab w:leader="none" w:pos="1458"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Treasurer shall cause the moneys and other valuable effects of the Corporation to be deposited in the name and to the credit of the Corporation in such banks or trust companies or with such bankers or other depositaries as shall be determined by the Board or the President, or by such other officers of the Corporation as may be authorized by the Board or the President to make such determinations.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80" w:firstLine="980"/>
        <w:spacing w:after="0" w:line="254" w:lineRule="auto"/>
        <w:tabs>
          <w:tab w:leader="none" w:pos="144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Treasurer shall cause the moneys of the Corporation to be disbursed by checks or drafts (signed by such officer or officers or such agent or agents of the Corporation, and in such manner, as the Board or the President may determine from time to time) upon the authorized depositaries of the Corporation and cause to be taken and preserved proper vouchers for all moneys disbursed.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0" w:firstLine="980"/>
        <w:spacing w:after="0" w:line="260" w:lineRule="auto"/>
        <w:tabs>
          <w:tab w:leader="none" w:pos="1458"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Treasurer shall render to the Board or the President, whenever requested, a statement of the financial condition of the Corporation and of the transactions of the Corporation, and render a full financial report at the annual meeting of the stockholders, if called upon to do so.</w:t>
      </w:r>
    </w:p>
    <w:p>
      <w:pPr>
        <w:spacing w:after="0" w:line="393" w:lineRule="exact"/>
        <w:rPr>
          <w:rFonts w:ascii="Arial" w:cs="Arial" w:eastAsia="Arial" w:hAnsi="Arial"/>
          <w:sz w:val="22"/>
          <w:szCs w:val="22"/>
          <w:color w:val="auto"/>
        </w:rPr>
      </w:pPr>
    </w:p>
    <w:p>
      <w:pPr>
        <w:jc w:val="both"/>
        <w:ind w:right="520" w:firstLine="980"/>
        <w:spacing w:after="0" w:line="260" w:lineRule="auto"/>
        <w:tabs>
          <w:tab w:leader="none" w:pos="144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Treasurer shall be empowered from time to time to require from all officers or agents of the Corporation reports or statements giving such information as he or she may desire with respect to any and all financial transactions of the Corporation.</w:t>
      </w:r>
    </w:p>
    <w:p>
      <w:pPr>
        <w:spacing w:after="0" w:line="393" w:lineRule="exact"/>
        <w:rPr>
          <w:rFonts w:ascii="Arial" w:cs="Arial" w:eastAsia="Arial" w:hAnsi="Arial"/>
          <w:sz w:val="22"/>
          <w:szCs w:val="22"/>
          <w:color w:val="auto"/>
        </w:rPr>
      </w:pPr>
    </w:p>
    <w:p>
      <w:pPr>
        <w:ind w:firstLine="980"/>
        <w:spacing w:after="0" w:line="358" w:lineRule="auto"/>
        <w:tabs>
          <w:tab w:leader="none" w:pos="1422"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Treasurer may sign (unless an Assistant Treasurer or the Secretary or an Assistant Secretary shall have signed) certificates representing shares of stock of the Corporation the issuance of which shall have been authorized by the Board.</w:t>
      </w:r>
    </w:p>
    <w:p>
      <w:pPr>
        <w:spacing w:after="0" w:line="307" w:lineRule="exact"/>
        <w:rPr>
          <w:rFonts w:ascii="Arial" w:cs="Arial" w:eastAsia="Arial" w:hAnsi="Arial"/>
          <w:sz w:val="19"/>
          <w:szCs w:val="19"/>
          <w:color w:val="auto"/>
        </w:rPr>
      </w:pPr>
    </w:p>
    <w:p>
      <w:pPr>
        <w:ind w:right="200" w:firstLine="980"/>
        <w:spacing w:after="0" w:line="358" w:lineRule="auto"/>
        <w:tabs>
          <w:tab w:leader="none" w:pos="1458"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Treasurer shall perform, in general, all duties incident to the office of treasurer and such other duties as may be specified in these bylaws or as may be assigned to the Treasurer from time to time by the Board or the President.</w:t>
      </w:r>
    </w:p>
    <w:p>
      <w:pPr>
        <w:spacing w:after="0" w:line="307" w:lineRule="exact"/>
        <w:rPr>
          <w:sz w:val="20"/>
          <w:szCs w:val="20"/>
          <w:color w:val="auto"/>
        </w:rPr>
      </w:pPr>
    </w:p>
    <w:p>
      <w:pPr>
        <w:jc w:val="both"/>
        <w:ind w:right="160" w:firstLine="648"/>
        <w:spacing w:after="0" w:line="260"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Security</w:t>
      </w:r>
      <w:r>
        <w:rPr>
          <w:rFonts w:ascii="Arial" w:cs="Arial" w:eastAsia="Arial" w:hAnsi="Arial"/>
          <w:sz w:val="22"/>
          <w:szCs w:val="22"/>
          <w:color w:val="auto"/>
        </w:rPr>
        <w:t>. The Board may require any officer, agent or employee of the Corporation to provide security for the faithful performance of his or her duties, in such amount and of such character as may be determined from time to time by the Board.</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CAPITAL STOCK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Certificates of Stock; Uncertificated Shares</w:t>
      </w:r>
      <w:r>
        <w:rPr>
          <w:rFonts w:ascii="Arial" w:cs="Arial" w:eastAsia="Arial" w:hAnsi="Arial"/>
          <w:sz w:val="22"/>
          <w:szCs w:val="22"/>
          <w:color w:val="auto"/>
        </w:rPr>
        <w:t>. The shares of the Corporation shall be represented by certificates, except to the extent that the Board has provided by resolution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w:t>
      </w:r>
    </w:p>
    <w:p>
      <w:pPr>
        <w:sectPr>
          <w:pgSz w:w="11900" w:h="16838" w:orient="portrait"/>
          <w:cols w:equalWidth="0" w:num="1">
            <w:col w:w="11380"/>
          </w:cols>
          <w:pgMar w:left="240" w:top="847" w:right="27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380"/>
          </w:cols>
          <w:pgMar w:left="240" w:top="847" w:right="279" w:bottom="1440" w:gutter="0" w:footer="0" w:header="0"/>
          <w:type w:val="continuous"/>
        </w:sectPr>
      </w:pPr>
    </w:p>
    <w:bookmarkStart w:id="67" w:name="page68"/>
    <w:bookmarkEnd w:id="67"/>
    <w:p>
      <w:pPr>
        <w:ind w:right="60"/>
        <w:spacing w:after="0" w:line="250" w:lineRule="auto"/>
        <w:rPr>
          <w:sz w:val="20"/>
          <w:szCs w:val="20"/>
          <w:color w:val="auto"/>
        </w:rPr>
      </w:pPr>
      <w:r>
        <w:rPr>
          <w:rFonts w:ascii="Arial" w:cs="Arial" w:eastAsia="Arial" w:hAnsi="Arial"/>
          <w:sz w:val="22"/>
          <w:szCs w:val="22"/>
          <w:color w:val="auto"/>
        </w:rPr>
        <w:t>permit a holder of uncertificated shares to receive upon request, a certificate signed by the President or a Vice President, and by the Treasurer or an Assistant Treasurer, or the Secretary or an Assistant Secretary, representing the number of shares registered in certificate form. Such certificate shall be in such form as the Board may determine, to the extent consistent with applicable law, the certificate of incorporation and these bylaws.</w:t>
      </w:r>
    </w:p>
    <w:p>
      <w:pPr>
        <w:spacing w:after="0" w:line="200" w:lineRule="exact"/>
        <w:rPr>
          <w:sz w:val="20"/>
          <w:szCs w:val="20"/>
          <w:color w:val="auto"/>
        </w:rPr>
      </w:pPr>
    </w:p>
    <w:p>
      <w:pPr>
        <w:spacing w:after="0" w:line="205"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Facsimile Signatures</w:t>
      </w:r>
      <w:r>
        <w:rPr>
          <w:rFonts w:ascii="Arial" w:cs="Arial" w:eastAsia="Arial" w:hAnsi="Arial"/>
          <w:sz w:val="22"/>
          <w:szCs w:val="22"/>
          <w:color w:val="auto"/>
        </w:rPr>
        <w:t>. Any or all signatures on the certificates referred to in Section 5.01 of these bylaws may be in facsimile form, to the extent permitted by law.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200" w:lineRule="exact"/>
        <w:rPr>
          <w:sz w:val="20"/>
          <w:szCs w:val="20"/>
          <w:color w:val="auto"/>
        </w:rPr>
      </w:pPr>
    </w:p>
    <w:p>
      <w:pPr>
        <w:spacing w:after="0" w:line="20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Lost, Stolen or Destroyed Certificates</w:t>
      </w:r>
      <w:r>
        <w:rPr>
          <w:rFonts w:ascii="Arial" w:cs="Arial" w:eastAsia="Arial" w:hAnsi="Arial"/>
          <w:sz w:val="22"/>
          <w:szCs w:val="22"/>
          <w:color w:val="auto"/>
        </w:rPr>
        <w:t>. A new certificate may be issued in place of any certificate theretofore issued by the Corporation alleged to have been lost, stolen or destroyed only upon delivery to the Corporation of an affidavit of the owner or owners (or their legal representatives) of such certificate, setting forth such allegation, and a bond or other undertaking as may be satisfactory to a financial officer of the Corporation designated by the Board to indemnify the Corporation against any claim that may be made against it on account of the alleged loss, theft or destruction of any such certificate or the issuance of any such new certificate.</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u w:val="single" w:color="auto"/>
          <w:color w:val="auto"/>
        </w:rPr>
        <w:t>Transfer of Stock</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980"/>
        <w:spacing w:after="0" w:line="294" w:lineRule="auto"/>
        <w:tabs>
          <w:tab w:leader="none" w:pos="1446" w:val="left"/>
        </w:tabs>
        <w:numPr>
          <w:ilvl w:val="0"/>
          <w:numId w:val="64"/>
        </w:numPr>
        <w:rPr>
          <w:rFonts w:ascii="Arial" w:cs="Arial" w:eastAsia="Arial" w:hAnsi="Arial"/>
          <w:sz w:val="19"/>
          <w:szCs w:val="19"/>
          <w:color w:val="auto"/>
        </w:rPr>
      </w:pPr>
      <w:r>
        <w:rPr>
          <w:rFonts w:ascii="Arial" w:cs="Arial" w:eastAsia="Arial" w:hAnsi="Arial"/>
          <w:sz w:val="19"/>
          <w:szCs w:val="19"/>
          <w:color w:val="auto"/>
        </w:rPr>
        <w:t>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Sections 151, 156, 202(a) or 218(a) of the DGCL. Subject to the provisions of the certificate of incorporation and these bylaws, the Board may prescribe such additional rules and regulations as it may deem appropriate relating to the issue, transfer and registration of shares of the Corporation.</w:t>
      </w:r>
    </w:p>
    <w:p>
      <w:pPr>
        <w:spacing w:after="0" w:line="368" w:lineRule="exact"/>
        <w:rPr>
          <w:rFonts w:ascii="Arial" w:cs="Arial" w:eastAsia="Arial" w:hAnsi="Arial"/>
          <w:sz w:val="19"/>
          <w:szCs w:val="19"/>
          <w:color w:val="auto"/>
        </w:rPr>
      </w:pPr>
    </w:p>
    <w:p>
      <w:pPr>
        <w:ind w:right="460" w:firstLine="980"/>
        <w:spacing w:after="0" w:line="276" w:lineRule="auto"/>
        <w:tabs>
          <w:tab w:leader="none" w:pos="1458"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Corporation may enter into additional agreements with shareholders to restrict the transfer of stock of the Corporation in any manner not prohibited by the DGCL.</w:t>
      </w:r>
    </w:p>
    <w:p>
      <w:pPr>
        <w:spacing w:after="0" w:line="377" w:lineRule="exact"/>
        <w:rPr>
          <w:sz w:val="20"/>
          <w:szCs w:val="20"/>
          <w:color w:val="auto"/>
        </w:rPr>
      </w:pPr>
    </w:p>
    <w:p>
      <w:pPr>
        <w:ind w:right="240" w:firstLine="648"/>
        <w:spacing w:after="0" w:line="297"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Registered Stockholders</w:t>
      </w:r>
      <w:r>
        <w:rPr>
          <w:rFonts w:ascii="Arial" w:cs="Arial" w:eastAsia="Arial" w:hAnsi="Arial"/>
          <w:sz w:val="19"/>
          <w:szCs w:val="19"/>
          <w:color w:val="auto"/>
        </w:rPr>
        <w:t>. Prior to due surrender of a certificate for registration of transfer,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If a transfer of shares is made for collateral security, and not absolutely, this fact shall be so expressed in the entry of the transfer if, when the certificates are presented to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847" w:right="259" w:bottom="1440" w:gutter="0" w:footer="0" w:header="0"/>
        </w:sectPr>
      </w:pPr>
    </w:p>
    <w:bookmarkStart w:id="68" w:name="page69"/>
    <w:bookmarkEnd w:id="68"/>
    <w:p>
      <w:pPr>
        <w:ind w:right="640"/>
        <w:spacing w:after="0" w:line="263" w:lineRule="auto"/>
        <w:rPr>
          <w:sz w:val="20"/>
          <w:szCs w:val="20"/>
          <w:color w:val="auto"/>
        </w:rPr>
      </w:pPr>
      <w:r>
        <w:rPr>
          <w:rFonts w:ascii="Arial" w:cs="Arial" w:eastAsia="Arial" w:hAnsi="Arial"/>
          <w:sz w:val="22"/>
          <w:szCs w:val="22"/>
          <w:color w:val="auto"/>
        </w:rPr>
        <w:t>Corporation for transfer or uncertificated shares are requested to be transferred, both the transferor and transferee request the Corporation to do so.</w:t>
      </w:r>
    </w:p>
    <w:p>
      <w:pPr>
        <w:spacing w:after="0" w:line="391" w:lineRule="exact"/>
        <w:rPr>
          <w:sz w:val="20"/>
          <w:szCs w:val="20"/>
          <w:color w:val="auto"/>
        </w:rPr>
      </w:pPr>
    </w:p>
    <w:p>
      <w:pPr>
        <w:ind w:right="780" w:firstLine="648"/>
        <w:spacing w:after="0" w:line="358"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Transfer Agent and Registrar</w:t>
      </w:r>
      <w:r>
        <w:rPr>
          <w:rFonts w:ascii="Arial" w:cs="Arial" w:eastAsia="Arial" w:hAnsi="Arial"/>
          <w:sz w:val="19"/>
          <w:szCs w:val="19"/>
          <w:color w:val="auto"/>
        </w:rPr>
        <w:t>. The Board may appoint one or more transfer agents and one or more registrars, and may require all certificates representing shares to bear the signature of any such transfer agents or registrars.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INDEMNIFICATION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980"/>
        <w:spacing w:after="0" w:line="291" w:lineRule="auto"/>
        <w:tabs>
          <w:tab w:leader="none" w:pos="144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The Corporation shall indemnify, to the full extent permitted by the DGCL and other applicable law, any person who was or is a party or is threatened to be made a party to any threatened, pending or completed action, suit or proceeding, whether civil, criminal, administrative or investigative (each,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(x) such person is or was serving or has agreed to serve as a Director or officer of the Corporation, or (y) such person, while serving as a Director or officer of the Corporation, is or was serving or has agreed to serve at the request of the Corporation as a Director, officer, employee, manager or agent of another corporation, partnership, joint venture, trust or other enterprise or (z) such person is or was serving or has agreed to serve at the request of the Corporation as a Director, officer or manager of another corporation, partnership, joint venture, trust or other enterprise, or by reason of any action alleged to have been taken or omitted by such person in such capacity, and who satisfies the applicable standard of conduct set forth in the DGCL or other applicable law:</w:t>
      </w:r>
    </w:p>
    <w:p>
      <w:pPr>
        <w:spacing w:after="0" w:line="371" w:lineRule="exact"/>
        <w:rPr>
          <w:sz w:val="20"/>
          <w:szCs w:val="20"/>
          <w:color w:val="auto"/>
        </w:rPr>
      </w:pPr>
    </w:p>
    <w:p>
      <w:pPr>
        <w:ind w:right="60" w:firstLine="980"/>
        <w:spacing w:after="0" w:line="260" w:lineRule="auto"/>
        <w:tabs>
          <w:tab w:leader="none" w:pos="1369"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a proceeding other than a proceeding by or in the right of the Corporation, against expenses (including attorneys’ fees), judgments, fines and amounts paid in settlement actually and reasonably incurred by such person or on such person’s behalf in connection with such proceeding and any appeal therefrom, or</w:t>
      </w:r>
    </w:p>
    <w:p>
      <w:pPr>
        <w:spacing w:after="0" w:line="393" w:lineRule="exact"/>
        <w:rPr>
          <w:rFonts w:ascii="Arial" w:cs="Arial" w:eastAsia="Arial" w:hAnsi="Arial"/>
          <w:sz w:val="22"/>
          <w:szCs w:val="22"/>
          <w:color w:val="auto"/>
        </w:rPr>
      </w:pPr>
    </w:p>
    <w:p>
      <w:pPr>
        <w:ind w:right="120" w:firstLine="980"/>
        <w:spacing w:after="0" w:line="260" w:lineRule="auto"/>
        <w:tabs>
          <w:tab w:leader="none" w:pos="1369"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a proceeding by or in the right of the Corporation to procure a judgment in its favor, against expenses (including attorneys’ fees) actually and reasonably incurred by such person or on such person’s behalf in connection with the defense or settlement of such proceeding and any appeal therefrom.</w:t>
      </w:r>
    </w:p>
    <w:p>
      <w:pPr>
        <w:spacing w:after="0" w:line="393" w:lineRule="exact"/>
        <w:rPr>
          <w:sz w:val="20"/>
          <w:szCs w:val="20"/>
          <w:color w:val="auto"/>
        </w:rPr>
      </w:pPr>
    </w:p>
    <w:p>
      <w:pPr>
        <w:ind w:right="40" w:firstLine="980"/>
        <w:spacing w:after="0" w:line="270" w:lineRule="auto"/>
        <w:tabs>
          <w:tab w:leader="none" w:pos="1458"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Indemnification in Respect of Successful Defense</w:t>
      </w:r>
      <w:r>
        <w:rPr>
          <w:rFonts w:ascii="Arial" w:cs="Arial" w:eastAsia="Arial" w:hAnsi="Arial"/>
          <w:sz w:val="21"/>
          <w:szCs w:val="21"/>
          <w:color w:val="auto"/>
        </w:rPr>
        <w:t>. To the extent that a present or former Director or officer of the Corporation has been successful on the merits or otherwise in defense of any proceeding referred to in Section 6.01(a) or in defense of any claim, issue or matter therein, such person shall be indemnified by the Corporation against expenses (including attorneys’ fees) actually and reasonably incurred by such person in connection therewith.</w:t>
      </w:r>
    </w:p>
    <w:p>
      <w:pPr>
        <w:spacing w:after="0" w:line="385" w:lineRule="exact"/>
        <w:rPr>
          <w:rFonts w:ascii="Arial" w:cs="Arial" w:eastAsia="Arial" w:hAnsi="Arial"/>
          <w:sz w:val="21"/>
          <w:szCs w:val="21"/>
          <w:color w:val="auto"/>
        </w:rPr>
      </w:pPr>
    </w:p>
    <w:p>
      <w:pPr>
        <w:ind w:right="500" w:firstLine="980"/>
        <w:spacing w:after="0" w:line="260" w:lineRule="auto"/>
        <w:tabs>
          <w:tab w:leader="none" w:pos="144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Indemnification in Respect of Proceedings Instituted by Indemnitee</w:t>
      </w:r>
      <w:r>
        <w:rPr>
          <w:rFonts w:ascii="Arial" w:cs="Arial" w:eastAsia="Arial" w:hAnsi="Arial"/>
          <w:sz w:val="22"/>
          <w:szCs w:val="22"/>
          <w:color w:val="auto"/>
        </w:rPr>
        <w:t>. Section 6.01(a) does not require the Corporation to indemnify a present or former Director or officer of the Corporation in respect of a proceeding (or part thereof) instituted by such person on his or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47" w:right="239" w:bottom="1440" w:gutter="0" w:footer="0" w:header="0"/>
        </w:sectPr>
      </w:pPr>
    </w:p>
    <w:bookmarkStart w:id="69" w:name="page70"/>
    <w:bookmarkEnd w:id="69"/>
    <w:p>
      <w:pPr>
        <w:ind w:right="580"/>
        <w:spacing w:after="0" w:line="263" w:lineRule="auto"/>
        <w:rPr>
          <w:sz w:val="20"/>
          <w:szCs w:val="20"/>
          <w:color w:val="auto"/>
        </w:rPr>
      </w:pPr>
      <w:r>
        <w:rPr>
          <w:rFonts w:ascii="Arial" w:cs="Arial" w:eastAsia="Arial" w:hAnsi="Arial"/>
          <w:sz w:val="22"/>
          <w:szCs w:val="22"/>
          <w:color w:val="auto"/>
        </w:rPr>
        <w:t>her own behalf, unless such proceeding (or part thereof) has been authorized by the Board or the indemnification requested is pursuant to the last sentence of Section 6.03 of these bylaws.</w:t>
      </w:r>
    </w:p>
    <w:p>
      <w:pPr>
        <w:spacing w:after="0" w:line="39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u w:val="single" w:color="auto"/>
          <w:color w:val="auto"/>
        </w:rPr>
        <w:t>Advance of Expenses</w:t>
      </w:r>
      <w:r>
        <w:rPr>
          <w:rFonts w:ascii="Arial" w:cs="Arial" w:eastAsia="Arial" w:hAnsi="Arial"/>
          <w:sz w:val="21"/>
          <w:szCs w:val="21"/>
          <w:color w:val="auto"/>
        </w:rPr>
        <w:t>. The Corporation shall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that such person is not entitled to be indemnified by the Corporation. The Corporation may authorize any counsel for the Corporation to represent (subject to applicable conflict of interest considerations) such present or former Director or officer in any proceeding, whether or not the Corporation is a party to such proceeding</w:t>
      </w:r>
    </w:p>
    <w:p>
      <w:pPr>
        <w:spacing w:after="0" w:line="391"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Procedure for Indemnification</w:t>
      </w:r>
      <w:r>
        <w:rPr>
          <w:rFonts w:ascii="Arial" w:cs="Arial" w:eastAsia="Arial" w:hAnsi="Arial"/>
          <w:sz w:val="19"/>
          <w:szCs w:val="19"/>
          <w:color w:val="auto"/>
        </w:rPr>
        <w:t>. Any indemnification under Section 6.01 of these bylaws or any advance of expenses under Section 6.02 of these bylaws shall be made only against a written request therefor (together with supporting documentation) submitted by or on behalf of the person seeking indemnification or advance. Indemnification may be sought by a person under Section 6.01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 of expenses may seek to enforce such person’s rights to indemnification or advance of expenses (as the case may be) in the Delaware Court of Chancery to the extent all or any portion of a requested indemnification has not been granted within 90 days of, or to the extent all or any portion of a requested advance of expenses has not been granted within 20 days of, the submission of such request. All expenses (including reasonable attorneys’ fees) incurred by such person in connection with successfully establishing such person’s right to indemnification or advancement of expenses under this Article, in whole or in part, shall also be indemnified by the Corporation.</w:t>
      </w:r>
    </w:p>
    <w:p>
      <w:pPr>
        <w:spacing w:after="0" w:line="3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u w:val="single" w:color="auto"/>
          <w:color w:val="auto"/>
        </w:rPr>
        <w:t>Burden of Proof</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40" w:firstLine="980"/>
        <w:spacing w:after="0" w:line="300" w:lineRule="auto"/>
        <w:tabs>
          <w:tab w:leader="none" w:pos="1446"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 any proceeding brought to enforce the right of a person to receive indemnification to which such person is entitled under Section 6.01 of these bylaws, the Corporation has the burden of demonstrating that the standard of conduct applicable under the DGCL or other applicable law was not met. A prior determination by the Corporation (including its Board or any committee thereof, its independent legal counsel, or its stockholders) that the claimant has not met such applicable standard of conduct does not itself constitute evidence that the claimant has not met the applicable standard of conduct.</w:t>
      </w:r>
    </w:p>
    <w:p>
      <w:pPr>
        <w:spacing w:after="0" w:line="363" w:lineRule="exact"/>
        <w:rPr>
          <w:rFonts w:ascii="Arial" w:cs="Arial" w:eastAsia="Arial" w:hAnsi="Arial"/>
          <w:sz w:val="19"/>
          <w:szCs w:val="19"/>
          <w:color w:val="auto"/>
        </w:rPr>
      </w:pPr>
    </w:p>
    <w:p>
      <w:pPr>
        <w:ind w:firstLine="980"/>
        <w:spacing w:after="0" w:line="260" w:lineRule="auto"/>
        <w:tabs>
          <w:tab w:leader="none" w:pos="1458"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any proceeding brought to enforce a claim for advances to which a person is entitled under Section 6.02 of these bylaws, the person seeking an advance need only show that he or she has satisfied the requirements expressly set forth in Section 6.02 of these bylaws.</w:t>
      </w:r>
    </w:p>
    <w:p>
      <w:pPr>
        <w:spacing w:after="0" w:line="39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u w:val="single" w:color="auto"/>
          <w:color w:val="auto"/>
        </w:rPr>
        <w:t>Contract Right; Non-Exclusivity; Survival</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480" w:firstLine="980"/>
        <w:spacing w:after="0" w:line="276" w:lineRule="auto"/>
        <w:tabs>
          <w:tab w:leader="none" w:pos="1446"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rights to indemnification and advancement of expenses provided by this Article VI shall be deemed to be separate contract rights between the Corporation and each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47" w:right="239" w:bottom="1440" w:gutter="0" w:footer="0" w:header="0"/>
        </w:sectPr>
      </w:pPr>
    </w:p>
    <w:bookmarkStart w:id="70" w:name="page71"/>
    <w:bookmarkEnd w:id="70"/>
    <w:p>
      <w:pPr>
        <w:ind w:right="20"/>
        <w:spacing w:after="0" w:line="261" w:lineRule="auto"/>
        <w:rPr>
          <w:sz w:val="20"/>
          <w:szCs w:val="20"/>
          <w:color w:val="auto"/>
        </w:rPr>
      </w:pPr>
      <w:r>
        <w:rPr>
          <w:rFonts w:ascii="Arial" w:cs="Arial" w:eastAsia="Arial" w:hAnsi="Arial"/>
          <w:sz w:val="21"/>
          <w:szCs w:val="21"/>
          <w:color w:val="auto"/>
        </w:rPr>
        <w:t>Director and officer who serves in any such capacity at any time while these provisions as well as the relevant provisions of the DGCL are in effect, and no repeal or modification of any of these provisions or any relevant provisions of the DGCL shall adversely affect 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w:t>
      </w:r>
    </w:p>
    <w:p>
      <w:pPr>
        <w:spacing w:after="0" w:line="396" w:lineRule="exact"/>
        <w:rPr>
          <w:sz w:val="20"/>
          <w:szCs w:val="20"/>
          <w:color w:val="auto"/>
        </w:rPr>
      </w:pPr>
    </w:p>
    <w:p>
      <w:pPr>
        <w:ind w:right="600" w:firstLine="980"/>
        <w:spacing w:after="0" w:line="254" w:lineRule="auto"/>
        <w:tabs>
          <w:tab w:leader="none" w:pos="1458"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rights to indemnification and advancement of expenses provided by this Article VI shall not be deemed exclusive of any other indemnification or advancement of expenses to which a present or former Director or officer of the Corporation seeking indemnification or advancement of expenses may be entitled by any agreement, vote of stockholders or disinterested Directors, or otherwise.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60" w:firstLine="980"/>
        <w:spacing w:after="0" w:line="358" w:lineRule="auto"/>
        <w:tabs>
          <w:tab w:leader="none" w:pos="1446"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rights to indemnification and advancement of expenses provided by this Article VI to any present or former Director or officer of the Corporation shall inure to the benefit of the heirs, executors and administrators of such person.</w:t>
      </w:r>
    </w:p>
    <w:p>
      <w:pPr>
        <w:spacing w:after="0" w:line="307" w:lineRule="exact"/>
        <w:rPr>
          <w:sz w:val="20"/>
          <w:szCs w:val="20"/>
          <w:color w:val="auto"/>
        </w:rPr>
      </w:pPr>
    </w:p>
    <w:p>
      <w:pPr>
        <w:ind w:right="40" w:firstLine="648"/>
        <w:spacing w:after="0" w:line="300"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Insurance</w:t>
      </w:r>
      <w:r>
        <w:rPr>
          <w:rFonts w:ascii="Arial" w:cs="Arial" w:eastAsia="Arial" w:hAnsi="Arial"/>
          <w:sz w:val="19"/>
          <w:szCs w:val="19"/>
          <w:color w:val="auto"/>
        </w:rPr>
        <w:t>. The Corporation may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Article.</w:t>
      </w:r>
    </w:p>
    <w:p>
      <w:pPr>
        <w:spacing w:after="0" w:line="363" w:lineRule="exact"/>
        <w:rPr>
          <w:sz w:val="20"/>
          <w:szCs w:val="20"/>
          <w:color w:val="auto"/>
        </w:rPr>
      </w:pPr>
    </w:p>
    <w:p>
      <w:pPr>
        <w:ind w:right="40" w:firstLine="648"/>
        <w:spacing w:after="0" w:line="320"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Employees and Agents</w:t>
      </w:r>
      <w:r>
        <w:rPr>
          <w:rFonts w:ascii="Arial" w:cs="Arial" w:eastAsia="Arial" w:hAnsi="Arial"/>
          <w:sz w:val="19"/>
          <w:szCs w:val="19"/>
          <w:color w:val="auto"/>
        </w:rPr>
        <w:t>. The Board, or any officer authorized by the Board to make indemnification decisions, may cause the Corporation to indemnify any present or former employee or agent of the Corporation in such manner and for such liabilities as the Board may determine, up to the fullest extent permitted by the DGCL and other applicable law.</w:t>
      </w:r>
    </w:p>
    <w:p>
      <w:pPr>
        <w:spacing w:after="0" w:line="342"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 xml:space="preserve">Section 6.08 </w:t>
      </w:r>
      <w:r>
        <w:rPr>
          <w:rFonts w:ascii="Arial" w:cs="Arial" w:eastAsia="Arial" w:hAnsi="Arial"/>
          <w:sz w:val="21"/>
          <w:szCs w:val="21"/>
          <w:u w:val="single" w:color="auto"/>
          <w:color w:val="auto"/>
        </w:rPr>
        <w:t>Interpretation; Severability</w:t>
      </w:r>
      <w:r>
        <w:rPr>
          <w:rFonts w:ascii="Arial" w:cs="Arial" w:eastAsia="Arial" w:hAnsi="Arial"/>
          <w:sz w:val="21"/>
          <w:szCs w:val="21"/>
          <w:color w:val="auto"/>
        </w:rPr>
        <w:t xml:space="preserve">. Terms defined in Sections 145(h) or (i) of the DGCL have the meanings set forth in such sections when used in this Article VI. If this Article or any portion hereof shall be invalidated on any ground by any court of competent jurisdiction, then the Corporation shall nevertheless indemnify each Director or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fullest extent permitted by any applicable portion of this Article that shall not have been invalidated </w:t>
      </w:r>
      <w:r>
        <w:rPr>
          <w:rFonts w:ascii="Arial" w:cs="Arial" w:eastAsia="Arial" w:hAnsi="Arial"/>
          <w:sz w:val="21"/>
          <w:szCs w:val="21"/>
          <w:u w:val="single" w:color="auto"/>
          <w:color w:val="auto"/>
        </w:rPr>
        <w:t>and to the fullest extent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permitted by applicable law</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847"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2"/>
          <w:szCs w:val="22"/>
          <w:color w:val="auto"/>
        </w:rPr>
        <w:t>ARTICLE VII</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OFFICES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80" w:firstLine="648"/>
        <w:spacing w:after="0" w:line="276"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Registered Office</w:t>
      </w:r>
      <w:r>
        <w:rPr>
          <w:rFonts w:ascii="Arial" w:cs="Arial" w:eastAsia="Arial" w:hAnsi="Arial"/>
          <w:sz w:val="22"/>
          <w:szCs w:val="22"/>
          <w:color w:val="auto"/>
        </w:rPr>
        <w:t>. The registered office of the Corporation in the State of Delaware shall be located at the location provided in the Corporation’s certificate of incorporation.</w:t>
      </w:r>
    </w:p>
    <w:p>
      <w:pPr>
        <w:spacing w:after="0" w:line="377" w:lineRule="exact"/>
        <w:rPr>
          <w:sz w:val="20"/>
          <w:szCs w:val="20"/>
          <w:color w:val="auto"/>
        </w:rPr>
      </w:pPr>
    </w:p>
    <w:p>
      <w:pPr>
        <w:ind w:right="160" w:firstLine="648"/>
        <w:spacing w:after="0" w:line="358"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Other Offices</w:t>
      </w:r>
      <w:r>
        <w:rPr>
          <w:rFonts w:ascii="Arial" w:cs="Arial" w:eastAsia="Arial" w:hAnsi="Arial"/>
          <w:sz w:val="19"/>
          <w:szCs w:val="19"/>
          <w:color w:val="auto"/>
        </w:rPr>
        <w:t>. The Corporation may maintain offices or places of business at such other locations within or without the State of Delaware as the Board may from time to time determine or as the business of the Corporation may require.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GENERAL PROVISIONS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Dividends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60" w:firstLine="980"/>
        <w:spacing w:after="0" w:line="320" w:lineRule="auto"/>
        <w:tabs>
          <w:tab w:leader="none" w:pos="1446"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Subject to any applicable provisions of law and the certificate of incorporation, dividends upon the shares of the Corporation may be declared by the Board at any regular or special meeting of the Board, or by written consent in accordance with the DGCL and these bylaws, and any such dividend may be paid in cash, property, or shares of the Corporation’s stock.</w:t>
      </w:r>
    </w:p>
    <w:p>
      <w:pPr>
        <w:spacing w:after="0" w:line="341" w:lineRule="exact"/>
        <w:rPr>
          <w:rFonts w:ascii="Arial" w:cs="Arial" w:eastAsia="Arial" w:hAnsi="Arial"/>
          <w:sz w:val="19"/>
          <w:szCs w:val="19"/>
          <w:color w:val="auto"/>
        </w:rPr>
      </w:pPr>
    </w:p>
    <w:p>
      <w:pPr>
        <w:ind w:right="40" w:firstLine="980"/>
        <w:spacing w:after="0" w:line="248" w:lineRule="auto"/>
        <w:tabs>
          <w:tab w:leader="none" w:pos="14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200" w:lineRule="exact"/>
        <w:rPr>
          <w:sz w:val="20"/>
          <w:szCs w:val="20"/>
          <w:color w:val="auto"/>
        </w:rPr>
      </w:pPr>
    </w:p>
    <w:p>
      <w:pPr>
        <w:spacing w:after="0" w:line="212" w:lineRule="exact"/>
        <w:rPr>
          <w:sz w:val="20"/>
          <w:szCs w:val="20"/>
          <w:color w:val="auto"/>
        </w:rPr>
      </w:pPr>
    </w:p>
    <w:p>
      <w:pPr>
        <w:ind w:right="320" w:firstLine="648"/>
        <w:spacing w:after="0" w:line="307"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Reserves</w:t>
      </w:r>
      <w:r>
        <w:rPr>
          <w:rFonts w:ascii="Arial" w:cs="Arial" w:eastAsia="Arial" w:hAnsi="Arial"/>
          <w:sz w:val="19"/>
          <w:szCs w:val="19"/>
          <w:color w:val="auto"/>
        </w:rPr>
        <w:t>. There may be set apart out of any funds of the Corporation available for dividends such sum or sums as the Board from time to time may determine proper as a reserve or reserves for meeting contingencies, equalizing dividends, repairing or maintaining any property of the Corporation or for such other purpose or purposes as the Board may determine conducive to the interest of the Corporation, and the Board may similarly modify or abolish any such reserve.</w:t>
      </w:r>
    </w:p>
    <w:p>
      <w:pPr>
        <w:spacing w:after="0" w:line="354"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Execution of Instruments</w:t>
      </w:r>
      <w:r>
        <w:rPr>
          <w:rFonts w:ascii="Arial" w:cs="Arial" w:eastAsia="Arial" w:hAnsi="Arial"/>
          <w:sz w:val="19"/>
          <w:szCs w:val="19"/>
          <w:color w:val="auto"/>
        </w:rPr>
        <w:t>.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Any such authorization must be in writing or by electronic transmission and may be general or limited to specific contracts or instruments.</w:t>
      </w:r>
    </w:p>
    <w:p>
      <w:pPr>
        <w:sectPr>
          <w:pgSz w:w="11900" w:h="16838" w:orient="portrait"/>
          <w:cols w:equalWidth="0" w:num="1">
            <w:col w:w="11400"/>
          </w:cols>
          <w:pgMar w:left="240" w:top="996" w:right="25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400"/>
          </w:cols>
          <w:pgMar w:left="240" w:top="996" w:right="259" w:bottom="1440" w:gutter="0" w:footer="0" w:header="0"/>
          <w:type w:val="continuous"/>
        </w:sectPr>
      </w:pPr>
    </w:p>
    <w:bookmarkStart w:id="72" w:name="page73"/>
    <w:bookmarkEnd w:id="72"/>
    <w:p>
      <w:pPr>
        <w:ind w:right="40" w:firstLine="648"/>
        <w:spacing w:after="0" w:line="250"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Voting as Stockholder</w:t>
      </w:r>
      <w:r>
        <w:rPr>
          <w:rFonts w:ascii="Arial" w:cs="Arial" w:eastAsia="Arial" w:hAnsi="Arial"/>
          <w:sz w:val="22"/>
          <w:szCs w:val="22"/>
          <w:color w:val="auto"/>
        </w:rPr>
        <w:t>. Unless otherwise determined by resolution of the Board, the President or any Vice President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at any such meeting, or through action without a meeting. The Board may by resolution from time to time confer such power and authority (in general or confined to specific instances) upon any other person or persons.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commence on the first day of April of each year (except for the Corporation’s first fiscal year which shall commence on the date of incorporation) and shall terminate in each case on March 31.</w:t>
      </w:r>
    </w:p>
    <w:p>
      <w:pPr>
        <w:spacing w:after="0" w:line="393"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u w:val="single" w:color="auto"/>
          <w:color w:val="auto"/>
        </w:rPr>
        <w:t>Seal</w:t>
      </w:r>
      <w:r>
        <w:rPr>
          <w:rFonts w:ascii="Arial" w:cs="Arial" w:eastAsia="Arial" w:hAnsi="Arial"/>
          <w:sz w:val="22"/>
          <w:szCs w:val="22"/>
          <w:color w:val="auto"/>
        </w:rPr>
        <w:t>.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w:t>
      </w:r>
    </w:p>
    <w:p>
      <w:pPr>
        <w:spacing w:after="0" w:line="200" w:lineRule="exact"/>
        <w:rPr>
          <w:sz w:val="20"/>
          <w:szCs w:val="20"/>
          <w:color w:val="auto"/>
        </w:rPr>
      </w:pPr>
    </w:p>
    <w:p>
      <w:pPr>
        <w:spacing w:after="0" w:line="201"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Books and Records; Inspection</w:t>
      </w:r>
      <w:r>
        <w:rPr>
          <w:rFonts w:ascii="Arial" w:cs="Arial" w:eastAsia="Arial" w:hAnsi="Arial"/>
          <w:sz w:val="22"/>
          <w:szCs w:val="22"/>
          <w:color w:val="auto"/>
        </w:rPr>
        <w:t>. Except to the extent otherwise required by law, the books and records of the Corporation shall be kept at such place or places within or without the State of Delaware as may be determined from time to time by the Board.</w:t>
      </w:r>
    </w:p>
    <w:p>
      <w:pPr>
        <w:spacing w:after="0" w:line="393" w:lineRule="exact"/>
        <w:rPr>
          <w:sz w:val="20"/>
          <w:szCs w:val="20"/>
          <w:color w:val="auto"/>
        </w:rPr>
      </w:pPr>
    </w:p>
    <w:p>
      <w:pPr>
        <w:ind w:right="200" w:firstLine="648"/>
        <w:spacing w:after="0" w:line="254"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Electronic Transmission</w:t>
      </w:r>
      <w:r>
        <w:rPr>
          <w:rFonts w:ascii="Arial" w:cs="Arial" w:eastAsia="Arial" w:hAnsi="Arial"/>
          <w:sz w:val="22"/>
          <w:szCs w:val="22"/>
          <w:color w:val="auto"/>
        </w:rPr>
        <w:t>. “</w:t>
      </w:r>
      <w:r>
        <w:rPr>
          <w:rFonts w:ascii="Arial" w:cs="Arial" w:eastAsia="Arial" w:hAnsi="Arial"/>
          <w:sz w:val="22"/>
          <w:szCs w:val="22"/>
          <w:u w:val="single" w:color="auto"/>
          <w:color w:val="auto"/>
        </w:rPr>
        <w:t>Electronic transmission</w:t>
      </w:r>
      <w:r>
        <w:rPr>
          <w:rFonts w:ascii="Arial" w:cs="Arial" w:eastAsia="Arial" w:hAnsi="Arial"/>
          <w:sz w:val="22"/>
          <w:szCs w:val="22"/>
          <w:color w:val="auto"/>
        </w:rPr>
        <w:t>”,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AMENDMENT OF BYLAWS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Amendment</w:t>
      </w:r>
      <w:r>
        <w:rPr>
          <w:rFonts w:ascii="Arial" w:cs="Arial" w:eastAsia="Arial" w:hAnsi="Arial"/>
          <w:sz w:val="19"/>
          <w:szCs w:val="19"/>
          <w:color w:val="auto"/>
        </w:rPr>
        <w:t>. Subject to the provisions of the certificate of incorporation, these bylaws may be amended, altered or repealed (a) by resolution adopted by a majority of the Board at any special or regular meeting of the Board if, in the case of such special meeting only, notice of such amendment, alteration or repeal is contained in the notice or waiver of notice of such meeting or (b) at any regular or special meeting of the stockholders upon the affirmative vote of at least two-thirds of the shares of the Corporation entitled to vote generally in the election of Directors if, in the case of such special meeting only, notice of such amendment, alteration or repeal is contained in the notice or waiver of notice of such meeting.</w:t>
      </w:r>
    </w:p>
    <w:p>
      <w:pPr>
        <w:spacing w:after="0" w:line="363"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Notwithstanding the foregoing, (</w:t>
      </w:r>
      <w:r>
        <w:rPr>
          <w:rFonts w:ascii="Arial" w:cs="Arial" w:eastAsia="Arial" w:hAnsi="Arial"/>
          <w:sz w:val="22"/>
          <w:szCs w:val="22"/>
          <w:u w:val="single" w:color="auto"/>
          <w:color w:val="auto"/>
        </w:rPr>
        <w:t>x</w:t>
      </w:r>
      <w:r>
        <w:rPr>
          <w:rFonts w:ascii="Arial" w:cs="Arial" w:eastAsia="Arial" w:hAnsi="Arial"/>
          <w:sz w:val="22"/>
          <w:szCs w:val="22"/>
          <w:color w:val="auto"/>
        </w:rPr>
        <w:t>) no amendment to the Stockholders Agreement (whether or not such amendment modifies any provision of the Stockholders Agreement to which these</w:t>
      </w:r>
    </w:p>
    <w:p>
      <w:pPr>
        <w:sectPr>
          <w:pgSz w:w="11900" w:h="16838" w:orient="portrait"/>
          <w:cols w:equalWidth="0" w:num="1">
            <w:col w:w="11420"/>
          </w:cols>
          <w:pgMar w:left="240" w:top="1320"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420"/>
          </w:cols>
          <w:pgMar w:left="240" w:top="1320" w:right="239" w:bottom="1440" w:gutter="0" w:footer="0" w:header="0"/>
          <w:type w:val="continuous"/>
        </w:sectPr>
      </w:pPr>
    </w:p>
    <w:bookmarkStart w:id="73" w:name="page74"/>
    <w:bookmarkEnd w:id="73"/>
    <w:p>
      <w:pPr>
        <w:spacing w:after="0" w:line="250" w:lineRule="auto"/>
        <w:rPr>
          <w:sz w:val="20"/>
          <w:szCs w:val="20"/>
          <w:color w:val="auto"/>
        </w:rPr>
      </w:pPr>
      <w:r>
        <w:rPr>
          <w:rFonts w:ascii="Arial" w:cs="Arial" w:eastAsia="Arial" w:hAnsi="Arial"/>
          <w:sz w:val="22"/>
          <w:szCs w:val="22"/>
          <w:color w:val="auto"/>
        </w:rPr>
        <w:t>bylaws are subject) shall be deemed an amendment of these bylaws for purposes of this Section 9.01 and (</w:t>
      </w:r>
      <w:r>
        <w:rPr>
          <w:rFonts w:ascii="Arial" w:cs="Arial" w:eastAsia="Arial" w:hAnsi="Arial"/>
          <w:sz w:val="22"/>
          <w:szCs w:val="22"/>
          <w:u w:val="single" w:color="auto"/>
          <w:color w:val="auto"/>
        </w:rPr>
        <w:t>y</w:t>
      </w:r>
      <w:r>
        <w:rPr>
          <w:rFonts w:ascii="Arial" w:cs="Arial" w:eastAsia="Arial" w:hAnsi="Arial"/>
          <w:sz w:val="22"/>
          <w:szCs w:val="22"/>
          <w:color w:val="auto"/>
        </w:rPr>
        <w:t>) no amendment, alteration or repeal of Article VI shall adversely affect any right or protection existing under bylaws immediately prior to such amendment, alteration or repeal, including any right or protection of a Director thereunder in respect of any act or omission occurring prior to the time of such amendment.</w:t>
      </w:r>
    </w:p>
    <w:p>
      <w:pPr>
        <w:spacing w:after="0" w:line="200" w:lineRule="exact"/>
        <w:rPr>
          <w:sz w:val="20"/>
          <w:szCs w:val="20"/>
          <w:color w:val="auto"/>
        </w:rPr>
      </w:pPr>
    </w:p>
    <w:p>
      <w:pPr>
        <w:spacing w:after="0" w:line="232"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920"/>
          </w:cols>
          <w:pgMar w:left="240" w:top="847" w:right="7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February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February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2017,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February 5, 2018</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2017,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February 5, 2018</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5"/>
    </w:lvl>
  </w:abstractNum>
  <w:abstractNum w:abstractNumId="5">
    <w:nsid w:val="1D4ED43B"/>
    <w:multiLevelType w:val="hybridMultilevel"/>
    <w:lvl w:ilvl="0">
      <w:lvlJc w:val="left"/>
      <w:lvlText w:val="%1."/>
      <w:numFmt w:val="decimal"/>
      <w:start w:val="6"/>
    </w:lvl>
  </w:abstractNum>
  <w:abstractNum w:abstractNumId="6">
    <w:nsid w:val="725A06FB"/>
    <w:multiLevelType w:val="hybridMultilevel"/>
    <w:lvl w:ilvl="0">
      <w:lvlJc w:val="left"/>
      <w:lvlText w:val="(%1)"/>
      <w:numFmt w:val="lowerLetter"/>
      <w:start w:val="25"/>
    </w:lvl>
  </w:abstractNum>
  <w:abstractNum w:abstractNumId="7">
    <w:nsid w:val="2CD89A32"/>
    <w:multiLevelType w:val="hybridMultilevel"/>
    <w:lvl w:ilvl="0">
      <w:lvlJc w:val="left"/>
      <w:lvlText w:val="(%1)"/>
      <w:numFmt w:val="lowerLetter"/>
      <w:start w:val="22"/>
    </w:lvl>
  </w:abstractNum>
  <w:abstractNum w:abstractNumId="8">
    <w:nsid w:val="57E4CCAF"/>
    <w:multiLevelType w:val="hybridMultilevel"/>
    <w:lvl w:ilvl="0">
      <w:lvlJc w:val="left"/>
      <w:lvlText w:val="(%1)"/>
      <w:numFmt w:val="lowerLetter"/>
      <w:start w:val="1"/>
    </w:lvl>
  </w:abstractNum>
  <w:abstractNum w:abstractNumId="9">
    <w:nsid w:val="7A6D8D3C"/>
    <w:multiLevelType w:val="hybridMultilevel"/>
    <w:lvl w:ilvl="0">
      <w:lvlJc w:val="left"/>
      <w:lvlText w:val="(%1)"/>
      <w:numFmt w:val="lowerLetter"/>
      <w:start w:val="8"/>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12"/>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14"/>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lowerLetter"/>
      <w:start w:val="1"/>
    </w:lvl>
  </w:abstractNum>
  <w:abstractNum w:abstractNumId="20">
    <w:nsid w:val="1BA026FA"/>
    <w:multiLevelType w:val="hybridMultilevel"/>
    <w:lvl w:ilvl="0">
      <w:lvlJc w:val="left"/>
      <w:lvlText w:val="(%1)"/>
      <w:numFmt w:val="lowerLetter"/>
      <w:start w:val="3"/>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lowerLetter"/>
      <w:start w:val="22"/>
    </w:lvl>
  </w:abstractNum>
  <w:abstractNum w:abstractNumId="32">
    <w:nsid w:val="1CF10FD8"/>
    <w:multiLevelType w:val="hybridMultilevel"/>
    <w:lvl w:ilvl="0">
      <w:lvlJc w:val="left"/>
      <w:lvlText w:val="(%1)"/>
      <w:numFmt w:val="lowerLetter"/>
      <w:start w:val="2"/>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0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lowerLetter"/>
      <w:start w:val="1"/>
    </w:lvl>
  </w:abstractNum>
  <w:abstractNum w:abstractNumId="40">
    <w:nsid w:val="10233C99"/>
    <w:multiLevelType w:val="hybridMultilevel"/>
    <w:lvl w:ilvl="0">
      <w:lvlJc w:val="left"/>
      <w:lvlText w:val="(%1)"/>
      <w:numFmt w:val="lowerLetter"/>
      <w:start w:val="2"/>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lowerLetter"/>
      <w:start w:val="1"/>
    </w:lvl>
  </w:abstractNum>
  <w:abstractNum w:abstractNumId="44">
    <w:nsid w:val="77AE35EB"/>
    <w:multiLevelType w:val="hybridMultilevel"/>
    <w:lvl w:ilvl="0">
      <w:lvlJc w:val="left"/>
      <w:lvlText w:val="(%1)"/>
      <w:numFmt w:val="lowerLetter"/>
      <w:start w:val="2"/>
    </w:lvl>
  </w:abstractNum>
  <w:abstractNum w:abstractNumId="45">
    <w:nsid w:val="579BE4F1"/>
    <w:multiLevelType w:val="hybridMultilevel"/>
    <w:lvl w:ilvl="0">
      <w:lvlJc w:val="left"/>
      <w:lvlText w:val="(%1)"/>
      <w:numFmt w:val="lowerLetter"/>
      <w:start w:val="1"/>
    </w:lvl>
  </w:abstractNum>
  <w:abstractNum w:abstractNumId="46">
    <w:nsid w:val="310C50B3"/>
    <w:multiLevelType w:val="hybridMultilevel"/>
    <w:lvl w:ilvl="0">
      <w:lvlJc w:val="left"/>
      <w:lvlText w:val="(%1)"/>
      <w:numFmt w:val="lowerRoman"/>
      <w:start w:val="1"/>
    </w:lvl>
  </w:abstractNum>
  <w:abstractNum w:abstractNumId="47">
    <w:nsid w:val="5FF87E05"/>
    <w:multiLevelType w:val="hybridMultilevel"/>
    <w:lvl w:ilvl="0">
      <w:lvlJc w:val="left"/>
      <w:lvlText w:val="(%1)"/>
      <w:numFmt w:val="lowerRoman"/>
      <w:start w:val="2"/>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2"/>
    </w:lvl>
  </w:abstractNum>
  <w:abstractNum w:abstractNumId="50">
    <w:nsid w:val="1DBABF00"/>
    <w:multiLevelType w:val="hybridMultilevel"/>
    <w:lvl w:ilvl="0">
      <w:lvlJc w:val="left"/>
      <w:lvlText w:val="(%1)"/>
      <w:numFmt w:val="lowerLetter"/>
      <w:start w:val="2"/>
    </w:lvl>
  </w:abstractNum>
  <w:abstractNum w:abstractNumId="51">
    <w:nsid w:val="4AD084E9"/>
    <w:multiLevelType w:val="hybridMultilevel"/>
    <w:lvl w:ilvl="0">
      <w:lvlJc w:val="left"/>
      <w:lvlText w:val="(%1)"/>
      <w:numFmt w:val="lowerRoman"/>
      <w:start w:val="1"/>
    </w:lvl>
  </w:abstractNum>
  <w:abstractNum w:abstractNumId="52">
    <w:nsid w:val="1F48EAA1"/>
    <w:multiLevelType w:val="hybridMultilevel"/>
    <w:lvl w:ilvl="0">
      <w:lvlJc w:val="left"/>
      <w:lvlText w:val="(%1)"/>
      <w:numFmt w:val="lowerLetter"/>
      <w:start w:val="3"/>
    </w:lvl>
  </w:abstractNum>
  <w:abstractNum w:abstractNumId="53">
    <w:nsid w:val="1381823A"/>
    <w:multiLevelType w:val="hybridMultilevel"/>
    <w:lvl w:ilvl="0">
      <w:lvlJc w:val="left"/>
      <w:lvlText w:val="(%1)"/>
      <w:numFmt w:val="lowerRoman"/>
      <w:start w:val="1"/>
    </w:lvl>
  </w:abstractNum>
  <w:abstractNum w:abstractNumId="54">
    <w:nsid w:val="5DB70AE5"/>
    <w:multiLevelType w:val="hybridMultilevel"/>
    <w:lvl w:ilvl="0">
      <w:lvlJc w:val="left"/>
      <w:lvlText w:val="%1"/>
      <w:numFmt w:val="lowerLetter"/>
      <w:start w:val="1"/>
    </w:lvl>
    <w:lvl w:ilvl="1">
      <w:lvlJc w:val="left"/>
      <w:lvlText w:val="(%2)"/>
      <w:numFmt w:val="lowerRoman"/>
      <w:start w:val="3"/>
    </w:lvl>
  </w:abstractNum>
  <w:abstractNum w:abstractNumId="55">
    <w:nsid w:val="100F8FCA"/>
    <w:multiLevelType w:val="hybridMultilevel"/>
    <w:lvl w:ilvl="0">
      <w:lvlJc w:val="left"/>
      <w:lvlText w:val="(%1)"/>
      <w:numFmt w:val="lowerLetter"/>
      <w:start w:val="1"/>
    </w:lvl>
    <w:lvl w:ilvl="1">
      <w:lvlJc w:val="left"/>
      <w:lvlText w:val="(%2)"/>
      <w:numFmt w:val="lowerRoman"/>
      <w:start w:val="5"/>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2"/>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lowerLetter"/>
      <w:start w:val="3"/>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lowerLetter"/>
      <w:start w:val="2"/>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2"/>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decimal"/>
      <w:start w:val="5"/>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5"/>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2019-12-29T01:35:36Z</dcterms:created>
  <dcterms:modified xsi:type="dcterms:W3CDTF">2019-12-29T01:35:36Z</dcterms:modified>
</cp:coreProperties>
</file>