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caps w:val="false"/>
          <w:smallCaps w:val="false"/>
          <w:sz w:val="20"/>
        </w:rPr>
      </w:pPr>
      <w:bookmarkStart w:id="0" w:name="tm267274d6_fwp.htm"/>
      <w:bookmarkStart w:id="1" w:name="kstm267274d6_fwp"/>
      <w:bookmarkEnd w:id="0"/>
      <w:bookmarkEnd w:id="1"/>
      <w:r>
        <w:rPr>
          <w:rFonts w:ascii="Times New Roman;Times;Serif" w:hAnsi="Times New Roman;Times;Serif"/>
          <w:b/>
          <w:i/>
          <w:caps w:val="false"/>
          <w:smallCaps w:val="false"/>
          <w:sz w:val="20"/>
        </w:rPr>
        <w:t>Free Writing Prospectus</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Dated July 28, 2026</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Statement Nos. 333-297693 and 333-297693-01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Booz Allen Hamilton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5.375%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5.900% Senior Notes due 2034</w:t>
      </w:r>
    </w:p>
    <w:p>
      <w:pPr>
        <w:pStyle w:val="TextBody"/>
        <w:bidi w:val="0"/>
        <w:spacing w:before="0" w:after="0"/>
        <w:ind w:left="0" w:right="0" w:hanging="0"/>
        <w:jc w:val="center"/>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2825"/>
        <w:gridCol w:w="7250"/>
      </w:tblGrid>
      <w:tr>
        <w:trPr/>
        <w:tc>
          <w:tcPr>
            <w:tcW w:w="2825" w:type="dxa"/>
            <w:tcBorders/>
            <w:vAlign w:val="center"/>
          </w:tcPr>
          <w:p>
            <w:pPr>
              <w:pStyle w:val="TableContents"/>
              <w:bidi w:val="0"/>
              <w:spacing w:before="0" w:after="283"/>
              <w:ind w:left="0" w:right="0" w:firstLine="76"/>
              <w:jc w:val="left"/>
              <w:rPr>
                <w:sz w:val="20"/>
              </w:rPr>
            </w:pPr>
            <w:r>
              <w:rPr>
                <w:sz w:val="20"/>
              </w:rPr>
              <w:t>Issuer:</w:t>
            </w:r>
          </w:p>
        </w:tc>
        <w:tc>
          <w:tcPr>
            <w:tcW w:w="7250" w:type="dxa"/>
            <w:tcBorders/>
            <w:vAlign w:val="center"/>
          </w:tcPr>
          <w:p>
            <w:pPr>
              <w:pStyle w:val="TableContents"/>
              <w:bidi w:val="0"/>
              <w:spacing w:before="0" w:after="283"/>
              <w:jc w:val="left"/>
              <w:rPr>
                <w:sz w:val="20"/>
              </w:rPr>
            </w:pPr>
            <w:r>
              <w:rPr>
                <w:sz w:val="20"/>
              </w:rPr>
              <w:t>Booz Allen Hamilton Inc.</w:t>
            </w:r>
          </w:p>
        </w:tc>
      </w:tr>
      <w:tr>
        <w:trPr/>
        <w:tc>
          <w:tcPr>
            <w:tcW w:w="2825" w:type="dxa"/>
            <w:tcBorders/>
            <w:shd w:fill="FFFFFE" w:val="clear"/>
            <w:vAlign w:val="center"/>
          </w:tcPr>
          <w:p>
            <w:pPr>
              <w:pStyle w:val="TableContents"/>
              <w:bidi w:val="0"/>
              <w:spacing w:before="0" w:after="283"/>
              <w:ind w:left="0" w:right="0" w:firstLine="76"/>
              <w:jc w:val="left"/>
              <w:rPr>
                <w:sz w:val="20"/>
              </w:rPr>
            </w:pPr>
            <w:r>
              <w:rPr>
                <w:sz w:val="20"/>
              </w:rPr>
              <w:t>Parent Guarantor</w:t>
            </w:r>
          </w:p>
        </w:tc>
        <w:tc>
          <w:tcPr>
            <w:tcW w:w="7250" w:type="dxa"/>
            <w:tcBorders/>
            <w:shd w:fill="FFFFFE" w:val="clear"/>
            <w:vAlign w:val="center"/>
          </w:tcPr>
          <w:p>
            <w:pPr>
              <w:pStyle w:val="TableContents"/>
              <w:bidi w:val="0"/>
              <w:spacing w:before="0" w:after="283"/>
              <w:jc w:val="left"/>
              <w:rPr>
                <w:sz w:val="20"/>
              </w:rPr>
            </w:pPr>
            <w:r>
              <w:rPr>
                <w:sz w:val="20"/>
              </w:rPr>
              <w:t>Booz Allen Hamilton Holding Corporation</w:t>
            </w:r>
          </w:p>
        </w:tc>
      </w:tr>
      <w:tr>
        <w:trPr/>
        <w:tc>
          <w:tcPr>
            <w:tcW w:w="2825" w:type="dxa"/>
            <w:tcBorders/>
            <w:vAlign w:val="center"/>
          </w:tcPr>
          <w:p>
            <w:pPr>
              <w:pStyle w:val="TableContents"/>
              <w:bidi w:val="0"/>
              <w:spacing w:before="0" w:after="283"/>
              <w:ind w:left="0" w:right="0" w:firstLine="76"/>
              <w:jc w:val="left"/>
              <w:rPr>
                <w:sz w:val="20"/>
              </w:rPr>
            </w:pPr>
            <w:r>
              <w:rPr>
                <w:sz w:val="20"/>
              </w:rPr>
              <w:t>Ratings (Moody’s / S&amp;P):*</w:t>
            </w:r>
          </w:p>
        </w:tc>
        <w:tc>
          <w:tcPr>
            <w:tcW w:w="7250" w:type="dxa"/>
            <w:tcBorders/>
            <w:vAlign w:val="center"/>
          </w:tcPr>
          <w:p>
            <w:pPr>
              <w:pStyle w:val="TableContents"/>
              <w:bidi w:val="0"/>
              <w:spacing w:before="0" w:after="283"/>
              <w:jc w:val="left"/>
              <w:rPr>
                <w:sz w:val="20"/>
              </w:rPr>
            </w:pPr>
            <w:r>
              <w:rPr>
                <w:sz w:val="20"/>
              </w:rPr>
              <w:t>Baa3/BBB- (S/S)</w:t>
            </w:r>
          </w:p>
        </w:tc>
      </w:tr>
      <w:tr>
        <w:trPr/>
        <w:tc>
          <w:tcPr>
            <w:tcW w:w="2825" w:type="dxa"/>
            <w:tcBorders/>
            <w:vAlign w:val="center"/>
          </w:tcPr>
          <w:p>
            <w:pPr>
              <w:pStyle w:val="TableContents"/>
              <w:bidi w:val="0"/>
              <w:spacing w:before="0" w:after="283"/>
              <w:jc w:val="left"/>
              <w:rPr>
                <w:sz w:val="20"/>
              </w:rPr>
            </w:pPr>
            <w:r>
              <w:rPr>
                <w:sz w:val="20"/>
              </w:rPr>
              <w:t>Principal Amount:</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$700,000,000</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$500,000,000</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Maturity:</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2030</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2034</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Coupon (Interest Rate):</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5.375%</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5.900%</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Yield to Maturity:</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5.383%</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5.951%</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Spread to Benchmark Treasury:</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+108 basis points</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+148 basis points</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Benchmark Treasury:</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4.125% due July 15, 2029</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4.250% due June 30, 2033</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sz w:val="20"/>
              </w:rPr>
            </w:pPr>
            <w:r>
              <w:rPr>
                <w:sz w:val="20"/>
              </w:rPr>
              <w:t>Benchmark Treasury Price / Yield:</w:t>
            </w:r>
          </w:p>
        </w:tc>
        <w:tc>
          <w:tcPr>
            <w:tcW w:w="7250"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99-16 ¼ / 4.303%</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98-22 ¼ / 4.471%</w:t>
            </w:r>
          </w:p>
          <w:p>
            <w:pPr>
              <w:pStyle w:val="TableContents"/>
              <w:bidi w:val="0"/>
              <w:spacing w:before="0" w:after="0"/>
              <w:ind w:left="0" w:right="0" w:firstLine="76"/>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ind w:left="0" w:right="0" w:firstLine="76"/>
              <w:jc w:val="left"/>
              <w:rPr>
                <w:sz w:val="20"/>
              </w:rPr>
            </w:pPr>
            <w:r>
              <w:rPr>
                <w:sz w:val="20"/>
              </w:rPr>
              <w:t>Interest Payment Dates:</w:t>
            </w:r>
          </w:p>
        </w:tc>
        <w:tc>
          <w:tcPr>
            <w:tcW w:w="7250" w:type="dxa"/>
            <w:tcBorders/>
            <w:vAlign w:val="center"/>
          </w:tcPr>
          <w:p>
            <w:pPr>
              <w:pStyle w:val="TableContents"/>
              <w:bidi w:val="0"/>
              <w:spacing w:before="0" w:after="283"/>
              <w:jc w:val="left"/>
              <w:rPr>
                <w:sz w:val="20"/>
              </w:rPr>
            </w:pPr>
            <w:r>
              <w:rPr>
                <w:sz w:val="20"/>
              </w:rPr>
              <w:t>Semi-annually on January 30 and July 30 of each year, commencing on January 30, 2027</w:t>
            </w:r>
          </w:p>
        </w:tc>
      </w:tr>
    </w:tbl>
    <w:p>
      <w:pPr>
        <w:pStyle w:val="TextBody"/>
        <w:bidi w:val="0"/>
        <w:spacing w:before="0" w:after="283"/>
        <w:jc w:val="left"/>
        <w:rPr/>
      </w:pPr>
      <w:r>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3"/>
        <w:gridCol w:w="9052"/>
      </w:tblGrid>
      <w:tr>
        <w:trPr/>
        <w:tc>
          <w:tcPr>
            <w:tcW w:w="1153" w:type="dxa"/>
            <w:tcBorders/>
            <w:vAlign w:val="center"/>
          </w:tcPr>
          <w:p>
            <w:pPr>
              <w:pStyle w:val="TableContents"/>
              <w:bidi w:val="0"/>
              <w:spacing w:before="0" w:after="283"/>
              <w:jc w:val="left"/>
              <w:rPr>
                <w:sz w:val="20"/>
              </w:rPr>
            </w:pPr>
            <w:r>
              <w:rPr>
                <w:sz w:val="20"/>
              </w:rPr>
              <w:t>Redemption Provision(s):</w:t>
            </w:r>
          </w:p>
        </w:tc>
        <w:tc>
          <w:tcPr>
            <w:tcW w:w="905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30, 2029 (one month prior to the maturity date of the Senior Notes due 2030) and November 30, 2033 (two months prior to the maturity date of the Senior Notes due 2034) (each, a “Par Call Date”), the Issuer may redeem the Senior Notes due 2030 and/or the Senior Notes due 2034, in each case,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(as defined in the Prospectus under “Description of Notes and Note Guarantee—Optional Redemption”) plus the applicable make-whole spread (20 basis points with respect to the Senior Notes due 2030 and 25 basis points with respect to the Senior Notes due 2034) less (b) interest accrued to, but excluding, the redemption date, and (2) 100% of the principal amount of the notes to be redeemed, plus, in either case, accrued and unpaid interest on the principal amount being redeemed to, but excluding, the redemption date as described in the Prospectus under “Description of Notes and Note Guarantee—Optional Redemption.”</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the applicable Par Call Date, the Issuer may redeem the Senior Notes due 2030 and/or the Senior Notes due 2034, in each case, in whole or in part, at any time and from time to time, at a redemption price equal to 100% of the aggregate principal amount of the notes being redeemed, plus any accrued and unpaid interest on the principal amount being redeemed to, but excluding, the redemption date as described in the Prospectus under “Description of Notes and Note Guarantee—Optional Redemption.”</w:t>
            </w:r>
          </w:p>
          <w:p>
            <w:pPr>
              <w:pStyle w:val="TableContents"/>
              <w:bidi w:val="0"/>
              <w:spacing w:before="0" w:after="0"/>
              <w:ind w:left="0" w:right="0" w:firstLine="76"/>
              <w:jc w:val="left"/>
              <w:rPr>
                <w:caps w:val="false"/>
                <w:smallCaps w:val="false"/>
              </w:rPr>
            </w:pPr>
            <w:r>
              <w:rPr>
                <w:caps w:val="false"/>
                <w:smallCaps w:val="false"/>
              </w:rPr>
              <w:t> </w:t>
            </w:r>
          </w:p>
        </w:tc>
      </w:tr>
      <w:tr>
        <w:trPr/>
        <w:tc>
          <w:tcPr>
            <w:tcW w:w="1153" w:type="dxa"/>
            <w:tcBorders/>
            <w:vAlign w:val="center"/>
          </w:tcPr>
          <w:p>
            <w:pPr>
              <w:pStyle w:val="TableContents"/>
              <w:bidi w:val="0"/>
              <w:spacing w:before="0" w:after="283"/>
              <w:jc w:val="left"/>
              <w:rPr>
                <w:sz w:val="20"/>
              </w:rPr>
            </w:pPr>
            <w:r>
              <w:rPr>
                <w:sz w:val="20"/>
              </w:rPr>
              <w:t>Special Mandatory Redemption:</w:t>
            </w:r>
          </w:p>
        </w:tc>
        <w:tc>
          <w:tcPr>
            <w:tcW w:w="9052" w:type="dxa"/>
            <w:tcBorders/>
            <w:vAlign w:val="center"/>
          </w:tcPr>
          <w:p>
            <w:pPr>
              <w:pStyle w:val="TableContents"/>
              <w:bidi w:val="0"/>
              <w:spacing w:before="0" w:after="283"/>
              <w:jc w:val="left"/>
              <w:rPr>
                <w:sz w:val="20"/>
              </w:rPr>
            </w:pPr>
            <w:r>
              <w:rPr>
                <w:sz w:val="20"/>
              </w:rPr>
              <w:t>In the event that (a) the Purchase Agreement is terminated on or at any time prior to December 19, 2026 without the Ultra Mission Solutions Acquisition having been consummated or (b) the Ultra Mission Solutions Acquisition is not consummated on or at any time prior to the later of (a) December 19, 2026 and (b) the date that is five business days after any later date to which the parties to the Purchase Agreement agree to extend the Termination Date (as defined in the Purchase Agreement) pursuant to the Purchase Agreement, the Issuer will redeem all of the Senior Notes due 2034 at a price equal to 101% of the aggregate outstanding principal amount of such notes, plus accrued and unpaid interest from the last date on which interest was paid or, if interest has not been paid, the date of original issuance of such notes to, but excluding, the Special Mandatory Redemption Date, as described in the Prospectus under “Description of Notes and Note Guarantee—Special Mandatory Redemption.” The Senior Notes due 2030 are not subject to the Special Mandatory Redemption.</w:t>
            </w:r>
          </w:p>
        </w:tc>
      </w:tr>
    </w:tbl>
    <w:p>
      <w:pPr>
        <w:pStyle w:val="TextBody"/>
        <w:bidi w:val="0"/>
        <w:spacing w:before="0" w:after="283"/>
        <w:jc w:val="left"/>
        <w:rPr/>
      </w:pPr>
      <w:r>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32"/>
        <w:gridCol w:w="4373"/>
      </w:tblGrid>
      <w:tr>
        <w:trPr/>
        <w:tc>
          <w:tcPr>
            <w:tcW w:w="5832" w:type="dxa"/>
            <w:tcBorders/>
            <w:vAlign w:val="center"/>
          </w:tcPr>
          <w:p>
            <w:pPr>
              <w:pStyle w:val="TableContents"/>
              <w:bidi w:val="0"/>
              <w:spacing w:before="0" w:after="283"/>
              <w:jc w:val="left"/>
              <w:rPr>
                <w:sz w:val="20"/>
              </w:rPr>
            </w:pPr>
            <w:r>
              <w:rPr>
                <w:sz w:val="20"/>
              </w:rPr>
              <w:t>Price to Public:</w:t>
            </w:r>
          </w:p>
        </w:tc>
        <w:tc>
          <w:tcPr>
            <w:tcW w:w="4373"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99.976% of the principal amount</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99.696% of the principal amount</w:t>
            </w:r>
          </w:p>
          <w:p>
            <w:pPr>
              <w:pStyle w:val="TableContents"/>
              <w:bidi w:val="0"/>
              <w:spacing w:before="0" w:after="0"/>
              <w:ind w:left="0" w:right="0" w:firstLine="76"/>
              <w:jc w:val="left"/>
              <w:rPr>
                <w:caps w:val="false"/>
                <w:smallCaps w:val="false"/>
              </w:rPr>
            </w:pPr>
            <w:r>
              <w:rPr>
                <w:caps w:val="false"/>
                <w:smallCaps w:val="false"/>
              </w:rPr>
              <w:t> </w:t>
            </w:r>
          </w:p>
        </w:tc>
      </w:tr>
      <w:tr>
        <w:trPr/>
        <w:tc>
          <w:tcPr>
            <w:tcW w:w="5832" w:type="dxa"/>
            <w:tcBorders/>
            <w:shd w:fill="FFFFFE" w:val="clear"/>
            <w:vAlign w:val="center"/>
          </w:tcPr>
          <w:p>
            <w:pPr>
              <w:pStyle w:val="TableContents"/>
              <w:bidi w:val="0"/>
              <w:spacing w:before="0" w:after="283"/>
              <w:jc w:val="left"/>
              <w:rPr>
                <w:sz w:val="20"/>
              </w:rPr>
            </w:pPr>
            <w:r>
              <w:rPr>
                <w:sz w:val="20"/>
              </w:rPr>
              <w:t>Underwriting Discount:</w:t>
            </w:r>
          </w:p>
        </w:tc>
        <w:tc>
          <w:tcPr>
            <w:tcW w:w="4373" w:type="dxa"/>
            <w:tcBorders/>
            <w:shd w:fill="FFFFFE" w:val="clear"/>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0.400% of the principal amount</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0.625% of the principal amount</w:t>
            </w:r>
          </w:p>
          <w:p>
            <w:pPr>
              <w:pStyle w:val="TableContents"/>
              <w:bidi w:val="0"/>
              <w:spacing w:before="0" w:after="0"/>
              <w:ind w:left="0" w:right="0" w:firstLine="76"/>
              <w:jc w:val="left"/>
              <w:rPr>
                <w:caps w:val="false"/>
                <w:smallCaps w:val="false"/>
              </w:rPr>
            </w:pPr>
            <w:r>
              <w:rPr>
                <w:caps w:val="false"/>
                <w:smallCaps w:val="false"/>
              </w:rPr>
              <w:t> </w:t>
            </w:r>
          </w:p>
        </w:tc>
      </w:tr>
      <w:tr>
        <w:trPr/>
        <w:tc>
          <w:tcPr>
            <w:tcW w:w="5832" w:type="dxa"/>
            <w:tcBorders/>
            <w:shd w:fill="FFFFFE" w:val="clear"/>
            <w:vAlign w:val="center"/>
          </w:tcPr>
          <w:p>
            <w:pPr>
              <w:pStyle w:val="TableContents"/>
              <w:bidi w:val="0"/>
              <w:spacing w:before="0" w:after="283"/>
              <w:ind w:left="0" w:right="0" w:firstLine="76"/>
              <w:jc w:val="left"/>
              <w:rPr>
                <w:sz w:val="20"/>
              </w:rPr>
            </w:pPr>
            <w:r>
              <w:rPr>
                <w:sz w:val="20"/>
              </w:rPr>
              <w:t>Net Proceeds (after Underwriting Discount and before Expenses) to the Issuer:</w:t>
            </w:r>
          </w:p>
        </w:tc>
        <w:tc>
          <w:tcPr>
            <w:tcW w:w="4373" w:type="dxa"/>
            <w:tcBorders/>
            <w:shd w:fill="FFFFFE" w:val="clear"/>
            <w:vAlign w:val="center"/>
          </w:tcPr>
          <w:p>
            <w:pPr>
              <w:pStyle w:val="TableContents"/>
              <w:bidi w:val="0"/>
              <w:spacing w:before="0" w:after="283"/>
              <w:jc w:val="left"/>
              <w:rPr>
                <w:sz w:val="20"/>
              </w:rPr>
            </w:pPr>
            <w:r>
              <w:rPr>
                <w:sz w:val="20"/>
              </w:rPr>
              <w:t>$1,192,387,000</w:t>
            </w:r>
          </w:p>
        </w:tc>
      </w:tr>
      <w:tr>
        <w:trPr/>
        <w:tc>
          <w:tcPr>
            <w:tcW w:w="5832" w:type="dxa"/>
            <w:tcBorders/>
            <w:vAlign w:val="center"/>
          </w:tcPr>
          <w:p>
            <w:pPr>
              <w:pStyle w:val="TableContents"/>
              <w:bidi w:val="0"/>
              <w:spacing w:before="0" w:after="283"/>
              <w:ind w:left="0" w:right="0" w:firstLine="76"/>
              <w:jc w:val="left"/>
              <w:rPr>
                <w:sz w:val="20"/>
              </w:rPr>
            </w:pPr>
            <w:r>
              <w:rPr>
                <w:sz w:val="20"/>
              </w:rPr>
              <w:t>Trade Date:</w:t>
            </w:r>
          </w:p>
        </w:tc>
        <w:tc>
          <w:tcPr>
            <w:tcW w:w="4373" w:type="dxa"/>
            <w:tcBorders/>
            <w:vAlign w:val="center"/>
          </w:tcPr>
          <w:p>
            <w:pPr>
              <w:pStyle w:val="TableContents"/>
              <w:bidi w:val="0"/>
              <w:spacing w:before="0" w:after="283"/>
              <w:jc w:val="left"/>
              <w:rPr>
                <w:sz w:val="20"/>
              </w:rPr>
            </w:pPr>
            <w:r>
              <w:rPr>
                <w:sz w:val="20"/>
              </w:rPr>
              <w:t>July 28, 2026</w:t>
            </w:r>
          </w:p>
        </w:tc>
      </w:tr>
      <w:tr>
        <w:trPr/>
        <w:tc>
          <w:tcPr>
            <w:tcW w:w="5832" w:type="dxa"/>
            <w:tcBorders/>
            <w:vAlign w:val="center"/>
          </w:tcPr>
          <w:p>
            <w:pPr>
              <w:pStyle w:val="TableContents"/>
              <w:bidi w:val="0"/>
              <w:spacing w:before="0" w:after="283"/>
              <w:ind w:left="0" w:right="0" w:firstLine="76"/>
              <w:jc w:val="left"/>
              <w:rPr>
                <w:sz w:val="20"/>
              </w:rPr>
            </w:pPr>
            <w:r>
              <w:rPr>
                <w:sz w:val="20"/>
              </w:rPr>
              <w:t>Settlement Date:**</w:t>
            </w:r>
          </w:p>
        </w:tc>
        <w:tc>
          <w:tcPr>
            <w:tcW w:w="4373" w:type="dxa"/>
            <w:tcBorders/>
            <w:vAlign w:val="center"/>
          </w:tcPr>
          <w:p>
            <w:pPr>
              <w:pStyle w:val="TableContents"/>
              <w:bidi w:val="0"/>
              <w:spacing w:before="0" w:after="283"/>
              <w:jc w:val="left"/>
              <w:rPr>
                <w:sz w:val="20"/>
              </w:rPr>
            </w:pPr>
            <w:r>
              <w:rPr>
                <w:sz w:val="20"/>
              </w:rPr>
              <w:t>August 4, 2026 (T+5)</w:t>
            </w:r>
          </w:p>
        </w:tc>
      </w:tr>
      <w:tr>
        <w:trPr/>
        <w:tc>
          <w:tcPr>
            <w:tcW w:w="5832" w:type="dxa"/>
            <w:tcBorders/>
            <w:vAlign w:val="center"/>
          </w:tcPr>
          <w:p>
            <w:pPr>
              <w:pStyle w:val="TableContents"/>
              <w:bidi w:val="0"/>
              <w:spacing w:before="0" w:after="283"/>
              <w:ind w:left="0" w:right="0" w:firstLine="76"/>
              <w:jc w:val="left"/>
              <w:rPr>
                <w:sz w:val="20"/>
              </w:rPr>
            </w:pPr>
            <w:r>
              <w:rPr>
                <w:sz w:val="20"/>
              </w:rPr>
              <w:t>Denominations:</w:t>
            </w:r>
          </w:p>
        </w:tc>
        <w:tc>
          <w:tcPr>
            <w:tcW w:w="4373" w:type="dxa"/>
            <w:tcBorders/>
            <w:vAlign w:val="center"/>
          </w:tcPr>
          <w:p>
            <w:pPr>
              <w:pStyle w:val="TableContents"/>
              <w:bidi w:val="0"/>
              <w:spacing w:before="0" w:after="283"/>
              <w:jc w:val="left"/>
              <w:rPr>
                <w:sz w:val="20"/>
              </w:rPr>
            </w:pPr>
            <w:r>
              <w:rPr>
                <w:sz w:val="20"/>
              </w:rPr>
              <w:t>$2,000 and integral multiples of $1,000 in excess thereof</w:t>
            </w:r>
          </w:p>
        </w:tc>
      </w:tr>
      <w:tr>
        <w:trPr/>
        <w:tc>
          <w:tcPr>
            <w:tcW w:w="5832" w:type="dxa"/>
            <w:tcBorders/>
            <w:vAlign w:val="center"/>
          </w:tcPr>
          <w:p>
            <w:pPr>
              <w:pStyle w:val="TableContents"/>
              <w:bidi w:val="0"/>
              <w:spacing w:before="0" w:after="283"/>
              <w:ind w:left="0" w:right="0" w:firstLine="76"/>
              <w:jc w:val="left"/>
              <w:rPr>
                <w:sz w:val="20"/>
              </w:rPr>
            </w:pPr>
            <w:r>
              <w:rPr>
                <w:sz w:val="20"/>
              </w:rPr>
              <w:t>Day Count Convention:</w:t>
            </w:r>
          </w:p>
        </w:tc>
        <w:tc>
          <w:tcPr>
            <w:tcW w:w="4373" w:type="dxa"/>
            <w:tcBorders/>
            <w:vAlign w:val="center"/>
          </w:tcPr>
          <w:p>
            <w:pPr>
              <w:pStyle w:val="TableContents"/>
              <w:bidi w:val="0"/>
              <w:spacing w:before="0" w:after="283"/>
              <w:jc w:val="left"/>
              <w:rPr>
                <w:sz w:val="20"/>
              </w:rPr>
            </w:pPr>
            <w:r>
              <w:rPr>
                <w:sz w:val="20"/>
              </w:rPr>
              <w:t>30/360</w:t>
            </w:r>
          </w:p>
        </w:tc>
      </w:tr>
      <w:tr>
        <w:trPr/>
        <w:tc>
          <w:tcPr>
            <w:tcW w:w="5832" w:type="dxa"/>
            <w:tcBorders/>
            <w:vAlign w:val="center"/>
          </w:tcPr>
          <w:p>
            <w:pPr>
              <w:pStyle w:val="TableContents"/>
              <w:bidi w:val="0"/>
              <w:spacing w:before="0" w:after="283"/>
              <w:jc w:val="left"/>
              <w:rPr>
                <w:sz w:val="20"/>
              </w:rPr>
            </w:pPr>
            <w:r>
              <w:rPr>
                <w:sz w:val="20"/>
              </w:rPr>
              <w:t>CUSIP Number:</w:t>
            </w:r>
          </w:p>
        </w:tc>
        <w:tc>
          <w:tcPr>
            <w:tcW w:w="4373"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09951LAE3</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09951LAF0</w:t>
            </w:r>
          </w:p>
          <w:p>
            <w:pPr>
              <w:pStyle w:val="TableContents"/>
              <w:bidi w:val="0"/>
              <w:spacing w:before="0" w:after="0"/>
              <w:ind w:left="0" w:right="0" w:firstLine="76"/>
              <w:jc w:val="left"/>
              <w:rPr>
                <w:caps w:val="false"/>
                <w:smallCaps w:val="false"/>
              </w:rPr>
            </w:pPr>
            <w:r>
              <w:rPr>
                <w:caps w:val="false"/>
                <w:smallCaps w:val="false"/>
              </w:rPr>
              <w:t> </w:t>
            </w:r>
          </w:p>
        </w:tc>
      </w:tr>
      <w:tr>
        <w:trPr/>
        <w:tc>
          <w:tcPr>
            <w:tcW w:w="5832" w:type="dxa"/>
            <w:tcBorders/>
            <w:vAlign w:val="center"/>
          </w:tcPr>
          <w:p>
            <w:pPr>
              <w:pStyle w:val="TableContents"/>
              <w:bidi w:val="0"/>
              <w:spacing w:before="0" w:after="283"/>
              <w:jc w:val="left"/>
              <w:rPr>
                <w:sz w:val="20"/>
              </w:rPr>
            </w:pPr>
            <w:r>
              <w:rPr>
                <w:sz w:val="20"/>
              </w:rPr>
              <w:t>ISIN Number:</w:t>
            </w:r>
          </w:p>
        </w:tc>
        <w:tc>
          <w:tcPr>
            <w:tcW w:w="4373"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2030: US09951LAE39</w:t>
            </w:r>
          </w:p>
          <w:p>
            <w:pPr>
              <w:pStyle w:val="TableContents"/>
              <w:bidi w:val="0"/>
              <w:spacing w:before="0" w:after="0"/>
              <w:ind w:left="0" w:right="0" w:firstLine="76"/>
              <w:jc w:val="left"/>
              <w:rPr>
                <w:caps w:val="false"/>
                <w:smallCaps w:val="false"/>
              </w:rPr>
            </w:pPr>
            <w:r>
              <w:rPr>
                <w:caps w:val="false"/>
                <w:smallCaps w:val="false"/>
              </w:rPr>
              <w:t> </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due 2034: US09951LAF04</w:t>
            </w:r>
          </w:p>
          <w:p>
            <w:pPr>
              <w:pStyle w:val="TableContents"/>
              <w:bidi w:val="0"/>
              <w:spacing w:before="0" w:after="0"/>
              <w:ind w:left="0" w:right="0" w:firstLine="76"/>
              <w:jc w:val="left"/>
              <w:rPr>
                <w:caps w:val="false"/>
                <w:smallCaps w:val="false"/>
              </w:rPr>
            </w:pPr>
            <w:r>
              <w:rPr>
                <w:caps w:val="false"/>
                <w:smallCaps w:val="false"/>
              </w:rPr>
              <w:t> </w:t>
            </w:r>
          </w:p>
        </w:tc>
      </w:tr>
      <w:tr>
        <w:trPr/>
        <w:tc>
          <w:tcPr>
            <w:tcW w:w="5832" w:type="dxa"/>
            <w:tcBorders/>
            <w:vAlign w:val="center"/>
          </w:tcPr>
          <w:p>
            <w:pPr>
              <w:pStyle w:val="TableContents"/>
              <w:bidi w:val="0"/>
              <w:spacing w:before="0" w:after="283"/>
              <w:jc w:val="left"/>
              <w:rPr>
                <w:sz w:val="20"/>
              </w:rPr>
            </w:pPr>
            <w:r>
              <w:rPr>
                <w:sz w:val="20"/>
              </w:rPr>
              <w:t>Book-Running Manager(s):</w:t>
            </w:r>
          </w:p>
        </w:tc>
        <w:tc>
          <w:tcPr>
            <w:tcW w:w="4373" w:type="dxa"/>
            <w:tcBorders/>
            <w:vAlign w:val="center"/>
          </w:tcPr>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firstLine="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firstLine="76"/>
              <w:jc w:val="left"/>
              <w:rPr>
                <w:caps w:val="false"/>
                <w:smallCaps w:val="false"/>
              </w:rPr>
            </w:pPr>
            <w:r>
              <w:rPr>
                <w:caps w:val="false"/>
                <w:smallCaps w:val="false"/>
              </w:rPr>
              <w:t> </w:t>
            </w:r>
          </w:p>
        </w:tc>
      </w:tr>
      <w:tr>
        <w:trPr/>
        <w:tc>
          <w:tcPr>
            <w:tcW w:w="5832" w:type="dxa"/>
            <w:tcBorders/>
            <w:vAlign w:val="center"/>
          </w:tcPr>
          <w:p>
            <w:pPr>
              <w:pStyle w:val="TableContents"/>
              <w:bidi w:val="0"/>
              <w:spacing w:before="0" w:after="283"/>
              <w:jc w:val="left"/>
              <w:rPr>
                <w:sz w:val="20"/>
              </w:rPr>
            </w:pPr>
            <w:r>
              <w:rPr>
                <w:sz w:val="20"/>
              </w:rPr>
              <w:t>Co-Managers:</w:t>
            </w:r>
          </w:p>
        </w:tc>
        <w:tc>
          <w:tcPr>
            <w:tcW w:w="4373" w:type="dxa"/>
            <w:tcBorders/>
            <w:vAlign w:val="center"/>
          </w:tcPr>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Securities, Inc.</w:t>
            </w:r>
          </w:p>
          <w:p>
            <w:pPr>
              <w:pStyle w:val="TableContents"/>
              <w:bidi w:val="0"/>
              <w:spacing w:before="0" w:after="0"/>
              <w:ind w:left="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76" w:right="0" w:hanging="0"/>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w:t>
      </w:r>
      <w:r>
        <w:rPr>
          <w:rFonts w:ascii="Times New Roman;Times;Serif" w:hAnsi="Times New Roman;Times;Serif"/>
          <w:b w:val="false"/>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Issuer expects that delivery of the notes will be made to investors on August 4, 2026, which will be the fifth business day following the date of this term sheet (such settlement being referred to as “T+5”).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August 4, 2026 will be required, by virtue of the fact that the notes initially settle in T+5, to specify an alternate settlement arrangement at the time of any such trade to prevent a failed settlement. Purchasers of the notes who wish to trade the notes during such period should consult their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Underwriters can arrange to send you the prospectus if you request it by calling or e-mailing BofA Securities, Inc. at 1-800-294-1322 or dg.prospectus_requests@bofa.com; calling J.P. Morgan Securities LLC collect at 1-212-834-4533; calling PNC Capital Markets LLC toll-free at 1-855-881-0697; or calling Truist Securities, Inc. toll-free at 1-800-685-4786.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1120</Words>
  <Characters>5810</Characters>
  <CharactersWithSpaces>6897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