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306705</wp:posOffset>
            </wp:positionH>
            <wp:positionV relativeFrom="page">
              <wp:posOffset>540385</wp:posOffset>
            </wp:positionV>
            <wp:extent cx="6935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5470" cy="8255"/>
                    </a:xfrm>
                    <a:prstGeom prst="rect">
                      <a:avLst/>
                    </a:prstGeom>
                    <a:noFill/>
                  </pic:spPr>
                </pic:pic>
              </a:graphicData>
            </a:graphic>
          </wp:anchor>
        </w:drawing>
        <w:drawing>
          <wp:anchor simplePos="0" relativeHeight="251657728" behindDoc="1" locked="0" layoutInCell="0" allowOverlap="1">
            <wp:simplePos x="0" y="0"/>
            <wp:positionH relativeFrom="page">
              <wp:posOffset>306705</wp:posOffset>
            </wp:positionH>
            <wp:positionV relativeFrom="page">
              <wp:posOffset>565150</wp:posOffset>
            </wp:positionV>
            <wp:extent cx="6935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5470" cy="8255"/>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ind w:left="4060"/>
        <w:spacing w:after="0"/>
        <w:rPr>
          <w:sz w:val="20"/>
          <w:szCs w:val="20"/>
          <w:color w:val="auto"/>
        </w:rPr>
      </w:pPr>
      <w:r>
        <w:rPr>
          <w:rFonts w:ascii="Arial" w:cs="Arial" w:eastAsia="Arial" w:hAnsi="Arial"/>
          <w:sz w:val="18"/>
          <w:szCs w:val="18"/>
          <w:color w:val="auto"/>
        </w:rPr>
        <w:t>___________________________________</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22"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rPr>
          <w:sz w:val="20"/>
          <w:szCs w:val="20"/>
          <w:color w:val="auto"/>
        </w:rPr>
      </w:pPr>
      <w:r>
        <w:rPr>
          <w:rFonts w:ascii="Arial" w:cs="Arial" w:eastAsia="Arial" w:hAnsi="Arial"/>
          <w:sz w:val="14"/>
          <w:szCs w:val="14"/>
          <w:color w:val="auto"/>
        </w:rPr>
        <w:t>(Mark One)</w:t>
      </w:r>
    </w:p>
    <w:p>
      <w:pPr>
        <w:sectPr>
          <w:pgSz w:w="11900" w:h="16838" w:orient="portrait"/>
          <w:cols w:equalWidth="0" w:num="1">
            <w:col w:w="11200"/>
          </w:cols>
          <w:pgMar w:left="320" w:top="967" w:right="37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ind w:right="80"/>
        <w:spacing w:after="0" w:line="241" w:lineRule="auto"/>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353"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32"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spacing w:after="0" w:line="1" w:lineRule="exact"/>
        <w:rPr>
          <w:sz w:val="24"/>
          <w:szCs w:val="24"/>
          <w:color w:val="auto"/>
        </w:rPr>
      </w:pPr>
    </w:p>
    <w:p>
      <w:pPr>
        <w:sectPr>
          <w:pgSz w:w="11900" w:h="16838" w:orient="portrait"/>
          <w:cols w:equalWidth="0" w:num="2">
            <w:col w:w="180" w:space="680"/>
            <w:col w:w="10340"/>
          </w:cols>
          <w:pgMar w:left="320" w:top="967" w:right="379" w:bottom="1440" w:gutter="0" w:footer="0" w:header="0"/>
          <w:type w:val="continuous"/>
        </w:sectPr>
      </w:pPr>
    </w:p>
    <w:p>
      <w:pPr>
        <w:ind w:left="860" w:hanging="837"/>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21"/>
          <w:szCs w:val="21"/>
          <w:b w:val="1"/>
          <w:bCs w:val="1"/>
          <w:color w:val="auto"/>
        </w:rPr>
        <w:t>1934</w:t>
      </w:r>
    </w:p>
    <w:p>
      <w:pPr>
        <w:spacing w:after="0" w:line="230" w:lineRule="exact"/>
        <w:rPr>
          <w:sz w:val="24"/>
          <w:szCs w:val="24"/>
          <w:color w:val="auto"/>
        </w:rPr>
      </w:pPr>
    </w:p>
    <w:p>
      <w:pPr>
        <w:ind w:left="384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001-34972</w:t>
      </w:r>
    </w:p>
    <w:p>
      <w:pPr>
        <w:spacing w:after="0" w:line="21"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42"/>
          <w:szCs w:val="42"/>
          <w:b w:val="1"/>
          <w:bCs w:val="1"/>
          <w:color w:val="auto"/>
        </w:rPr>
        <w:t>Booz Allen Hamilton Holding Corporation</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17" w:lineRule="exact"/>
        <w:rPr>
          <w:sz w:val="24"/>
          <w:szCs w:val="24"/>
          <w:color w:val="auto"/>
        </w:rPr>
      </w:pPr>
    </w:p>
    <w:p>
      <w:pPr>
        <w:ind w:left="1780"/>
        <w:spacing w:after="0"/>
        <w:tabs>
          <w:tab w:leader="none" w:pos="89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26-2634160</w:t>
      </w:r>
    </w:p>
    <w:p>
      <w:pPr>
        <w:ind w:left="1260"/>
        <w:spacing w:after="0"/>
        <w:tabs>
          <w:tab w:leader="none" w:pos="884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220"/>
        <w:spacing w:after="0"/>
        <w:tabs>
          <w:tab w:leader="none" w:pos="880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64" w:lineRule="exact"/>
        <w:rPr>
          <w:sz w:val="24"/>
          <w:szCs w:val="24"/>
          <w:color w:val="auto"/>
        </w:rPr>
      </w:pPr>
    </w:p>
    <w:p>
      <w:pPr>
        <w:ind w:left="300"/>
        <w:spacing w:after="0"/>
        <w:tabs>
          <w:tab w:leader="none" w:pos="2500" w:val="left"/>
          <w:tab w:leader="none" w:pos="3480" w:val="left"/>
          <w:tab w:leader="none" w:pos="9140" w:val="left"/>
        </w:tabs>
        <w:rPr>
          <w:sz w:val="20"/>
          <w:szCs w:val="20"/>
          <w:color w:val="auto"/>
        </w:rPr>
      </w:pPr>
      <w:r>
        <w:rPr>
          <w:rFonts w:ascii="Arial" w:cs="Arial" w:eastAsia="Arial" w:hAnsi="Arial"/>
          <w:sz w:val="18"/>
          <w:szCs w:val="18"/>
          <w:b w:val="1"/>
          <w:bCs w:val="1"/>
          <w:color w:val="auto"/>
        </w:rPr>
        <w:t>8283 Greensboro Drive,</w:t>
      </w:r>
      <w:r>
        <w:rPr>
          <w:sz w:val="20"/>
          <w:szCs w:val="20"/>
          <w:color w:val="auto"/>
        </w:rPr>
        <w:tab/>
      </w:r>
      <w:r>
        <w:rPr>
          <w:rFonts w:ascii="Arial" w:cs="Arial" w:eastAsia="Arial" w:hAnsi="Arial"/>
          <w:sz w:val="18"/>
          <w:szCs w:val="18"/>
          <w:b w:val="1"/>
          <w:bCs w:val="1"/>
          <w:color w:val="auto"/>
        </w:rPr>
        <w:t>McLean,</w:t>
      </w:r>
      <w:r>
        <w:rPr>
          <w:sz w:val="20"/>
          <w:szCs w:val="20"/>
          <w:color w:val="auto"/>
        </w:rPr>
        <w:tab/>
      </w:r>
      <w:r>
        <w:rPr>
          <w:rFonts w:ascii="Arial" w:cs="Arial" w:eastAsia="Arial" w:hAnsi="Arial"/>
          <w:sz w:val="18"/>
          <w:szCs w:val="18"/>
          <w:b w:val="1"/>
          <w:bCs w:val="1"/>
          <w:color w:val="auto"/>
        </w:rPr>
        <w:t>Virginia</w:t>
      </w:r>
      <w:r>
        <w:rPr>
          <w:sz w:val="20"/>
          <w:szCs w:val="20"/>
          <w:color w:val="auto"/>
        </w:rPr>
        <w:tab/>
      </w:r>
      <w:r>
        <w:rPr>
          <w:rFonts w:ascii="Arial" w:cs="Arial" w:eastAsia="Arial" w:hAnsi="Arial"/>
          <w:sz w:val="15"/>
          <w:szCs w:val="15"/>
          <w:b w:val="1"/>
          <w:bCs w:val="1"/>
          <w:color w:val="auto"/>
        </w:rPr>
        <w:t>22102</w:t>
      </w:r>
    </w:p>
    <w:p>
      <w:pPr>
        <w:spacing w:after="0" w:line="21" w:lineRule="exact"/>
        <w:rPr>
          <w:sz w:val="24"/>
          <w:szCs w:val="24"/>
          <w:color w:val="auto"/>
        </w:rPr>
      </w:pPr>
    </w:p>
    <w:p>
      <w:pPr>
        <w:ind w:left="980"/>
        <w:spacing w:after="0"/>
        <w:tabs>
          <w:tab w:leader="none" w:pos="902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(703) 902-5000</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29" w:lineRule="exact"/>
        <w:rPr>
          <w:sz w:val="24"/>
          <w:szCs w:val="24"/>
          <w:color w:val="auto"/>
        </w:rPr>
      </w:pPr>
    </w:p>
    <w:tbl>
      <w:tblPr>
        <w:tblLayout w:type="fixed"/>
        <w:tblInd w:w="180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800" w:type="dxa"/>
            <w:vAlign w:val="bottom"/>
          </w:tcPr>
          <w:p>
            <w:pPr>
              <w:spacing w:after="0"/>
              <w:rPr>
                <w:sz w:val="14"/>
                <w:szCs w:val="14"/>
                <w:color w:val="auto"/>
              </w:rPr>
            </w:pPr>
          </w:p>
        </w:tc>
        <w:tc>
          <w:tcPr>
            <w:tcW w:w="20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0"/>
              </w:rPr>
              <w:t>Trading Symbol</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r>
        <w:trPr>
          <w:trHeight w:val="243"/>
        </w:trPr>
        <w:tc>
          <w:tcPr>
            <w:tcW w:w="3220" w:type="dxa"/>
            <w:vAlign w:val="bottom"/>
            <w:gridSpan w:val="3"/>
          </w:tcPr>
          <w:p>
            <w:pPr>
              <w:jc w:val="center"/>
              <w:ind w:right="1520"/>
              <w:spacing w:after="0"/>
              <w:rPr>
                <w:sz w:val="20"/>
                <w:szCs w:val="20"/>
                <w:color w:val="auto"/>
              </w:rPr>
            </w:pPr>
            <w:r>
              <w:rPr>
                <w:rFonts w:ascii="Arial" w:cs="Arial" w:eastAsia="Arial" w:hAnsi="Arial"/>
                <w:sz w:val="18"/>
                <w:szCs w:val="18"/>
                <w:color w:val="auto"/>
                <w:w w:val="89"/>
              </w:rPr>
              <w:t>Class A Common Stock</w:t>
            </w:r>
          </w:p>
        </w:tc>
        <w:tc>
          <w:tcPr>
            <w:tcW w:w="2080" w:type="dxa"/>
            <w:vAlign w:val="bottom"/>
            <w:gridSpan w:val="2"/>
          </w:tcPr>
          <w:p>
            <w:pPr>
              <w:jc w:val="center"/>
              <w:ind w:right="1100"/>
              <w:spacing w:after="0"/>
              <w:rPr>
                <w:sz w:val="20"/>
                <w:szCs w:val="20"/>
                <w:color w:val="auto"/>
              </w:rPr>
            </w:pPr>
            <w:r>
              <w:rPr>
                <w:rFonts w:ascii="Arial" w:cs="Arial" w:eastAsia="Arial" w:hAnsi="Arial"/>
                <w:sz w:val="14"/>
                <w:szCs w:val="14"/>
                <w:color w:val="auto"/>
              </w:rPr>
              <w:t>BAH</w:t>
            </w:r>
          </w:p>
        </w:tc>
        <w:tc>
          <w:tcPr>
            <w:tcW w:w="2760" w:type="dxa"/>
            <w:vAlign w:val="bottom"/>
          </w:tcPr>
          <w:p>
            <w:pPr>
              <w:jc w:val="center"/>
              <w:spacing w:after="0"/>
              <w:rPr>
                <w:sz w:val="20"/>
                <w:szCs w:val="20"/>
                <w:color w:val="auto"/>
              </w:rPr>
            </w:pPr>
            <w:r>
              <w:rPr>
                <w:rFonts w:ascii="Arial" w:cs="Arial" w:eastAsia="Arial" w:hAnsi="Arial"/>
                <w:sz w:val="18"/>
                <w:szCs w:val="18"/>
                <w:color w:val="auto"/>
                <w:w w:val="88"/>
              </w:rPr>
              <w:t>New York Stock Exchange</w:t>
            </w:r>
          </w:p>
        </w:tc>
      </w:tr>
    </w:tbl>
    <w:p>
      <w:pPr>
        <w:spacing w:after="0" w:line="94" w:lineRule="exact"/>
        <w:rPr>
          <w:sz w:val="24"/>
          <w:szCs w:val="24"/>
          <w:color w:val="auto"/>
        </w:rPr>
      </w:pPr>
    </w:p>
    <w:p>
      <w:pPr>
        <w:jc w:val="both"/>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600"/>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500"/>
        <w:spacing w:after="0" w:line="32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341"/>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6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2"/>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spacing w:after="0"/>
              <w:rPr>
                <w:sz w:val="21"/>
                <w:szCs w:val="21"/>
                <w:color w:val="auto"/>
              </w:rPr>
            </w:pPr>
          </w:p>
        </w:tc>
        <w:tc>
          <w:tcPr>
            <w:tcW w:w="5000" w:type="dxa"/>
            <w:vAlign w:val="bottom"/>
          </w:tcPr>
          <w:p>
            <w:pPr>
              <w:ind w:left="246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5"/>
        </w:trPr>
        <w:tc>
          <w:tcPr>
            <w:tcW w:w="218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5000" w:type="dxa"/>
            <w:vAlign w:val="bottom"/>
          </w:tcPr>
          <w:p>
            <w:pPr>
              <w:ind w:left="246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jc w:val="both"/>
        <w:ind w:right="2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184" w:lineRule="exact"/>
        <w:tabs>
          <w:tab w:leader="none" w:pos="86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450215</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67"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5800" w:type="dxa"/>
            <w:vAlign w:val="bottom"/>
            <w:gridSpan w:val="2"/>
          </w:tcPr>
          <w:p>
            <w:pPr>
              <w:jc w:val="center"/>
              <w:ind w:left="2804"/>
              <w:spacing w:after="0"/>
              <w:rPr>
                <w:sz w:val="20"/>
                <w:szCs w:val="20"/>
                <w:color w:val="auto"/>
              </w:rPr>
            </w:pPr>
            <w:r>
              <w:rPr>
                <w:rFonts w:ascii="Arial" w:cs="Arial" w:eastAsia="Arial" w:hAnsi="Arial"/>
                <w:sz w:val="14"/>
                <w:szCs w:val="14"/>
                <w:b w:val="1"/>
                <w:bCs w:val="1"/>
                <w:color w:val="auto"/>
                <w:w w:val="90"/>
              </w:rPr>
              <w:t>Shares Outstanding</w:t>
            </w:r>
          </w:p>
        </w:tc>
      </w:tr>
      <w:tr>
        <w:trPr>
          <w:trHeight w:val="184"/>
        </w:trPr>
        <w:tc>
          <w:tcPr>
            <w:tcW w:w="5440" w:type="dxa"/>
            <w:vAlign w:val="bottom"/>
          </w:tcPr>
          <w:p>
            <w:pPr>
              <w:spacing w:after="0"/>
              <w:rPr>
                <w:sz w:val="15"/>
                <w:szCs w:val="15"/>
                <w:color w:val="auto"/>
              </w:rPr>
            </w:pPr>
          </w:p>
        </w:tc>
        <w:tc>
          <w:tcPr>
            <w:tcW w:w="5800" w:type="dxa"/>
            <w:vAlign w:val="bottom"/>
            <w:gridSpan w:val="2"/>
          </w:tcPr>
          <w:p>
            <w:pPr>
              <w:jc w:val="center"/>
              <w:ind w:left="2804"/>
              <w:spacing w:after="0"/>
              <w:rPr>
                <w:sz w:val="20"/>
                <w:szCs w:val="20"/>
                <w:color w:val="auto"/>
              </w:rPr>
            </w:pPr>
            <w:r>
              <w:rPr>
                <w:rFonts w:ascii="Arial" w:cs="Arial" w:eastAsia="Arial" w:hAnsi="Arial"/>
                <w:sz w:val="14"/>
                <w:szCs w:val="14"/>
                <w:b w:val="1"/>
                <w:bCs w:val="1"/>
                <w:color w:val="auto"/>
                <w:w w:val="87"/>
              </w:rPr>
              <w:t>as of July 27, 2021</w:t>
            </w: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54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135,185,617</w:t>
            </w:r>
          </w:p>
        </w:tc>
        <w:tc>
          <w:tcPr>
            <w:tcW w:w="360" w:type="dxa"/>
            <w:vAlign w:val="bottom"/>
          </w:tcPr>
          <w:p>
            <w:pPr>
              <w:spacing w:after="0"/>
              <w:rPr>
                <w:sz w:val="19"/>
                <w:szCs w:val="19"/>
                <w:color w:val="auto"/>
              </w:rPr>
            </w:pPr>
          </w:p>
        </w:tc>
      </w:tr>
      <w:tr>
        <w:trPr>
          <w:trHeight w:val="743"/>
        </w:trPr>
        <w:tc>
          <w:tcPr>
            <w:tcW w:w="544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10500" w:type="dxa"/>
            <w:vAlign w:val="bottom"/>
            <w:gridSpan w:val="16"/>
          </w:tcPr>
          <w:p>
            <w:pPr>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500" w:type="dxa"/>
            <w:vAlign w:val="bottom"/>
            <w:gridSpan w:val="5"/>
            <w:vMerge w:val="restart"/>
          </w:tcPr>
          <w:p>
            <w:pPr>
              <w:spacing w:after="0"/>
              <w:rPr>
                <w:rFonts w:ascii="Arial" w:cs="Arial" w:eastAsia="Arial" w:hAnsi="Arial"/>
                <w:sz w:val="18"/>
                <w:szCs w:val="18"/>
                <w:b w:val="1"/>
                <w:bCs w:val="1"/>
                <w:color w:val="0000FF"/>
                <w:w w:val="98"/>
              </w:rPr>
            </w:pPr>
            <w:hyperlink w:anchor="page3">
              <w:r>
                <w:rPr>
                  <w:rFonts w:ascii="Arial" w:cs="Arial" w:eastAsia="Arial" w:hAnsi="Arial"/>
                  <w:sz w:val="18"/>
                  <w:szCs w:val="18"/>
                  <w:b w:val="1"/>
                  <w:bCs w:val="1"/>
                  <w:color w:val="0000FF"/>
                  <w:w w:val="98"/>
                </w:rPr>
                <w:t>PART I. Financial Information</w:t>
              </w:r>
            </w:hyperlink>
          </w:p>
        </w:tc>
        <w:tc>
          <w:tcPr>
            <w:tcW w:w="7980" w:type="dxa"/>
            <w:vAlign w:val="bottom"/>
            <w:gridSpan w:val="10"/>
            <w:vMerge w:val="restart"/>
          </w:tcPr>
          <w:p>
            <w:pPr>
              <w:spacing w:after="0"/>
              <w:rPr>
                <w:sz w:val="24"/>
                <w:szCs w:val="24"/>
                <w:color w:val="auto"/>
              </w:rPr>
            </w:pPr>
          </w:p>
        </w:tc>
        <w:tc>
          <w:tcPr>
            <w:tcW w:w="740" w:type="dxa"/>
            <w:vAlign w:val="bottom"/>
            <w:gridSpan w:val="5"/>
          </w:tcPr>
          <w:p>
            <w:pPr>
              <w:ind w:lef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7980" w:type="dxa"/>
            <w:vAlign w:val="bottom"/>
            <w:gridSpan w:val="10"/>
            <w:vMerge w:val="continue"/>
          </w:tcPr>
          <w:p>
            <w:pPr>
              <w:spacing w:after="0"/>
              <w:rPr>
                <w:sz w:val="14"/>
                <w:szCs w:val="14"/>
                <w:color w:val="auto"/>
              </w:rPr>
            </w:pPr>
          </w:p>
        </w:tc>
        <w:tc>
          <w:tcPr>
            <w:tcW w:w="720" w:type="dxa"/>
            <w:vAlign w:val="bottom"/>
            <w:tcBorders>
              <w:top w:val="single" w:sz="8" w:color="auto"/>
            </w:tcBorders>
            <w:gridSpan w:val="4"/>
          </w:tcPr>
          <w:p>
            <w:pPr>
              <w:jc w:val="right"/>
              <w:ind w:right="20"/>
              <w:spacing w:after="0" w:line="152" w:lineRule="exact"/>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56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20" w:type="dxa"/>
            <w:vAlign w:val="bottom"/>
            <w:gridSpan w:val="2"/>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b w:val="1"/>
                <w:bCs w:val="1"/>
                <w:color w:val="auto"/>
              </w:rPr>
              <w:t>ITEM 1</w:t>
            </w:r>
          </w:p>
        </w:tc>
        <w:tc>
          <w:tcPr>
            <w:tcW w:w="8920" w:type="dxa"/>
            <w:vAlign w:val="bottom"/>
            <w:gridSpan w:val="14"/>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Financial Statements</w:t>
              </w:r>
            </w:hyperlink>
          </w:p>
        </w:tc>
        <w:tc>
          <w:tcPr>
            <w:tcW w:w="720" w:type="dxa"/>
            <w:vAlign w:val="bottom"/>
            <w:gridSpan w:val="4"/>
          </w:tcPr>
          <w:p>
            <w:pPr>
              <w:jc w:val="right"/>
              <w:ind w:right="20"/>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Arial" w:cs="Arial" w:eastAsia="Arial" w:hAnsi="Arial"/>
                <w:sz w:val="18"/>
                <w:szCs w:val="18"/>
                <w:b w:val="1"/>
                <w:bCs w:val="1"/>
                <w:color w:val="auto"/>
              </w:rPr>
              <w:t>ITEM 2</w:t>
            </w:r>
          </w:p>
        </w:tc>
        <w:tc>
          <w:tcPr>
            <w:tcW w:w="6660" w:type="dxa"/>
            <w:vAlign w:val="bottom"/>
            <w:tcBorders>
              <w:bottom w:val="single" w:sz="8" w:color="0000FF"/>
            </w:tcBorders>
            <w:gridSpan w:val="13"/>
          </w:tcPr>
          <w:p>
            <w:pPr>
              <w:spacing w:after="0" w:line="204" w:lineRule="exact"/>
              <w:rPr>
                <w:rFonts w:ascii="Arial" w:cs="Arial" w:eastAsia="Arial" w:hAnsi="Arial"/>
                <w:sz w:val="18"/>
                <w:szCs w:val="18"/>
                <w:b w:val="1"/>
                <w:bCs w:val="1"/>
                <w:color w:val="0000FF"/>
                <w:w w:val="86"/>
              </w:rPr>
            </w:pPr>
            <w:hyperlink w:anchor="page26">
              <w:r>
                <w:rPr>
                  <w:rFonts w:ascii="Arial" w:cs="Arial" w:eastAsia="Arial" w:hAnsi="Arial"/>
                  <w:sz w:val="18"/>
                  <w:szCs w:val="18"/>
                  <w:b w:val="1"/>
                  <w:bCs w:val="1"/>
                  <w:color w:val="0000FF"/>
                  <w:w w:val="86"/>
                </w:rPr>
                <w:t>Management's Discussion and Analysis of Financial Condition and Results of Operations</w:t>
              </w:r>
            </w:hyperlink>
          </w:p>
        </w:tc>
        <w:tc>
          <w:tcPr>
            <w:tcW w:w="2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rFonts w:ascii="Arial" w:cs="Arial" w:eastAsia="Arial" w:hAnsi="Arial"/>
                <w:sz w:val="18"/>
                <w:szCs w:val="18"/>
                <w:b w:val="1"/>
                <w:bCs w:val="1"/>
                <w:color w:val="0000FF"/>
                <w:w w:val="79"/>
              </w:rPr>
            </w:pPr>
            <w:hyperlink w:anchor="page26">
              <w:r>
                <w:rPr>
                  <w:rFonts w:ascii="Arial" w:cs="Arial" w:eastAsia="Arial" w:hAnsi="Arial"/>
                  <w:sz w:val="18"/>
                  <w:szCs w:val="18"/>
                  <w:b w:val="1"/>
                  <w:bCs w:val="1"/>
                  <w:color w:val="0000FF"/>
                  <w:w w:val="79"/>
                </w:rPr>
                <w:t>23</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Arial" w:cs="Arial" w:eastAsia="Arial" w:hAnsi="Arial"/>
                <w:sz w:val="18"/>
                <w:szCs w:val="18"/>
                <w:b w:val="1"/>
                <w:bCs w:val="1"/>
                <w:color w:val="auto"/>
              </w:rPr>
              <w:t>ITEM 3</w:t>
            </w:r>
          </w:p>
        </w:tc>
        <w:tc>
          <w:tcPr>
            <w:tcW w:w="8920" w:type="dxa"/>
            <w:vAlign w:val="bottom"/>
            <w:gridSpan w:val="14"/>
          </w:tcPr>
          <w:p>
            <w:pPr>
              <w:spacing w:after="0" w:line="204" w:lineRule="exact"/>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Quantitative and Qualitative Disclosures About Market Risk</w:t>
              </w:r>
            </w:hyperlink>
          </w:p>
        </w:tc>
        <w:tc>
          <w:tcPr>
            <w:tcW w:w="720" w:type="dxa"/>
            <w:vAlign w:val="bottom"/>
            <w:gridSpan w:val="4"/>
          </w:tcPr>
          <w:p>
            <w:pPr>
              <w:jc w:val="right"/>
              <w:ind w:right="20"/>
              <w:spacing w:after="0" w:line="204" w:lineRule="exact"/>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40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Arial" w:cs="Arial" w:eastAsia="Arial" w:hAnsi="Arial"/>
                <w:sz w:val="18"/>
                <w:szCs w:val="18"/>
                <w:b w:val="1"/>
                <w:bCs w:val="1"/>
                <w:color w:val="auto"/>
              </w:rPr>
              <w:t>ITEM 4</w:t>
            </w:r>
          </w:p>
        </w:tc>
        <w:tc>
          <w:tcPr>
            <w:tcW w:w="1860" w:type="dxa"/>
            <w:vAlign w:val="bottom"/>
            <w:tcBorders>
              <w:top w:val="single" w:sz="8" w:color="0000FF"/>
              <w:bottom w:val="single" w:sz="8" w:color="0000FF"/>
            </w:tcBorders>
            <w:gridSpan w:val="9"/>
          </w:tcPr>
          <w:p>
            <w:pPr>
              <w:spacing w:after="0" w:line="204" w:lineRule="exact"/>
              <w:rPr>
                <w:rFonts w:ascii="Arial" w:cs="Arial" w:eastAsia="Arial" w:hAnsi="Arial"/>
                <w:sz w:val="18"/>
                <w:szCs w:val="18"/>
                <w:b w:val="1"/>
                <w:bCs w:val="1"/>
                <w:color w:val="0000FF"/>
                <w:w w:val="85"/>
              </w:rPr>
            </w:pPr>
            <w:hyperlink w:anchor="page44">
              <w:r>
                <w:rPr>
                  <w:rFonts w:ascii="Arial" w:cs="Arial" w:eastAsia="Arial" w:hAnsi="Arial"/>
                  <w:sz w:val="18"/>
                  <w:szCs w:val="18"/>
                  <w:b w:val="1"/>
                  <w:bCs w:val="1"/>
                  <w:color w:val="0000FF"/>
                  <w:w w:val="85"/>
                </w:rPr>
                <w:t>Controls and Procedures</w:t>
              </w:r>
            </w:hyperlink>
          </w:p>
        </w:tc>
        <w:tc>
          <w:tcPr>
            <w:tcW w:w="2680" w:type="dxa"/>
            <w:vAlign w:val="bottom"/>
            <w:tcBorders>
              <w:top w:val="single" w:sz="8" w:color="0000FF"/>
            </w:tcBorders>
            <w:gridSpan w:val="3"/>
          </w:tcPr>
          <w:p>
            <w:pPr>
              <w:spacing w:after="0"/>
              <w:rPr>
                <w:sz w:val="17"/>
                <w:szCs w:val="17"/>
                <w:color w:val="auto"/>
              </w:rPr>
            </w:pPr>
          </w:p>
        </w:tc>
        <w:tc>
          <w:tcPr>
            <w:tcW w:w="43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4" w:lineRule="exact"/>
              <w:rPr>
                <w:rFonts w:ascii="Arial" w:cs="Arial" w:eastAsia="Arial" w:hAnsi="Arial"/>
                <w:sz w:val="18"/>
                <w:szCs w:val="18"/>
                <w:b w:val="1"/>
                <w:bCs w:val="1"/>
                <w:color w:val="0000FF"/>
                <w:w w:val="79"/>
              </w:rPr>
            </w:pPr>
            <w:hyperlink w:anchor="page44">
              <w:r>
                <w:rPr>
                  <w:rFonts w:ascii="Arial" w:cs="Arial" w:eastAsia="Arial" w:hAnsi="Arial"/>
                  <w:sz w:val="18"/>
                  <w:szCs w:val="18"/>
                  <w:b w:val="1"/>
                  <w:bCs w:val="1"/>
                  <w:color w:val="0000FF"/>
                  <w:w w:val="79"/>
                </w:rPr>
                <w:t>40</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140" w:type="dxa"/>
            <w:vAlign w:val="bottom"/>
            <w:tcBorders>
              <w:bottom w:val="single" w:sz="8" w:color="0000FF"/>
            </w:tcBorders>
            <w:gridSpan w:val="2"/>
          </w:tcPr>
          <w:p>
            <w:pPr>
              <w:spacing w:after="0" w:line="204" w:lineRule="exact"/>
              <w:rPr>
                <w:rFonts w:ascii="Arial" w:cs="Arial" w:eastAsia="Arial" w:hAnsi="Arial"/>
                <w:sz w:val="18"/>
                <w:szCs w:val="18"/>
                <w:b w:val="1"/>
                <w:bCs w:val="1"/>
                <w:color w:val="0000FF"/>
                <w:w w:val="93"/>
              </w:rPr>
            </w:pPr>
            <w:hyperlink w:anchor="page44">
              <w:r>
                <w:rPr>
                  <w:rFonts w:ascii="Arial" w:cs="Arial" w:eastAsia="Arial" w:hAnsi="Arial"/>
                  <w:sz w:val="18"/>
                  <w:szCs w:val="18"/>
                  <w:b w:val="1"/>
                  <w:bCs w:val="1"/>
                  <w:color w:val="0000FF"/>
                  <w:w w:val="93"/>
                </w:rPr>
                <w:t>PART II. Other Information</w:t>
              </w:r>
            </w:hyperlink>
          </w:p>
        </w:tc>
        <w:tc>
          <w:tcPr>
            <w:tcW w:w="834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4" w:lineRule="exact"/>
              <w:rPr>
                <w:rFonts w:ascii="Arial" w:cs="Arial" w:eastAsia="Arial" w:hAnsi="Arial"/>
                <w:sz w:val="18"/>
                <w:szCs w:val="18"/>
                <w:b w:val="1"/>
                <w:bCs w:val="1"/>
                <w:color w:val="0000FF"/>
                <w:w w:val="79"/>
              </w:rPr>
            </w:pPr>
            <w:hyperlink w:anchor="page44">
              <w:r>
                <w:rPr>
                  <w:rFonts w:ascii="Arial" w:cs="Arial" w:eastAsia="Arial" w:hAnsi="Arial"/>
                  <w:sz w:val="18"/>
                  <w:szCs w:val="18"/>
                  <w:b w:val="1"/>
                  <w:bCs w:val="1"/>
                  <w:color w:val="0000FF"/>
                  <w:w w:val="79"/>
                </w:rPr>
                <w:t>41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Arial" w:cs="Arial" w:eastAsia="Arial" w:hAnsi="Arial"/>
                <w:sz w:val="18"/>
                <w:szCs w:val="18"/>
                <w:b w:val="1"/>
                <w:bCs w:val="1"/>
                <w:color w:val="auto"/>
              </w:rPr>
              <w:t>ITEM 1</w:t>
            </w:r>
          </w:p>
        </w:tc>
        <w:tc>
          <w:tcPr>
            <w:tcW w:w="8920" w:type="dxa"/>
            <w:vAlign w:val="bottom"/>
            <w:gridSpan w:val="14"/>
          </w:tcPr>
          <w:p>
            <w:pPr>
              <w:spacing w:after="0" w:line="204" w:lineRule="exact"/>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Legal Proceedings</w:t>
              </w:r>
            </w:hyperlink>
          </w:p>
        </w:tc>
        <w:tc>
          <w:tcPr>
            <w:tcW w:w="720" w:type="dxa"/>
            <w:vAlign w:val="bottom"/>
            <w:gridSpan w:val="4"/>
          </w:tcPr>
          <w:p>
            <w:pPr>
              <w:jc w:val="right"/>
              <w:ind w:right="20"/>
              <w:spacing w:after="0" w:line="204" w:lineRule="exact"/>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41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Arial" w:cs="Arial" w:eastAsia="Arial" w:hAnsi="Arial"/>
                <w:sz w:val="18"/>
                <w:szCs w:val="18"/>
                <w:b w:val="1"/>
                <w:bCs w:val="1"/>
                <w:color w:val="auto"/>
              </w:rPr>
              <w:t>ITEM 1A</w:t>
            </w:r>
          </w:p>
        </w:tc>
        <w:tc>
          <w:tcPr>
            <w:tcW w:w="1360" w:type="dxa"/>
            <w:vAlign w:val="bottom"/>
            <w:tcBorders>
              <w:top w:val="single" w:sz="8" w:color="0000FF"/>
            </w:tcBorders>
            <w:gridSpan w:val="5"/>
          </w:tcPr>
          <w:p>
            <w:pPr>
              <w:spacing w:after="0" w:line="204" w:lineRule="exact"/>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Risk Factors</w:t>
              </w:r>
            </w:hyperlink>
          </w:p>
        </w:tc>
        <w:tc>
          <w:tcPr>
            <w:tcW w:w="756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rFonts w:ascii="Arial" w:cs="Arial" w:eastAsia="Arial" w:hAnsi="Arial"/>
                <w:sz w:val="18"/>
                <w:szCs w:val="18"/>
                <w:b w:val="1"/>
                <w:bCs w:val="1"/>
                <w:color w:val="0000FF"/>
                <w:w w:val="79"/>
              </w:rPr>
            </w:pPr>
            <w:hyperlink w:anchor="page45">
              <w:r>
                <w:rPr>
                  <w:rFonts w:ascii="Arial" w:cs="Arial" w:eastAsia="Arial" w:hAnsi="Arial"/>
                  <w:sz w:val="18"/>
                  <w:szCs w:val="18"/>
                  <w:b w:val="1"/>
                  <w:bCs w:val="1"/>
                  <w:color w:val="0000FF"/>
                  <w:w w:val="79"/>
                </w:rPr>
                <w:t>42</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Arial" w:cs="Arial" w:eastAsia="Arial" w:hAnsi="Arial"/>
                <w:sz w:val="18"/>
                <w:szCs w:val="18"/>
                <w:b w:val="1"/>
                <w:bCs w:val="1"/>
                <w:color w:val="auto"/>
              </w:rPr>
              <w:t>ITEM 2</w:t>
            </w:r>
          </w:p>
        </w:tc>
        <w:tc>
          <w:tcPr>
            <w:tcW w:w="8920" w:type="dxa"/>
            <w:vAlign w:val="bottom"/>
            <w:gridSpan w:val="14"/>
          </w:tcPr>
          <w:p>
            <w:pPr>
              <w:spacing w:after="0" w:line="204" w:lineRule="exact"/>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Unregistered Sales of Equity Securities and Use of Proceeds</w:t>
              </w:r>
            </w:hyperlink>
          </w:p>
        </w:tc>
        <w:tc>
          <w:tcPr>
            <w:tcW w:w="720" w:type="dxa"/>
            <w:vAlign w:val="bottom"/>
            <w:gridSpan w:val="4"/>
          </w:tcPr>
          <w:p>
            <w:pPr>
              <w:jc w:val="right"/>
              <w:ind w:right="20"/>
              <w:spacing w:after="0" w:line="204" w:lineRule="exact"/>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42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Arial" w:cs="Arial" w:eastAsia="Arial" w:hAnsi="Arial"/>
                <w:sz w:val="18"/>
                <w:szCs w:val="18"/>
                <w:b w:val="1"/>
                <w:bCs w:val="1"/>
                <w:color w:val="auto"/>
              </w:rPr>
              <w:t>ITEM 3</w:t>
            </w:r>
          </w:p>
        </w:tc>
        <w:tc>
          <w:tcPr>
            <w:tcW w:w="2380" w:type="dxa"/>
            <w:vAlign w:val="bottom"/>
            <w:tcBorders>
              <w:top w:val="single" w:sz="8" w:color="0000FF"/>
              <w:bottom w:val="single" w:sz="8" w:color="0000FF"/>
            </w:tcBorders>
            <w:gridSpan w:val="10"/>
          </w:tcPr>
          <w:p>
            <w:pPr>
              <w:spacing w:after="0" w:line="204" w:lineRule="exact"/>
              <w:rPr>
                <w:rFonts w:ascii="Arial" w:cs="Arial" w:eastAsia="Arial" w:hAnsi="Arial"/>
                <w:sz w:val="18"/>
                <w:szCs w:val="18"/>
                <w:b w:val="1"/>
                <w:bCs w:val="1"/>
                <w:color w:val="0000FF"/>
                <w:w w:val="86"/>
              </w:rPr>
            </w:pPr>
            <w:hyperlink w:anchor="page46">
              <w:r>
                <w:rPr>
                  <w:rFonts w:ascii="Arial" w:cs="Arial" w:eastAsia="Arial" w:hAnsi="Arial"/>
                  <w:sz w:val="18"/>
                  <w:szCs w:val="18"/>
                  <w:b w:val="1"/>
                  <w:bCs w:val="1"/>
                  <w:color w:val="0000FF"/>
                  <w:w w:val="86"/>
                </w:rPr>
                <w:t>Defaults Upon Senior Securities</w:t>
              </w:r>
            </w:hyperlink>
          </w:p>
        </w:tc>
        <w:tc>
          <w:tcPr>
            <w:tcW w:w="2060" w:type="dxa"/>
            <w:vAlign w:val="bottom"/>
            <w:tcBorders>
              <w:top w:val="single" w:sz="8" w:color="0000FF"/>
            </w:tcBorders>
          </w:tcPr>
          <w:p>
            <w:pPr>
              <w:spacing w:after="0"/>
              <w:rPr>
                <w:sz w:val="17"/>
                <w:szCs w:val="17"/>
                <w:color w:val="auto"/>
              </w:rPr>
            </w:pPr>
          </w:p>
        </w:tc>
        <w:tc>
          <w:tcPr>
            <w:tcW w:w="44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4" w:lineRule="exact"/>
              <w:rPr>
                <w:rFonts w:ascii="Arial" w:cs="Arial" w:eastAsia="Arial" w:hAnsi="Arial"/>
                <w:sz w:val="18"/>
                <w:szCs w:val="18"/>
                <w:b w:val="1"/>
                <w:bCs w:val="1"/>
                <w:color w:val="0000FF"/>
                <w:w w:val="79"/>
              </w:rPr>
            </w:pPr>
            <w:hyperlink w:anchor="page46">
              <w:r>
                <w:rPr>
                  <w:rFonts w:ascii="Arial" w:cs="Arial" w:eastAsia="Arial" w:hAnsi="Arial"/>
                  <w:sz w:val="18"/>
                  <w:szCs w:val="18"/>
                  <w:b w:val="1"/>
                  <w:bCs w:val="1"/>
                  <w:color w:val="0000FF"/>
                  <w:w w:val="79"/>
                </w:rPr>
                <w:t>42</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Arial" w:cs="Arial" w:eastAsia="Arial" w:hAnsi="Arial"/>
                <w:sz w:val="18"/>
                <w:szCs w:val="18"/>
                <w:b w:val="1"/>
                <w:bCs w:val="1"/>
                <w:color w:val="auto"/>
              </w:rPr>
              <w:t>ITEM 4</w:t>
            </w:r>
          </w:p>
        </w:tc>
        <w:tc>
          <w:tcPr>
            <w:tcW w:w="8920" w:type="dxa"/>
            <w:vAlign w:val="bottom"/>
            <w:gridSpan w:val="14"/>
          </w:tcPr>
          <w:p>
            <w:pPr>
              <w:spacing w:after="0" w:line="204" w:lineRule="exact"/>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Mine Safety Disclosures</w:t>
              </w:r>
            </w:hyperlink>
          </w:p>
        </w:tc>
        <w:tc>
          <w:tcPr>
            <w:tcW w:w="720" w:type="dxa"/>
            <w:vAlign w:val="bottom"/>
            <w:gridSpan w:val="4"/>
          </w:tcPr>
          <w:p>
            <w:pPr>
              <w:jc w:val="right"/>
              <w:ind w:right="20"/>
              <w:spacing w:after="0" w:line="204" w:lineRule="exact"/>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42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Arial" w:cs="Arial" w:eastAsia="Arial" w:hAnsi="Arial"/>
                <w:sz w:val="18"/>
                <w:szCs w:val="18"/>
                <w:b w:val="1"/>
                <w:bCs w:val="1"/>
                <w:color w:val="auto"/>
              </w:rPr>
              <w:t>ITEM 5</w:t>
            </w:r>
          </w:p>
        </w:tc>
        <w:tc>
          <w:tcPr>
            <w:tcW w:w="1780" w:type="dxa"/>
            <w:vAlign w:val="bottom"/>
            <w:tcBorders>
              <w:top w:val="single" w:sz="8" w:color="0000FF"/>
            </w:tcBorders>
            <w:gridSpan w:val="8"/>
          </w:tcPr>
          <w:p>
            <w:pPr>
              <w:spacing w:after="0" w:line="204" w:lineRule="exact"/>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Other Information</w:t>
              </w:r>
            </w:hyperlink>
          </w:p>
        </w:tc>
        <w:tc>
          <w:tcPr>
            <w:tcW w:w="714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rFonts w:ascii="Arial" w:cs="Arial" w:eastAsia="Arial" w:hAnsi="Arial"/>
                <w:sz w:val="18"/>
                <w:szCs w:val="18"/>
                <w:b w:val="1"/>
                <w:bCs w:val="1"/>
                <w:color w:val="0000FF"/>
                <w:w w:val="79"/>
              </w:rPr>
            </w:pPr>
            <w:hyperlink w:anchor="page46">
              <w:r>
                <w:rPr>
                  <w:rFonts w:ascii="Arial" w:cs="Arial" w:eastAsia="Arial" w:hAnsi="Arial"/>
                  <w:sz w:val="18"/>
                  <w:szCs w:val="18"/>
                  <w:b w:val="1"/>
                  <w:bCs w:val="1"/>
                  <w:color w:val="0000FF"/>
                  <w:w w:val="79"/>
                </w:rPr>
                <w:t>42</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560" w:type="dxa"/>
            <w:vAlign w:val="bottom"/>
          </w:tcPr>
          <w:p>
            <w:pPr>
              <w:ind w:left="320"/>
              <w:spacing w:after="0" w:line="204" w:lineRule="exact"/>
              <w:rPr>
                <w:sz w:val="20"/>
                <w:szCs w:val="20"/>
                <w:color w:val="auto"/>
              </w:rPr>
            </w:pPr>
            <w:r>
              <w:rPr>
                <w:rFonts w:ascii="Arial" w:cs="Arial" w:eastAsia="Arial" w:hAnsi="Arial"/>
                <w:sz w:val="18"/>
                <w:szCs w:val="18"/>
                <w:b w:val="1"/>
                <w:bCs w:val="1"/>
                <w:color w:val="auto"/>
              </w:rPr>
              <w:t>ITEM 6</w:t>
            </w:r>
          </w:p>
        </w:tc>
        <w:tc>
          <w:tcPr>
            <w:tcW w:w="1400" w:type="dxa"/>
            <w:vAlign w:val="bottom"/>
            <w:tcBorders>
              <w:top w:val="single" w:sz="8" w:color="0000FF"/>
            </w:tcBorders>
            <w:gridSpan w:val="6"/>
          </w:tcPr>
          <w:p>
            <w:pPr>
              <w:spacing w:after="0" w:line="204" w:lineRule="exact"/>
              <w:rPr>
                <w:rFonts w:ascii="Arial" w:cs="Arial" w:eastAsia="Arial" w:hAnsi="Arial"/>
                <w:sz w:val="18"/>
                <w:szCs w:val="18"/>
                <w:b w:val="1"/>
                <w:bCs w:val="1"/>
                <w:color w:val="0000FF"/>
              </w:rPr>
            </w:pPr>
            <w:hyperlink w:anchor="page46">
              <w:r>
                <w:rPr>
                  <w:rFonts w:ascii="Arial" w:cs="Arial" w:eastAsia="Arial" w:hAnsi="Arial"/>
                  <w:sz w:val="18"/>
                  <w:szCs w:val="18"/>
                  <w:b w:val="1"/>
                  <w:bCs w:val="1"/>
                  <w:color w:val="0000FF"/>
                </w:rPr>
                <w:t>Exhibits</w:t>
              </w:r>
            </w:hyperlink>
          </w:p>
        </w:tc>
        <w:tc>
          <w:tcPr>
            <w:tcW w:w="752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4" w:lineRule="exact"/>
              <w:rPr>
                <w:rFonts w:ascii="Arial" w:cs="Arial" w:eastAsia="Arial" w:hAnsi="Arial"/>
                <w:sz w:val="18"/>
                <w:szCs w:val="18"/>
                <w:b w:val="1"/>
                <w:bCs w:val="1"/>
                <w:color w:val="0000FF"/>
                <w:w w:val="79"/>
              </w:rPr>
            </w:pPr>
            <w:hyperlink w:anchor="page46">
              <w:r>
                <w:rPr>
                  <w:rFonts w:ascii="Arial" w:cs="Arial" w:eastAsia="Arial" w:hAnsi="Arial"/>
                  <w:sz w:val="18"/>
                  <w:szCs w:val="18"/>
                  <w:b w:val="1"/>
                  <w:bCs w:val="1"/>
                  <w:color w:val="0000FF"/>
                  <w:w w:val="79"/>
                </w:rPr>
                <w:t>43</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0"/>
        </w:trPr>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000" w:type="dxa"/>
            <w:vAlign w:val="bottom"/>
            <w:gridSpan w:val="20"/>
          </w:tcPr>
          <w:p>
            <w:pPr>
              <w:ind w:left="100"/>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769"/>
        </w:trPr>
        <w:tc>
          <w:tcPr>
            <w:tcW w:w="1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60" w:type="dxa"/>
            <w:vAlign w:val="bottom"/>
          </w:tcPr>
          <w:p>
            <w:pPr>
              <w:ind w:left="8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7"/>
        </w:trPr>
        <w:tc>
          <w:tcPr>
            <w:tcW w:w="9000" w:type="dxa"/>
            <w:vAlign w:val="bottom"/>
            <w:gridSpan w:val="20"/>
          </w:tcPr>
          <w:p>
            <w:pPr>
              <w:ind w:left="100"/>
              <w:spacing w:after="0"/>
              <w:rPr>
                <w:sz w:val="20"/>
                <w:szCs w:val="20"/>
                <w:color w:val="auto"/>
              </w:rPr>
            </w:pPr>
            <w:r>
              <w:rPr>
                <w:rFonts w:ascii="Arial" w:cs="Arial" w:eastAsia="Arial" w:hAnsi="Arial"/>
                <w:sz w:val="18"/>
                <w:szCs w:val="18"/>
                <w:b w:val="1"/>
                <w:bCs w:val="1"/>
                <w:color w:val="auto"/>
              </w:rPr>
              <w:t>Item 1</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Financial Statements</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7"/>
        </w:trPr>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80" w:type="dxa"/>
            <w:vAlign w:val="bottom"/>
            <w:gridSpan w:val="12"/>
          </w:tcPr>
          <w:p>
            <w:pPr>
              <w:ind w:left="120"/>
              <w:spacing w:after="0"/>
              <w:rPr>
                <w:sz w:val="20"/>
                <w:szCs w:val="20"/>
                <w:color w:val="auto"/>
              </w:rPr>
            </w:pPr>
            <w:r>
              <w:rPr>
                <w:rFonts w:ascii="Arial" w:cs="Arial" w:eastAsia="Arial" w:hAnsi="Arial"/>
                <w:sz w:val="18"/>
                <w:szCs w:val="18"/>
                <w:b w:val="1"/>
                <w:bCs w:val="1"/>
                <w:color w:val="auto"/>
                <w:w w:val="99"/>
              </w:rPr>
              <w:t>INDEX TO THE UNAUDITED CONDENSED CONSOLIDATED FINANCIAL STATEMENTS</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2340" w:type="dxa"/>
            <w:vAlign w:val="bottom"/>
            <w:gridSpan w:val="6"/>
          </w:tcPr>
          <w:p>
            <w:pPr>
              <w:ind w:left="140"/>
              <w:spacing w:after="0"/>
              <w:rPr>
                <w:sz w:val="20"/>
                <w:szCs w:val="20"/>
                <w:color w:val="auto"/>
              </w:rPr>
            </w:pPr>
            <w:r>
              <w:rPr>
                <w:rFonts w:ascii="Arial" w:cs="Arial" w:eastAsia="Arial" w:hAnsi="Arial"/>
                <w:sz w:val="18"/>
                <w:szCs w:val="18"/>
                <w:b w:val="1"/>
                <w:bCs w:val="1"/>
                <w:color w:val="auto"/>
              </w:rPr>
              <w:t>Page</w:t>
            </w:r>
          </w:p>
        </w:tc>
      </w:tr>
      <w:tr>
        <w:trPr>
          <w:trHeight w:val="178"/>
        </w:trPr>
        <w:tc>
          <w:tcPr>
            <w:tcW w:w="2200" w:type="dxa"/>
            <w:vAlign w:val="bottom"/>
            <w:gridSpan w:val="11"/>
          </w:tcPr>
          <w:p>
            <w:pPr>
              <w:ind w:left="40"/>
              <w:spacing w:after="0" w:line="178" w:lineRule="exact"/>
              <w:rPr>
                <w:rFonts w:ascii="Arial" w:cs="Arial" w:eastAsia="Arial" w:hAnsi="Arial"/>
                <w:sz w:val="18"/>
                <w:szCs w:val="18"/>
                <w:b w:val="1"/>
                <w:bCs w:val="1"/>
                <w:color w:val="0000FF"/>
                <w:w w:val="84"/>
              </w:rPr>
            </w:pPr>
            <w:hyperlink w:anchor="page4">
              <w:r>
                <w:rPr>
                  <w:rFonts w:ascii="Arial" w:cs="Arial" w:eastAsia="Arial" w:hAnsi="Arial"/>
                  <w:sz w:val="18"/>
                  <w:szCs w:val="18"/>
                  <w:b w:val="1"/>
                  <w:bCs w:val="1"/>
                  <w:color w:val="0000FF"/>
                  <w:w w:val="84"/>
                </w:rPr>
                <w:t>Consolidated Balance Sheets</w:t>
              </w:r>
            </w:hyperlink>
          </w:p>
        </w:tc>
        <w:tc>
          <w:tcPr>
            <w:tcW w:w="6800" w:type="dxa"/>
            <w:vAlign w:val="bottom"/>
            <w:gridSpan w:val="9"/>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gridSpan w:val="3"/>
          </w:tcPr>
          <w:p>
            <w:pPr>
              <w:jc w:val="center"/>
              <w:spacing w:after="0" w:line="178" w:lineRule="exact"/>
              <w:rPr>
                <w:rFonts w:ascii="Arial" w:cs="Arial" w:eastAsia="Arial" w:hAnsi="Arial"/>
                <w:sz w:val="18"/>
                <w:szCs w:val="18"/>
                <w:b w:val="1"/>
                <w:bCs w:val="1"/>
                <w:color w:val="0000FF"/>
                <w:w w:val="79"/>
              </w:rPr>
            </w:pPr>
            <w:hyperlink w:anchor="page4">
              <w:r>
                <w:rPr>
                  <w:rFonts w:ascii="Arial" w:cs="Arial" w:eastAsia="Arial" w:hAnsi="Arial"/>
                  <w:sz w:val="18"/>
                  <w:szCs w:val="18"/>
                  <w:b w:val="1"/>
                  <w:bCs w:val="1"/>
                  <w:color w:val="0000FF"/>
                  <w:w w:val="79"/>
                </w:rPr>
                <w:t>1</w:t>
              </w:r>
            </w:hyperlink>
          </w:p>
        </w:tc>
        <w:tc>
          <w:tcPr>
            <w:tcW w:w="1040" w:type="dxa"/>
            <w:vAlign w:val="bottom"/>
            <w:tcBorders>
              <w:top w:val="single" w:sz="8" w:color="auto"/>
            </w:tcBorders>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940" w:type="dxa"/>
            <w:vAlign w:val="bottom"/>
            <w:gridSpan w:val="15"/>
          </w:tcPr>
          <w:p>
            <w:pPr>
              <w:ind w:left="40"/>
              <w:spacing w:after="0" w:line="204" w:lineRule="exact"/>
              <w:rPr>
                <w:rFonts w:ascii="Arial" w:cs="Arial" w:eastAsia="Arial" w:hAnsi="Arial"/>
                <w:sz w:val="18"/>
                <w:szCs w:val="18"/>
                <w:b w:val="1"/>
                <w:bCs w:val="1"/>
                <w:color w:val="0000FF"/>
                <w:w w:val="84"/>
              </w:rPr>
            </w:pPr>
            <w:hyperlink w:anchor="page5">
              <w:r>
                <w:rPr>
                  <w:rFonts w:ascii="Arial" w:cs="Arial" w:eastAsia="Arial" w:hAnsi="Arial"/>
                  <w:sz w:val="18"/>
                  <w:szCs w:val="18"/>
                  <w:b w:val="1"/>
                  <w:bCs w:val="1"/>
                  <w:color w:val="0000FF"/>
                  <w:w w:val="84"/>
                </w:rPr>
                <w:t>Consolidated Statements of Operations</w:t>
              </w:r>
            </w:hyperlink>
          </w:p>
        </w:tc>
        <w:tc>
          <w:tcPr>
            <w:tcW w:w="6060" w:type="dxa"/>
            <w:vAlign w:val="bottom"/>
            <w:gridSpan w:val="5"/>
          </w:tcPr>
          <w:p>
            <w:pPr>
              <w:spacing w:after="0"/>
              <w:rPr>
                <w:sz w:val="17"/>
                <w:szCs w:val="17"/>
                <w:color w:val="auto"/>
              </w:rPr>
            </w:pPr>
          </w:p>
        </w:tc>
        <w:tc>
          <w:tcPr>
            <w:tcW w:w="360" w:type="dxa"/>
            <w:vAlign w:val="bottom"/>
            <w:gridSpan w:val="4"/>
          </w:tcPr>
          <w:p>
            <w:pPr>
              <w:jc w:val="center"/>
              <w:ind w:left="192"/>
              <w:spacing w:after="0" w:line="204" w:lineRule="exact"/>
              <w:rPr>
                <w:rFonts w:ascii="Arial" w:cs="Arial" w:eastAsia="Arial" w:hAnsi="Arial"/>
                <w:sz w:val="18"/>
                <w:szCs w:val="18"/>
                <w:b w:val="1"/>
                <w:bCs w:val="1"/>
                <w:color w:val="0000FF"/>
                <w:w w:val="79"/>
              </w:rPr>
            </w:pPr>
            <w:hyperlink w:anchor="page5">
              <w:r>
                <w:rPr>
                  <w:rFonts w:ascii="Arial" w:cs="Arial" w:eastAsia="Arial" w:hAnsi="Arial"/>
                  <w:sz w:val="18"/>
                  <w:szCs w:val="18"/>
                  <w:b w:val="1"/>
                  <w:bCs w:val="1"/>
                  <w:color w:val="0000FF"/>
                  <w:w w:val="79"/>
                </w:rPr>
                <w:t>2</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9000" w:type="dxa"/>
            <w:vAlign w:val="bottom"/>
            <w:gridSpan w:val="20"/>
          </w:tcPr>
          <w:p>
            <w:pPr>
              <w:ind w:left="40"/>
              <w:spacing w:after="0" w:line="204" w:lineRule="exact"/>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Consolidated Statements of Comprehensive Income</w:t>
              </w:r>
            </w:hyperlink>
          </w:p>
        </w:tc>
        <w:tc>
          <w:tcPr>
            <w:tcW w:w="360" w:type="dxa"/>
            <w:vAlign w:val="bottom"/>
            <w:gridSpan w:val="4"/>
          </w:tcPr>
          <w:p>
            <w:pPr>
              <w:jc w:val="center"/>
              <w:ind w:left="192"/>
              <w:spacing w:after="0" w:line="204" w:lineRule="exact"/>
              <w:rPr>
                <w:rFonts w:ascii="Arial" w:cs="Arial" w:eastAsia="Arial" w:hAnsi="Arial"/>
                <w:sz w:val="18"/>
                <w:szCs w:val="18"/>
                <w:b w:val="1"/>
                <w:bCs w:val="1"/>
                <w:color w:val="0000FF"/>
                <w:w w:val="79"/>
              </w:rPr>
            </w:pPr>
            <w:hyperlink w:anchor="page6">
              <w:r>
                <w:rPr>
                  <w:rFonts w:ascii="Arial" w:cs="Arial" w:eastAsia="Arial" w:hAnsi="Arial"/>
                  <w:sz w:val="18"/>
                  <w:szCs w:val="18"/>
                  <w:b w:val="1"/>
                  <w:bCs w:val="1"/>
                  <w:color w:val="0000FF"/>
                  <w:w w:val="79"/>
                </w:rPr>
                <w:t>3</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940" w:type="dxa"/>
            <w:vAlign w:val="bottom"/>
            <w:gridSpan w:val="15"/>
          </w:tcPr>
          <w:p>
            <w:pPr>
              <w:ind w:left="40"/>
              <w:spacing w:after="0" w:line="204" w:lineRule="exact"/>
              <w:rPr>
                <w:rFonts w:ascii="Arial" w:cs="Arial" w:eastAsia="Arial" w:hAnsi="Arial"/>
                <w:sz w:val="18"/>
                <w:szCs w:val="18"/>
                <w:b w:val="1"/>
                <w:bCs w:val="1"/>
                <w:color w:val="0000FF"/>
                <w:w w:val="83"/>
              </w:rPr>
            </w:pPr>
            <w:hyperlink w:anchor="page7">
              <w:r>
                <w:rPr>
                  <w:rFonts w:ascii="Arial" w:cs="Arial" w:eastAsia="Arial" w:hAnsi="Arial"/>
                  <w:sz w:val="18"/>
                  <w:szCs w:val="18"/>
                  <w:b w:val="1"/>
                  <w:bCs w:val="1"/>
                  <w:color w:val="0000FF"/>
                  <w:w w:val="83"/>
                </w:rPr>
                <w:t>Consolidated Statements of Cash Flows</w:t>
              </w:r>
            </w:hyperlink>
          </w:p>
        </w:tc>
        <w:tc>
          <w:tcPr>
            <w:tcW w:w="960" w:type="dxa"/>
            <w:vAlign w:val="bottom"/>
            <w:gridSpan w:val="3"/>
          </w:tcPr>
          <w:p>
            <w:pPr>
              <w:spacing w:after="0"/>
              <w:rPr>
                <w:sz w:val="17"/>
                <w:szCs w:val="17"/>
                <w:color w:val="auto"/>
              </w:rPr>
            </w:pPr>
          </w:p>
        </w:tc>
        <w:tc>
          <w:tcPr>
            <w:tcW w:w="5100" w:type="dxa"/>
            <w:vAlign w:val="bottom"/>
            <w:gridSpan w:val="2"/>
          </w:tcPr>
          <w:p>
            <w:pPr>
              <w:spacing w:after="0"/>
              <w:rPr>
                <w:sz w:val="17"/>
                <w:szCs w:val="17"/>
                <w:color w:val="auto"/>
              </w:rPr>
            </w:pPr>
          </w:p>
        </w:tc>
        <w:tc>
          <w:tcPr>
            <w:tcW w:w="360" w:type="dxa"/>
            <w:vAlign w:val="bottom"/>
            <w:gridSpan w:val="4"/>
          </w:tcPr>
          <w:p>
            <w:pPr>
              <w:jc w:val="center"/>
              <w:ind w:left="192"/>
              <w:spacing w:after="0" w:line="204" w:lineRule="exact"/>
              <w:rPr>
                <w:rFonts w:ascii="Arial" w:cs="Arial" w:eastAsia="Arial" w:hAnsi="Arial"/>
                <w:sz w:val="18"/>
                <w:szCs w:val="18"/>
                <w:b w:val="1"/>
                <w:bCs w:val="1"/>
                <w:color w:val="0000FF"/>
                <w:w w:val="79"/>
              </w:rPr>
            </w:pPr>
            <w:hyperlink w:anchor="page7">
              <w:r>
                <w:rPr>
                  <w:rFonts w:ascii="Arial" w:cs="Arial" w:eastAsia="Arial" w:hAnsi="Arial"/>
                  <w:sz w:val="18"/>
                  <w:szCs w:val="18"/>
                  <w:b w:val="1"/>
                  <w:bCs w:val="1"/>
                  <w:color w:val="0000FF"/>
                  <w:w w:val="79"/>
                </w:rPr>
                <w:t>4</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9000" w:type="dxa"/>
            <w:vAlign w:val="bottom"/>
            <w:gridSpan w:val="20"/>
          </w:tcPr>
          <w:p>
            <w:pPr>
              <w:ind w:left="40"/>
              <w:spacing w:after="0" w:line="204" w:lineRule="exact"/>
              <w:rPr>
                <w:rFonts w:ascii="Arial" w:cs="Arial" w:eastAsia="Arial" w:hAnsi="Arial"/>
                <w:sz w:val="18"/>
                <w:szCs w:val="18"/>
                <w:b w:val="1"/>
                <w:bCs w:val="1"/>
                <w:color w:val="0000FF"/>
              </w:rPr>
            </w:pPr>
            <w:hyperlink w:anchor="page8">
              <w:r>
                <w:rPr>
                  <w:rFonts w:ascii="Arial" w:cs="Arial" w:eastAsia="Arial" w:hAnsi="Arial"/>
                  <w:sz w:val="18"/>
                  <w:szCs w:val="18"/>
                  <w:b w:val="1"/>
                  <w:bCs w:val="1"/>
                  <w:color w:val="0000FF"/>
                </w:rPr>
                <w:t>Consolidated Statement of Stockholders' Equity</w:t>
              </w:r>
            </w:hyperlink>
          </w:p>
        </w:tc>
        <w:tc>
          <w:tcPr>
            <w:tcW w:w="360" w:type="dxa"/>
            <w:vAlign w:val="bottom"/>
            <w:gridSpan w:val="4"/>
          </w:tcPr>
          <w:p>
            <w:pPr>
              <w:jc w:val="center"/>
              <w:ind w:left="192"/>
              <w:spacing w:after="0" w:line="204" w:lineRule="exact"/>
              <w:rPr>
                <w:rFonts w:ascii="Arial" w:cs="Arial" w:eastAsia="Arial" w:hAnsi="Arial"/>
                <w:sz w:val="18"/>
                <w:szCs w:val="18"/>
                <w:b w:val="1"/>
                <w:bCs w:val="1"/>
                <w:color w:val="0000FF"/>
                <w:w w:val="79"/>
              </w:rPr>
            </w:pPr>
            <w:hyperlink w:anchor="page8">
              <w:r>
                <w:rPr>
                  <w:rFonts w:ascii="Arial" w:cs="Arial" w:eastAsia="Arial" w:hAnsi="Arial"/>
                  <w:sz w:val="18"/>
                  <w:szCs w:val="18"/>
                  <w:b w:val="1"/>
                  <w:bCs w:val="1"/>
                  <w:color w:val="0000FF"/>
                  <w:w w:val="79"/>
                </w:rPr>
                <w:t>5</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4140" w:type="dxa"/>
            <w:vAlign w:val="bottom"/>
            <w:tcBorders>
              <w:bottom w:val="single" w:sz="8" w:color="0000FF"/>
            </w:tcBorders>
            <w:gridSpan w:val="19"/>
          </w:tcPr>
          <w:p>
            <w:pPr>
              <w:spacing w:after="0" w:line="204" w:lineRule="exact"/>
              <w:rPr>
                <w:rFonts w:ascii="Arial" w:cs="Arial" w:eastAsia="Arial" w:hAnsi="Arial"/>
                <w:sz w:val="18"/>
                <w:szCs w:val="18"/>
                <w:b w:val="1"/>
                <w:bCs w:val="1"/>
                <w:color w:val="0000FF"/>
                <w:w w:val="85"/>
              </w:rPr>
            </w:pPr>
            <w:hyperlink w:anchor="page9">
              <w:r>
                <w:rPr>
                  <w:rFonts w:ascii="Arial" w:cs="Arial" w:eastAsia="Arial" w:hAnsi="Arial"/>
                  <w:sz w:val="18"/>
                  <w:szCs w:val="18"/>
                  <w:b w:val="1"/>
                  <w:bCs w:val="1"/>
                  <w:color w:val="0000FF"/>
                  <w:w w:val="85"/>
                </w:rPr>
                <w:t>naudited Condensed Consolidated Financial Statements</w:t>
              </w:r>
            </w:hyperlink>
          </w:p>
        </w:tc>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1080" w:type="dxa"/>
            <w:vAlign w:val="bottom"/>
            <w:gridSpan w:val="5"/>
          </w:tcPr>
          <w:p>
            <w:pPr>
              <w:spacing w:after="0" w:line="204" w:lineRule="exact"/>
              <w:rPr>
                <w:rFonts w:ascii="Arial" w:cs="Arial" w:eastAsia="Arial" w:hAnsi="Arial"/>
                <w:sz w:val="18"/>
                <w:szCs w:val="18"/>
                <w:b w:val="1"/>
                <w:bCs w:val="1"/>
                <w:color w:val="0000FF"/>
                <w:w w:val="82"/>
              </w:rPr>
            </w:pPr>
            <w:hyperlink w:anchor="page9">
              <w:r>
                <w:rPr>
                  <w:rFonts w:ascii="Arial" w:cs="Arial" w:eastAsia="Arial" w:hAnsi="Arial"/>
                  <w:sz w:val="18"/>
                  <w:szCs w:val="18"/>
                  <w:b w:val="1"/>
                  <w:bCs w:val="1"/>
                  <w:color w:val="0000FF"/>
                  <w:w w:val="82"/>
                </w:rPr>
                <w:t>ness Overview</w:t>
              </w:r>
            </w:hyperlink>
          </w:p>
        </w:tc>
        <w:tc>
          <w:tcPr>
            <w:tcW w:w="7920" w:type="dxa"/>
            <w:vAlign w:val="bottom"/>
            <w:gridSpan w:val="15"/>
          </w:tcPr>
          <w:p>
            <w:pPr>
              <w:spacing w:after="0"/>
              <w:rPr>
                <w:sz w:val="17"/>
                <w:szCs w:val="17"/>
                <w:color w:val="auto"/>
              </w:rPr>
            </w:pPr>
          </w:p>
        </w:tc>
        <w:tc>
          <w:tcPr>
            <w:tcW w:w="360" w:type="dxa"/>
            <w:vAlign w:val="bottom"/>
            <w:gridSpan w:val="4"/>
          </w:tcPr>
          <w:p>
            <w:pPr>
              <w:jc w:val="center"/>
              <w:ind w:left="192"/>
              <w:spacing w:after="0" w:line="204" w:lineRule="exact"/>
              <w:rPr>
                <w:rFonts w:ascii="Arial" w:cs="Arial" w:eastAsia="Arial" w:hAnsi="Arial"/>
                <w:sz w:val="18"/>
                <w:szCs w:val="18"/>
                <w:b w:val="1"/>
                <w:bCs w:val="1"/>
                <w:color w:val="0000FF"/>
                <w:w w:val="79"/>
              </w:rPr>
            </w:pPr>
            <w:hyperlink w:anchor="page9">
              <w:r>
                <w:rPr>
                  <w:rFonts w:ascii="Arial" w:cs="Arial" w:eastAsia="Arial" w:hAnsi="Arial"/>
                  <w:sz w:val="18"/>
                  <w:szCs w:val="18"/>
                  <w:b w:val="1"/>
                  <w:bCs w:val="1"/>
                  <w:color w:val="0000FF"/>
                  <w:w w:val="79"/>
                </w:rPr>
                <w:t>6</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1240" w:type="dxa"/>
            <w:vAlign w:val="bottom"/>
            <w:gridSpan w:val="6"/>
          </w:tcPr>
          <w:p>
            <w:pPr>
              <w:spacing w:after="0" w:line="204" w:lineRule="exact"/>
              <w:rPr>
                <w:rFonts w:ascii="Arial" w:cs="Arial" w:eastAsia="Arial" w:hAnsi="Arial"/>
                <w:sz w:val="18"/>
                <w:szCs w:val="18"/>
                <w:b w:val="1"/>
                <w:bCs w:val="1"/>
                <w:color w:val="0000FF"/>
                <w:w w:val="83"/>
              </w:rPr>
            </w:pPr>
            <w:hyperlink w:anchor="page10">
              <w:r>
                <w:rPr>
                  <w:rFonts w:ascii="Arial" w:cs="Arial" w:eastAsia="Arial" w:hAnsi="Arial"/>
                  <w:sz w:val="18"/>
                  <w:szCs w:val="18"/>
                  <w:b w:val="1"/>
                  <w:bCs w:val="1"/>
                  <w:color w:val="0000FF"/>
                  <w:w w:val="83"/>
                </w:rPr>
                <w:t>s of Presentation</w:t>
              </w:r>
            </w:hyperlink>
          </w:p>
        </w:tc>
        <w:tc>
          <w:tcPr>
            <w:tcW w:w="7760" w:type="dxa"/>
            <w:vAlign w:val="bottom"/>
            <w:gridSpan w:val="14"/>
          </w:tcPr>
          <w:p>
            <w:pPr>
              <w:spacing w:after="0"/>
              <w:rPr>
                <w:sz w:val="17"/>
                <w:szCs w:val="17"/>
                <w:color w:val="auto"/>
              </w:rPr>
            </w:pPr>
          </w:p>
        </w:tc>
        <w:tc>
          <w:tcPr>
            <w:tcW w:w="360" w:type="dxa"/>
            <w:vAlign w:val="bottom"/>
            <w:gridSpan w:val="4"/>
          </w:tcPr>
          <w:p>
            <w:pPr>
              <w:jc w:val="center"/>
              <w:ind w:left="192"/>
              <w:spacing w:after="0" w:line="204" w:lineRule="exact"/>
              <w:rPr>
                <w:rFonts w:ascii="Arial" w:cs="Arial" w:eastAsia="Arial" w:hAnsi="Arial"/>
                <w:sz w:val="18"/>
                <w:szCs w:val="18"/>
                <w:b w:val="1"/>
                <w:bCs w:val="1"/>
                <w:color w:val="0000FF"/>
                <w:w w:val="79"/>
              </w:rPr>
            </w:pPr>
            <w:hyperlink w:anchor="page10">
              <w:r>
                <w:rPr>
                  <w:rFonts w:ascii="Arial" w:cs="Arial" w:eastAsia="Arial" w:hAnsi="Arial"/>
                  <w:sz w:val="18"/>
                  <w:szCs w:val="18"/>
                  <w:b w:val="1"/>
                  <w:bCs w:val="1"/>
                  <w:color w:val="0000FF"/>
                  <w:w w:val="79"/>
                </w:rPr>
                <w:t>6</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1240" w:type="dxa"/>
            <w:vAlign w:val="bottom"/>
            <w:gridSpan w:val="6"/>
          </w:tcPr>
          <w:p>
            <w:pPr>
              <w:ind w:left="40"/>
              <w:spacing w:after="0" w:line="204" w:lineRule="exact"/>
              <w:rPr>
                <w:rFonts w:ascii="Arial" w:cs="Arial" w:eastAsia="Arial" w:hAnsi="Arial"/>
                <w:sz w:val="18"/>
                <w:szCs w:val="18"/>
                <w:b w:val="1"/>
                <w:bCs w:val="1"/>
                <w:color w:val="0000FF"/>
              </w:rPr>
            </w:pPr>
            <w:hyperlink w:anchor="page10">
              <w:r>
                <w:rPr>
                  <w:rFonts w:ascii="Arial" w:cs="Arial" w:eastAsia="Arial" w:hAnsi="Arial"/>
                  <w:sz w:val="18"/>
                  <w:szCs w:val="18"/>
                  <w:b w:val="1"/>
                  <w:bCs w:val="1"/>
                  <w:color w:val="0000FF"/>
                </w:rPr>
                <w:t>nue</w:t>
              </w:r>
            </w:hyperlink>
          </w:p>
        </w:tc>
        <w:tc>
          <w:tcPr>
            <w:tcW w:w="7760" w:type="dxa"/>
            <w:vAlign w:val="bottom"/>
            <w:gridSpan w:val="14"/>
          </w:tcPr>
          <w:p>
            <w:pPr>
              <w:spacing w:after="0"/>
              <w:rPr>
                <w:sz w:val="17"/>
                <w:szCs w:val="17"/>
                <w:color w:val="auto"/>
              </w:rPr>
            </w:pPr>
          </w:p>
        </w:tc>
        <w:tc>
          <w:tcPr>
            <w:tcW w:w="360" w:type="dxa"/>
            <w:vAlign w:val="bottom"/>
            <w:gridSpan w:val="4"/>
          </w:tcPr>
          <w:p>
            <w:pPr>
              <w:jc w:val="center"/>
              <w:ind w:left="192"/>
              <w:spacing w:after="0" w:line="204" w:lineRule="exact"/>
              <w:rPr>
                <w:rFonts w:ascii="Arial" w:cs="Arial" w:eastAsia="Arial" w:hAnsi="Arial"/>
                <w:sz w:val="18"/>
                <w:szCs w:val="18"/>
                <w:b w:val="1"/>
                <w:bCs w:val="1"/>
                <w:color w:val="0000FF"/>
                <w:w w:val="79"/>
              </w:rPr>
            </w:pPr>
            <w:hyperlink w:anchor="page10">
              <w:r>
                <w:rPr>
                  <w:rFonts w:ascii="Arial" w:cs="Arial" w:eastAsia="Arial" w:hAnsi="Arial"/>
                  <w:sz w:val="18"/>
                  <w:szCs w:val="18"/>
                  <w:b w:val="1"/>
                  <w:bCs w:val="1"/>
                  <w:color w:val="0000FF"/>
                  <w:w w:val="79"/>
                </w:rPr>
                <w:t>6</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1080" w:type="dxa"/>
            <w:vAlign w:val="bottom"/>
            <w:gridSpan w:val="5"/>
          </w:tcPr>
          <w:p>
            <w:pPr>
              <w:ind w:left="40"/>
              <w:spacing w:after="0" w:line="204" w:lineRule="exact"/>
              <w:rPr>
                <w:rFonts w:ascii="Arial" w:cs="Arial" w:eastAsia="Arial" w:hAnsi="Arial"/>
                <w:sz w:val="18"/>
                <w:szCs w:val="18"/>
                <w:b w:val="1"/>
                <w:bCs w:val="1"/>
                <w:color w:val="0000FF"/>
                <w:w w:val="79"/>
              </w:rPr>
            </w:pPr>
            <w:hyperlink w:anchor="page13">
              <w:r>
                <w:rPr>
                  <w:rFonts w:ascii="Arial" w:cs="Arial" w:eastAsia="Arial" w:hAnsi="Arial"/>
                  <w:sz w:val="18"/>
                  <w:szCs w:val="18"/>
                  <w:b w:val="1"/>
                  <w:bCs w:val="1"/>
                  <w:color w:val="0000FF"/>
                  <w:w w:val="79"/>
                </w:rPr>
                <w:t>ings Per Share</w:t>
              </w:r>
            </w:hyperlink>
          </w:p>
        </w:tc>
        <w:tc>
          <w:tcPr>
            <w:tcW w:w="7920" w:type="dxa"/>
            <w:vAlign w:val="bottom"/>
            <w:gridSpan w:val="15"/>
          </w:tcPr>
          <w:p>
            <w:pPr>
              <w:spacing w:after="0"/>
              <w:rPr>
                <w:sz w:val="17"/>
                <w:szCs w:val="17"/>
                <w:color w:val="auto"/>
              </w:rPr>
            </w:pPr>
          </w:p>
        </w:tc>
        <w:tc>
          <w:tcPr>
            <w:tcW w:w="360" w:type="dxa"/>
            <w:vAlign w:val="bottom"/>
            <w:gridSpan w:val="4"/>
          </w:tcPr>
          <w:p>
            <w:pPr>
              <w:jc w:val="center"/>
              <w:ind w:left="192"/>
              <w:spacing w:after="0" w:line="204" w:lineRule="exact"/>
              <w:rPr>
                <w:rFonts w:ascii="Arial" w:cs="Arial" w:eastAsia="Arial" w:hAnsi="Arial"/>
                <w:sz w:val="18"/>
                <w:szCs w:val="18"/>
                <w:b w:val="1"/>
                <w:bCs w:val="1"/>
                <w:color w:val="0000FF"/>
                <w:w w:val="79"/>
              </w:rPr>
            </w:pPr>
            <w:hyperlink w:anchor="page13">
              <w:r>
                <w:rPr>
                  <w:rFonts w:ascii="Arial" w:cs="Arial" w:eastAsia="Arial" w:hAnsi="Arial"/>
                  <w:sz w:val="18"/>
                  <w:szCs w:val="18"/>
                  <w:b w:val="1"/>
                  <w:bCs w:val="1"/>
                  <w:color w:val="0000FF"/>
                  <w:w w:val="79"/>
                </w:rPr>
                <w:t>9</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9000" w:type="dxa"/>
            <w:vAlign w:val="bottom"/>
            <w:gridSpan w:val="20"/>
          </w:tcPr>
          <w:p>
            <w:pPr>
              <w:spacing w:after="0" w:line="204" w:lineRule="exact"/>
              <w:rPr>
                <w:rFonts w:ascii="Arial" w:cs="Arial" w:eastAsia="Arial" w:hAnsi="Arial"/>
                <w:sz w:val="18"/>
                <w:szCs w:val="18"/>
                <w:b w:val="1"/>
                <w:bCs w:val="1"/>
                <w:color w:val="0000FF"/>
              </w:rPr>
            </w:pPr>
            <w:hyperlink w:anchor="page14">
              <w:r>
                <w:rPr>
                  <w:rFonts w:ascii="Arial" w:cs="Arial" w:eastAsia="Arial" w:hAnsi="Arial"/>
                  <w:sz w:val="18"/>
                  <w:szCs w:val="18"/>
                  <w:b w:val="1"/>
                  <w:bCs w:val="1"/>
                  <w:color w:val="0000FF"/>
                </w:rPr>
                <w:t>uisition, Goodwill and Intangible Assets</w:t>
              </w:r>
            </w:hyperlink>
          </w:p>
        </w:tc>
        <w:tc>
          <w:tcPr>
            <w:tcW w:w="360" w:type="dxa"/>
            <w:vAlign w:val="bottom"/>
            <w:gridSpan w:val="4"/>
          </w:tcPr>
          <w:p>
            <w:pPr>
              <w:jc w:val="center"/>
              <w:ind w:left="92"/>
              <w:spacing w:after="0" w:line="204" w:lineRule="exact"/>
              <w:rPr>
                <w:rFonts w:ascii="Arial" w:cs="Arial" w:eastAsia="Arial" w:hAnsi="Arial"/>
                <w:sz w:val="18"/>
                <w:szCs w:val="18"/>
                <w:b w:val="1"/>
                <w:bCs w:val="1"/>
                <w:color w:val="0000FF"/>
                <w:w w:val="89"/>
              </w:rPr>
            </w:pPr>
            <w:hyperlink w:anchor="page14">
              <w:r>
                <w:rPr>
                  <w:rFonts w:ascii="Arial" w:cs="Arial" w:eastAsia="Arial" w:hAnsi="Arial"/>
                  <w:sz w:val="18"/>
                  <w:szCs w:val="18"/>
                  <w:b w:val="1"/>
                  <w:bCs w:val="1"/>
                  <w:color w:val="0000FF"/>
                  <w:w w:val="89"/>
                </w:rPr>
                <w:t>10</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9000" w:type="dxa"/>
            <w:vAlign w:val="bottom"/>
            <w:gridSpan w:val="20"/>
          </w:tcPr>
          <w:p>
            <w:pPr>
              <w:ind w:left="40"/>
              <w:spacing w:after="0" w:line="204" w:lineRule="exact"/>
              <w:rPr>
                <w:rFonts w:ascii="Arial" w:cs="Arial" w:eastAsia="Arial" w:hAnsi="Arial"/>
                <w:sz w:val="18"/>
                <w:szCs w:val="18"/>
                <w:b w:val="1"/>
                <w:bCs w:val="1"/>
                <w:color w:val="0000FF"/>
              </w:rPr>
            </w:pPr>
            <w:hyperlink w:anchor="page16">
              <w:r>
                <w:rPr>
                  <w:rFonts w:ascii="Arial" w:cs="Arial" w:eastAsia="Arial" w:hAnsi="Arial"/>
                  <w:sz w:val="18"/>
                  <w:szCs w:val="18"/>
                  <w:b w:val="1"/>
                  <w:bCs w:val="1"/>
                  <w:color w:val="0000FF"/>
                </w:rPr>
                <w:t>unts Payable and Other Accrued Expenses</w:t>
              </w:r>
            </w:hyperlink>
          </w:p>
        </w:tc>
        <w:tc>
          <w:tcPr>
            <w:tcW w:w="360" w:type="dxa"/>
            <w:vAlign w:val="bottom"/>
            <w:gridSpan w:val="4"/>
          </w:tcPr>
          <w:p>
            <w:pPr>
              <w:jc w:val="center"/>
              <w:ind w:left="92"/>
              <w:spacing w:after="0" w:line="204" w:lineRule="exact"/>
              <w:rPr>
                <w:rFonts w:ascii="Arial" w:cs="Arial" w:eastAsia="Arial" w:hAnsi="Arial"/>
                <w:sz w:val="18"/>
                <w:szCs w:val="18"/>
                <w:b w:val="1"/>
                <w:bCs w:val="1"/>
                <w:color w:val="0000FF"/>
                <w:w w:val="89"/>
              </w:rPr>
            </w:pPr>
            <w:hyperlink w:anchor="page16">
              <w:r>
                <w:rPr>
                  <w:rFonts w:ascii="Arial" w:cs="Arial" w:eastAsia="Arial" w:hAnsi="Arial"/>
                  <w:sz w:val="18"/>
                  <w:szCs w:val="18"/>
                  <w:b w:val="1"/>
                  <w:bCs w:val="1"/>
                  <w:color w:val="0000FF"/>
                  <w:w w:val="89"/>
                </w:rPr>
                <w:t>12</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400" w:type="dxa"/>
            <w:vAlign w:val="bottom"/>
            <w:gridSpan w:val="13"/>
          </w:tcPr>
          <w:p>
            <w:pPr>
              <w:ind w:left="20"/>
              <w:spacing w:after="0" w:line="204" w:lineRule="exact"/>
              <w:rPr>
                <w:rFonts w:ascii="Arial" w:cs="Arial" w:eastAsia="Arial" w:hAnsi="Arial"/>
                <w:sz w:val="18"/>
                <w:szCs w:val="18"/>
                <w:b w:val="1"/>
                <w:bCs w:val="1"/>
                <w:color w:val="0000FF"/>
                <w:w w:val="85"/>
              </w:rPr>
            </w:pPr>
            <w:hyperlink w:anchor="page16">
              <w:r>
                <w:rPr>
                  <w:rFonts w:ascii="Arial" w:cs="Arial" w:eastAsia="Arial" w:hAnsi="Arial"/>
                  <w:sz w:val="18"/>
                  <w:szCs w:val="18"/>
                  <w:b w:val="1"/>
                  <w:bCs w:val="1"/>
                  <w:color w:val="0000FF"/>
                  <w:w w:val="85"/>
                </w:rPr>
                <w:t>ued Compensation and Benefits</w:t>
              </w:r>
            </w:hyperlink>
          </w:p>
        </w:tc>
        <w:tc>
          <w:tcPr>
            <w:tcW w:w="820" w:type="dxa"/>
            <w:vAlign w:val="bottom"/>
            <w:gridSpan w:val="3"/>
          </w:tcPr>
          <w:p>
            <w:pPr>
              <w:spacing w:after="0"/>
              <w:rPr>
                <w:sz w:val="17"/>
                <w:szCs w:val="17"/>
                <w:color w:val="auto"/>
              </w:rPr>
            </w:pPr>
          </w:p>
        </w:tc>
        <w:tc>
          <w:tcPr>
            <w:tcW w:w="5780" w:type="dxa"/>
            <w:vAlign w:val="bottom"/>
            <w:gridSpan w:val="4"/>
          </w:tcPr>
          <w:p>
            <w:pPr>
              <w:spacing w:after="0"/>
              <w:rPr>
                <w:sz w:val="17"/>
                <w:szCs w:val="17"/>
                <w:color w:val="auto"/>
              </w:rPr>
            </w:pPr>
          </w:p>
        </w:tc>
        <w:tc>
          <w:tcPr>
            <w:tcW w:w="360" w:type="dxa"/>
            <w:vAlign w:val="bottom"/>
            <w:gridSpan w:val="4"/>
          </w:tcPr>
          <w:p>
            <w:pPr>
              <w:jc w:val="center"/>
              <w:ind w:left="92"/>
              <w:spacing w:after="0" w:line="204" w:lineRule="exact"/>
              <w:rPr>
                <w:rFonts w:ascii="Arial" w:cs="Arial" w:eastAsia="Arial" w:hAnsi="Arial"/>
                <w:sz w:val="18"/>
                <w:szCs w:val="18"/>
                <w:b w:val="1"/>
                <w:bCs w:val="1"/>
                <w:color w:val="0000FF"/>
                <w:w w:val="89"/>
              </w:rPr>
            </w:pPr>
            <w:hyperlink w:anchor="page16">
              <w:r>
                <w:rPr>
                  <w:rFonts w:ascii="Arial" w:cs="Arial" w:eastAsia="Arial" w:hAnsi="Arial"/>
                  <w:sz w:val="18"/>
                  <w:szCs w:val="18"/>
                  <w:b w:val="1"/>
                  <w:bCs w:val="1"/>
                  <w:color w:val="0000FF"/>
                  <w:w w:val="89"/>
                </w:rPr>
                <w:t>13</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360" w:type="dxa"/>
            <w:vAlign w:val="bottom"/>
            <w:gridSpan w:val="4"/>
          </w:tcPr>
          <w:p>
            <w:pPr>
              <w:jc w:val="center"/>
              <w:ind w:left="92"/>
              <w:spacing w:after="0" w:line="204" w:lineRule="exact"/>
              <w:rPr>
                <w:rFonts w:ascii="Arial" w:cs="Arial" w:eastAsia="Arial" w:hAnsi="Arial"/>
                <w:sz w:val="18"/>
                <w:szCs w:val="18"/>
                <w:b w:val="1"/>
                <w:bCs w:val="1"/>
                <w:color w:val="0000FF"/>
                <w:w w:val="89"/>
              </w:rPr>
            </w:pPr>
            <w:hyperlink w:anchor="page17">
              <w:r>
                <w:rPr>
                  <w:rFonts w:ascii="Arial" w:cs="Arial" w:eastAsia="Arial" w:hAnsi="Arial"/>
                  <w:sz w:val="18"/>
                  <w:szCs w:val="18"/>
                  <w:b w:val="1"/>
                  <w:bCs w:val="1"/>
                  <w:color w:val="0000FF"/>
                  <w:w w:val="89"/>
                </w:rPr>
                <w:t>13</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16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520" w:type="dxa"/>
            <w:vAlign w:val="bottom"/>
            <w:gridSpan w:val="3"/>
          </w:tcPr>
          <w:p>
            <w:pPr>
              <w:spacing w:after="0" w:line="204" w:lineRule="exact"/>
              <w:rPr>
                <w:rFonts w:ascii="Arial" w:cs="Arial" w:eastAsia="Arial" w:hAnsi="Arial"/>
                <w:sz w:val="18"/>
                <w:szCs w:val="18"/>
                <w:b w:val="1"/>
                <w:bCs w:val="1"/>
                <w:color w:val="0000FF"/>
                <w:w w:val="81"/>
              </w:rPr>
            </w:pPr>
            <w:hyperlink w:anchor="page19">
              <w:r>
                <w:rPr>
                  <w:rFonts w:ascii="Arial" w:cs="Arial" w:eastAsia="Arial" w:hAnsi="Arial"/>
                  <w:sz w:val="18"/>
                  <w:szCs w:val="18"/>
                  <w:b w:val="1"/>
                  <w:bCs w:val="1"/>
                  <w:color w:val="0000FF"/>
                  <w:w w:val="81"/>
                </w:rPr>
                <w:t>vatives</w:t>
              </w:r>
            </w:hyperlink>
          </w:p>
        </w:tc>
        <w:tc>
          <w:tcPr>
            <w:tcW w:w="8480" w:type="dxa"/>
            <w:vAlign w:val="bottom"/>
            <w:gridSpan w:val="17"/>
          </w:tcPr>
          <w:p>
            <w:pPr>
              <w:spacing w:after="0"/>
              <w:rPr>
                <w:sz w:val="17"/>
                <w:szCs w:val="17"/>
                <w:color w:val="auto"/>
              </w:rPr>
            </w:pPr>
          </w:p>
        </w:tc>
        <w:tc>
          <w:tcPr>
            <w:tcW w:w="360" w:type="dxa"/>
            <w:vAlign w:val="bottom"/>
            <w:gridSpan w:val="4"/>
          </w:tcPr>
          <w:p>
            <w:pPr>
              <w:jc w:val="center"/>
              <w:ind w:left="92"/>
              <w:spacing w:after="0" w:line="204" w:lineRule="exact"/>
              <w:rPr>
                <w:rFonts w:ascii="Arial" w:cs="Arial" w:eastAsia="Arial" w:hAnsi="Arial"/>
                <w:sz w:val="18"/>
                <w:szCs w:val="18"/>
                <w:b w:val="1"/>
                <w:bCs w:val="1"/>
                <w:color w:val="0000FF"/>
                <w:w w:val="89"/>
              </w:rPr>
            </w:pPr>
            <w:hyperlink w:anchor="page19">
              <w:r>
                <w:rPr>
                  <w:rFonts w:ascii="Arial" w:cs="Arial" w:eastAsia="Arial" w:hAnsi="Arial"/>
                  <w:sz w:val="18"/>
                  <w:szCs w:val="18"/>
                  <w:b w:val="1"/>
                  <w:bCs w:val="1"/>
                  <w:color w:val="0000FF"/>
                  <w:w w:val="89"/>
                </w:rPr>
                <w:t>15</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5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160" w:type="dxa"/>
            <w:vAlign w:val="bottom"/>
            <w:gridSpan w:val="6"/>
          </w:tcPr>
          <w:p>
            <w:pPr>
              <w:spacing w:after="0" w:line="20" w:lineRule="exact"/>
              <w:rPr>
                <w:sz w:val="1"/>
                <w:szCs w:val="1"/>
                <w:color w:val="auto"/>
              </w:rPr>
            </w:pPr>
          </w:p>
        </w:tc>
        <w:tc>
          <w:tcPr>
            <w:tcW w:w="280" w:type="dxa"/>
            <w:vAlign w:val="bottom"/>
            <w:tcBorders>
              <w:right w:val="single" w:sz="8" w:color="0000FF"/>
            </w:tcBorders>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780" w:type="dxa"/>
            <w:vAlign w:val="bottom"/>
            <w:gridSpan w:val="4"/>
          </w:tcPr>
          <w:p>
            <w:pPr>
              <w:spacing w:after="0" w:line="204" w:lineRule="exact"/>
              <w:rPr>
                <w:rFonts w:ascii="Arial" w:cs="Arial" w:eastAsia="Arial" w:hAnsi="Arial"/>
                <w:sz w:val="18"/>
                <w:szCs w:val="18"/>
                <w:b w:val="1"/>
                <w:bCs w:val="1"/>
                <w:color w:val="0000FF"/>
                <w:w w:val="81"/>
              </w:rPr>
            </w:pPr>
            <w:hyperlink w:anchor="page20">
              <w:r>
                <w:rPr>
                  <w:rFonts w:ascii="Arial" w:cs="Arial" w:eastAsia="Arial" w:hAnsi="Arial"/>
                  <w:sz w:val="18"/>
                  <w:szCs w:val="18"/>
                  <w:b w:val="1"/>
                  <w:bCs w:val="1"/>
                  <w:color w:val="0000FF"/>
                  <w:w w:val="81"/>
                </w:rPr>
                <w:t>ome Taxes</w:t>
              </w:r>
            </w:hyperlink>
          </w:p>
        </w:tc>
        <w:tc>
          <w:tcPr>
            <w:tcW w:w="8220" w:type="dxa"/>
            <w:vAlign w:val="bottom"/>
            <w:gridSpan w:val="16"/>
          </w:tcPr>
          <w:p>
            <w:pPr>
              <w:spacing w:after="0"/>
              <w:rPr>
                <w:sz w:val="17"/>
                <w:szCs w:val="17"/>
                <w:color w:val="auto"/>
              </w:rPr>
            </w:pPr>
          </w:p>
        </w:tc>
        <w:tc>
          <w:tcPr>
            <w:tcW w:w="360" w:type="dxa"/>
            <w:vAlign w:val="bottom"/>
            <w:gridSpan w:val="4"/>
          </w:tcPr>
          <w:p>
            <w:pPr>
              <w:jc w:val="center"/>
              <w:ind w:left="92"/>
              <w:spacing w:after="0" w:line="204" w:lineRule="exact"/>
              <w:rPr>
                <w:rFonts w:ascii="Arial" w:cs="Arial" w:eastAsia="Arial" w:hAnsi="Arial"/>
                <w:sz w:val="18"/>
                <w:szCs w:val="18"/>
                <w:b w:val="1"/>
                <w:bCs w:val="1"/>
                <w:color w:val="0000FF"/>
                <w:w w:val="89"/>
              </w:rPr>
            </w:pPr>
            <w:hyperlink w:anchor="page20">
              <w:r>
                <w:rPr>
                  <w:rFonts w:ascii="Arial" w:cs="Arial" w:eastAsia="Arial" w:hAnsi="Arial"/>
                  <w:sz w:val="18"/>
                  <w:szCs w:val="18"/>
                  <w:b w:val="1"/>
                  <w:bCs w:val="1"/>
                  <w:color w:val="0000FF"/>
                  <w:w w:val="89"/>
                </w:rPr>
                <w:t>16</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780" w:type="dxa"/>
            <w:vAlign w:val="bottom"/>
            <w:gridSpan w:val="4"/>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160" w:type="dxa"/>
            <w:vAlign w:val="bottom"/>
            <w:gridSpan w:val="6"/>
          </w:tcPr>
          <w:p>
            <w:pPr>
              <w:spacing w:after="0" w:line="20" w:lineRule="exact"/>
              <w:rPr>
                <w:sz w:val="1"/>
                <w:szCs w:val="1"/>
                <w:color w:val="auto"/>
              </w:rPr>
            </w:pPr>
          </w:p>
        </w:tc>
        <w:tc>
          <w:tcPr>
            <w:tcW w:w="280" w:type="dxa"/>
            <w:vAlign w:val="bottom"/>
            <w:tcBorders>
              <w:right w:val="single" w:sz="8" w:color="0000FF"/>
            </w:tcBorders>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9000" w:type="dxa"/>
            <w:vAlign w:val="bottom"/>
            <w:gridSpan w:val="20"/>
          </w:tcPr>
          <w:p>
            <w:pPr>
              <w:ind w:left="40"/>
              <w:spacing w:after="0" w:line="204" w:lineRule="exact"/>
              <w:rPr>
                <w:rFonts w:ascii="Arial" w:cs="Arial" w:eastAsia="Arial" w:hAnsi="Arial"/>
                <w:sz w:val="18"/>
                <w:szCs w:val="18"/>
                <w:b w:val="1"/>
                <w:bCs w:val="1"/>
                <w:color w:val="0000FF"/>
              </w:rPr>
            </w:pPr>
            <w:hyperlink w:anchor="page20">
              <w:r>
                <w:rPr>
                  <w:rFonts w:ascii="Arial" w:cs="Arial" w:eastAsia="Arial" w:hAnsi="Arial"/>
                  <w:sz w:val="18"/>
                  <w:szCs w:val="18"/>
                  <w:b w:val="1"/>
                  <w:bCs w:val="1"/>
                  <w:color w:val="0000FF"/>
                </w:rPr>
                <w:t>er Long Term Liabilities</w:t>
              </w:r>
            </w:hyperlink>
          </w:p>
        </w:tc>
        <w:tc>
          <w:tcPr>
            <w:tcW w:w="360" w:type="dxa"/>
            <w:vAlign w:val="bottom"/>
            <w:gridSpan w:val="4"/>
          </w:tcPr>
          <w:p>
            <w:pPr>
              <w:jc w:val="center"/>
              <w:ind w:left="92"/>
              <w:spacing w:after="0" w:line="204" w:lineRule="exact"/>
              <w:rPr>
                <w:rFonts w:ascii="Arial" w:cs="Arial" w:eastAsia="Arial" w:hAnsi="Arial"/>
                <w:sz w:val="18"/>
                <w:szCs w:val="18"/>
                <w:b w:val="1"/>
                <w:bCs w:val="1"/>
                <w:color w:val="0000FF"/>
                <w:w w:val="89"/>
              </w:rPr>
            </w:pPr>
            <w:hyperlink w:anchor="page20">
              <w:r>
                <w:rPr>
                  <w:rFonts w:ascii="Arial" w:cs="Arial" w:eastAsia="Arial" w:hAnsi="Arial"/>
                  <w:sz w:val="18"/>
                  <w:szCs w:val="18"/>
                  <w:b w:val="1"/>
                  <w:bCs w:val="1"/>
                  <w:color w:val="0000FF"/>
                  <w:w w:val="89"/>
                </w:rPr>
                <w:t>17</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1800" w:type="dxa"/>
            <w:vAlign w:val="bottom"/>
            <w:gridSpan w:val="10"/>
          </w:tcPr>
          <w:p>
            <w:pPr>
              <w:ind w:left="20"/>
              <w:spacing w:after="0" w:line="204" w:lineRule="exact"/>
              <w:rPr>
                <w:rFonts w:ascii="Arial" w:cs="Arial" w:eastAsia="Arial" w:hAnsi="Arial"/>
                <w:sz w:val="18"/>
                <w:szCs w:val="18"/>
                <w:b w:val="1"/>
                <w:bCs w:val="1"/>
                <w:color w:val="0000FF"/>
                <w:w w:val="98"/>
              </w:rPr>
            </w:pPr>
            <w:hyperlink w:anchor="page21">
              <w:r>
                <w:rPr>
                  <w:rFonts w:ascii="Arial" w:cs="Arial" w:eastAsia="Arial" w:hAnsi="Arial"/>
                  <w:sz w:val="18"/>
                  <w:szCs w:val="18"/>
                  <w:b w:val="1"/>
                  <w:bCs w:val="1"/>
                  <w:color w:val="0000FF"/>
                  <w:w w:val="98"/>
                </w:rPr>
                <w:t>ployee Benefit Plans</w:t>
              </w:r>
            </w:hyperlink>
          </w:p>
        </w:tc>
        <w:tc>
          <w:tcPr>
            <w:tcW w:w="7200" w:type="dxa"/>
            <w:vAlign w:val="bottom"/>
            <w:gridSpan w:val="10"/>
          </w:tcPr>
          <w:p>
            <w:pPr>
              <w:spacing w:after="0"/>
              <w:rPr>
                <w:sz w:val="17"/>
                <w:szCs w:val="17"/>
                <w:color w:val="auto"/>
              </w:rPr>
            </w:pPr>
          </w:p>
        </w:tc>
        <w:tc>
          <w:tcPr>
            <w:tcW w:w="360" w:type="dxa"/>
            <w:vAlign w:val="bottom"/>
            <w:gridSpan w:val="4"/>
          </w:tcPr>
          <w:p>
            <w:pPr>
              <w:jc w:val="center"/>
              <w:ind w:left="92"/>
              <w:spacing w:after="0" w:line="204" w:lineRule="exact"/>
              <w:rPr>
                <w:rFonts w:ascii="Arial" w:cs="Arial" w:eastAsia="Arial" w:hAnsi="Arial"/>
                <w:sz w:val="18"/>
                <w:szCs w:val="18"/>
                <w:b w:val="1"/>
                <w:bCs w:val="1"/>
                <w:color w:val="0000FF"/>
                <w:w w:val="89"/>
              </w:rPr>
            </w:pPr>
            <w:hyperlink w:anchor="page21">
              <w:r>
                <w:rPr>
                  <w:rFonts w:ascii="Arial" w:cs="Arial" w:eastAsia="Arial" w:hAnsi="Arial"/>
                  <w:sz w:val="18"/>
                  <w:szCs w:val="18"/>
                  <w:b w:val="1"/>
                  <w:bCs w:val="1"/>
                  <w:color w:val="0000FF"/>
                  <w:w w:val="89"/>
                </w:rPr>
                <w:t>17</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520" w:type="dxa"/>
            <w:vAlign w:val="bottom"/>
            <w:gridSpan w:val="8"/>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160" w:type="dxa"/>
            <w:vAlign w:val="bottom"/>
            <w:gridSpan w:val="6"/>
          </w:tcPr>
          <w:p>
            <w:pPr>
              <w:spacing w:after="0" w:line="20" w:lineRule="exact"/>
              <w:rPr>
                <w:sz w:val="1"/>
                <w:szCs w:val="1"/>
                <w:color w:val="auto"/>
              </w:rPr>
            </w:pPr>
          </w:p>
        </w:tc>
        <w:tc>
          <w:tcPr>
            <w:tcW w:w="280" w:type="dxa"/>
            <w:vAlign w:val="bottom"/>
            <w:tcBorders>
              <w:right w:val="single" w:sz="8" w:color="0000FF"/>
            </w:tcBorders>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2840" w:type="dxa"/>
            <w:vAlign w:val="bottom"/>
            <w:gridSpan w:val="14"/>
          </w:tcPr>
          <w:p>
            <w:pPr>
              <w:ind w:left="40"/>
              <w:spacing w:after="0" w:line="204" w:lineRule="exact"/>
              <w:rPr>
                <w:rFonts w:ascii="Arial" w:cs="Arial" w:eastAsia="Arial" w:hAnsi="Arial"/>
                <w:sz w:val="18"/>
                <w:szCs w:val="18"/>
                <w:b w:val="1"/>
                <w:bCs w:val="1"/>
                <w:color w:val="0000FF"/>
                <w:w w:val="86"/>
              </w:rPr>
            </w:pPr>
            <w:hyperlink w:anchor="page22">
              <w:r>
                <w:rPr>
                  <w:rFonts w:ascii="Arial" w:cs="Arial" w:eastAsia="Arial" w:hAnsi="Arial"/>
                  <w:sz w:val="18"/>
                  <w:szCs w:val="18"/>
                  <w:b w:val="1"/>
                  <w:bCs w:val="1"/>
                  <w:color w:val="0000FF"/>
                  <w:w w:val="86"/>
                </w:rPr>
                <w:t>umulated Other Comprehensive Loss</w:t>
              </w:r>
            </w:hyperlink>
          </w:p>
        </w:tc>
        <w:tc>
          <w:tcPr>
            <w:tcW w:w="6160" w:type="dxa"/>
            <w:vAlign w:val="bottom"/>
            <w:gridSpan w:val="6"/>
          </w:tcPr>
          <w:p>
            <w:pPr>
              <w:spacing w:after="0"/>
              <w:rPr>
                <w:sz w:val="17"/>
                <w:szCs w:val="17"/>
                <w:color w:val="auto"/>
              </w:rPr>
            </w:pPr>
          </w:p>
        </w:tc>
        <w:tc>
          <w:tcPr>
            <w:tcW w:w="360" w:type="dxa"/>
            <w:vAlign w:val="bottom"/>
            <w:gridSpan w:val="4"/>
          </w:tcPr>
          <w:p>
            <w:pPr>
              <w:jc w:val="center"/>
              <w:ind w:left="92"/>
              <w:spacing w:after="0" w:line="204" w:lineRule="exact"/>
              <w:rPr>
                <w:rFonts w:ascii="Arial" w:cs="Arial" w:eastAsia="Arial" w:hAnsi="Arial"/>
                <w:sz w:val="18"/>
                <w:szCs w:val="18"/>
                <w:b w:val="1"/>
                <w:bCs w:val="1"/>
                <w:color w:val="0000FF"/>
                <w:w w:val="89"/>
              </w:rPr>
            </w:pPr>
            <w:hyperlink w:anchor="page22">
              <w:r>
                <w:rPr>
                  <w:rFonts w:ascii="Arial" w:cs="Arial" w:eastAsia="Arial" w:hAnsi="Arial"/>
                  <w:sz w:val="18"/>
                  <w:szCs w:val="18"/>
                  <w:b w:val="1"/>
                  <w:bCs w:val="1"/>
                  <w:color w:val="0000FF"/>
                  <w:w w:val="89"/>
                </w:rPr>
                <w:t>18</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680" w:type="dxa"/>
            <w:vAlign w:val="bottom"/>
            <w:gridSpan w:val="9"/>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160" w:type="dxa"/>
            <w:vAlign w:val="bottom"/>
            <w:gridSpan w:val="6"/>
          </w:tcPr>
          <w:p>
            <w:pPr>
              <w:spacing w:after="0" w:line="20" w:lineRule="exact"/>
              <w:rPr>
                <w:sz w:val="1"/>
                <w:szCs w:val="1"/>
                <w:color w:val="auto"/>
              </w:rPr>
            </w:pPr>
          </w:p>
        </w:tc>
        <w:tc>
          <w:tcPr>
            <w:tcW w:w="280" w:type="dxa"/>
            <w:vAlign w:val="bottom"/>
            <w:tcBorders>
              <w:right w:val="single" w:sz="8" w:color="0000FF"/>
            </w:tcBorders>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1800" w:type="dxa"/>
            <w:vAlign w:val="bottom"/>
            <w:gridSpan w:val="10"/>
          </w:tcPr>
          <w:p>
            <w:pPr>
              <w:spacing w:after="0" w:line="204" w:lineRule="exact"/>
              <w:rPr>
                <w:rFonts w:ascii="Arial" w:cs="Arial" w:eastAsia="Arial" w:hAnsi="Arial"/>
                <w:sz w:val="18"/>
                <w:szCs w:val="18"/>
                <w:b w:val="1"/>
                <w:bCs w:val="1"/>
                <w:color w:val="0000FF"/>
                <w:w w:val="84"/>
              </w:rPr>
            </w:pPr>
            <w:hyperlink w:anchor="page23">
              <w:r>
                <w:rPr>
                  <w:rFonts w:ascii="Arial" w:cs="Arial" w:eastAsia="Arial" w:hAnsi="Arial"/>
                  <w:sz w:val="18"/>
                  <w:szCs w:val="18"/>
                  <w:b w:val="1"/>
                  <w:bCs w:val="1"/>
                  <w:color w:val="0000FF"/>
                  <w:w w:val="84"/>
                </w:rPr>
                <w:t>ck Based Compensation</w:t>
              </w:r>
            </w:hyperlink>
          </w:p>
        </w:tc>
        <w:tc>
          <w:tcPr>
            <w:tcW w:w="1040" w:type="dxa"/>
            <w:vAlign w:val="bottom"/>
            <w:gridSpan w:val="4"/>
          </w:tcPr>
          <w:p>
            <w:pPr>
              <w:spacing w:after="0"/>
              <w:rPr>
                <w:sz w:val="17"/>
                <w:szCs w:val="17"/>
                <w:color w:val="auto"/>
              </w:rPr>
            </w:pPr>
          </w:p>
        </w:tc>
        <w:tc>
          <w:tcPr>
            <w:tcW w:w="6160" w:type="dxa"/>
            <w:vAlign w:val="bottom"/>
            <w:gridSpan w:val="6"/>
          </w:tcPr>
          <w:p>
            <w:pPr>
              <w:spacing w:after="0"/>
              <w:rPr>
                <w:sz w:val="17"/>
                <w:szCs w:val="17"/>
                <w:color w:val="auto"/>
              </w:rPr>
            </w:pPr>
          </w:p>
        </w:tc>
        <w:tc>
          <w:tcPr>
            <w:tcW w:w="360" w:type="dxa"/>
            <w:vAlign w:val="bottom"/>
            <w:gridSpan w:val="4"/>
          </w:tcPr>
          <w:p>
            <w:pPr>
              <w:jc w:val="center"/>
              <w:ind w:left="92"/>
              <w:spacing w:after="0" w:line="204" w:lineRule="exact"/>
              <w:rPr>
                <w:rFonts w:ascii="Arial" w:cs="Arial" w:eastAsia="Arial" w:hAnsi="Arial"/>
                <w:sz w:val="18"/>
                <w:szCs w:val="18"/>
                <w:b w:val="1"/>
                <w:bCs w:val="1"/>
                <w:color w:val="0000FF"/>
                <w:w w:val="89"/>
              </w:rPr>
            </w:pPr>
            <w:hyperlink w:anchor="page23">
              <w:r>
                <w:rPr>
                  <w:rFonts w:ascii="Arial" w:cs="Arial" w:eastAsia="Arial" w:hAnsi="Arial"/>
                  <w:sz w:val="18"/>
                  <w:szCs w:val="18"/>
                  <w:b w:val="1"/>
                  <w:bCs w:val="1"/>
                  <w:color w:val="0000FF"/>
                  <w:w w:val="89"/>
                </w:rPr>
                <w:t>19</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1800" w:type="dxa"/>
            <w:vAlign w:val="bottom"/>
            <w:gridSpan w:val="10"/>
          </w:tcPr>
          <w:p>
            <w:pPr>
              <w:spacing w:after="0" w:line="204" w:lineRule="exact"/>
              <w:rPr>
                <w:rFonts w:ascii="Arial" w:cs="Arial" w:eastAsia="Arial" w:hAnsi="Arial"/>
                <w:sz w:val="18"/>
                <w:szCs w:val="18"/>
                <w:b w:val="1"/>
                <w:bCs w:val="1"/>
                <w:color w:val="0000FF"/>
                <w:w w:val="92"/>
              </w:rPr>
            </w:pPr>
            <w:hyperlink w:anchor="page24">
              <w:r>
                <w:rPr>
                  <w:rFonts w:ascii="Arial" w:cs="Arial" w:eastAsia="Arial" w:hAnsi="Arial"/>
                  <w:sz w:val="18"/>
                  <w:szCs w:val="18"/>
                  <w:b w:val="1"/>
                  <w:bCs w:val="1"/>
                  <w:color w:val="0000FF"/>
                  <w:w w:val="92"/>
                </w:rPr>
                <w:t>r Value Measurements</w:t>
              </w:r>
            </w:hyperlink>
          </w:p>
        </w:tc>
        <w:tc>
          <w:tcPr>
            <w:tcW w:w="7200" w:type="dxa"/>
            <w:vAlign w:val="bottom"/>
            <w:gridSpan w:val="10"/>
          </w:tcPr>
          <w:p>
            <w:pPr>
              <w:spacing w:after="0"/>
              <w:rPr>
                <w:sz w:val="17"/>
                <w:szCs w:val="17"/>
                <w:color w:val="auto"/>
              </w:rPr>
            </w:pPr>
          </w:p>
        </w:tc>
        <w:tc>
          <w:tcPr>
            <w:tcW w:w="360" w:type="dxa"/>
            <w:vAlign w:val="bottom"/>
            <w:gridSpan w:val="4"/>
          </w:tcPr>
          <w:p>
            <w:pPr>
              <w:jc w:val="center"/>
              <w:ind w:left="92"/>
              <w:spacing w:after="0" w:line="204" w:lineRule="exact"/>
              <w:rPr>
                <w:rFonts w:ascii="Arial" w:cs="Arial" w:eastAsia="Arial" w:hAnsi="Arial"/>
                <w:sz w:val="18"/>
                <w:szCs w:val="18"/>
                <w:b w:val="1"/>
                <w:bCs w:val="1"/>
                <w:color w:val="0000FF"/>
                <w:w w:val="89"/>
              </w:rPr>
            </w:pPr>
            <w:hyperlink w:anchor="page24">
              <w:r>
                <w:rPr>
                  <w:rFonts w:ascii="Arial" w:cs="Arial" w:eastAsia="Arial" w:hAnsi="Arial"/>
                  <w:sz w:val="18"/>
                  <w:szCs w:val="18"/>
                  <w:b w:val="1"/>
                  <w:bCs w:val="1"/>
                  <w:color w:val="0000FF"/>
                  <w:w w:val="89"/>
                </w:rPr>
                <w:t>20</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680" w:type="dxa"/>
            <w:vAlign w:val="bottom"/>
            <w:gridSpan w:val="9"/>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760" w:type="dxa"/>
            <w:vAlign w:val="bottom"/>
            <w:gridSpan w:val="8"/>
          </w:tcPr>
          <w:p>
            <w:pPr>
              <w:spacing w:after="0" w:line="20" w:lineRule="exact"/>
              <w:rPr>
                <w:sz w:val="1"/>
                <w:szCs w:val="1"/>
                <w:color w:val="auto"/>
              </w:rPr>
            </w:pPr>
          </w:p>
        </w:tc>
        <w:tc>
          <w:tcPr>
            <w:tcW w:w="280" w:type="dxa"/>
            <w:vAlign w:val="bottom"/>
            <w:tcBorders>
              <w:right w:val="single" w:sz="8" w:color="0000FF"/>
            </w:tcBorders>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1800" w:type="dxa"/>
            <w:vAlign w:val="bottom"/>
            <w:gridSpan w:val="10"/>
          </w:tcPr>
          <w:p>
            <w:pPr>
              <w:spacing w:after="0" w:line="204" w:lineRule="exact"/>
              <w:rPr>
                <w:rFonts w:ascii="Arial" w:cs="Arial" w:eastAsia="Arial" w:hAnsi="Arial"/>
                <w:sz w:val="18"/>
                <w:szCs w:val="18"/>
                <w:b w:val="1"/>
                <w:bCs w:val="1"/>
                <w:color w:val="0000FF"/>
                <w:w w:val="86"/>
              </w:rPr>
            </w:pPr>
            <w:hyperlink w:anchor="page25">
              <w:r>
                <w:rPr>
                  <w:rFonts w:ascii="Arial" w:cs="Arial" w:eastAsia="Arial" w:hAnsi="Arial"/>
                  <w:sz w:val="18"/>
                  <w:szCs w:val="18"/>
                  <w:b w:val="1"/>
                  <w:bCs w:val="1"/>
                  <w:color w:val="0000FF"/>
                  <w:w w:val="86"/>
                </w:rPr>
                <w:t>ated Party Transactions</w:t>
              </w:r>
            </w:hyperlink>
          </w:p>
        </w:tc>
        <w:tc>
          <w:tcPr>
            <w:tcW w:w="7200" w:type="dxa"/>
            <w:vAlign w:val="bottom"/>
            <w:gridSpan w:val="10"/>
          </w:tcPr>
          <w:p>
            <w:pPr>
              <w:spacing w:after="0"/>
              <w:rPr>
                <w:sz w:val="17"/>
                <w:szCs w:val="17"/>
                <w:color w:val="auto"/>
              </w:rPr>
            </w:pPr>
          </w:p>
        </w:tc>
        <w:tc>
          <w:tcPr>
            <w:tcW w:w="360" w:type="dxa"/>
            <w:vAlign w:val="bottom"/>
            <w:gridSpan w:val="4"/>
          </w:tcPr>
          <w:p>
            <w:pPr>
              <w:jc w:val="center"/>
              <w:ind w:left="92"/>
              <w:spacing w:after="0" w:line="204" w:lineRule="exact"/>
              <w:rPr>
                <w:rFonts w:ascii="Arial" w:cs="Arial" w:eastAsia="Arial" w:hAnsi="Arial"/>
                <w:sz w:val="18"/>
                <w:szCs w:val="18"/>
                <w:b w:val="1"/>
                <w:bCs w:val="1"/>
                <w:color w:val="0000FF"/>
                <w:w w:val="89"/>
              </w:rPr>
            </w:pPr>
            <w:hyperlink w:anchor="page25">
              <w:r>
                <w:rPr>
                  <w:rFonts w:ascii="Arial" w:cs="Arial" w:eastAsia="Arial" w:hAnsi="Arial"/>
                  <w:sz w:val="18"/>
                  <w:szCs w:val="18"/>
                  <w:b w:val="1"/>
                  <w:bCs w:val="1"/>
                  <w:color w:val="0000FF"/>
                  <w:w w:val="89"/>
                </w:rPr>
                <w:t>21</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4"/>
        </w:trPr>
        <w:tc>
          <w:tcPr>
            <w:tcW w:w="9000" w:type="dxa"/>
            <w:vAlign w:val="bottom"/>
            <w:gridSpan w:val="20"/>
          </w:tcPr>
          <w:p>
            <w:pPr>
              <w:spacing w:after="0" w:line="204" w:lineRule="exact"/>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mmitments and Contingencies</w:t>
              </w:r>
            </w:hyperlink>
          </w:p>
        </w:tc>
        <w:tc>
          <w:tcPr>
            <w:tcW w:w="360" w:type="dxa"/>
            <w:vAlign w:val="bottom"/>
            <w:gridSpan w:val="4"/>
          </w:tcPr>
          <w:p>
            <w:pPr>
              <w:jc w:val="center"/>
              <w:ind w:left="92"/>
              <w:spacing w:after="0" w:line="204" w:lineRule="exact"/>
              <w:rPr>
                <w:rFonts w:ascii="Arial" w:cs="Arial" w:eastAsia="Arial" w:hAnsi="Arial"/>
                <w:sz w:val="18"/>
                <w:szCs w:val="18"/>
                <w:b w:val="1"/>
                <w:bCs w:val="1"/>
                <w:color w:val="0000FF"/>
                <w:w w:val="89"/>
              </w:rPr>
            </w:pPr>
            <w:hyperlink w:anchor="page25">
              <w:r>
                <w:rPr>
                  <w:rFonts w:ascii="Arial" w:cs="Arial" w:eastAsia="Arial" w:hAnsi="Arial"/>
                  <w:sz w:val="18"/>
                  <w:szCs w:val="18"/>
                  <w:b w:val="1"/>
                  <w:bCs w:val="1"/>
                  <w:color w:val="0000FF"/>
                  <w:w w:val="89"/>
                </w:rPr>
                <w:t>21</w:t>
              </w:r>
            </w:hyperlink>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973"/>
        </w:trPr>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-1920875</wp:posOffset>
            </wp:positionV>
            <wp:extent cx="17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ectPr>
          <w:pgSz w:w="11900" w:h="16838" w:orient="portrait"/>
          <w:cols w:equalWidth="0" w:num="1">
            <w:col w:w="11340"/>
          </w:cols>
          <w:pgMar w:left="220" w:top="104"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56"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6"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June 30,</w:t>
            </w:r>
          </w:p>
        </w:tc>
        <w:tc>
          <w:tcPr>
            <w:tcW w:w="220" w:type="dxa"/>
            <w:vAlign w:val="bottom"/>
          </w:tcPr>
          <w:p>
            <w:pPr>
              <w:spacing w:after="0"/>
              <w:rPr>
                <w:sz w:val="17"/>
                <w:szCs w:val="17"/>
                <w:color w:val="auto"/>
              </w:rPr>
            </w:pPr>
          </w:p>
        </w:tc>
        <w:tc>
          <w:tcPr>
            <w:tcW w:w="1240" w:type="dxa"/>
            <w:vAlign w:val="bottom"/>
          </w:tcPr>
          <w:p>
            <w:pPr>
              <w:jc w:val="right"/>
              <w:ind w:right="252"/>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4"/>
        </w:trPr>
        <w:tc>
          <w:tcPr>
            <w:tcW w:w="8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33"/>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8"/>
        </w:trPr>
        <w:tc>
          <w:tcPr>
            <w:tcW w:w="8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center"/>
              <w:ind w:right="133"/>
              <w:spacing w:after="0"/>
              <w:rPr>
                <w:sz w:val="20"/>
                <w:szCs w:val="20"/>
                <w:color w:val="auto"/>
              </w:rPr>
            </w:pPr>
            <w:r>
              <w:rPr>
                <w:rFonts w:ascii="Arial" w:cs="Arial" w:eastAsia="Arial" w:hAnsi="Arial"/>
                <w:sz w:val="16"/>
                <w:szCs w:val="16"/>
                <w:b w:val="1"/>
                <w:bCs w:val="1"/>
                <w:color w:val="auto"/>
                <w:w w:val="92"/>
              </w:rPr>
              <w:t>(Unaudited)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376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621,862</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990,955</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1,672,772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1,411,894</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233,323</w:t>
            </w: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2,476,815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2,636,172</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Property and equipment, net of accumulated depreciation</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195,930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204,642</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239,374</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Intangible assets, net of accumulated amortization</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609,762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307,128</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1,581,160</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539,361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531,125</w:t>
            </w:r>
          </w:p>
        </w:tc>
        <w:tc>
          <w:tcPr>
            <w:tcW w:w="0" w:type="dxa"/>
            <w:vAlign w:val="bottom"/>
          </w:tcPr>
          <w:p>
            <w:pPr>
              <w:spacing w:after="0"/>
              <w:rPr>
                <w:sz w:val="1"/>
                <w:szCs w:val="1"/>
                <w:color w:val="auto"/>
              </w:rPr>
            </w:pPr>
          </w:p>
        </w:tc>
      </w:tr>
      <w:tr>
        <w:trPr>
          <w:trHeight w:val="242"/>
        </w:trPr>
        <w:tc>
          <w:tcPr>
            <w:tcW w:w="8180" w:type="dxa"/>
            <w:vAlign w:val="bottom"/>
            <w:tcBorders>
              <w:bottom w:val="single" w:sz="8" w:color="CCEEFF"/>
            </w:tcBorders>
            <w:shd w:val="clear" w:color="auto" w:fill="CCEEFF"/>
          </w:tcPr>
          <w:p>
            <w:pPr>
              <w:ind w:left="660"/>
              <w:spacing w:after="0" w:line="203"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5,984,942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5,499,601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1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77,865</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77,865</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other accrued expenses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666,971</w:t>
            </w:r>
          </w:p>
        </w:tc>
        <w:tc>
          <w:tcPr>
            <w:tcW w:w="0" w:type="dxa"/>
            <w:vAlign w:val="bottom"/>
          </w:tcPr>
          <w:p>
            <w:pPr>
              <w:spacing w:after="0"/>
              <w:rPr>
                <w:sz w:val="1"/>
                <w:szCs w:val="1"/>
                <w:color w:val="auto"/>
              </w:rPr>
            </w:pPr>
          </w:p>
        </w:tc>
      </w:tr>
      <w:tr>
        <w:trPr>
          <w:trHeight w:val="223"/>
        </w:trPr>
        <w:tc>
          <w:tcPr>
            <w:tcW w:w="8180" w:type="dxa"/>
            <w:vAlign w:val="bottom"/>
          </w:tcPr>
          <w:p>
            <w:pPr>
              <w:ind w:left="34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337,379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425,615</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54,956</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65,698</w:t>
            </w: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1,370,913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1,291,105</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2,770,791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2,278,731</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263,144</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321,631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364,461</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230,984</w:t>
            </w:r>
          </w:p>
        </w:tc>
        <w:tc>
          <w:tcPr>
            <w:tcW w:w="0" w:type="dxa"/>
            <w:vAlign w:val="bottom"/>
          </w:tcPr>
          <w:p>
            <w:pPr>
              <w:spacing w:after="0"/>
              <w:rPr>
                <w:sz w:val="1"/>
                <w:szCs w:val="1"/>
                <w:color w:val="auto"/>
              </w:rPr>
            </w:pPr>
          </w:p>
        </w:tc>
      </w:tr>
      <w:tr>
        <w:trPr>
          <w:trHeight w:val="217"/>
        </w:trPr>
        <w:tc>
          <w:tcPr>
            <w:tcW w:w="8180" w:type="dxa"/>
            <w:vAlign w:val="bottom"/>
          </w:tcPr>
          <w:p>
            <w:pPr>
              <w:ind w:left="660"/>
              <w:spacing w:after="0" w:line="203" w:lineRule="exact"/>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4,961,409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4,428,425</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17)</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280"/>
              <w:spacing w:after="0" w:line="172" w:lineRule="exact"/>
              <w:rPr>
                <w:sz w:val="20"/>
                <w:szCs w:val="20"/>
                <w:color w:val="auto"/>
              </w:rPr>
            </w:pPr>
            <w:r>
              <w:rPr>
                <w:rFonts w:ascii="Arial" w:cs="Arial" w:eastAsia="Arial" w:hAnsi="Arial"/>
                <w:sz w:val="18"/>
                <w:szCs w:val="18"/>
                <w:color w:val="auto"/>
                <w:w w:val="89"/>
              </w:rPr>
              <w:t>Common stock, Class A — $0.01 par value — authorized, 600,000,000 shares; issued, 163,464,754 shares at</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180" w:type="dxa"/>
            <w:vAlign w:val="bottom"/>
            <w:shd w:val="clear" w:color="auto" w:fill="CCEEFF"/>
          </w:tcPr>
          <w:p>
            <w:pPr>
              <w:ind w:left="280"/>
              <w:spacing w:after="0" w:line="171" w:lineRule="exact"/>
              <w:rPr>
                <w:sz w:val="20"/>
                <w:szCs w:val="20"/>
                <w:color w:val="auto"/>
              </w:rPr>
            </w:pPr>
            <w:r>
              <w:rPr>
                <w:rFonts w:ascii="Arial" w:cs="Arial" w:eastAsia="Arial" w:hAnsi="Arial"/>
                <w:sz w:val="18"/>
                <w:szCs w:val="18"/>
                <w:color w:val="auto"/>
                <w:w w:val="86"/>
              </w:rPr>
              <w:t>June 30, 2021 and 162,950,606 shares at March 31, 2021; outstanding, 135,429,357 shares at June 30, 2021 and</w:t>
            </w:r>
          </w:p>
        </w:tc>
        <w:tc>
          <w:tcPr>
            <w:tcW w:w="2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136,246,029 shares at March 31, 2021</w:t>
            </w:r>
          </w:p>
        </w:tc>
        <w:tc>
          <w:tcPr>
            <w:tcW w:w="2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280"/>
              <w:spacing w:after="0"/>
              <w:rPr>
                <w:sz w:val="20"/>
                <w:szCs w:val="20"/>
                <w:color w:val="auto"/>
              </w:rPr>
            </w:pPr>
            <w:r>
              <w:rPr>
                <w:rFonts w:ascii="Arial" w:cs="Arial" w:eastAsia="Arial" w:hAnsi="Arial"/>
                <w:sz w:val="18"/>
                <w:szCs w:val="18"/>
                <w:color w:val="auto"/>
                <w:w w:val="94"/>
              </w:rPr>
              <w:t>Treasury stock, at cost — 28,035,397 shares at June 30, 2021 and 26,704,577 shares at March 31, 2021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(1,327,601)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(1,216,163)</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557,957</w:t>
            </w:r>
          </w:p>
        </w:tc>
        <w:tc>
          <w:tcPr>
            <w:tcW w:w="0" w:type="dxa"/>
            <w:vAlign w:val="bottom"/>
          </w:tcPr>
          <w:p>
            <w:pPr>
              <w:spacing w:after="0"/>
              <w:rPr>
                <w:sz w:val="1"/>
                <w:szCs w:val="1"/>
                <w:color w:val="auto"/>
              </w:rPr>
            </w:pPr>
          </w:p>
        </w:tc>
      </w:tr>
      <w:tr>
        <w:trPr>
          <w:trHeight w:val="223"/>
        </w:trPr>
        <w:tc>
          <w:tcPr>
            <w:tcW w:w="81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1,799,029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1,757,524</w:t>
            </w: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(29,771)</w:t>
            </w: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tcPr>
          <w:p>
            <w:pPr>
              <w:ind w:left="660"/>
              <w:spacing w:after="0" w:line="203" w:lineRule="exact"/>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1,023,533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1,071,176</w:t>
            </w:r>
          </w:p>
        </w:tc>
        <w:tc>
          <w:tcPr>
            <w:tcW w:w="0" w:type="dxa"/>
            <w:vAlign w:val="bottom"/>
          </w:tcPr>
          <w:p>
            <w:pPr>
              <w:spacing w:after="0"/>
              <w:rPr>
                <w:sz w:val="1"/>
                <w:szCs w:val="1"/>
                <w:color w:val="auto"/>
              </w:rPr>
            </w:pPr>
          </w:p>
        </w:tc>
      </w:tr>
      <w:tr>
        <w:trPr>
          <w:trHeight w:val="242"/>
        </w:trPr>
        <w:tc>
          <w:tcPr>
            <w:tcW w:w="8180" w:type="dxa"/>
            <w:vAlign w:val="bottom"/>
            <w:tcBorders>
              <w:bottom w:val="single" w:sz="8" w:color="CCEEFF"/>
            </w:tcBorders>
            <w:shd w:val="clear" w:color="auto" w:fill="CCEEFF"/>
          </w:tcPr>
          <w:p>
            <w:pPr>
              <w:ind w:left="660"/>
              <w:spacing w:after="0" w:line="203" w:lineRule="exact"/>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5,984,942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5,499,601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118"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Three Months Ended</w:t>
      </w:r>
    </w:p>
    <w:p>
      <w:pPr>
        <w:jc w:val="center"/>
        <w:ind w:left="8140"/>
        <w:spacing w:after="0"/>
        <w:rPr>
          <w:sz w:val="20"/>
          <w:szCs w:val="20"/>
          <w:color w:val="auto"/>
        </w:rPr>
      </w:pPr>
      <w:r>
        <w:rPr>
          <w:rFonts w:ascii="Arial" w:cs="Arial" w:eastAsia="Arial" w:hAnsi="Arial"/>
          <w:sz w:val="14"/>
          <w:szCs w:val="14"/>
          <w:b w:val="1"/>
          <w:bCs w:val="1"/>
          <w:color w:val="auto"/>
        </w:rPr>
        <w:t>June 30,</w:t>
      </w:r>
    </w:p>
    <w:p>
      <w:pPr>
        <w:spacing w:after="0" w:line="6"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81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1,989,066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1,956,453</w:t>
            </w:r>
          </w:p>
        </w:tc>
        <w:tc>
          <w:tcPr>
            <w:tcW w:w="0" w:type="dxa"/>
            <w:vAlign w:val="bottom"/>
          </w:tcPr>
          <w:p>
            <w:pPr>
              <w:spacing w:after="0"/>
              <w:rPr>
                <w:sz w:val="1"/>
                <w:szCs w:val="1"/>
                <w:color w:val="auto"/>
              </w:rPr>
            </w:pPr>
          </w:p>
        </w:tc>
      </w:tr>
      <w:tr>
        <w:trPr>
          <w:trHeight w:val="223"/>
        </w:trPr>
        <w:tc>
          <w:tcPr>
            <w:tcW w:w="81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948,902</w:t>
            </w:r>
          </w:p>
        </w:tc>
        <w:tc>
          <w:tcPr>
            <w:tcW w:w="0" w:type="dxa"/>
            <w:vAlign w:val="bottom"/>
          </w:tcPr>
          <w:p>
            <w:pPr>
              <w:spacing w:after="0"/>
              <w:rPr>
                <w:sz w:val="1"/>
                <w:szCs w:val="1"/>
                <w:color w:val="auto"/>
              </w:rPr>
            </w:pPr>
          </w:p>
        </w:tc>
      </w:tr>
      <w:tr>
        <w:trPr>
          <w:trHeight w:val="223"/>
        </w:trPr>
        <w:tc>
          <w:tcPr>
            <w:tcW w:w="8160" w:type="dxa"/>
            <w:vAlign w:val="bottom"/>
          </w:tcPr>
          <w:p>
            <w:pPr>
              <w:ind w:left="320"/>
              <w:spacing w:after="0"/>
              <w:rPr>
                <w:sz w:val="20"/>
                <w:szCs w:val="20"/>
                <w:color w:val="auto"/>
              </w:rPr>
            </w:pPr>
            <w:r>
              <w:rPr>
                <w:rFonts w:ascii="Arial" w:cs="Arial" w:eastAsia="Arial" w:hAnsi="Arial"/>
                <w:sz w:val="18"/>
                <w:szCs w:val="18"/>
                <w:color w:val="auto"/>
              </w:rPr>
              <w:t>Billable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555,545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549,077</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245,855</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20,732</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1,847,809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1,764,566</w:t>
            </w:r>
          </w:p>
        </w:tc>
        <w:tc>
          <w:tcPr>
            <w:tcW w:w="0" w:type="dxa"/>
            <w:vAlign w:val="bottom"/>
          </w:tcPr>
          <w:p>
            <w:pPr>
              <w:spacing w:after="0"/>
              <w:rPr>
                <w:sz w:val="1"/>
                <w:szCs w:val="1"/>
                <w:color w:val="auto"/>
              </w:rPr>
            </w:pPr>
          </w:p>
        </w:tc>
      </w:tr>
      <w:tr>
        <w:trPr>
          <w:trHeight w:val="217"/>
        </w:trPr>
        <w:tc>
          <w:tcPr>
            <w:tcW w:w="8160" w:type="dxa"/>
            <w:vAlign w:val="bottom"/>
          </w:tcPr>
          <w:p>
            <w:pPr>
              <w:spacing w:after="0" w:line="203" w:lineRule="exact"/>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141,257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191,887</w:t>
            </w: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(20,235)</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7"/>
        </w:trPr>
        <w:tc>
          <w:tcPr>
            <w:tcW w:w="8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170,816</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41,487</w:t>
            </w:r>
          </w:p>
        </w:tc>
        <w:tc>
          <w:tcPr>
            <w:tcW w:w="0" w:type="dxa"/>
            <w:vAlign w:val="bottom"/>
          </w:tcPr>
          <w:p>
            <w:pPr>
              <w:spacing w:after="0"/>
              <w:rPr>
                <w:sz w:val="1"/>
                <w:szCs w:val="1"/>
                <w:color w:val="auto"/>
              </w:rPr>
            </w:pPr>
          </w:p>
        </w:tc>
      </w:tr>
      <w:tr>
        <w:trPr>
          <w:trHeight w:val="242"/>
        </w:trPr>
        <w:tc>
          <w:tcPr>
            <w:tcW w:w="816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129,329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Earnings per common share (Note 4):</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8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2"/>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w:t>
      </w:r>
    </w:p>
    <w:p>
      <w:pPr>
        <w:spacing w:after="0" w:line="118"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jc w:val="center"/>
        <w:ind w:left="8160"/>
        <w:spacing w:after="0"/>
        <w:rPr>
          <w:sz w:val="20"/>
          <w:szCs w:val="20"/>
          <w:color w:val="auto"/>
        </w:rPr>
      </w:pPr>
      <w:r>
        <w:rPr>
          <w:rFonts w:ascii="Arial" w:cs="Arial" w:eastAsia="Arial" w:hAnsi="Arial"/>
          <w:sz w:val="14"/>
          <w:szCs w:val="14"/>
          <w:b w:val="1"/>
          <w:bCs w:val="1"/>
          <w:color w:val="auto"/>
        </w:rPr>
        <w:t>June 30,</w:t>
      </w:r>
    </w:p>
    <w:p>
      <w:pPr>
        <w:spacing w:after="0" w:line="6"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81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217"/>
        </w:trPr>
        <w:tc>
          <w:tcPr>
            <w:tcW w:w="81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92,102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129,329</w:t>
            </w:r>
          </w:p>
        </w:tc>
      </w:tr>
      <w:tr>
        <w:trPr>
          <w:trHeight w:val="223"/>
        </w:trPr>
        <w:tc>
          <w:tcPr>
            <w:tcW w:w="81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8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unrealized gain (loss) on derivatives designated as cash flow hedges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r>
      <w:tr>
        <w:trPr>
          <w:trHeight w:val="223"/>
        </w:trPr>
        <w:tc>
          <w:tcPr>
            <w:tcW w:w="8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 in postretirement plan costs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17"/>
        </w:trPr>
        <w:tc>
          <w:tcPr>
            <w:tcW w:w="816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Total other comprehensive income (loss), net of tax</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r>
      <w:tr>
        <w:trPr>
          <w:trHeight w:val="223"/>
        </w:trPr>
        <w:tc>
          <w:tcPr>
            <w:tcW w:w="8160" w:type="dxa"/>
            <w:vAlign w:val="bottom"/>
          </w:tcPr>
          <w:p>
            <w:pPr>
              <w:ind w:left="320"/>
              <w:spacing w:after="0"/>
              <w:rPr>
                <w:sz w:val="20"/>
                <w:szCs w:val="20"/>
                <w:color w:val="auto"/>
              </w:rPr>
            </w:pPr>
            <w:r>
              <w:rPr>
                <w:rFonts w:ascii="Arial" w:cs="Arial" w:eastAsia="Arial" w:hAnsi="Arial"/>
                <w:sz w:val="18"/>
                <w:szCs w:val="18"/>
                <w:color w:val="auto"/>
              </w:rPr>
              <w:t>Comprehensive income</w:t>
            </w:r>
          </w:p>
        </w:tc>
        <w:tc>
          <w:tcPr>
            <w:tcW w:w="880" w:type="dxa"/>
            <w:vAlign w:val="bottom"/>
            <w:tcBorders>
              <w:bottom w:val="single" w:sz="8" w:color="auto"/>
            </w:tcBorders>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95,115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127,912</w:t>
            </w:r>
          </w:p>
        </w:tc>
      </w:tr>
      <w:tr>
        <w:trPr>
          <w:trHeight w:val="20"/>
        </w:trPr>
        <w:tc>
          <w:tcPr>
            <w:tcW w:w="8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25"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jc w:val="center"/>
        <w:ind w:left="81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5208905</wp:posOffset>
            </wp:positionH>
            <wp:positionV relativeFrom="paragraph">
              <wp:posOffset>10795</wp:posOffset>
            </wp:positionV>
            <wp:extent cx="19215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09"/>
        </w:trPr>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81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92,102</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129,329</w:t>
            </w:r>
          </w:p>
        </w:tc>
      </w:tr>
      <w:tr>
        <w:trPr>
          <w:trHeight w:val="224"/>
        </w:trPr>
        <w:tc>
          <w:tcPr>
            <w:tcW w:w="8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816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20,732</w:t>
            </w:r>
          </w:p>
        </w:tc>
      </w:tr>
      <w:tr>
        <w:trPr>
          <w:trHeight w:val="224"/>
        </w:trPr>
        <w:tc>
          <w:tcPr>
            <w:tcW w:w="8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Noncash lease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13,242</w:t>
            </w:r>
          </w:p>
        </w:tc>
      </w:tr>
      <w:tr>
        <w:trPr>
          <w:trHeight w:val="223"/>
        </w:trPr>
        <w:tc>
          <w:tcPr>
            <w:tcW w:w="8160" w:type="dxa"/>
            <w:vAlign w:val="bottom"/>
          </w:tcPr>
          <w:p>
            <w:pPr>
              <w:ind w:left="6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10,833</w:t>
            </w:r>
          </w:p>
        </w:tc>
      </w:tr>
      <w:tr>
        <w:trPr>
          <w:trHeight w:val="224"/>
        </w:trPr>
        <w:tc>
          <w:tcPr>
            <w:tcW w:w="8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r>
      <w:tr>
        <w:trPr>
          <w:trHeight w:val="223"/>
        </w:trPr>
        <w:tc>
          <w:tcPr>
            <w:tcW w:w="8160" w:type="dxa"/>
            <w:vAlign w:val="bottom"/>
          </w:tcPr>
          <w:p>
            <w:pPr>
              <w:ind w:left="640"/>
              <w:spacing w:after="0"/>
              <w:rPr>
                <w:sz w:val="20"/>
                <w:szCs w:val="20"/>
                <w:color w:val="auto"/>
              </w:rPr>
            </w:pPr>
            <w:r>
              <w:rPr>
                <w:rFonts w:ascii="Arial" w:cs="Arial" w:eastAsia="Arial" w:hAnsi="Arial"/>
                <w:sz w:val="18"/>
                <w:szCs w:val="18"/>
                <w:color w:val="auto"/>
              </w:rPr>
              <w:t>Loss on debt extinguishment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(Gains) losses on dispositions, and other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16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8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(62,570)</w:t>
            </w:r>
          </w:p>
        </w:tc>
      </w:tr>
      <w:tr>
        <w:trPr>
          <w:trHeight w:val="223"/>
        </w:trPr>
        <w:tc>
          <w:tcPr>
            <w:tcW w:w="8160" w:type="dxa"/>
            <w:vAlign w:val="bottom"/>
          </w:tcPr>
          <w:p>
            <w:pPr>
              <w:ind w:left="640"/>
              <w:spacing w:after="0"/>
              <w:rPr>
                <w:sz w:val="20"/>
                <w:szCs w:val="20"/>
                <w:color w:val="auto"/>
              </w:rPr>
            </w:pPr>
            <w:r>
              <w:rPr>
                <w:rFonts w:ascii="Arial" w:cs="Arial" w:eastAsia="Arial" w:hAnsi="Arial"/>
                <w:sz w:val="18"/>
                <w:szCs w:val="18"/>
                <w:color w:val="auto"/>
              </w:rPr>
              <w:t>Deferred income taxes and income taxes receivable / payable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35,027</w:t>
            </w:r>
          </w:p>
        </w:tc>
      </w:tr>
      <w:tr>
        <w:trPr>
          <w:trHeight w:val="224"/>
        </w:trPr>
        <w:tc>
          <w:tcPr>
            <w:tcW w:w="8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 current and long-term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w:t>
            </w:r>
          </w:p>
        </w:tc>
      </w:tr>
      <w:tr>
        <w:trPr>
          <w:trHeight w:val="223"/>
        </w:trPr>
        <w:tc>
          <w:tcPr>
            <w:tcW w:w="8160" w:type="dxa"/>
            <w:vAlign w:val="bottom"/>
          </w:tcPr>
          <w:p>
            <w:pPr>
              <w:ind w:left="64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(75,509)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(36,294)</w:t>
            </w:r>
          </w:p>
        </w:tc>
      </w:tr>
      <w:tr>
        <w:trPr>
          <w:trHeight w:val="224"/>
        </w:trPr>
        <w:tc>
          <w:tcPr>
            <w:tcW w:w="8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and other accrued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50,864</w:t>
            </w:r>
          </w:p>
        </w:tc>
      </w:tr>
      <w:tr>
        <w:trPr>
          <w:trHeight w:val="223"/>
        </w:trPr>
        <w:tc>
          <w:tcPr>
            <w:tcW w:w="816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Other current and long-term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(11,437)</w:t>
            </w:r>
          </w:p>
        </w:tc>
      </w:tr>
      <w:tr>
        <w:trPr>
          <w:trHeight w:val="217"/>
        </w:trPr>
        <w:tc>
          <w:tcPr>
            <w:tcW w:w="8160" w:type="dxa"/>
            <w:vAlign w:val="bottom"/>
            <w:shd w:val="clear" w:color="auto" w:fill="CCEEFF"/>
          </w:tcPr>
          <w:p>
            <w:pPr>
              <w:ind w:left="1060"/>
              <w:spacing w:after="0" w:line="203" w:lineRule="exact"/>
              <w:rPr>
                <w:sz w:val="20"/>
                <w:szCs w:val="20"/>
                <w:color w:val="auto"/>
              </w:rPr>
            </w:pPr>
            <w:r>
              <w:rPr>
                <w:rFonts w:ascii="Arial" w:cs="Arial" w:eastAsia="Arial" w:hAnsi="Arial"/>
                <w:sz w:val="18"/>
                <w:szCs w:val="18"/>
                <w:color w:val="auto"/>
              </w:rPr>
              <w:t>Net cash (used in) provided by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140,418</w:t>
            </w:r>
          </w:p>
        </w:tc>
      </w:tr>
      <w:tr>
        <w:trPr>
          <w:trHeight w:val="224"/>
        </w:trPr>
        <w:tc>
          <w:tcPr>
            <w:tcW w:w="81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8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Purchases of property, equipment, and software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(20,058)</w:t>
            </w:r>
          </w:p>
        </w:tc>
      </w:tr>
      <w:tr>
        <w:trPr>
          <w:trHeight w:val="223"/>
        </w:trPr>
        <w:tc>
          <w:tcPr>
            <w:tcW w:w="8160" w:type="dxa"/>
            <w:vAlign w:val="bottom"/>
          </w:tcPr>
          <w:p>
            <w:pPr>
              <w:ind w:left="640"/>
              <w:spacing w:after="0"/>
              <w:rPr>
                <w:sz w:val="20"/>
                <w:szCs w:val="20"/>
                <w:color w:val="auto"/>
              </w:rPr>
            </w:pPr>
            <w:r>
              <w:rPr>
                <w:rFonts w:ascii="Arial" w:cs="Arial" w:eastAsia="Arial" w:hAnsi="Arial"/>
                <w:sz w:val="18"/>
                <w:szCs w:val="18"/>
                <w:color w:val="auto"/>
              </w:rPr>
              <w:t>Cash paid for acquisition, net of cash acquired</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(665,583)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paid for cost method investment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8160" w:type="dxa"/>
            <w:vAlign w:val="bottom"/>
          </w:tcPr>
          <w:p>
            <w:pPr>
              <w:ind w:left="1060"/>
              <w:spacing w:after="0" w:line="203" w:lineRule="exact"/>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(676,591)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(20,058)</w:t>
            </w:r>
          </w:p>
        </w:tc>
      </w:tr>
      <w:tr>
        <w:trPr>
          <w:trHeight w:val="224"/>
        </w:trPr>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8160" w:type="dxa"/>
            <w:vAlign w:val="bottom"/>
          </w:tcPr>
          <w:p>
            <w:pPr>
              <w:ind w:left="64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4,423</w:t>
            </w:r>
          </w:p>
        </w:tc>
      </w:tr>
      <w:tr>
        <w:trPr>
          <w:trHeight w:val="224"/>
        </w:trPr>
        <w:tc>
          <w:tcPr>
            <w:tcW w:w="8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 option exercises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r>
      <w:tr>
        <w:trPr>
          <w:trHeight w:val="223"/>
        </w:trPr>
        <w:tc>
          <w:tcPr>
            <w:tcW w:w="8160" w:type="dxa"/>
            <w:vAlign w:val="bottom"/>
          </w:tcPr>
          <w:p>
            <w:pPr>
              <w:ind w:left="64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(123,805)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(85,899)</w:t>
            </w:r>
          </w:p>
        </w:tc>
      </w:tr>
      <w:tr>
        <w:trPr>
          <w:trHeight w:val="224"/>
        </w:trPr>
        <w:tc>
          <w:tcPr>
            <w:tcW w:w="8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dividends paid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(43,832)</w:t>
            </w:r>
          </w:p>
        </w:tc>
      </w:tr>
      <w:tr>
        <w:trPr>
          <w:trHeight w:val="223"/>
        </w:trPr>
        <w:tc>
          <w:tcPr>
            <w:tcW w:w="8160" w:type="dxa"/>
            <w:vAlign w:val="bottom"/>
          </w:tcPr>
          <w:p>
            <w:pPr>
              <w:ind w:left="640"/>
              <w:spacing w:after="0"/>
              <w:rPr>
                <w:sz w:val="20"/>
                <w:szCs w:val="20"/>
                <w:color w:val="auto"/>
              </w:rPr>
            </w:pPr>
            <w:r>
              <w:rPr>
                <w:rFonts w:ascii="Arial" w:cs="Arial" w:eastAsia="Arial" w:hAnsi="Arial"/>
                <w:sz w:val="18"/>
                <w:szCs w:val="18"/>
                <w:color w:val="auto"/>
              </w:rPr>
              <w:t>Repayments on revolving credit facility and term loan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(60,973)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(119,466)</w:t>
            </w:r>
          </w:p>
        </w:tc>
      </w:tr>
      <w:tr>
        <w:trPr>
          <w:trHeight w:val="224"/>
        </w:trPr>
        <w:tc>
          <w:tcPr>
            <w:tcW w:w="8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proceeds from debt issuance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6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Proceeds from revolving credit facility</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8160" w:type="dxa"/>
            <w:vAlign w:val="bottom"/>
            <w:shd w:val="clear" w:color="auto" w:fill="CCEEFF"/>
          </w:tcPr>
          <w:p>
            <w:pPr>
              <w:ind w:left="1060"/>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(241,649)</w:t>
            </w:r>
          </w:p>
        </w:tc>
      </w:tr>
      <w:tr>
        <w:trPr>
          <w:trHeight w:val="223"/>
        </w:trPr>
        <w:tc>
          <w:tcPr>
            <w:tcW w:w="81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(369,093)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(121,289)</w:t>
            </w:r>
          </w:p>
        </w:tc>
      </w:tr>
      <w:tr>
        <w:trPr>
          <w:trHeight w:val="224"/>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990,955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741,901</w:t>
            </w:r>
          </w:p>
        </w:tc>
      </w:tr>
      <w:tr>
        <w:trPr>
          <w:trHeight w:val="217"/>
        </w:trPr>
        <w:tc>
          <w:tcPr>
            <w:tcW w:w="8160" w:type="dxa"/>
            <w:vAlign w:val="bottom"/>
          </w:tcPr>
          <w:p>
            <w:pPr>
              <w:spacing w:after="0" w:line="203" w:lineRule="exact"/>
              <w:rPr>
                <w:sz w:val="20"/>
                <w:szCs w:val="20"/>
                <w:color w:val="auto"/>
              </w:rPr>
            </w:pPr>
            <w:r>
              <w:rPr>
                <w:rFonts w:ascii="Arial" w:cs="Arial" w:eastAsia="Arial" w:hAnsi="Arial"/>
                <w:sz w:val="18"/>
                <w:szCs w:val="18"/>
                <w:color w:val="auto"/>
              </w:rPr>
              <w:t>Cash and cash equivalents––end of period</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621,862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620,612</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0"/>
        </w:trPr>
        <w:tc>
          <w:tcPr>
            <w:tcW w:w="816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3"/>
        </w:trPr>
        <w:tc>
          <w:tcPr>
            <w:tcW w:w="8160" w:type="dxa"/>
            <w:vAlign w:val="bottom"/>
          </w:tcPr>
          <w:p>
            <w:pPr>
              <w:spacing w:after="0"/>
              <w:rPr>
                <w:sz w:val="20"/>
                <w:szCs w:val="20"/>
                <w:color w:val="auto"/>
              </w:rPr>
            </w:pPr>
            <w:r>
              <w:rPr>
                <w:rFonts w:ascii="Arial" w:cs="Arial" w:eastAsia="Arial" w:hAnsi="Arial"/>
                <w:sz w:val="18"/>
                <w:szCs w:val="18"/>
                <w:color w:val="auto"/>
              </w:rPr>
              <w:t>Net cash paid during the period for:</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8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19,032</w:t>
            </w:r>
          </w:p>
        </w:tc>
      </w:tr>
      <w:tr>
        <w:trPr>
          <w:trHeight w:val="223"/>
        </w:trPr>
        <w:tc>
          <w:tcPr>
            <w:tcW w:w="816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3,123</w:t>
            </w:r>
          </w:p>
        </w:tc>
      </w:tr>
      <w:tr>
        <w:trPr>
          <w:trHeight w:val="224"/>
        </w:trPr>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8160" w:type="dxa"/>
            <w:vAlign w:val="bottom"/>
          </w:tcPr>
          <w:p>
            <w:pPr>
              <w:ind w:left="320"/>
              <w:spacing w:after="0"/>
              <w:rPr>
                <w:sz w:val="20"/>
                <w:szCs w:val="20"/>
                <w:color w:val="auto"/>
              </w:rPr>
            </w:pPr>
            <w:r>
              <w:rPr>
                <w:rFonts w:ascii="Arial" w:cs="Arial" w:eastAsia="Arial" w:hAnsi="Arial"/>
                <w:sz w:val="18"/>
                <w:szCs w:val="18"/>
                <w:color w:val="auto"/>
              </w:rPr>
              <w:t>Share repurchases transacted but not settled and paid</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344</w:t>
            </w:r>
          </w:p>
        </w:tc>
      </w:tr>
    </w:tbl>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4200" w:type="dxa"/>
            <w:vAlign w:val="bottom"/>
          </w:tcPr>
          <w:p>
            <w:pPr>
              <w:spacing w:after="0"/>
              <w:rPr>
                <w:sz w:val="14"/>
                <w:szCs w:val="14"/>
                <w:color w:val="auto"/>
              </w:rPr>
            </w:pPr>
          </w:p>
        </w:tc>
        <w:tc>
          <w:tcPr>
            <w:tcW w:w="960" w:type="dxa"/>
            <w:vAlign w:val="bottom"/>
            <w:gridSpan w:val="3"/>
          </w:tcPr>
          <w:p>
            <w:pPr>
              <w:ind w:left="560"/>
              <w:spacing w:after="0"/>
              <w:rPr>
                <w:sz w:val="20"/>
                <w:szCs w:val="20"/>
                <w:color w:val="auto"/>
              </w:rPr>
            </w:pPr>
            <w:r>
              <w:rPr>
                <w:rFonts w:ascii="Arial" w:cs="Arial" w:eastAsia="Arial" w:hAnsi="Arial"/>
                <w:sz w:val="12"/>
                <w:szCs w:val="12"/>
                <w:b w:val="1"/>
                <w:bCs w:val="1"/>
                <w:color w:val="auto"/>
                <w:w w:val="86"/>
              </w:rPr>
              <w:t>Class A</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ind w:left="700"/>
              <w:spacing w:after="0"/>
              <w:rPr>
                <w:sz w:val="20"/>
                <w:szCs w:val="20"/>
                <w:color w:val="auto"/>
              </w:rPr>
            </w:pPr>
            <w:r>
              <w:rPr>
                <w:rFonts w:ascii="Arial" w:cs="Arial" w:eastAsia="Arial" w:hAnsi="Arial"/>
                <w:sz w:val="12"/>
                <w:szCs w:val="12"/>
                <w:b w:val="1"/>
                <w:bCs w:val="1"/>
                <w:color w:val="auto"/>
              </w:rPr>
              <w:t>Treasury</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5"/>
              </w:rPr>
              <w:t>Additional</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4"/>
                <w:szCs w:val="14"/>
                <w:color w:val="auto"/>
              </w:rPr>
            </w:pPr>
          </w:p>
        </w:tc>
        <w:tc>
          <w:tcPr>
            <w:tcW w:w="700" w:type="dxa"/>
            <w:vAlign w:val="bottom"/>
            <w:vMerge w:val="restart"/>
          </w:tcPr>
          <w:p>
            <w:pPr>
              <w:jc w:val="center"/>
              <w:ind w:right="43"/>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8"/>
        </w:trPr>
        <w:tc>
          <w:tcPr>
            <w:tcW w:w="4200" w:type="dxa"/>
            <w:vAlign w:val="bottom"/>
          </w:tcPr>
          <w:p>
            <w:pPr>
              <w:spacing w:after="0"/>
              <w:rPr>
                <w:sz w:val="10"/>
                <w:szCs w:val="10"/>
                <w:color w:val="auto"/>
              </w:rPr>
            </w:pPr>
          </w:p>
        </w:tc>
        <w:tc>
          <w:tcPr>
            <w:tcW w:w="1600" w:type="dxa"/>
            <w:vAlign w:val="bottom"/>
            <w:gridSpan w:val="5"/>
          </w:tcPr>
          <w:p>
            <w:pPr>
              <w:ind w:left="360"/>
              <w:spacing w:after="0" w:line="118" w:lineRule="exact"/>
              <w:rPr>
                <w:sz w:val="20"/>
                <w:szCs w:val="20"/>
                <w:color w:val="auto"/>
              </w:rPr>
            </w:pPr>
            <w:r>
              <w:rPr>
                <w:rFonts w:ascii="Arial" w:cs="Arial" w:eastAsia="Arial" w:hAnsi="Arial"/>
                <w:sz w:val="12"/>
                <w:szCs w:val="12"/>
                <w:b w:val="1"/>
                <w:bCs w:val="1"/>
                <w:color w:val="auto"/>
              </w:rPr>
              <w:t>Common Stock</w:t>
            </w:r>
          </w:p>
        </w:tc>
        <w:tc>
          <w:tcPr>
            <w:tcW w:w="1080" w:type="dxa"/>
            <w:vAlign w:val="bottom"/>
            <w:gridSpan w:val="3"/>
          </w:tcPr>
          <w:p>
            <w:pPr>
              <w:jc w:val="right"/>
              <w:spacing w:after="0" w:line="118" w:lineRule="exact"/>
              <w:rPr>
                <w:sz w:val="20"/>
                <w:szCs w:val="20"/>
                <w:color w:val="auto"/>
              </w:rPr>
            </w:pPr>
            <w:r>
              <w:rPr>
                <w:rFonts w:ascii="Arial" w:cs="Arial" w:eastAsia="Arial" w:hAnsi="Arial"/>
                <w:sz w:val="12"/>
                <w:szCs w:val="12"/>
                <w:b w:val="1"/>
                <w:bCs w:val="1"/>
                <w:color w:val="auto"/>
              </w:rPr>
              <w:t>Stock</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260"/>
              <w:spacing w:after="0" w:line="118"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4200" w:type="dxa"/>
            <w:vAlign w:val="bottom"/>
          </w:tcPr>
          <w:p>
            <w:pPr>
              <w:spacing w:after="0" w:line="53" w:lineRule="exact"/>
              <w:rPr>
                <w:sz w:val="20"/>
                <w:szCs w:val="20"/>
                <w:color w:val="auto"/>
              </w:rPr>
            </w:pPr>
            <w:r>
              <w:rPr>
                <w:rFonts w:ascii="Arial" w:cs="Arial" w:eastAsia="Arial" w:hAnsi="Arial"/>
                <w:sz w:val="6"/>
                <w:szCs w:val="6"/>
                <w:b w:val="1"/>
                <w:bCs w:val="1"/>
                <w:color w:val="auto"/>
              </w:rPr>
              <w:t>(Amounts in thousands, except</w:t>
            </w: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tcPr>
          <w:p>
            <w:pPr>
              <w:jc w:val="center"/>
              <w:ind w:right="100"/>
              <w:spacing w:after="0" w:line="53" w:lineRule="exact"/>
              <w:rPr>
                <w:sz w:val="20"/>
                <w:szCs w:val="20"/>
                <w:color w:val="auto"/>
              </w:rPr>
            </w:pPr>
            <w:r>
              <w:rPr>
                <w:rFonts w:ascii="Arial" w:cs="Arial" w:eastAsia="Arial" w:hAnsi="Arial"/>
                <w:sz w:val="6"/>
                <w:szCs w:val="6"/>
                <w:b w:val="1"/>
                <w:bCs w:val="1"/>
                <w:color w:val="auto"/>
              </w:rPr>
              <w:t>Paid-In</w:t>
            </w:r>
          </w:p>
        </w:tc>
        <w:tc>
          <w:tcPr>
            <w:tcW w:w="900" w:type="dxa"/>
            <w:vAlign w:val="bottom"/>
            <w:gridSpan w:val="2"/>
          </w:tcPr>
          <w:p>
            <w:pPr>
              <w:ind w:left="180"/>
              <w:spacing w:after="0" w:line="53" w:lineRule="exact"/>
              <w:rPr>
                <w:sz w:val="20"/>
                <w:szCs w:val="20"/>
                <w:color w:val="auto"/>
              </w:rPr>
            </w:pPr>
            <w:r>
              <w:rPr>
                <w:rFonts w:ascii="Arial" w:cs="Arial" w:eastAsia="Arial" w:hAnsi="Arial"/>
                <w:sz w:val="6"/>
                <w:szCs w:val="6"/>
                <w:b w:val="1"/>
                <w:bCs w:val="1"/>
                <w:color w:val="auto"/>
              </w:rPr>
              <w:t>Retained</w:t>
            </w:r>
          </w:p>
        </w:tc>
        <w:tc>
          <w:tcPr>
            <w:tcW w:w="960" w:type="dxa"/>
            <w:vAlign w:val="bottom"/>
            <w:gridSpan w:val="3"/>
          </w:tcPr>
          <w:p>
            <w:pPr>
              <w:ind w:left="20"/>
              <w:spacing w:after="0" w:line="53" w:lineRule="exact"/>
              <w:rPr>
                <w:sz w:val="20"/>
                <w:szCs w:val="20"/>
                <w:color w:val="auto"/>
              </w:rPr>
            </w:pPr>
            <w:r>
              <w:rPr>
                <w:rFonts w:ascii="Arial" w:cs="Arial" w:eastAsia="Arial" w:hAnsi="Arial"/>
                <w:sz w:val="6"/>
                <w:szCs w:val="6"/>
                <w:b w:val="1"/>
                <w:bCs w:val="1"/>
                <w:color w:val="auto"/>
              </w:rPr>
              <w:t>Comprehensive</w:t>
            </w:r>
          </w:p>
        </w:tc>
        <w:tc>
          <w:tcPr>
            <w:tcW w:w="800" w:type="dxa"/>
            <w:vAlign w:val="bottom"/>
            <w:gridSpan w:val="2"/>
          </w:tcPr>
          <w:p>
            <w:pPr>
              <w:jc w:val="center"/>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20"/>
                <w:szCs w:val="20"/>
                <w:color w:val="auto"/>
              </w:rPr>
            </w:pPr>
            <w:r>
              <w:rPr>
                <w:rFonts w:ascii="Arial" w:cs="Arial" w:eastAsia="Arial" w:hAnsi="Arial"/>
                <w:sz w:val="12"/>
                <w:szCs w:val="12"/>
                <w:b w:val="1"/>
                <w:bCs w:val="1"/>
                <w:color w:val="auto"/>
              </w:rPr>
              <w:t>share data)</w:t>
            </w:r>
          </w:p>
        </w:tc>
        <w:tc>
          <w:tcPr>
            <w:tcW w:w="960" w:type="dxa"/>
            <w:vAlign w:val="bottom"/>
            <w:gridSpan w:val="3"/>
          </w:tcPr>
          <w:p>
            <w:pPr>
              <w:ind w:left="260"/>
              <w:spacing w:after="0"/>
              <w:rPr>
                <w:sz w:val="20"/>
                <w:szCs w:val="20"/>
                <w:color w:val="auto"/>
              </w:rPr>
            </w:pPr>
            <w:r>
              <w:rPr>
                <w:rFonts w:ascii="Arial" w:cs="Arial" w:eastAsia="Arial" w:hAnsi="Arial"/>
                <w:sz w:val="12"/>
                <w:szCs w:val="12"/>
                <w:b w:val="1"/>
                <w:bCs w:val="1"/>
                <w:color w:val="auto"/>
              </w:rPr>
              <w:t>Shares</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000" w:type="dxa"/>
            <w:vAlign w:val="bottom"/>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7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Capital</w:t>
            </w: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Earnings</w:t>
            </w:r>
          </w:p>
        </w:tc>
        <w:tc>
          <w:tcPr>
            <w:tcW w:w="9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Income (Loss)</w:t>
            </w:r>
          </w:p>
        </w:tc>
        <w:tc>
          <w:tcPr>
            <w:tcW w:w="100" w:type="dxa"/>
            <w:vAlign w:val="bottom"/>
          </w:tcPr>
          <w:p>
            <w:pPr>
              <w:spacing w:after="0"/>
              <w:rPr>
                <w:sz w:val="14"/>
                <w:szCs w:val="14"/>
                <w:color w:val="auto"/>
              </w:rPr>
            </w:pPr>
          </w:p>
        </w:tc>
        <w:tc>
          <w:tcPr>
            <w:tcW w:w="700" w:type="dxa"/>
            <w:vAlign w:val="bottom"/>
          </w:tcPr>
          <w:p>
            <w:pPr>
              <w:jc w:val="center"/>
              <w:ind w:right="23"/>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March 31,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162,950,606</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$ 1,629</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(26,704,577)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(1,216,163)</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w w:val="84"/>
              </w:rPr>
              <w:t>$ 557,957</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$ 1,757,524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(29,771)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1,071,176</w:t>
            </w:r>
          </w:p>
        </w:tc>
        <w:tc>
          <w:tcPr>
            <w:tcW w:w="0" w:type="dxa"/>
            <w:vAlign w:val="bottom"/>
          </w:tcPr>
          <w:p>
            <w:pPr>
              <w:spacing w:after="0"/>
              <w:rPr>
                <w:sz w:val="1"/>
                <w:szCs w:val="1"/>
                <w:color w:val="auto"/>
              </w:rPr>
            </w:pPr>
          </w:p>
        </w:tc>
      </w:tr>
      <w:tr>
        <w:trPr>
          <w:trHeight w:val="200"/>
        </w:trPr>
        <w:tc>
          <w:tcPr>
            <w:tcW w:w="4200" w:type="dxa"/>
            <w:vAlign w:val="bottom"/>
          </w:tcPr>
          <w:p>
            <w:pPr>
              <w:ind w:left="120"/>
              <w:spacing w:after="0"/>
              <w:rPr>
                <w:sz w:val="20"/>
                <w:szCs w:val="20"/>
                <w:color w:val="auto"/>
              </w:rPr>
            </w:pPr>
            <w:r>
              <w:rPr>
                <w:rFonts w:ascii="Arial" w:cs="Arial" w:eastAsia="Arial" w:hAnsi="Arial"/>
                <w:sz w:val="16"/>
                <w:szCs w:val="16"/>
                <w:color w:val="auto"/>
              </w:rPr>
              <w:t>Issuance of common stock</w:t>
            </w:r>
          </w:p>
        </w:tc>
        <w:tc>
          <w:tcPr>
            <w:tcW w:w="880" w:type="dxa"/>
            <w:vAlign w:val="bottom"/>
          </w:tcPr>
          <w:p>
            <w:pPr>
              <w:jc w:val="right"/>
              <w:spacing w:after="0"/>
              <w:rPr>
                <w:sz w:val="20"/>
                <w:szCs w:val="20"/>
                <w:color w:val="auto"/>
              </w:rPr>
            </w:pPr>
            <w:r>
              <w:rPr>
                <w:rFonts w:ascii="Arial" w:cs="Arial" w:eastAsia="Arial" w:hAnsi="Arial"/>
                <w:sz w:val="16"/>
                <w:szCs w:val="16"/>
                <w:color w:val="auto"/>
              </w:rPr>
              <w:t>458,943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5"/>
              <w:spacing w:after="0"/>
              <w:rPr>
                <w:sz w:val="20"/>
                <w:szCs w:val="20"/>
                <w:color w:val="auto"/>
              </w:rPr>
            </w:pPr>
            <w:r>
              <w:rPr>
                <w:rFonts w:ascii="Arial" w:cs="Arial" w:eastAsia="Arial" w:hAnsi="Arial"/>
                <w:sz w:val="16"/>
                <w:szCs w:val="16"/>
                <w:color w:val="auto"/>
              </w:rPr>
              <w:t>4,674</w:t>
            </w:r>
          </w:p>
        </w:tc>
        <w:tc>
          <w:tcPr>
            <w:tcW w:w="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4,679</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options exercised</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55,205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1,793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w:t>
            </w:r>
          </w:p>
        </w:tc>
        <w:tc>
          <w:tcPr>
            <w:tcW w:w="0" w:type="dxa"/>
            <w:vAlign w:val="bottom"/>
          </w:tcPr>
          <w:p>
            <w:pPr>
              <w:spacing w:after="0"/>
              <w:rPr>
                <w:sz w:val="1"/>
                <w:szCs w:val="1"/>
                <w:color w:val="auto"/>
              </w:rPr>
            </w:pPr>
          </w:p>
        </w:tc>
      </w:tr>
      <w:tr>
        <w:trPr>
          <w:trHeight w:val="207"/>
        </w:trPr>
        <w:tc>
          <w:tcPr>
            <w:tcW w:w="4200" w:type="dxa"/>
            <w:vAlign w:val="bottom"/>
          </w:tcPr>
          <w:p>
            <w:pPr>
              <w:ind w:left="120"/>
              <w:spacing w:after="0"/>
              <w:rPr>
                <w:sz w:val="20"/>
                <w:szCs w:val="20"/>
                <w:color w:val="auto"/>
              </w:rPr>
            </w:pPr>
            <w:r>
              <w:rPr>
                <w:rFonts w:ascii="Arial" w:cs="Arial" w:eastAsia="Arial" w:hAnsi="Arial"/>
                <w:sz w:val="16"/>
                <w:szCs w:val="16"/>
                <w:color w:val="auto"/>
              </w:rPr>
              <w:t>Repurchase of common stock (1)</w:t>
            </w:r>
          </w:p>
        </w:tc>
        <w:tc>
          <w:tcPr>
            <w:tcW w:w="960" w:type="dxa"/>
            <w:vAlign w:val="bottom"/>
            <w:gridSpan w:val="3"/>
          </w:tcPr>
          <w:p>
            <w:pPr>
              <w:ind w:left="6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(1,330,820)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(111,438)</w:t>
            </w:r>
          </w:p>
        </w:tc>
        <w:tc>
          <w:tcPr>
            <w:tcW w:w="80" w:type="dxa"/>
            <w:vAlign w:val="bottom"/>
          </w:tcPr>
          <w:p>
            <w:pPr>
              <w:spacing w:after="0"/>
              <w:rPr>
                <w:sz w:val="18"/>
                <w:szCs w:val="18"/>
                <w:color w:val="auto"/>
              </w:rPr>
            </w:pPr>
          </w:p>
        </w:tc>
        <w:tc>
          <w:tcPr>
            <w:tcW w:w="7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(111,438)</w:t>
            </w:r>
          </w:p>
        </w:tc>
        <w:tc>
          <w:tcPr>
            <w:tcW w:w="0" w:type="dxa"/>
            <w:vAlign w:val="bottom"/>
          </w:tcPr>
          <w:p>
            <w:pPr>
              <w:spacing w:after="0"/>
              <w:rPr>
                <w:sz w:val="1"/>
                <w:szCs w:val="1"/>
                <w:color w:val="auto"/>
              </w:rPr>
            </w:pPr>
          </w:p>
        </w:tc>
      </w:tr>
      <w:tr>
        <w:trPr>
          <w:trHeight w:val="164"/>
        </w:trPr>
        <w:tc>
          <w:tcPr>
            <w:tcW w:w="4200" w:type="dxa"/>
            <w:vAlign w:val="bottom"/>
            <w:shd w:val="clear" w:color="auto" w:fill="CCEEFF"/>
          </w:tcPr>
          <w:p>
            <w:pPr>
              <w:ind w:left="120"/>
              <w:spacing w:after="0" w:line="165" w:lineRule="exact"/>
              <w:rPr>
                <w:sz w:val="20"/>
                <w:szCs w:val="20"/>
                <w:color w:val="auto"/>
              </w:rPr>
            </w:pPr>
            <w:r>
              <w:rPr>
                <w:rFonts w:ascii="Arial" w:cs="Arial" w:eastAsia="Arial" w:hAnsi="Arial"/>
                <w:sz w:val="16"/>
                <w:szCs w:val="16"/>
                <w:color w:val="auto"/>
                <w:w w:val="96"/>
              </w:rPr>
              <w:t>Recognition of liability related to future restricted stock units</w:t>
            </w:r>
          </w:p>
        </w:tc>
        <w:tc>
          <w:tcPr>
            <w:tcW w:w="960" w:type="dxa"/>
            <w:vAlign w:val="bottom"/>
            <w:gridSpan w:val="3"/>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360</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07"/>
        </w:trPr>
        <w:tc>
          <w:tcPr>
            <w:tcW w:w="4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vesting</w:t>
            </w:r>
          </w:p>
        </w:tc>
        <w:tc>
          <w:tcPr>
            <w:tcW w:w="960" w:type="dxa"/>
            <w:vAlign w:val="bottom"/>
            <w:gridSpan w:val="3"/>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960" w:type="dxa"/>
            <w:vAlign w:val="bottom"/>
            <w:gridSpan w:val="3"/>
          </w:tcPr>
          <w:p>
            <w:pPr>
              <w:ind w:left="6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92,102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92,102</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comprehensive income (loss), net of tax</w:t>
            </w:r>
          </w:p>
        </w:tc>
        <w:tc>
          <w:tcPr>
            <w:tcW w:w="96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w:t>
            </w:r>
          </w:p>
        </w:tc>
        <w:tc>
          <w:tcPr>
            <w:tcW w:w="0" w:type="dxa"/>
            <w:vAlign w:val="bottom"/>
          </w:tcPr>
          <w:p>
            <w:pPr>
              <w:spacing w:after="0"/>
              <w:rPr>
                <w:sz w:val="1"/>
                <w:szCs w:val="1"/>
                <w:color w:val="auto"/>
              </w:rPr>
            </w:pPr>
          </w:p>
        </w:tc>
      </w:tr>
      <w:tr>
        <w:trPr>
          <w:trHeight w:val="207"/>
        </w:trPr>
        <w:tc>
          <w:tcPr>
            <w:tcW w:w="4200" w:type="dxa"/>
            <w:vAlign w:val="bottom"/>
          </w:tcPr>
          <w:p>
            <w:pPr>
              <w:ind w:left="120"/>
              <w:spacing w:after="0"/>
              <w:rPr>
                <w:sz w:val="20"/>
                <w:szCs w:val="20"/>
                <w:color w:val="auto"/>
              </w:rPr>
            </w:pPr>
            <w:r>
              <w:rPr>
                <w:rFonts w:ascii="Arial" w:cs="Arial" w:eastAsia="Arial" w:hAnsi="Arial"/>
                <w:sz w:val="16"/>
                <w:szCs w:val="16"/>
                <w:color w:val="auto"/>
              </w:rPr>
              <w:t>Dividends declared of $0.37 per share of common stock</w:t>
            </w:r>
          </w:p>
        </w:tc>
        <w:tc>
          <w:tcPr>
            <w:tcW w:w="960" w:type="dxa"/>
            <w:vAlign w:val="bottom"/>
            <w:gridSpan w:val="3"/>
          </w:tcPr>
          <w:p>
            <w:pPr>
              <w:ind w:left="6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(50,597)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(50,597)</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12,444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12,444</w:t>
            </w:r>
          </w:p>
        </w:tc>
        <w:tc>
          <w:tcPr>
            <w:tcW w:w="0" w:type="dxa"/>
            <w:vAlign w:val="bottom"/>
          </w:tcPr>
          <w:p>
            <w:pPr>
              <w:spacing w:after="0"/>
              <w:rPr>
                <w:sz w:val="1"/>
                <w:szCs w:val="1"/>
                <w:color w:val="auto"/>
              </w:rPr>
            </w:pPr>
          </w:p>
        </w:tc>
      </w:tr>
      <w:tr>
        <w:trPr>
          <w:trHeight w:val="200"/>
        </w:trPr>
        <w:tc>
          <w:tcPr>
            <w:tcW w:w="4200" w:type="dxa"/>
            <w:vAlign w:val="bottom"/>
          </w:tcPr>
          <w:p>
            <w:pPr>
              <w:spacing w:after="0"/>
              <w:rPr>
                <w:sz w:val="20"/>
                <w:szCs w:val="20"/>
                <w:color w:val="auto"/>
              </w:rPr>
            </w:pPr>
            <w:r>
              <w:rPr>
                <w:rFonts w:ascii="Arial" w:cs="Arial" w:eastAsia="Arial" w:hAnsi="Arial"/>
                <w:sz w:val="16"/>
                <w:szCs w:val="16"/>
                <w:b w:val="1"/>
                <w:bCs w:val="1"/>
                <w:color w:val="auto"/>
              </w:rPr>
              <w:t>Balance at June 30, 2021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163,464,754</w:t>
            </w:r>
          </w:p>
        </w:tc>
        <w:tc>
          <w:tcPr>
            <w:tcW w:w="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$ 1,635</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(28,035,397)</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(1,327,601)</w:t>
            </w: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w w:val="84"/>
              </w:rPr>
              <w:t>$ 577,228</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$ 1,799,029</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(26,758)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1,023,533</w:t>
            </w:r>
          </w:p>
        </w:tc>
        <w:tc>
          <w:tcPr>
            <w:tcW w:w="0" w:type="dxa"/>
            <w:vAlign w:val="bottom"/>
          </w:tcPr>
          <w:p>
            <w:pPr>
              <w:spacing w:after="0"/>
              <w:rPr>
                <w:sz w:val="1"/>
                <w:szCs w:val="1"/>
                <w:color w:val="auto"/>
              </w:rPr>
            </w:pPr>
          </w:p>
        </w:tc>
      </w:tr>
      <w:tr>
        <w:trPr>
          <w:trHeight w:val="194"/>
        </w:trPr>
        <w:tc>
          <w:tcPr>
            <w:tcW w:w="42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March 31, 2020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161,333,973</w:t>
            </w: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$ 1,613</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(22,614,052)</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(898,095)</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w w:val="84"/>
              </w:rPr>
              <w:t>$ 468,027</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$ 1,330,812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(46,001)</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856,356</w:t>
            </w:r>
          </w:p>
        </w:tc>
        <w:tc>
          <w:tcPr>
            <w:tcW w:w="0" w:type="dxa"/>
            <w:vAlign w:val="bottom"/>
          </w:tcPr>
          <w:p>
            <w:pPr>
              <w:spacing w:after="0"/>
              <w:rPr>
                <w:sz w:val="1"/>
                <w:szCs w:val="1"/>
                <w:color w:val="auto"/>
              </w:rPr>
            </w:pPr>
          </w:p>
        </w:tc>
      </w:tr>
      <w:tr>
        <w:trPr>
          <w:trHeight w:val="200"/>
        </w:trPr>
        <w:tc>
          <w:tcPr>
            <w:tcW w:w="4200" w:type="dxa"/>
            <w:vAlign w:val="bottom"/>
          </w:tcPr>
          <w:p>
            <w:pPr>
              <w:ind w:left="120"/>
              <w:spacing w:after="0"/>
              <w:rPr>
                <w:sz w:val="20"/>
                <w:szCs w:val="20"/>
                <w:color w:val="auto"/>
              </w:rPr>
            </w:pPr>
            <w:r>
              <w:rPr>
                <w:rFonts w:ascii="Arial" w:cs="Arial" w:eastAsia="Arial" w:hAnsi="Arial"/>
                <w:sz w:val="16"/>
                <w:szCs w:val="16"/>
                <w:color w:val="auto"/>
              </w:rPr>
              <w:t>Topic 326 adoption impact</w:t>
            </w:r>
          </w:p>
        </w:tc>
        <w:tc>
          <w:tcPr>
            <w:tcW w:w="960" w:type="dxa"/>
            <w:vAlign w:val="bottom"/>
            <w:gridSpan w:val="3"/>
          </w:tcPr>
          <w:p>
            <w:pPr>
              <w:ind w:left="6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(1,180)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361,856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4,420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4,423</w:t>
            </w:r>
          </w:p>
        </w:tc>
        <w:tc>
          <w:tcPr>
            <w:tcW w:w="0" w:type="dxa"/>
            <w:vAlign w:val="bottom"/>
          </w:tcPr>
          <w:p>
            <w:pPr>
              <w:spacing w:after="0"/>
              <w:rPr>
                <w:sz w:val="1"/>
                <w:szCs w:val="1"/>
                <w:color w:val="auto"/>
              </w:rPr>
            </w:pPr>
          </w:p>
        </w:tc>
      </w:tr>
      <w:tr>
        <w:trPr>
          <w:trHeight w:val="207"/>
        </w:trPr>
        <w:tc>
          <w:tcPr>
            <w:tcW w:w="4200" w:type="dxa"/>
            <w:vAlign w:val="bottom"/>
          </w:tcPr>
          <w:p>
            <w:pPr>
              <w:ind w:left="120"/>
              <w:spacing w:after="0"/>
              <w:rPr>
                <w:sz w:val="20"/>
                <w:szCs w:val="20"/>
                <w:color w:val="auto"/>
              </w:rPr>
            </w:pPr>
            <w:r>
              <w:rPr>
                <w:rFonts w:ascii="Arial" w:cs="Arial" w:eastAsia="Arial" w:hAnsi="Arial"/>
                <w:sz w:val="16"/>
                <w:szCs w:val="16"/>
                <w:color w:val="auto"/>
              </w:rPr>
              <w:t>Stock options exercised</w:t>
            </w:r>
          </w:p>
        </w:tc>
        <w:tc>
          <w:tcPr>
            <w:tcW w:w="880" w:type="dxa"/>
            <w:vAlign w:val="bottom"/>
          </w:tcPr>
          <w:p>
            <w:pPr>
              <w:jc w:val="right"/>
              <w:spacing w:after="0"/>
              <w:rPr>
                <w:sz w:val="20"/>
                <w:szCs w:val="20"/>
                <w:color w:val="auto"/>
              </w:rPr>
            </w:pPr>
            <w:r>
              <w:rPr>
                <w:rFonts w:ascii="Arial" w:cs="Arial" w:eastAsia="Arial" w:hAnsi="Arial"/>
                <w:sz w:val="16"/>
                <w:szCs w:val="16"/>
                <w:color w:val="auto"/>
              </w:rPr>
              <w:t>160,898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5"/>
              <w:spacing w:after="0"/>
              <w:rPr>
                <w:sz w:val="20"/>
                <w:szCs w:val="20"/>
                <w:color w:val="auto"/>
              </w:rPr>
            </w:pPr>
            <w:r>
              <w:rPr>
                <w:rFonts w:ascii="Arial" w:cs="Arial" w:eastAsia="Arial" w:hAnsi="Arial"/>
                <w:sz w:val="16"/>
                <w:szCs w:val="16"/>
                <w:color w:val="auto"/>
              </w:rPr>
              <w:t>3,123</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3,125</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 of common stock (2)</w:t>
            </w:r>
          </w:p>
        </w:tc>
        <w:tc>
          <w:tcPr>
            <w:tcW w:w="96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(1,045,939)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(75,506)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(75,506)</w:t>
            </w:r>
          </w:p>
        </w:tc>
        <w:tc>
          <w:tcPr>
            <w:tcW w:w="0" w:type="dxa"/>
            <w:vAlign w:val="bottom"/>
          </w:tcPr>
          <w:p>
            <w:pPr>
              <w:spacing w:after="0"/>
              <w:rPr>
                <w:sz w:val="1"/>
                <w:szCs w:val="1"/>
                <w:color w:val="auto"/>
              </w:rPr>
            </w:pPr>
          </w:p>
        </w:tc>
      </w:tr>
      <w:tr>
        <w:trPr>
          <w:trHeight w:val="161"/>
        </w:trPr>
        <w:tc>
          <w:tcPr>
            <w:tcW w:w="4200" w:type="dxa"/>
            <w:vAlign w:val="bottom"/>
          </w:tcPr>
          <w:p>
            <w:pPr>
              <w:ind w:left="120"/>
              <w:spacing w:after="0" w:line="161" w:lineRule="exact"/>
              <w:rPr>
                <w:sz w:val="20"/>
                <w:szCs w:val="20"/>
                <w:color w:val="auto"/>
              </w:rPr>
            </w:pPr>
            <w:r>
              <w:rPr>
                <w:rFonts w:ascii="Arial" w:cs="Arial" w:eastAsia="Arial" w:hAnsi="Arial"/>
                <w:sz w:val="16"/>
                <w:szCs w:val="16"/>
                <w:color w:val="auto"/>
                <w:w w:val="96"/>
              </w:rPr>
              <w:t>Recognition of liability related to future restricted stock units</w:t>
            </w:r>
          </w:p>
        </w:tc>
        <w:tc>
          <w:tcPr>
            <w:tcW w:w="960" w:type="dxa"/>
            <w:vAlign w:val="bottom"/>
            <w:gridSpan w:val="3"/>
            <w:vMerge w:val="restart"/>
          </w:tcPr>
          <w:p>
            <w:pPr>
              <w:ind w:left="640"/>
              <w:spacing w:after="0"/>
              <w:rPr>
                <w:sz w:val="20"/>
                <w:szCs w:val="20"/>
                <w:color w:val="auto"/>
              </w:rPr>
            </w:pPr>
            <w:r>
              <w:rPr>
                <w:rFonts w:ascii="Arial" w:cs="Arial" w:eastAsia="Arial" w:hAnsi="Arial"/>
                <w:sz w:val="16"/>
                <w:szCs w:val="16"/>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86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ind w:right="5"/>
              <w:spacing w:after="0"/>
              <w:rPr>
                <w:sz w:val="20"/>
                <w:szCs w:val="20"/>
                <w:color w:val="auto"/>
              </w:rPr>
            </w:pPr>
            <w:r>
              <w:rPr>
                <w:rFonts w:ascii="Arial" w:cs="Arial" w:eastAsia="Arial" w:hAnsi="Arial"/>
                <w:sz w:val="16"/>
                <w:szCs w:val="16"/>
                <w:color w:val="auto"/>
              </w:rPr>
              <w:t>339</w:t>
            </w:r>
          </w:p>
        </w:tc>
        <w:tc>
          <w:tcPr>
            <w:tcW w:w="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04"/>
        </w:trPr>
        <w:tc>
          <w:tcPr>
            <w:tcW w:w="4200" w:type="dxa"/>
            <w:vAlign w:val="bottom"/>
          </w:tcPr>
          <w:p>
            <w:pPr>
              <w:ind w:left="120"/>
              <w:spacing w:after="0"/>
              <w:rPr>
                <w:sz w:val="20"/>
                <w:szCs w:val="20"/>
                <w:color w:val="auto"/>
              </w:rPr>
            </w:pPr>
            <w:r>
              <w:rPr>
                <w:rFonts w:ascii="Arial" w:cs="Arial" w:eastAsia="Arial" w:hAnsi="Arial"/>
                <w:sz w:val="16"/>
                <w:szCs w:val="16"/>
                <w:color w:val="auto"/>
              </w:rPr>
              <w:t>vesting</w:t>
            </w:r>
          </w:p>
        </w:tc>
        <w:tc>
          <w:tcPr>
            <w:tcW w:w="960" w:type="dxa"/>
            <w:vAlign w:val="bottom"/>
            <w:gridSpan w:val="3"/>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96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129,329</w:t>
            </w:r>
          </w:p>
        </w:tc>
        <w:tc>
          <w:tcPr>
            <w:tcW w:w="0" w:type="dxa"/>
            <w:vAlign w:val="bottom"/>
          </w:tcPr>
          <w:p>
            <w:pPr>
              <w:spacing w:after="0"/>
              <w:rPr>
                <w:sz w:val="1"/>
                <w:szCs w:val="1"/>
                <w:color w:val="auto"/>
              </w:rPr>
            </w:pPr>
          </w:p>
        </w:tc>
      </w:tr>
      <w:tr>
        <w:trPr>
          <w:trHeight w:val="207"/>
        </w:trPr>
        <w:tc>
          <w:tcPr>
            <w:tcW w:w="4200" w:type="dxa"/>
            <w:vAlign w:val="bottom"/>
          </w:tcPr>
          <w:p>
            <w:pPr>
              <w:ind w:left="120"/>
              <w:spacing w:after="0"/>
              <w:rPr>
                <w:sz w:val="20"/>
                <w:szCs w:val="20"/>
                <w:color w:val="auto"/>
              </w:rPr>
            </w:pPr>
            <w:r>
              <w:rPr>
                <w:rFonts w:ascii="Arial" w:cs="Arial" w:eastAsia="Arial" w:hAnsi="Arial"/>
                <w:sz w:val="16"/>
                <w:szCs w:val="16"/>
                <w:color w:val="auto"/>
              </w:rPr>
              <w:t>Other comprehensive income (loss), net of tax</w:t>
            </w:r>
          </w:p>
        </w:tc>
        <w:tc>
          <w:tcPr>
            <w:tcW w:w="960" w:type="dxa"/>
            <w:vAlign w:val="bottom"/>
            <w:gridSpan w:val="3"/>
          </w:tcPr>
          <w:p>
            <w:pPr>
              <w:ind w:left="6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(1,417)</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Dividends declared of $0.31 per share of common stock</w:t>
            </w:r>
          </w:p>
        </w:tc>
        <w:tc>
          <w:tcPr>
            <w:tcW w:w="96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(43,832)</w:t>
            </w:r>
          </w:p>
        </w:tc>
        <w:tc>
          <w:tcPr>
            <w:tcW w:w="0" w:type="dxa"/>
            <w:vAlign w:val="bottom"/>
          </w:tcPr>
          <w:p>
            <w:pPr>
              <w:spacing w:after="0"/>
              <w:rPr>
                <w:sz w:val="1"/>
                <w:szCs w:val="1"/>
                <w:color w:val="auto"/>
              </w:rPr>
            </w:pPr>
          </w:p>
        </w:tc>
      </w:tr>
      <w:tr>
        <w:trPr>
          <w:trHeight w:val="207"/>
        </w:trPr>
        <w:tc>
          <w:tcPr>
            <w:tcW w:w="420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3"/>
          </w:tcPr>
          <w:p>
            <w:pPr>
              <w:ind w:left="6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5"/>
              <w:spacing w:after="0"/>
              <w:rPr>
                <w:sz w:val="20"/>
                <w:szCs w:val="20"/>
                <w:color w:val="auto"/>
              </w:rPr>
            </w:pPr>
            <w:r>
              <w:rPr>
                <w:rFonts w:ascii="Arial" w:cs="Arial" w:eastAsia="Arial" w:hAnsi="Arial"/>
                <w:sz w:val="16"/>
                <w:szCs w:val="16"/>
                <w:color w:val="auto"/>
              </w:rPr>
              <w:t>10,830</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10,830</w:t>
            </w:r>
          </w:p>
        </w:tc>
        <w:tc>
          <w:tcPr>
            <w:tcW w:w="0" w:type="dxa"/>
            <w:vAlign w:val="bottom"/>
          </w:tcPr>
          <w:p>
            <w:pPr>
              <w:spacing w:after="0"/>
              <w:rPr>
                <w:sz w:val="1"/>
                <w:szCs w:val="1"/>
                <w:color w:val="auto"/>
              </w:rPr>
            </w:pPr>
          </w:p>
        </w:tc>
      </w:tr>
      <w:tr>
        <w:trPr>
          <w:trHeight w:val="204"/>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June 30, 2020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161,856,727</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$ 1,618</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(23,659,991)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(973,601)</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w w:val="84"/>
              </w:rPr>
              <w:t>$ 486,739</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$ 1,415,129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(47,418)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882,467</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200" w:firstLine="5"/>
        <w:spacing w:after="0" w:line="299" w:lineRule="auto"/>
        <w:tabs>
          <w:tab w:leader="none" w:pos="248" w:val="left"/>
        </w:tabs>
        <w:numPr>
          <w:ilvl w:val="0"/>
          <w:numId w:val="2"/>
        </w:numPr>
        <w:rPr>
          <w:rFonts w:ascii="Arial" w:cs="Arial" w:eastAsia="Arial" w:hAnsi="Arial"/>
          <w:sz w:val="16"/>
          <w:szCs w:val="16"/>
          <w:color w:val="auto"/>
        </w:rPr>
      </w:pPr>
      <w:r>
        <w:rPr>
          <w:rFonts w:ascii="Arial" w:cs="Arial" w:eastAsia="Arial" w:hAnsi="Arial"/>
          <w:sz w:val="16"/>
          <w:szCs w:val="16"/>
          <w:color w:val="auto"/>
        </w:rPr>
        <w:t>During the three months ended June 30, 2021, the Company purchased 1.2 million shares of the Company’s Class A Common Stock in a series of open market transactions for $98.2 million. Additionally, the Company repurchased shares for $13.3 million during the three months ended June 30, 2021 to cover the minimum statutory withholding taxes on restricted stock units that vested on various dates during the period.</w:t>
      </w:r>
    </w:p>
    <w:p>
      <w:pPr>
        <w:spacing w:after="0" w:line="180" w:lineRule="exact"/>
        <w:rPr>
          <w:rFonts w:ascii="Arial" w:cs="Arial" w:eastAsia="Arial" w:hAnsi="Arial"/>
          <w:sz w:val="16"/>
          <w:szCs w:val="16"/>
          <w:color w:val="auto"/>
        </w:rPr>
      </w:pPr>
    </w:p>
    <w:p>
      <w:pPr>
        <w:ind w:right="20" w:firstLine="5"/>
        <w:spacing w:after="0" w:line="299" w:lineRule="auto"/>
        <w:tabs>
          <w:tab w:leader="none" w:pos="248" w:val="left"/>
        </w:tabs>
        <w:numPr>
          <w:ilvl w:val="0"/>
          <w:numId w:val="2"/>
        </w:numPr>
        <w:rPr>
          <w:rFonts w:ascii="Arial" w:cs="Arial" w:eastAsia="Arial" w:hAnsi="Arial"/>
          <w:sz w:val="16"/>
          <w:szCs w:val="16"/>
          <w:color w:val="auto"/>
        </w:rPr>
      </w:pPr>
      <w:r>
        <w:rPr>
          <w:rFonts w:ascii="Arial" w:cs="Arial" w:eastAsia="Arial" w:hAnsi="Arial"/>
          <w:sz w:val="16"/>
          <w:szCs w:val="16"/>
          <w:color w:val="auto"/>
        </w:rPr>
        <w:t>During the three months ended June 30, 2020, the Company purchased 0.9 million shares of the Company’s Class A Common Stock in a series of open market transactions for $66.4 million. Additionally, the Company repurchased shares for $9.1 million during the three months ended June 30, 2020 to cover the minimum statutory withholding taxes on restricted stock units that vested on various dates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45"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115" w:lineRule="exact"/>
        <w:rPr>
          <w:sz w:val="20"/>
          <w:szCs w:val="20"/>
          <w:color w:val="auto"/>
        </w:rPr>
      </w:pPr>
    </w:p>
    <w:p>
      <w:pPr>
        <w:ind w:right="140" w:firstLine="395"/>
        <w:spacing w:after="0" w:line="291" w:lineRule="auto"/>
        <w:rPr>
          <w:sz w:val="20"/>
          <w:szCs w:val="20"/>
          <w:color w:val="auto"/>
        </w:rPr>
      </w:pPr>
      <w:r>
        <w:rPr>
          <w:rFonts w:ascii="Arial" w:cs="Arial" w:eastAsia="Arial" w:hAnsi="Arial"/>
          <w:sz w:val="16"/>
          <w:szCs w:val="16"/>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services to U.S. and international governments, major corporations, and not-for-profit organizations. The Company reports operating results and financial data in one reportable segment. The Company is headquartered in McLean, Virginia, with approximately 28,600 employees as of June 30,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15" w:lineRule="exact"/>
        <w:rPr>
          <w:sz w:val="20"/>
          <w:szCs w:val="20"/>
          <w:color w:val="auto"/>
        </w:rPr>
      </w:pPr>
    </w:p>
    <w:p>
      <w:pPr>
        <w:ind w:right="80" w:firstLine="395"/>
        <w:spacing w:after="0" w:line="28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or GAAP, and pursuant to the rules and regulations of the U.S. Securities and Exchange Commission, or SEC, and should be read in conjunction with the information contained in the Company's Annual Report on Form 10-K for the year ended March 31, 2021.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 presented have been included. The Company’s fiscal year ends on March 31 and unless otherwise noted, references to fiscal year or fiscal are for fiscal years ended March 31. The results of operations for the three months ended June 30, 2021 are not necessarily indicative of results to be expected for the full fiscal year.</w:t>
      </w:r>
    </w:p>
    <w:p>
      <w:pPr>
        <w:spacing w:after="0" w:line="66"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The condensed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85" w:lineRule="exact"/>
        <w:rPr>
          <w:sz w:val="20"/>
          <w:szCs w:val="20"/>
          <w:color w:val="auto"/>
        </w:rPr>
      </w:pPr>
    </w:p>
    <w:p>
      <w:pPr>
        <w:ind w:right="180" w:firstLine="395"/>
        <w:spacing w:after="0" w:line="261" w:lineRule="auto"/>
        <w:rPr>
          <w:sz w:val="20"/>
          <w:szCs w:val="20"/>
          <w:color w:val="auto"/>
        </w:rPr>
      </w:pPr>
      <w:r>
        <w:rPr>
          <w:rFonts w:ascii="Arial" w:cs="Arial" w:eastAsia="Arial" w:hAnsi="Arial"/>
          <w:sz w:val="18"/>
          <w:szCs w:val="18"/>
          <w:color w:val="auto"/>
        </w:rPr>
        <w:t>Certain amounts reported in the Company's prior year condensed consolidated financial statements have been reclassified to conform to the current year presentation.</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09" w:lineRule="exact"/>
        <w:rPr>
          <w:sz w:val="20"/>
          <w:szCs w:val="20"/>
          <w:color w:val="auto"/>
        </w:rPr>
      </w:pPr>
    </w:p>
    <w:p>
      <w:pPr>
        <w:ind w:right="100" w:firstLine="395"/>
        <w:spacing w:after="0" w:line="28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the provision for claimed indirect costs, valuation and lives of tangible and intangible assets, impairment of long-lived assets, accrued liabilities, revenue recognition, including the accrual of indirect costs, bonus and other incentive compensation, stock-based compensation, reserves for uncertain tax positions and valuation allowances on deferred tax assets, provisions for income taxes, postretirement obligations, collectability of receivables, and loss accruals for litigation. Actual results experienced by the Company may differ materially from management's estimates.</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9" w:lineRule="exact"/>
        <w:rPr>
          <w:sz w:val="20"/>
          <w:szCs w:val="20"/>
          <w:color w:val="auto"/>
        </w:rPr>
      </w:pPr>
    </w:p>
    <w:p>
      <w:pPr>
        <w:ind w:right="520" w:firstLine="395"/>
        <w:spacing w:after="0" w:line="299" w:lineRule="auto"/>
        <w:rPr>
          <w:sz w:val="20"/>
          <w:szCs w:val="20"/>
          <w:color w:val="auto"/>
        </w:rPr>
      </w:pPr>
      <w:r>
        <w:rPr>
          <w:rFonts w:ascii="Arial" w:cs="Arial" w:eastAsia="Arial" w:hAnsi="Arial"/>
          <w:sz w:val="16"/>
          <w:szCs w:val="16"/>
          <w:color w:val="auto"/>
        </w:rPr>
        <w:t xml:space="preserve">In November 2020, the SEC issued Release No. 33-10890, </w:t>
      </w:r>
      <w:r>
        <w:rPr>
          <w:rFonts w:ascii="Arial" w:cs="Arial" w:eastAsia="Arial" w:hAnsi="Arial"/>
          <w:sz w:val="16"/>
          <w:szCs w:val="16"/>
          <w:i w:val="1"/>
          <w:iCs w:val="1"/>
          <w:color w:val="auto"/>
        </w:rPr>
        <w:t>Amendments to Management's Discussion and Analysis, Selected Financial Data, and</w:t>
      </w:r>
      <w:r>
        <w:rPr>
          <w:rFonts w:ascii="Arial" w:cs="Arial" w:eastAsia="Arial" w:hAnsi="Arial"/>
          <w:sz w:val="16"/>
          <w:szCs w:val="16"/>
          <w:color w:val="auto"/>
        </w:rPr>
        <w:t xml:space="preserve"> </w:t>
      </w:r>
      <w:r>
        <w:rPr>
          <w:rFonts w:ascii="Arial" w:cs="Arial" w:eastAsia="Arial" w:hAnsi="Arial"/>
          <w:sz w:val="16"/>
          <w:szCs w:val="16"/>
          <w:i w:val="1"/>
          <w:iCs w:val="1"/>
          <w:color w:val="auto"/>
        </w:rPr>
        <w:t>Supplementary Financial Information</w:t>
      </w:r>
      <w:r>
        <w:rPr>
          <w:rFonts w:ascii="Arial" w:cs="Arial" w:eastAsia="Arial" w:hAnsi="Arial"/>
          <w:sz w:val="16"/>
          <w:szCs w:val="16"/>
          <w:color w:val="auto"/>
        </w:rPr>
        <w:t>, to simplify, modernize and enhance certain financial disclosure requirements in Regulation S-K. This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became effective on February 10, 2021. The Company’s adoption is expected to impact fiscal 2022 Form 10-K disclosures.</w:t>
      </w:r>
    </w:p>
    <w:p>
      <w:pPr>
        <w:spacing w:after="0" w:line="49"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Other accounting and reporting pronouncements effective after June 30, 2021 and issued through the filing date are not expected to have a material impact on the Company's condensed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15" w:lineRule="exact"/>
        <w:rPr>
          <w:sz w:val="20"/>
          <w:szCs w:val="20"/>
          <w:color w:val="auto"/>
        </w:rPr>
      </w:pPr>
    </w:p>
    <w:p>
      <w:pPr>
        <w:ind w:right="120" w:firstLine="395"/>
        <w:spacing w:after="0" w:line="291" w:lineRule="auto"/>
        <w:rPr>
          <w:sz w:val="20"/>
          <w:szCs w:val="20"/>
          <w:color w:val="auto"/>
        </w:rPr>
      </w:pPr>
      <w:r>
        <w:rPr>
          <w:rFonts w:ascii="Arial" w:cs="Arial" w:eastAsia="Arial" w:hAnsi="Arial"/>
          <w:sz w:val="16"/>
          <w:szCs w:val="16"/>
          <w:color w:val="auto"/>
        </w:rPr>
        <w:t>The Company's revenues from contracts with customers (clients) are derived from offerings that include consulting, analytics, digital solutions, engineering, mission,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 contracts, time-and-materials contracts, and fixed-price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45"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109" w:lineRule="exact"/>
        <w:rPr>
          <w:sz w:val="20"/>
          <w:szCs w:val="20"/>
          <w:color w:val="auto"/>
        </w:rPr>
      </w:pPr>
    </w:p>
    <w:p>
      <w:pPr>
        <w:ind w:right="120" w:firstLine="395"/>
        <w:spacing w:after="0" w:line="280" w:lineRule="auto"/>
        <w:rPr>
          <w:sz w:val="20"/>
          <w:szCs w:val="20"/>
          <w:color w:val="auto"/>
        </w:rPr>
      </w:pPr>
      <w:r>
        <w:rPr>
          <w:rFonts w:ascii="Arial" w:cs="Arial" w:eastAsia="Arial" w:hAnsi="Arial"/>
          <w:sz w:val="16"/>
          <w:szCs w:val="16"/>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the completion of our performance obligations is subjective and requires management to make assumptions about future activity and cost drivers under the contract. Changes in these estimates can occur for a variety of reasons and, if significant, may impact the revenue and profitability of the Company’s contracts. Changes in estimates related to contracts accounted for under the EAC process are recognized on a cumulative catch-up basis in the period when such changes are determinable and reasonably estimable. If the estimate of contract profitability indicates an anticipated loss on a contract, the Company recognizes the total loss at the time it is identified. For each of the three months ended June 30, 2021 and 2020, the aggregate impact of adjustments in contract estimates was not material.</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9" w:lineRule="exact"/>
        <w:rPr>
          <w:sz w:val="20"/>
          <w:szCs w:val="20"/>
          <w:color w:val="auto"/>
        </w:rPr>
      </w:pPr>
    </w:p>
    <w:p>
      <w:pPr>
        <w:jc w:val="both"/>
        <w:ind w:right="120" w:firstLine="395"/>
        <w:spacing w:after="0" w:line="299" w:lineRule="auto"/>
        <w:rPr>
          <w:sz w:val="20"/>
          <w:szCs w:val="20"/>
          <w:color w:val="auto"/>
        </w:rPr>
      </w:pPr>
      <w:r>
        <w:rPr>
          <w:rFonts w:ascii="Arial" w:cs="Arial" w:eastAsia="Arial" w:hAnsi="Arial"/>
          <w:sz w:val="16"/>
          <w:szCs w:val="16"/>
          <w:color w:val="auto"/>
        </w:rPr>
        <w:t>We disaggregate our revenue from contracts with customers by contract type, customer, as well as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by Contract Type:</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09" w:lineRule="exact"/>
        <w:rPr>
          <w:sz w:val="20"/>
          <w:szCs w:val="20"/>
          <w:color w:val="auto"/>
        </w:rPr>
      </w:pPr>
    </w:p>
    <w:p>
      <w:pPr>
        <w:ind w:left="1900" w:right="100" w:hanging="632"/>
        <w:spacing w:after="0" w:line="324" w:lineRule="auto"/>
        <w:tabs>
          <w:tab w:leader="none" w:pos="1895" w:val="left"/>
        </w:tabs>
        <w:numPr>
          <w:ilvl w:val="0"/>
          <w:numId w:val="3"/>
        </w:numPr>
        <w:rPr>
          <w:rFonts w:ascii="Arial" w:cs="Arial" w:eastAsia="Arial" w:hAnsi="Arial"/>
          <w:sz w:val="16"/>
          <w:szCs w:val="16"/>
          <w:color w:val="auto"/>
        </w:rPr>
      </w:pPr>
      <w:r>
        <w:rPr>
          <w:rFonts w:ascii="Arial" w:cs="Arial" w:eastAsia="Arial" w:hAnsi="Arial"/>
          <w:sz w:val="16"/>
          <w:szCs w:val="16"/>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29" w:lineRule="exact"/>
        <w:rPr>
          <w:rFonts w:ascii="Arial" w:cs="Arial" w:eastAsia="Arial" w:hAnsi="Arial"/>
          <w:sz w:val="16"/>
          <w:szCs w:val="16"/>
          <w:color w:val="auto"/>
        </w:rPr>
      </w:pPr>
    </w:p>
    <w:p>
      <w:pPr>
        <w:ind w:left="1900" w:right="100" w:hanging="632"/>
        <w:spacing w:after="0" w:line="327" w:lineRule="auto"/>
        <w:tabs>
          <w:tab w:leader="none" w:pos="1895" w:val="left"/>
        </w:tabs>
        <w:numPr>
          <w:ilvl w:val="0"/>
          <w:numId w:val="3"/>
        </w:numPr>
        <w:rPr>
          <w:rFonts w:ascii="Arial" w:cs="Arial" w:eastAsia="Arial" w:hAnsi="Arial"/>
          <w:sz w:val="15"/>
          <w:szCs w:val="15"/>
          <w:color w:val="auto"/>
        </w:rPr>
      </w:pPr>
      <w:r>
        <w:rPr>
          <w:rFonts w:ascii="Arial" w:cs="Arial" w:eastAsia="Arial" w:hAnsi="Arial"/>
          <w:sz w:val="15"/>
          <w:szCs w:val="15"/>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31" w:lineRule="exact"/>
        <w:rPr>
          <w:rFonts w:ascii="Arial" w:cs="Arial" w:eastAsia="Arial" w:hAnsi="Arial"/>
          <w:sz w:val="15"/>
          <w:szCs w:val="15"/>
          <w:color w:val="auto"/>
        </w:rPr>
      </w:pPr>
    </w:p>
    <w:p>
      <w:pPr>
        <w:ind w:left="1900" w:right="80" w:hanging="632"/>
        <w:spacing w:after="0" w:line="252" w:lineRule="auto"/>
        <w:tabs>
          <w:tab w:leader="none" w:pos="1895" w:val="left"/>
        </w:tabs>
        <w:numPr>
          <w:ilvl w:val="0"/>
          <w:numId w:val="3"/>
        </w:numPr>
        <w:rPr>
          <w:rFonts w:ascii="Arial" w:cs="Arial" w:eastAsia="Arial" w:hAnsi="Arial"/>
          <w:sz w:val="18"/>
          <w:szCs w:val="18"/>
          <w:color w:val="auto"/>
        </w:rPr>
      </w:pPr>
      <w:r>
        <w:rPr>
          <w:rFonts w:ascii="Arial" w:cs="Arial" w:eastAsia="Arial" w:hAnsi="Arial"/>
          <w:sz w:val="18"/>
          <w:szCs w:val="18"/>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total revenue for each type of contract:</w:t>
      </w:r>
    </w:p>
    <w:p>
      <w:pPr>
        <w:spacing w:after="0" w:line="112"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Three Months Ended</w:t>
      </w:r>
    </w:p>
    <w:p>
      <w:pPr>
        <w:jc w:val="center"/>
        <w:ind w:left="6440"/>
        <w:spacing w:after="0"/>
        <w:rPr>
          <w:sz w:val="20"/>
          <w:szCs w:val="20"/>
          <w:color w:val="auto"/>
        </w:rPr>
      </w:pPr>
      <w:r>
        <w:rPr>
          <w:rFonts w:ascii="Arial" w:cs="Arial" w:eastAsia="Arial" w:hAnsi="Arial"/>
          <w:sz w:val="14"/>
          <w:szCs w:val="14"/>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6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spacing w:after="0"/>
              <w:rPr>
                <w:sz w:val="16"/>
                <w:szCs w:val="16"/>
                <w:color w:val="auto"/>
              </w:rPr>
            </w:pPr>
          </w:p>
        </w:tc>
      </w:tr>
      <w:tr>
        <w:trPr>
          <w:trHeight w:val="204"/>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Cost-reimbursable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1,115,426</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1,092,048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r>
      <w:tr>
        <w:trPr>
          <w:trHeight w:val="207"/>
        </w:trPr>
        <w:tc>
          <w:tcPr>
            <w:tcW w:w="6460" w:type="dxa"/>
            <w:vAlign w:val="bottom"/>
          </w:tcPr>
          <w:p>
            <w:pPr>
              <w:ind w:left="20"/>
              <w:spacing w:after="0"/>
              <w:rPr>
                <w:sz w:val="20"/>
                <w:szCs w:val="20"/>
                <w:color w:val="auto"/>
              </w:rPr>
            </w:pPr>
            <w:r>
              <w:rPr>
                <w:rFonts w:ascii="Arial" w:cs="Arial" w:eastAsia="Arial" w:hAnsi="Arial"/>
                <w:sz w:val="16"/>
                <w:szCs w:val="16"/>
                <w:color w:val="auto"/>
              </w:rPr>
              <w:t>Time-and-materials</w:t>
            </w:r>
          </w:p>
        </w:tc>
        <w:tc>
          <w:tcPr>
            <w:tcW w:w="320" w:type="dxa"/>
            <w:vAlign w:val="bottom"/>
          </w:tcPr>
          <w:p>
            <w:pPr>
              <w:spacing w:after="0"/>
              <w:rPr>
                <w:sz w:val="18"/>
                <w:szCs w:val="18"/>
                <w:color w:val="auto"/>
              </w:rPr>
            </w:pPr>
          </w:p>
        </w:tc>
        <w:tc>
          <w:tcPr>
            <w:tcW w:w="1280" w:type="dxa"/>
            <w:vAlign w:val="bottom"/>
          </w:tcPr>
          <w:p>
            <w:pPr>
              <w:jc w:val="right"/>
              <w:ind w:right="363"/>
              <w:spacing w:after="0"/>
              <w:rPr>
                <w:sz w:val="20"/>
                <w:szCs w:val="20"/>
                <w:color w:val="auto"/>
              </w:rPr>
            </w:pPr>
            <w:r>
              <w:rPr>
                <w:rFonts w:ascii="Arial" w:cs="Arial" w:eastAsia="Arial" w:hAnsi="Arial"/>
                <w:sz w:val="16"/>
                <w:szCs w:val="16"/>
                <w:color w:val="auto"/>
              </w:rPr>
              <w:t>497,449</w:t>
            </w:r>
          </w:p>
        </w:tc>
        <w:tc>
          <w:tcPr>
            <w:tcW w:w="740" w:type="dxa"/>
            <w:vAlign w:val="bottom"/>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363"/>
              <w:spacing w:after="0"/>
              <w:rPr>
                <w:sz w:val="20"/>
                <w:szCs w:val="20"/>
                <w:color w:val="auto"/>
              </w:rPr>
            </w:pPr>
            <w:r>
              <w:rPr>
                <w:rFonts w:ascii="Arial" w:cs="Arial" w:eastAsia="Arial" w:hAnsi="Arial"/>
                <w:sz w:val="16"/>
                <w:szCs w:val="16"/>
                <w:color w:val="auto"/>
              </w:rPr>
              <w:t>502,546</w:t>
            </w:r>
          </w:p>
        </w:tc>
        <w:tc>
          <w:tcPr>
            <w:tcW w:w="720" w:type="dxa"/>
            <w:vAlign w:val="bottom"/>
          </w:tcPr>
          <w:p>
            <w:pPr>
              <w:jc w:val="right"/>
              <w:spacing w:after="0"/>
              <w:rPr>
                <w:sz w:val="20"/>
                <w:szCs w:val="20"/>
                <w:color w:val="auto"/>
              </w:rPr>
            </w:pPr>
            <w:r>
              <w:rPr>
                <w:rFonts w:ascii="Arial" w:cs="Arial" w:eastAsia="Arial" w:hAnsi="Arial"/>
                <w:sz w:val="16"/>
                <w:szCs w:val="16"/>
                <w:color w:val="auto"/>
              </w:rPr>
              <w:t>26 %</w:t>
            </w:r>
          </w:p>
        </w:tc>
      </w:tr>
      <w:tr>
        <w:trPr>
          <w:trHeight w:val="214"/>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Fixed-price</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6"/>
                <w:szCs w:val="16"/>
                <w:color w:val="auto"/>
              </w:rPr>
              <w:t>376,191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6"/>
                <w:szCs w:val="16"/>
                <w:color w:val="auto"/>
              </w:rPr>
              <w:t>361,859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00"/>
        </w:trPr>
        <w:tc>
          <w:tcPr>
            <w:tcW w:w="64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color w:val="auto"/>
              </w:rPr>
              <w:t>1,989,066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color w:val="auto"/>
              </w:rPr>
              <w:t>1,956,453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r>
        <w:trPr>
          <w:trHeight w:val="23"/>
        </w:trPr>
        <w:tc>
          <w:tcPr>
            <w:tcW w:w="6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45"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by Customer Type:</w:t>
      </w:r>
    </w:p>
    <w:p>
      <w:pPr>
        <w:spacing w:after="0" w:line="269"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Three Months Ended</w:t>
      </w:r>
    </w:p>
    <w:p>
      <w:pPr>
        <w:jc w:val="center"/>
        <w:ind w:left="6440"/>
        <w:spacing w:after="0"/>
        <w:rPr>
          <w:sz w:val="20"/>
          <w:szCs w:val="20"/>
          <w:color w:val="auto"/>
        </w:rPr>
      </w:pPr>
      <w:r>
        <w:rPr>
          <w:rFonts w:ascii="Arial" w:cs="Arial" w:eastAsia="Arial" w:hAnsi="Arial"/>
          <w:sz w:val="14"/>
          <w:szCs w:val="14"/>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6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spacing w:after="0"/>
              <w:rPr>
                <w:sz w:val="16"/>
                <w:szCs w:val="16"/>
                <w:color w:val="auto"/>
              </w:rPr>
            </w:pPr>
          </w:p>
        </w:tc>
      </w:tr>
      <w:tr>
        <w:trPr>
          <w:trHeight w:val="191"/>
        </w:trPr>
        <w:tc>
          <w:tcPr>
            <w:tcW w:w="6460" w:type="dxa"/>
            <w:vAlign w:val="bottom"/>
            <w:shd w:val="clear" w:color="auto" w:fill="CCEEFF"/>
          </w:tcPr>
          <w:p>
            <w:pPr>
              <w:ind w:left="20"/>
              <w:spacing w:after="0" w:line="191" w:lineRule="exact"/>
              <w:rPr>
                <w:sz w:val="20"/>
                <w:szCs w:val="20"/>
                <w:color w:val="auto"/>
              </w:rPr>
            </w:pPr>
            <w:r>
              <w:rPr>
                <w:rFonts w:ascii="Arial" w:cs="Arial" w:eastAsia="Arial" w:hAnsi="Arial"/>
                <w:sz w:val="16"/>
                <w:szCs w:val="16"/>
                <w:color w:val="auto"/>
              </w:rPr>
              <w:t>U.S. government</w:t>
            </w:r>
            <w:r>
              <w:rPr>
                <w:rFonts w:ascii="Arial" w:cs="Arial" w:eastAsia="Arial" w:hAnsi="Arial"/>
                <w:sz w:val="20"/>
                <w:szCs w:val="20"/>
                <w:color w:val="auto"/>
                <w:vertAlign w:val="superscript"/>
              </w:rPr>
              <w:t>(1)</w:t>
            </w: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07"/>
        </w:trPr>
        <w:tc>
          <w:tcPr>
            <w:tcW w:w="6460" w:type="dxa"/>
            <w:vAlign w:val="bottom"/>
          </w:tcPr>
          <w:p>
            <w:pPr>
              <w:ind w:left="140"/>
              <w:spacing w:after="0"/>
              <w:rPr>
                <w:sz w:val="20"/>
                <w:szCs w:val="20"/>
                <w:color w:val="auto"/>
              </w:rPr>
            </w:pPr>
            <w:r>
              <w:rPr>
                <w:rFonts w:ascii="Arial" w:cs="Arial" w:eastAsia="Arial" w:hAnsi="Arial"/>
                <w:sz w:val="16"/>
                <w:szCs w:val="16"/>
                <w:color w:val="auto"/>
              </w:rPr>
              <w:t>Defense Clients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62"/>
              <w:spacing w:after="0"/>
              <w:rPr>
                <w:sz w:val="20"/>
                <w:szCs w:val="20"/>
                <w:color w:val="auto"/>
              </w:rPr>
            </w:pPr>
            <w:r>
              <w:rPr>
                <w:rFonts w:ascii="Arial" w:cs="Arial" w:eastAsia="Arial" w:hAnsi="Arial"/>
                <w:sz w:val="16"/>
                <w:szCs w:val="16"/>
                <w:color w:val="auto"/>
              </w:rPr>
              <w:t>975,926</w:t>
            </w:r>
          </w:p>
        </w:tc>
        <w:tc>
          <w:tcPr>
            <w:tcW w:w="740" w:type="dxa"/>
            <w:vAlign w:val="bottom"/>
          </w:tcPr>
          <w:p>
            <w:pPr>
              <w:jc w:val="right"/>
              <w:spacing w:after="0"/>
              <w:rPr>
                <w:sz w:val="20"/>
                <w:szCs w:val="20"/>
                <w:color w:val="auto"/>
              </w:rPr>
            </w:pPr>
            <w:r>
              <w:rPr>
                <w:rFonts w:ascii="Arial" w:cs="Arial" w:eastAsia="Arial" w:hAnsi="Arial"/>
                <w:sz w:val="16"/>
                <w:szCs w:val="16"/>
                <w:color w:val="auto"/>
              </w:rPr>
              <w:t>49 %</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62"/>
              <w:spacing w:after="0"/>
              <w:rPr>
                <w:sz w:val="20"/>
                <w:szCs w:val="20"/>
                <w:color w:val="auto"/>
              </w:rPr>
            </w:pPr>
            <w:r>
              <w:rPr>
                <w:rFonts w:ascii="Arial" w:cs="Arial" w:eastAsia="Arial" w:hAnsi="Arial"/>
                <w:sz w:val="16"/>
                <w:szCs w:val="16"/>
                <w:color w:val="auto"/>
              </w:rPr>
              <w:t>934,699</w:t>
            </w:r>
          </w:p>
        </w:tc>
        <w:tc>
          <w:tcPr>
            <w:tcW w:w="720" w:type="dxa"/>
            <w:vAlign w:val="bottom"/>
          </w:tcPr>
          <w:p>
            <w:pPr>
              <w:jc w:val="right"/>
              <w:spacing w:after="0"/>
              <w:rPr>
                <w:sz w:val="20"/>
                <w:szCs w:val="20"/>
                <w:color w:val="auto"/>
              </w:rPr>
            </w:pPr>
            <w:r>
              <w:rPr>
                <w:rFonts w:ascii="Arial" w:cs="Arial" w:eastAsia="Arial" w:hAnsi="Arial"/>
                <w:sz w:val="16"/>
                <w:szCs w:val="16"/>
                <w:color w:val="auto"/>
              </w:rPr>
              <w:t>48 %</w:t>
            </w:r>
          </w:p>
        </w:tc>
      </w:tr>
      <w:tr>
        <w:trPr>
          <w:trHeight w:val="214"/>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Intelligence Clients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376,756</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402,669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07"/>
        </w:trPr>
        <w:tc>
          <w:tcPr>
            <w:tcW w:w="6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Civil Clients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592,896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559,201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29 %</w:t>
            </w:r>
          </w:p>
        </w:tc>
      </w:tr>
      <w:tr>
        <w:trPr>
          <w:trHeight w:val="207"/>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U.S. government</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1,945,578</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1,896,569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07"/>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Global Commercial Clients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43,488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59,884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r>
      <w:tr>
        <w:trPr>
          <w:trHeight w:val="232"/>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1,989,066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1,956,453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left="160" w:firstLine="240"/>
        <w:spacing w:after="0" w:line="245" w:lineRule="auto"/>
        <w:tabs>
          <w:tab w:leader="none" w:pos="584"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We periodically reassess the composition of our U.S. government business and our internal resources who provide service delivery to our U.S. government customers. On occasion, this reassessment will result in certain contracts being reclassified between the various verticals of our U.S. government business shown in the table above. To the extent this occurs, we reclassify revenue in the comparable prior year period to conform to our current period presentation.</w:t>
      </w:r>
    </w:p>
    <w:p>
      <w:pPr>
        <w:spacing w:after="0" w:line="200" w:lineRule="exact"/>
        <w:rPr>
          <w:sz w:val="20"/>
          <w:szCs w:val="20"/>
          <w:color w:val="auto"/>
        </w:rPr>
      </w:pP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by Whether the Company Acts as a Prime Contractor or a Sub-Contractor:</w:t>
      </w:r>
    </w:p>
    <w:p>
      <w:pPr>
        <w:spacing w:after="0" w:line="98"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Three Months Ended</w:t>
      </w:r>
    </w:p>
    <w:p>
      <w:pPr>
        <w:jc w:val="center"/>
        <w:ind w:left="6440"/>
        <w:spacing w:after="0"/>
        <w:rPr>
          <w:sz w:val="20"/>
          <w:szCs w:val="20"/>
          <w:color w:val="auto"/>
        </w:rPr>
      </w:pPr>
      <w:r>
        <w:rPr>
          <w:rFonts w:ascii="Arial" w:cs="Arial" w:eastAsia="Arial" w:hAnsi="Arial"/>
          <w:sz w:val="14"/>
          <w:szCs w:val="14"/>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6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spacing w:after="0"/>
              <w:rPr>
                <w:sz w:val="16"/>
                <w:szCs w:val="16"/>
                <w:color w:val="auto"/>
              </w:rPr>
            </w:pPr>
          </w:p>
        </w:tc>
      </w:tr>
      <w:tr>
        <w:trPr>
          <w:trHeight w:val="204"/>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Prime Contractor</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1,861,722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1,803,604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r>
      <w:tr>
        <w:trPr>
          <w:trHeight w:val="207"/>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Sub-contractor</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color w:val="auto"/>
              </w:rPr>
              <w:t>127,344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color w:val="auto"/>
              </w:rPr>
              <w:t>152,849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r>
      <w:tr>
        <w:trPr>
          <w:trHeight w:val="229"/>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6"/>
                <w:szCs w:val="16"/>
                <w:color w:val="auto"/>
              </w:rPr>
              <w:t>1,989,066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6"/>
                <w:szCs w:val="16"/>
                <w:color w:val="auto"/>
              </w:rPr>
              <w:t>1,956,453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09" w:lineRule="exact"/>
        <w:rPr>
          <w:sz w:val="20"/>
          <w:szCs w:val="20"/>
          <w:color w:val="auto"/>
        </w:rPr>
      </w:pPr>
    </w:p>
    <w:p>
      <w:pPr>
        <w:ind w:right="180" w:firstLine="395"/>
        <w:spacing w:after="0" w:line="327" w:lineRule="auto"/>
        <w:rPr>
          <w:sz w:val="20"/>
          <w:szCs w:val="20"/>
          <w:color w:val="auto"/>
        </w:rPr>
      </w:pPr>
      <w:r>
        <w:rPr>
          <w:rFonts w:ascii="Arial" w:cs="Arial" w:eastAsia="Arial" w:hAnsi="Arial"/>
          <w:sz w:val="15"/>
          <w:szCs w:val="15"/>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which the Company does not expect to recognize as revenue.</w:t>
      </w:r>
    </w:p>
    <w:p>
      <w:pPr>
        <w:spacing w:after="0" w:line="32" w:lineRule="exact"/>
        <w:rPr>
          <w:sz w:val="20"/>
          <w:szCs w:val="20"/>
          <w:color w:val="auto"/>
        </w:rPr>
      </w:pPr>
    </w:p>
    <w:p>
      <w:pPr>
        <w:jc w:val="both"/>
        <w:ind w:right="20" w:firstLine="395"/>
        <w:spacing w:after="0" w:line="252" w:lineRule="auto"/>
        <w:rPr>
          <w:sz w:val="20"/>
          <w:szCs w:val="20"/>
          <w:color w:val="auto"/>
        </w:rPr>
      </w:pPr>
      <w:r>
        <w:rPr>
          <w:rFonts w:ascii="Arial" w:cs="Arial" w:eastAsia="Arial" w:hAnsi="Arial"/>
          <w:sz w:val="18"/>
          <w:szCs w:val="18"/>
          <w:color w:val="auto"/>
        </w:rPr>
        <w:t>As of June 30, 2021 and March 31, 2021, the Company had $7.0 billion and $6.7 billion of remaining performance obligations, respectively. We expect to recognize approximately 70% of the remaining performance obligations at June 30, 2021 as revenue over the next 12 months, and approximately 85% over the next 24 months. The remainder is expected to be recognized thereafter.</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9" w:lineRule="exact"/>
        <w:rPr>
          <w:sz w:val="20"/>
          <w:szCs w:val="20"/>
          <w:color w:val="auto"/>
        </w:rPr>
      </w:pPr>
    </w:p>
    <w:p>
      <w:pPr>
        <w:ind w:right="100" w:firstLine="395"/>
        <w:spacing w:after="0" w:line="248" w:lineRule="auto"/>
        <w:rPr>
          <w:sz w:val="20"/>
          <w:szCs w:val="20"/>
          <w:color w:val="auto"/>
        </w:rPr>
      </w:pPr>
      <w:r>
        <w:rPr>
          <w:rFonts w:ascii="Arial" w:cs="Arial" w:eastAsia="Arial" w:hAnsi="Arial"/>
          <w:sz w:val="18"/>
          <w:szCs w:val="18"/>
          <w:color w:val="auto"/>
        </w:rPr>
        <w:t>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 contracts are typically billed to the customer at periodic intervals (e.g. monthly or weekly) as indicated by the terms of the contract. Disparities between the timing of revenue recognition and customer billings and cash collections result in net contract assets or liabilities being recognized at the end of each reporting period.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4" w:lineRule="exact"/>
        <w:rPr>
          <w:sz w:val="20"/>
          <w:szCs w:val="20"/>
          <w:color w:val="auto"/>
        </w:rPr>
      </w:pPr>
    </w:p>
    <w:p>
      <w:pPr>
        <w:jc w:val="both"/>
        <w:ind w:left="2200" w:right="2140" w:firstLine="10"/>
        <w:spacing w:after="0" w:line="345"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82" w:lineRule="exact"/>
        <w:rPr>
          <w:sz w:val="20"/>
          <w:szCs w:val="20"/>
          <w:color w:val="auto"/>
        </w:rPr>
      </w:pPr>
    </w:p>
    <w:p>
      <w:pPr>
        <w:ind w:right="160" w:firstLine="395"/>
        <w:spacing w:after="0" w:line="281" w:lineRule="auto"/>
        <w:rPr>
          <w:sz w:val="20"/>
          <w:szCs w:val="20"/>
          <w:color w:val="auto"/>
        </w:rPr>
      </w:pPr>
      <w:r>
        <w:rPr>
          <w:rFonts w:ascii="Arial" w:cs="Arial" w:eastAsia="Arial" w:hAnsi="Arial"/>
          <w:sz w:val="16"/>
          <w:szCs w:val="16"/>
          <w:color w:val="auto"/>
        </w:rPr>
        <w:t>Contract assets primarily consist of unbilled receivables typically resulting from revenue recognized exceeding the amount billed to the customer and right to payment is not just subject to the passage of time. Unbilled amounts represent revenues for which billings have not been presented to customers at quarter-end or year-end. These amounts are generally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Contract liabilities primarily consist of advance payments, billings in excess of costs incurred and deferred revenue. Contract assets and liabilities are reported on a net contract basis at the end of each reporting period. The Company maintains an allowance for credit losses to provide for an estimate of uncollectible receivables.</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contract assets and liabilities recognized on the Company’s condensed consolidated balance sheets: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Contract Balances</w:t>
            </w: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56"/>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4"/>
        </w:trPr>
        <w:tc>
          <w:tcPr>
            <w:tcW w:w="4300" w:type="dxa"/>
            <w:vAlign w:val="bottom"/>
          </w:tcPr>
          <w:p>
            <w:pPr>
              <w:spacing w:after="0"/>
              <w:rPr>
                <w:sz w:val="15"/>
                <w:szCs w:val="15"/>
                <w:color w:val="auto"/>
              </w:rPr>
            </w:pPr>
          </w:p>
        </w:tc>
        <w:tc>
          <w:tcPr>
            <w:tcW w:w="30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7"/>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340"/>
              <w:spacing w:after="0"/>
              <w:rPr>
                <w:sz w:val="20"/>
                <w:szCs w:val="20"/>
                <w:color w:val="auto"/>
              </w:rPr>
            </w:pPr>
            <w:r>
              <w:rPr>
                <w:rFonts w:ascii="Arial" w:cs="Arial" w:eastAsia="Arial" w:hAnsi="Arial"/>
                <w:sz w:val="18"/>
                <w:szCs w:val="18"/>
                <w:color w:val="auto"/>
              </w:rPr>
              <w:t>Accounts receivable–billed</w:t>
            </w:r>
          </w:p>
        </w:tc>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571,326</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375,383</w:t>
            </w: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receivable–unbilled</w:t>
            </w: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Contract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1,101,446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1,037,968</w:t>
            </w:r>
          </w:p>
        </w:tc>
        <w:tc>
          <w:tcPr>
            <w:tcW w:w="0" w:type="dxa"/>
            <w:vAlign w:val="bottom"/>
          </w:tcPr>
          <w:p>
            <w:pPr>
              <w:spacing w:after="0"/>
              <w:rPr>
                <w:sz w:val="1"/>
                <w:szCs w:val="1"/>
                <w:color w:val="auto"/>
              </w:rPr>
            </w:pPr>
          </w:p>
        </w:tc>
      </w:tr>
      <w:tr>
        <w:trPr>
          <w:trHeight w:val="223"/>
        </w:trPr>
        <w:tc>
          <w:tcPr>
            <w:tcW w:w="4300" w:type="dxa"/>
            <w:vAlign w:val="bottom"/>
          </w:tcPr>
          <w:p>
            <w:pPr>
              <w:ind w:left="340"/>
              <w:spacing w:after="0"/>
              <w:rPr>
                <w:sz w:val="20"/>
                <w:szCs w:val="20"/>
                <w:color w:val="auto"/>
              </w:rPr>
            </w:pPr>
            <w:r>
              <w:rPr>
                <w:rFonts w:ascii="Arial" w:cs="Arial" w:eastAsia="Arial" w:hAnsi="Arial"/>
                <w:sz w:val="18"/>
                <w:szCs w:val="18"/>
                <w:color w:val="auto"/>
              </w:rPr>
              <w:t>Allowance for credit losses</w:t>
            </w:r>
          </w:p>
        </w:tc>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7"/>
        </w:trPr>
        <w:tc>
          <w:tcPr>
            <w:tcW w:w="4300" w:type="dxa"/>
            <w:vAlign w:val="bottom"/>
            <w:tcBorders>
              <w:top w:val="single" w:sz="8" w:color="CCEEFF"/>
            </w:tcBorders>
            <w:shd w:val="clear" w:color="auto" w:fill="CCEEFF"/>
          </w:tcPr>
          <w:p>
            <w:pPr>
              <w:ind w:left="660"/>
              <w:spacing w:after="0" w:line="203" w:lineRule="exact"/>
              <w:rPr>
                <w:sz w:val="20"/>
                <w:szCs w:val="20"/>
                <w:color w:val="auto"/>
              </w:rPr>
            </w:pPr>
            <w:r>
              <w:rPr>
                <w:rFonts w:ascii="Arial" w:cs="Arial" w:eastAsia="Arial" w:hAnsi="Arial"/>
                <w:sz w:val="18"/>
                <w:szCs w:val="18"/>
                <w:color w:val="auto"/>
              </w:rPr>
              <w:t>Accounts receivable, net</w:t>
            </w:r>
          </w:p>
        </w:tc>
        <w:tc>
          <w:tcPr>
            <w:tcW w:w="2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1,672,772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1,411,894</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receivable–unbilled</w:t>
            </w:r>
          </w:p>
        </w:tc>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Contract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63,869</w:t>
            </w:r>
          </w:p>
        </w:tc>
        <w:tc>
          <w:tcPr>
            <w:tcW w:w="0" w:type="dxa"/>
            <w:vAlign w:val="bottom"/>
          </w:tcPr>
          <w:p>
            <w:pPr>
              <w:spacing w:after="0"/>
              <w:rPr>
                <w:sz w:val="1"/>
                <w:szCs w:val="1"/>
                <w:color w:val="auto"/>
              </w:rPr>
            </w:pPr>
          </w:p>
        </w:tc>
      </w:tr>
      <w:tr>
        <w:trPr>
          <w:trHeight w:val="217"/>
        </w:trPr>
        <w:tc>
          <w:tcPr>
            <w:tcW w:w="4300" w:type="dxa"/>
            <w:vAlign w:val="bottom"/>
          </w:tcPr>
          <w:p>
            <w:pPr>
              <w:ind w:left="660"/>
              <w:spacing w:after="0" w:line="203" w:lineRule="exact"/>
              <w:rPr>
                <w:sz w:val="20"/>
                <w:szCs w:val="20"/>
                <w:color w:val="auto"/>
              </w:rPr>
            </w:pPr>
            <w:r>
              <w:rPr>
                <w:rFonts w:ascii="Arial" w:cs="Arial" w:eastAsia="Arial" w:hAnsi="Arial"/>
                <w:sz w:val="18"/>
                <w:szCs w:val="18"/>
                <w:color w:val="auto"/>
              </w:rPr>
              <w:t>Total accounts receivable, net</w:t>
            </w: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1,736,826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1,475,763</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Other current liabilities</w:t>
            </w:r>
          </w:p>
        </w:tc>
        <w:tc>
          <w:tcPr>
            <w:tcW w:w="2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300" w:type="dxa"/>
            <w:vAlign w:val="bottom"/>
          </w:tcPr>
          <w:p>
            <w:pPr>
              <w:ind w:left="340"/>
              <w:spacing w:after="0" w:line="172" w:lineRule="exact"/>
              <w:rPr>
                <w:sz w:val="20"/>
                <w:szCs w:val="20"/>
                <w:color w:val="auto"/>
              </w:rPr>
            </w:pPr>
            <w:r>
              <w:rPr>
                <w:rFonts w:ascii="Arial" w:cs="Arial" w:eastAsia="Arial" w:hAnsi="Arial"/>
                <w:sz w:val="18"/>
                <w:szCs w:val="18"/>
                <w:color w:val="auto"/>
                <w:w w:val="90"/>
              </w:rPr>
              <w:t>Advance payments, billings in excess of costs incurred</w:t>
            </w:r>
          </w:p>
        </w:tc>
        <w:tc>
          <w:tcPr>
            <w:tcW w:w="3060" w:type="dxa"/>
            <w:vAlign w:val="bottom"/>
            <w:gridSpan w:val="2"/>
            <w:vMerge w:val="restart"/>
          </w:tcPr>
          <w:p>
            <w:pPr>
              <w:ind w:left="120"/>
              <w:spacing w:after="0"/>
              <w:rPr>
                <w:sz w:val="20"/>
                <w:szCs w:val="20"/>
                <w:color w:val="auto"/>
              </w:rPr>
            </w:pPr>
            <w:r>
              <w:rPr>
                <w:rFonts w:ascii="Arial" w:cs="Arial" w:eastAsia="Arial" w:hAnsi="Arial"/>
                <w:sz w:val="18"/>
                <w:szCs w:val="18"/>
                <w:color w:val="auto"/>
              </w:rPr>
              <w:t>Contract liabilities</w:t>
            </w:r>
          </w:p>
        </w:tc>
        <w:tc>
          <w:tcPr>
            <w:tcW w:w="300" w:type="dxa"/>
            <w:vAlign w:val="bottom"/>
            <w:vMerge w:val="restart"/>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20,340</w:t>
            </w:r>
          </w:p>
        </w:tc>
        <w:tc>
          <w:tcPr>
            <w:tcW w:w="100" w:type="dxa"/>
            <w:vAlign w:val="bottom"/>
          </w:tcPr>
          <w:p>
            <w:pPr>
              <w:spacing w:after="0"/>
              <w:rPr>
                <w:sz w:val="14"/>
                <w:szCs w:val="14"/>
                <w:color w:val="auto"/>
              </w:rPr>
            </w:pPr>
          </w:p>
        </w:tc>
        <w:tc>
          <w:tcPr>
            <w:tcW w:w="26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15,906</w:t>
            </w:r>
          </w:p>
        </w:tc>
        <w:tc>
          <w:tcPr>
            <w:tcW w:w="0" w:type="dxa"/>
            <w:vAlign w:val="bottom"/>
          </w:tcPr>
          <w:p>
            <w:pPr>
              <w:spacing w:after="0"/>
              <w:rPr>
                <w:sz w:val="1"/>
                <w:szCs w:val="1"/>
                <w:color w:val="auto"/>
              </w:rPr>
            </w:pPr>
          </w:p>
        </w:tc>
      </w:tr>
      <w:tr>
        <w:trPr>
          <w:trHeight w:val="222"/>
        </w:trPr>
        <w:tc>
          <w:tcPr>
            <w:tcW w:w="4300" w:type="dxa"/>
            <w:vAlign w:val="bottom"/>
          </w:tcPr>
          <w:p>
            <w:pPr>
              <w:ind w:left="340"/>
              <w:spacing w:after="0"/>
              <w:rPr>
                <w:sz w:val="20"/>
                <w:szCs w:val="20"/>
                <w:color w:val="auto"/>
              </w:rPr>
            </w:pPr>
            <w:r>
              <w:rPr>
                <w:rFonts w:ascii="Arial" w:cs="Arial" w:eastAsia="Arial" w:hAnsi="Arial"/>
                <w:sz w:val="18"/>
                <w:szCs w:val="18"/>
                <w:color w:val="auto"/>
              </w:rPr>
              <w:t>and deferred revenue</w:t>
            </w:r>
          </w:p>
        </w:tc>
        <w:tc>
          <w:tcPr>
            <w:tcW w:w="3060" w:type="dxa"/>
            <w:vAlign w:val="bottom"/>
            <w:gridSpan w:val="2"/>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ind w:right="20" w:firstLine="395"/>
        <w:spacing w:after="0" w:line="248" w:lineRule="auto"/>
        <w:rPr>
          <w:sz w:val="20"/>
          <w:szCs w:val="20"/>
          <w:color w:val="auto"/>
        </w:rPr>
      </w:pPr>
      <w:r>
        <w:rPr>
          <w:rFonts w:ascii="Arial" w:cs="Arial" w:eastAsia="Arial" w:hAnsi="Arial"/>
          <w:sz w:val="18"/>
          <w:szCs w:val="18"/>
          <w:color w:val="auto"/>
        </w:rPr>
        <w:t>Changes in contract assets and contract liabilities are primarily due to the timing difference between the Company’s performance of services and payments from customers. For the three months ended June 30, 2021 and 2020, we recognized revenue of $11.9 million and $19.5 million, respectively, related to our contract liabilities on April 1, 2021 and 2020,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115" w:lineRule="exact"/>
        <w:rPr>
          <w:sz w:val="20"/>
          <w:szCs w:val="20"/>
          <w:color w:val="auto"/>
        </w:rPr>
      </w:pPr>
    </w:p>
    <w:p>
      <w:pPr>
        <w:ind w:right="200" w:firstLine="395"/>
        <w:spacing w:after="0" w:line="299" w:lineRule="auto"/>
        <w:rPr>
          <w:sz w:val="20"/>
          <w:szCs w:val="20"/>
          <w:color w:val="auto"/>
        </w:rPr>
      </w:pPr>
      <w:r>
        <w:rPr>
          <w:rFonts w:ascii="Arial" w:cs="Arial" w:eastAsia="Arial" w:hAnsi="Arial"/>
          <w:sz w:val="16"/>
          <w:szCs w:val="16"/>
          <w:color w:val="auto"/>
        </w:rPr>
        <w:t>The Company computes basic and diluted earnings per share amounts based on net income for the periods presented. The Company uses the weighted-average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49"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were paid in the first quarter of fiscal 2022 and 2021.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45"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98"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jc w:val="center"/>
        <w:ind w:left="6800"/>
        <w:spacing w:after="0"/>
        <w:rPr>
          <w:sz w:val="20"/>
          <w:szCs w:val="20"/>
          <w:color w:val="auto"/>
        </w:rPr>
      </w:pPr>
      <w:r>
        <w:rPr>
          <w:rFonts w:ascii="Arial" w:cs="Arial" w:eastAsia="Arial" w:hAnsi="Arial"/>
          <w:sz w:val="14"/>
          <w:szCs w:val="14"/>
          <w:b w:val="1"/>
          <w:bCs w:val="1"/>
          <w:color w:val="auto"/>
        </w:rPr>
        <w:t>June 30,</w:t>
      </w:r>
    </w:p>
    <w:p>
      <w:pPr>
        <w:spacing w:after="0" w:line="6" w:lineRule="exact"/>
        <w:rPr>
          <w:sz w:val="20"/>
          <w:szCs w:val="20"/>
          <w:color w:val="auto"/>
        </w:rPr>
      </w:pPr>
    </w:p>
    <w:tbl>
      <w:tblPr>
        <w:tblLayout w:type="fixed"/>
        <w:tblInd w:w="720" w:type="dxa"/>
        <w:tblCellMar>
          <w:top w:w="0" w:type="dxa"/>
          <w:left w:w="0" w:type="dxa"/>
          <w:bottom w:w="0" w:type="dxa"/>
          <w:right w:w="0" w:type="dxa"/>
        </w:tblCellMar>
      </w:tblPr>
      <w:tr>
        <w:trPr>
          <w:trHeight w:val="187"/>
        </w:trPr>
        <w:tc>
          <w:tcPr>
            <w:tcW w:w="68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Earnings for basic computations (1)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128,686</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Weighted-average common shares outstanding for basic computations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135,569,968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138,153,464</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Earnings for diluted computations (1)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128,689</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Dilutive stock options and restricted stock</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822,375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1,018,990</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rPr>
              <w:t>Weighted-average common shares outstanding for diluted computations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136,392,343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139,172,454</w:t>
            </w:r>
          </w:p>
        </w:tc>
        <w:tc>
          <w:tcPr>
            <w:tcW w:w="0" w:type="dxa"/>
            <w:vAlign w:val="bottom"/>
          </w:tcPr>
          <w:p>
            <w:pPr>
              <w:spacing w:after="0"/>
              <w:rPr>
                <w:sz w:val="1"/>
                <w:szCs w:val="1"/>
                <w:color w:val="auto"/>
              </w:rPr>
            </w:pPr>
          </w:p>
        </w:tc>
      </w:tr>
      <w:tr>
        <w:trPr>
          <w:trHeight w:val="203"/>
        </w:trPr>
        <w:tc>
          <w:tcPr>
            <w:tcW w:w="6820" w:type="dxa"/>
            <w:vAlign w:val="bottom"/>
          </w:tcPr>
          <w:p>
            <w:pPr>
              <w:ind w:left="20"/>
              <w:spacing w:after="0" w:line="203" w:lineRule="exact"/>
              <w:rPr>
                <w:sz w:val="20"/>
                <w:szCs w:val="20"/>
                <w:color w:val="auto"/>
              </w:rPr>
            </w:pPr>
            <w:r>
              <w:rPr>
                <w:rFonts w:ascii="Arial" w:cs="Arial" w:eastAsia="Arial" w:hAnsi="Arial"/>
                <w:sz w:val="18"/>
                <w:szCs w:val="18"/>
                <w:color w:val="auto"/>
              </w:rPr>
              <w:t>Earnings per common share</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400"/>
        <w:spacing w:after="0" w:line="248"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both the three months ended June 30, 2021 and 2020, 0.7 million participating securities were paid dividends totaling $0.3 million and $0.2 million, respectively. For the three months ended June 30, 2021 and 2020, there were undistributed earnings of $0.2 million and $0.4 million, respectively, allocated to the participating class of securities in both basic and diluted EPS. The allocated undistributed earnings and the dividends paid comprise the difference between net income presented on the condensed consolidated statements of operations and earnings for basic and diluted computations for the three months ended June 30, 2021 and 2020.</w:t>
      </w:r>
    </w:p>
    <w:p>
      <w:pPr>
        <w:spacing w:after="0" w:line="194" w:lineRule="exact"/>
        <w:rPr>
          <w:sz w:val="20"/>
          <w:szCs w:val="20"/>
          <w:color w:val="auto"/>
        </w:rPr>
      </w:pPr>
    </w:p>
    <w:p>
      <w:pPr>
        <w:ind w:right="260" w:firstLine="395"/>
        <w:spacing w:after="0" w:line="261" w:lineRule="auto"/>
        <w:rPr>
          <w:sz w:val="20"/>
          <w:szCs w:val="20"/>
          <w:color w:val="auto"/>
        </w:rPr>
      </w:pPr>
      <w:r>
        <w:rPr>
          <w:rFonts w:ascii="Arial" w:cs="Arial" w:eastAsia="Arial" w:hAnsi="Arial"/>
          <w:sz w:val="18"/>
          <w:szCs w:val="18"/>
          <w:color w:val="auto"/>
        </w:rPr>
        <w:t>The EPS calculation for the three months ended June 30, 2021 and 2020 excludes 0.1 million and 0.2 million options, respectively, as their impact was anti-dilutive.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 GOODWILL AND 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227" w:lineRule="exact"/>
        <w:rPr>
          <w:sz w:val="20"/>
          <w:szCs w:val="20"/>
          <w:color w:val="auto"/>
        </w:rPr>
      </w:pPr>
    </w:p>
    <w:p>
      <w:pPr>
        <w:ind w:right="220" w:firstLine="395"/>
        <w:spacing w:after="0" w:line="222" w:lineRule="auto"/>
        <w:rPr>
          <w:sz w:val="20"/>
          <w:szCs w:val="20"/>
          <w:color w:val="auto"/>
        </w:rPr>
      </w:pPr>
      <w:r>
        <w:rPr>
          <w:rFonts w:ascii="Arial" w:cs="Arial" w:eastAsia="Arial" w:hAnsi="Arial"/>
          <w:sz w:val="18"/>
          <w:szCs w:val="18"/>
          <w:color w:val="auto"/>
        </w:rPr>
        <w:t>On June 11, 2021, the Company acquired Liberty IT Solutions, LLC ("Liberty") for purchase consideration of approximately $668.7 million, net of adjustments related to working capital, and transaction costs incurred as part of the acquisition, including compensation expenses paid by the Company that were associated with employee retention. As a result of the transaction, Liberty became a wholly owned subsidiary of Booz Allen Hamilton, Inc. Liberty is a leading digital partner driving transformation across the federal IT ecosystem. The acquisition complements the Company’s digital transformation portfolio resulting in a deeper range of advanced technology solutions.</w:t>
      </w:r>
    </w:p>
    <w:p>
      <w:pPr>
        <w:spacing w:after="0" w:line="82" w:lineRule="exact"/>
        <w:rPr>
          <w:sz w:val="20"/>
          <w:szCs w:val="20"/>
          <w:color w:val="auto"/>
        </w:rPr>
      </w:pPr>
    </w:p>
    <w:p>
      <w:pPr>
        <w:jc w:val="both"/>
        <w:ind w:right="660" w:firstLine="395"/>
        <w:spacing w:after="0" w:line="362" w:lineRule="auto"/>
        <w:rPr>
          <w:sz w:val="20"/>
          <w:szCs w:val="20"/>
          <w:color w:val="auto"/>
        </w:rPr>
      </w:pPr>
      <w:r>
        <w:rPr>
          <w:rFonts w:ascii="Arial" w:cs="Arial" w:eastAsia="Arial" w:hAnsi="Arial"/>
          <w:sz w:val="15"/>
          <w:szCs w:val="15"/>
          <w:color w:val="auto"/>
        </w:rPr>
        <w:t>The acquisition of Liberty was accounted for under the acquisition method of accounting, which requires the total acquisition consideration to be allocated to the assets acquired and liabilities assumed based on an estimate of the acquisition date fair value, with the difference reflected in goodwill.</w:t>
      </w:r>
    </w:p>
    <w:p>
      <w:pPr>
        <w:spacing w:after="0" w:line="6" w:lineRule="exact"/>
        <w:rPr>
          <w:sz w:val="20"/>
          <w:szCs w:val="20"/>
          <w:color w:val="auto"/>
        </w:rPr>
      </w:pPr>
    </w:p>
    <w:p>
      <w:pPr>
        <w:jc w:val="both"/>
        <w:ind w:right="80" w:firstLine="395"/>
        <w:spacing w:after="0" w:line="252" w:lineRule="auto"/>
        <w:rPr>
          <w:sz w:val="20"/>
          <w:szCs w:val="20"/>
          <w:color w:val="auto"/>
        </w:rPr>
      </w:pPr>
      <w:r>
        <w:rPr>
          <w:rFonts w:ascii="Arial" w:cs="Arial" w:eastAsia="Arial" w:hAnsi="Arial"/>
          <w:sz w:val="18"/>
          <w:szCs w:val="18"/>
          <w:color w:val="auto"/>
        </w:rPr>
        <w:t>Under the terms of the purchase agreement, the Company has 120 days after closing to provide proposed post-closing working capital adjustments to the sellers which are subject to dispute. The final purchase price allocations will be completed after the underlying information has been finalized and agreed upon by the sellers and the Company.</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consideration paid and the preliminary fair value of assets acquired and liabilities assumed at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4" w:lineRule="exact"/>
        <w:rPr>
          <w:sz w:val="20"/>
          <w:szCs w:val="20"/>
          <w:color w:val="auto"/>
        </w:rPr>
      </w:pPr>
    </w:p>
    <w:p>
      <w:pPr>
        <w:jc w:val="both"/>
        <w:ind w:left="2200" w:right="2160" w:firstLine="10"/>
        <w:spacing w:after="0" w:line="345"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321" w:lineRule="exact"/>
        <w:rPr>
          <w:sz w:val="20"/>
          <w:szCs w:val="20"/>
          <w:color w:val="auto"/>
        </w:rPr>
      </w:pPr>
    </w:p>
    <w:tbl>
      <w:tblPr>
        <w:tblLayout w:type="fixed"/>
        <w:tblInd w:w="920" w:type="dxa"/>
        <w:tblCellMar>
          <w:top w:w="0" w:type="dxa"/>
          <w:left w:w="0" w:type="dxa"/>
          <w:bottom w:w="0" w:type="dxa"/>
          <w:right w:w="0" w:type="dxa"/>
        </w:tblCellMar>
      </w:tblPr>
      <w:tr>
        <w:trPr>
          <w:trHeight w:val="224"/>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paid (gross of cash acquired and including net adjustments)</w:t>
            </w:r>
          </w:p>
        </w:tc>
        <w:tc>
          <w:tcPr>
            <w:tcW w:w="8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668,682</w:t>
            </w:r>
          </w:p>
        </w:tc>
      </w:tr>
      <w:tr>
        <w:trPr>
          <w:trHeight w:val="250"/>
        </w:trPr>
        <w:tc>
          <w:tcPr>
            <w:tcW w:w="7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4"/>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 price allocation:</w:t>
            </w:r>
          </w:p>
        </w:tc>
        <w:tc>
          <w:tcPr>
            <w:tcW w:w="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3"/>
        </w:trPr>
        <w:tc>
          <w:tcPr>
            <w:tcW w:w="7980" w:type="dxa"/>
            <w:vAlign w:val="bottom"/>
          </w:tcPr>
          <w:p>
            <w:pPr>
              <w:ind w:left="580"/>
              <w:spacing w:after="0"/>
              <w:rPr>
                <w:sz w:val="20"/>
                <w:szCs w:val="20"/>
                <w:color w:val="auto"/>
              </w:rPr>
            </w:pPr>
            <w:r>
              <w:rPr>
                <w:rFonts w:ascii="Arial" w:cs="Arial" w:eastAsia="Arial" w:hAnsi="Arial"/>
                <w:sz w:val="18"/>
                <w:szCs w:val="18"/>
                <w:color w:val="auto"/>
              </w:rPr>
              <w:t>Cash</w:t>
            </w:r>
          </w:p>
        </w:tc>
        <w:tc>
          <w:tcPr>
            <w:tcW w:w="8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3,099</w:t>
            </w:r>
          </w:p>
        </w:tc>
      </w:tr>
      <w:tr>
        <w:trPr>
          <w:trHeight w:val="224"/>
        </w:trPr>
        <w:tc>
          <w:tcPr>
            <w:tcW w:w="7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Current assets</w:t>
            </w:r>
          </w:p>
        </w:tc>
        <w:tc>
          <w:tcPr>
            <w:tcW w:w="8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42,213</w:t>
            </w:r>
          </w:p>
        </w:tc>
      </w:tr>
      <w:tr>
        <w:trPr>
          <w:trHeight w:val="223"/>
        </w:trPr>
        <w:tc>
          <w:tcPr>
            <w:tcW w:w="7980" w:type="dxa"/>
            <w:vAlign w:val="bottom"/>
          </w:tcPr>
          <w:p>
            <w:pPr>
              <w:ind w:left="580"/>
              <w:spacing w:after="0"/>
              <w:rPr>
                <w:sz w:val="20"/>
                <w:szCs w:val="20"/>
                <w:color w:val="auto"/>
              </w:rPr>
            </w:pPr>
            <w:r>
              <w:rPr>
                <w:rFonts w:ascii="Arial" w:cs="Arial" w:eastAsia="Arial" w:hAnsi="Arial"/>
                <w:sz w:val="18"/>
                <w:szCs w:val="18"/>
                <w:color w:val="auto"/>
              </w:rPr>
              <w:t>Operating lease right-of-use asset</w:t>
            </w:r>
          </w:p>
        </w:tc>
        <w:tc>
          <w:tcPr>
            <w:tcW w:w="8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2,327</w:t>
            </w:r>
          </w:p>
        </w:tc>
      </w:tr>
      <w:tr>
        <w:trPr>
          <w:trHeight w:val="224"/>
        </w:trPr>
        <w:tc>
          <w:tcPr>
            <w:tcW w:w="7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Other long-term assets</w:t>
            </w:r>
          </w:p>
        </w:tc>
        <w:tc>
          <w:tcPr>
            <w:tcW w:w="8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r>
      <w:tr>
        <w:trPr>
          <w:trHeight w:val="223"/>
        </w:trPr>
        <w:tc>
          <w:tcPr>
            <w:tcW w:w="7980" w:type="dxa"/>
            <w:vAlign w:val="bottom"/>
          </w:tcPr>
          <w:p>
            <w:pPr>
              <w:ind w:left="580"/>
              <w:spacing w:after="0"/>
              <w:rPr>
                <w:sz w:val="20"/>
                <w:szCs w:val="20"/>
                <w:color w:val="auto"/>
              </w:rPr>
            </w:pPr>
            <w:r>
              <w:rPr>
                <w:rFonts w:ascii="Arial" w:cs="Arial" w:eastAsia="Arial" w:hAnsi="Arial"/>
                <w:sz w:val="18"/>
                <w:szCs w:val="18"/>
                <w:color w:val="auto"/>
              </w:rPr>
              <w:t>Intangible assets</w:t>
            </w:r>
          </w:p>
        </w:tc>
        <w:tc>
          <w:tcPr>
            <w:tcW w:w="8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311,000</w:t>
            </w:r>
          </w:p>
        </w:tc>
      </w:tr>
      <w:tr>
        <w:trPr>
          <w:trHeight w:val="224"/>
        </w:trPr>
        <w:tc>
          <w:tcPr>
            <w:tcW w:w="7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Current liabilities</w:t>
            </w:r>
          </w:p>
        </w:tc>
        <w:tc>
          <w:tcPr>
            <w:tcW w:w="8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(33,745)</w:t>
            </w:r>
          </w:p>
        </w:tc>
      </w:tr>
      <w:tr>
        <w:trPr>
          <w:trHeight w:val="223"/>
        </w:trPr>
        <w:tc>
          <w:tcPr>
            <w:tcW w:w="7980" w:type="dxa"/>
            <w:vAlign w:val="bottom"/>
          </w:tcPr>
          <w:p>
            <w:pPr>
              <w:ind w:left="580"/>
              <w:spacing w:after="0"/>
              <w:rPr>
                <w:sz w:val="20"/>
                <w:szCs w:val="20"/>
                <w:color w:val="auto"/>
              </w:rPr>
            </w:pPr>
            <w:r>
              <w:rPr>
                <w:rFonts w:ascii="Arial" w:cs="Arial" w:eastAsia="Arial" w:hAnsi="Arial"/>
                <w:sz w:val="18"/>
                <w:szCs w:val="18"/>
                <w:color w:val="auto"/>
              </w:rPr>
              <w:t>Operating lease liabilities-current</w:t>
            </w:r>
          </w:p>
        </w:tc>
        <w:tc>
          <w:tcPr>
            <w:tcW w:w="8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(939)</w:t>
            </w:r>
          </w:p>
        </w:tc>
      </w:tr>
      <w:tr>
        <w:trPr>
          <w:trHeight w:val="224"/>
        </w:trPr>
        <w:tc>
          <w:tcPr>
            <w:tcW w:w="7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Operating lease liabilities-long term</w:t>
            </w:r>
          </w:p>
        </w:tc>
        <w:tc>
          <w:tcPr>
            <w:tcW w:w="8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r>
      <w:tr>
        <w:trPr>
          <w:trHeight w:val="217"/>
        </w:trPr>
        <w:tc>
          <w:tcPr>
            <w:tcW w:w="7980" w:type="dxa"/>
            <w:vAlign w:val="bottom"/>
          </w:tcPr>
          <w:p>
            <w:pPr>
              <w:ind w:left="580"/>
              <w:spacing w:after="0" w:line="203" w:lineRule="exact"/>
              <w:rPr>
                <w:sz w:val="20"/>
                <w:szCs w:val="20"/>
                <w:color w:val="auto"/>
              </w:rPr>
            </w:pPr>
            <w:r>
              <w:rPr>
                <w:rFonts w:ascii="Arial" w:cs="Arial" w:eastAsia="Arial" w:hAnsi="Arial"/>
                <w:sz w:val="18"/>
                <w:szCs w:val="18"/>
                <w:color w:val="auto"/>
              </w:rPr>
              <w:t>Total fair value of identifiable net assets acquired</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324,691</w:t>
            </w:r>
          </w:p>
        </w:tc>
      </w:tr>
      <w:tr>
        <w:trPr>
          <w:trHeight w:val="250"/>
        </w:trPr>
        <w:tc>
          <w:tcPr>
            <w:tcW w:w="798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r>
      <w:tr>
        <w:trPr>
          <w:trHeight w:val="217"/>
        </w:trPr>
        <w:tc>
          <w:tcPr>
            <w:tcW w:w="7980" w:type="dxa"/>
            <w:vAlign w:val="bottom"/>
          </w:tcPr>
          <w:p>
            <w:pPr>
              <w:ind w:left="400"/>
              <w:spacing w:after="0" w:line="203" w:lineRule="exact"/>
              <w:rPr>
                <w:sz w:val="20"/>
                <w:szCs w:val="20"/>
                <w:color w:val="auto"/>
              </w:rPr>
            </w:pPr>
            <w:r>
              <w:rPr>
                <w:rFonts w:ascii="Arial" w:cs="Arial" w:eastAsia="Arial" w:hAnsi="Arial"/>
                <w:sz w:val="18"/>
                <w:szCs w:val="18"/>
                <w:color w:val="auto"/>
              </w:rPr>
              <w:t>Preliminary goodwill</w:t>
            </w: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343,991</w:t>
            </w:r>
          </w:p>
        </w:tc>
      </w:tr>
      <w:tr>
        <w:trPr>
          <w:trHeight w:val="20"/>
        </w:trPr>
        <w:tc>
          <w:tcPr>
            <w:tcW w:w="7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20" w:firstLine="395"/>
        <w:spacing w:after="0" w:line="247" w:lineRule="auto"/>
        <w:rPr>
          <w:sz w:val="20"/>
          <w:szCs w:val="20"/>
          <w:color w:val="auto"/>
        </w:rPr>
      </w:pPr>
      <w:r>
        <w:rPr>
          <w:rFonts w:ascii="Arial" w:cs="Arial" w:eastAsia="Arial" w:hAnsi="Arial"/>
          <w:sz w:val="18"/>
          <w:szCs w:val="18"/>
          <w:color w:val="auto"/>
        </w:rPr>
        <w:t>The intangible assets of $311.0 million consist of programs and contracts assets, and were valued using the excess earnings method discounted cash flow approach, incorporating Level 3 inputs as described under the fair value hierarchy of Accounting Standards Codification (ASC) No. 820</w:t>
      </w:r>
      <w:r>
        <w:rPr>
          <w:rFonts w:ascii="Arial" w:cs="Arial" w:eastAsia="Arial" w:hAnsi="Arial"/>
          <w:sz w:val="18"/>
          <w:szCs w:val="18"/>
          <w:i w:val="1"/>
          <w:iCs w:val="1"/>
          <w:color w:val="auto"/>
        </w:rPr>
        <w:t>,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w:t>
      </w:r>
      <w:r>
        <w:rPr>
          <w:rFonts w:ascii="Arial" w:cs="Arial" w:eastAsia="Arial" w:hAnsi="Arial"/>
          <w:sz w:val="18"/>
          <w:szCs w:val="18"/>
          <w:color w:val="auto"/>
        </w:rPr>
        <w:t>t (Topic 820). These unobservable inputs reflect the Company's own judgement about which assumptions market participants would use 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an asset on a non-recurring basis. The intangible assets are expected to be amortized over the estimated useful life of 12 years. The goodwill of $344.0 million is primarily attributable to the specialized workforce and the expected synergies between the Company and Liberty. The majority of the goodwill is expected to be deductible for tax purposes.</w:t>
      </w:r>
    </w:p>
    <w:p>
      <w:pPr>
        <w:spacing w:after="0" w:line="77" w:lineRule="exact"/>
        <w:rPr>
          <w:sz w:val="20"/>
          <w:szCs w:val="20"/>
          <w:color w:val="auto"/>
        </w:rPr>
      </w:pPr>
    </w:p>
    <w:p>
      <w:pPr>
        <w:ind w:firstLine="395"/>
        <w:spacing w:after="0" w:line="245" w:lineRule="auto"/>
        <w:rPr>
          <w:sz w:val="20"/>
          <w:szCs w:val="20"/>
          <w:color w:val="auto"/>
        </w:rPr>
      </w:pPr>
      <w:r>
        <w:rPr>
          <w:rFonts w:ascii="Arial" w:cs="Arial" w:eastAsia="Arial" w:hAnsi="Arial"/>
          <w:sz w:val="16"/>
          <w:szCs w:val="16"/>
          <w:color w:val="auto"/>
        </w:rPr>
        <w:t>The fair values of assets acquired and liabilities assumed are preliminary and based on valuation estimates and assumptions. The accounting for business combination requires estimates and judgements regarding expectations of future cash flows of the acquired business, and the allocations of those cash flows to identifiable tangible and intangible assets. The estimates and assumptions underlying the preliminary valuations are subject to collection of information necessary to complete the valuations (specifically related to projected financial information) within the measurement periods, which are up to one year from the respective acquisition dates. Although the Company does not currently expect material changes to the initial value of net assets acquired, the Company continues to evaluate assumptions related to the valuation of the assets acquired and liabilities assumed. Any adjustments to our estimates of purchase price allocation will be made in the periods in which the adjustments are determined and the cumulative effect of such adjustments will be calculated as if the adjustments had been completed as of the acquisition dates. Further, the Company has not finalized the determination of fair values allocated to various assets and liabilities, including, but not limited to, accounts receivable, intangible assets, property, plant, and equipment, other current and long-term assets, accounts payable and accrued liabilities, and goodwill.</w:t>
      </w:r>
    </w:p>
    <w:p>
      <w:pPr>
        <w:spacing w:after="0" w:line="82" w:lineRule="exact"/>
        <w:rPr>
          <w:sz w:val="20"/>
          <w:szCs w:val="20"/>
          <w:color w:val="auto"/>
        </w:rPr>
      </w:pPr>
    </w:p>
    <w:p>
      <w:pPr>
        <w:ind w:right="320" w:firstLine="395"/>
        <w:spacing w:after="0" w:line="261" w:lineRule="auto"/>
        <w:rPr>
          <w:sz w:val="20"/>
          <w:szCs w:val="20"/>
          <w:color w:val="auto"/>
        </w:rPr>
      </w:pPr>
      <w:r>
        <w:rPr>
          <w:rFonts w:ascii="Arial" w:cs="Arial" w:eastAsia="Arial" w:hAnsi="Arial"/>
          <w:sz w:val="18"/>
          <w:szCs w:val="18"/>
          <w:color w:val="auto"/>
        </w:rPr>
        <w:t>Pro forma results of operations for this acquisition are not presented because this acquisition is not material to the Company's condensed consolidated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9" w:lineRule="exact"/>
        <w:rPr>
          <w:sz w:val="20"/>
          <w:szCs w:val="20"/>
          <w:color w:val="auto"/>
        </w:rPr>
      </w:pPr>
    </w:p>
    <w:p>
      <w:pPr>
        <w:ind w:right="480" w:firstLine="395"/>
        <w:spacing w:after="0" w:line="261" w:lineRule="auto"/>
        <w:rPr>
          <w:sz w:val="20"/>
          <w:szCs w:val="20"/>
          <w:color w:val="auto"/>
        </w:rPr>
      </w:pPr>
      <w:r>
        <w:rPr>
          <w:rFonts w:ascii="Arial" w:cs="Arial" w:eastAsia="Arial" w:hAnsi="Arial"/>
          <w:sz w:val="18"/>
          <w:szCs w:val="18"/>
          <w:color w:val="auto"/>
        </w:rPr>
        <w:t>As of June 30, 2021 and March 31, 2021, goodwill was $1,925.2 million and $1,581.2 million, respectively. The increase in the carrying amount of goodwill was attributable to the Company's acquisition of Liberty.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Intangible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4" w:lineRule="exact"/>
        <w:rPr>
          <w:sz w:val="20"/>
          <w:szCs w:val="20"/>
          <w:color w:val="auto"/>
        </w:rPr>
      </w:pPr>
    </w:p>
    <w:p>
      <w:pPr>
        <w:jc w:val="both"/>
        <w:ind w:left="2200" w:right="2280" w:firstLine="10"/>
        <w:spacing w:after="0" w:line="345"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3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June 30, 2021</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March 31, 2021</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89"/>
              </w:rPr>
              <w:t>Gross Carrying</w:t>
            </w:r>
          </w:p>
        </w:tc>
        <w:tc>
          <w:tcPr>
            <w:tcW w:w="140" w:type="dxa"/>
            <w:vAlign w:val="bottom"/>
          </w:tcPr>
          <w:p>
            <w:pPr>
              <w:spacing w:after="0"/>
              <w:rPr>
                <w:sz w:val="13"/>
                <w:szCs w:val="13"/>
                <w:color w:val="auto"/>
              </w:rPr>
            </w:pPr>
          </w:p>
        </w:tc>
        <w:tc>
          <w:tcPr>
            <w:tcW w:w="128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1020" w:type="dxa"/>
            <w:vAlign w:val="bottom"/>
          </w:tcPr>
          <w:p>
            <w:pPr>
              <w:jc w:val="center"/>
              <w:ind w:right="1"/>
              <w:spacing w:after="0" w:line="155" w:lineRule="exact"/>
              <w:rPr>
                <w:sz w:val="20"/>
                <w:szCs w:val="20"/>
                <w:color w:val="auto"/>
              </w:rPr>
            </w:pPr>
            <w:r>
              <w:rPr>
                <w:rFonts w:ascii="Arial" w:cs="Arial" w:eastAsia="Arial" w:hAnsi="Arial"/>
                <w:sz w:val="16"/>
                <w:szCs w:val="16"/>
                <w:b w:val="1"/>
                <w:bCs w:val="1"/>
                <w:color w:val="auto"/>
                <w:w w:val="93"/>
              </w:rPr>
              <w:t>Net Carrying</w:t>
            </w:r>
          </w:p>
        </w:tc>
        <w:tc>
          <w:tcPr>
            <w:tcW w:w="180" w:type="dxa"/>
            <w:vAlign w:val="bottom"/>
          </w:tcPr>
          <w:p>
            <w:pPr>
              <w:spacing w:after="0"/>
              <w:rPr>
                <w:sz w:val="13"/>
                <w:szCs w:val="13"/>
                <w:color w:val="auto"/>
              </w:rPr>
            </w:pPr>
          </w:p>
        </w:tc>
        <w:tc>
          <w:tcPr>
            <w:tcW w:w="132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w w:val="90"/>
              </w:rPr>
              <w:t>Gross Carrying</w:t>
            </w:r>
          </w:p>
        </w:tc>
        <w:tc>
          <w:tcPr>
            <w:tcW w:w="100" w:type="dxa"/>
            <w:vAlign w:val="bottom"/>
          </w:tcPr>
          <w:p>
            <w:pPr>
              <w:spacing w:after="0"/>
              <w:rPr>
                <w:sz w:val="13"/>
                <w:szCs w:val="13"/>
                <w:color w:val="auto"/>
              </w:rPr>
            </w:pPr>
          </w:p>
        </w:tc>
        <w:tc>
          <w:tcPr>
            <w:tcW w:w="12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13"/>
                <w:szCs w:val="13"/>
                <w:color w:val="auto"/>
              </w:rPr>
            </w:pPr>
          </w:p>
        </w:tc>
        <w:tc>
          <w:tcPr>
            <w:tcW w:w="1080" w:type="dxa"/>
            <w:vAlign w:val="bottom"/>
          </w:tcPr>
          <w:p>
            <w:pPr>
              <w:jc w:val="right"/>
              <w:ind w:right="81"/>
              <w:spacing w:after="0" w:line="155" w:lineRule="exact"/>
              <w:rPr>
                <w:sz w:val="20"/>
                <w:szCs w:val="20"/>
                <w:color w:val="auto"/>
              </w:rPr>
            </w:pPr>
            <w:r>
              <w:rPr>
                <w:rFonts w:ascii="Arial" w:cs="Arial" w:eastAsia="Arial" w:hAnsi="Arial"/>
                <w:sz w:val="16"/>
                <w:szCs w:val="16"/>
                <w:b w:val="1"/>
                <w:bCs w:val="1"/>
                <w:color w:val="auto"/>
                <w:w w:val="93"/>
              </w:rPr>
              <w:t>Net Carrying</w:t>
            </w:r>
          </w:p>
        </w:tc>
        <w:tc>
          <w:tcPr>
            <w:tcW w:w="0" w:type="dxa"/>
            <w:vAlign w:val="bottom"/>
          </w:tcPr>
          <w:p>
            <w:pPr>
              <w:spacing w:after="0"/>
              <w:rPr>
                <w:sz w:val="1"/>
                <w:szCs w:val="1"/>
                <w:color w:val="auto"/>
              </w:rPr>
            </w:pPr>
          </w:p>
        </w:tc>
      </w:tr>
      <w:tr>
        <w:trPr>
          <w:trHeight w:val="217"/>
        </w:trPr>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Value</w:t>
            </w:r>
          </w:p>
        </w:tc>
        <w:tc>
          <w:tcPr>
            <w:tcW w:w="14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2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Amortization</w:t>
            </w:r>
          </w:p>
        </w:tc>
        <w:tc>
          <w:tcPr>
            <w:tcW w:w="120" w:type="dxa"/>
            <w:vAlign w:val="bottom"/>
          </w:tcPr>
          <w:p>
            <w:pPr>
              <w:spacing w:after="0"/>
              <w:rPr>
                <w:sz w:val="18"/>
                <w:szCs w:val="18"/>
                <w:color w:val="auto"/>
              </w:rPr>
            </w:pPr>
          </w:p>
        </w:tc>
        <w:tc>
          <w:tcPr>
            <w:tcW w:w="1080" w:type="dxa"/>
            <w:vAlign w:val="bottom"/>
          </w:tcPr>
          <w:p>
            <w:pPr>
              <w:jc w:val="right"/>
              <w:ind w:right="341"/>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91"/>
        </w:trPr>
        <w:tc>
          <w:tcPr>
            <w:tcW w:w="3080" w:type="dxa"/>
            <w:vAlign w:val="bottom"/>
          </w:tcPr>
          <w:p>
            <w:pPr>
              <w:spacing w:after="0"/>
              <w:rPr>
                <w:sz w:val="20"/>
                <w:szCs w:val="20"/>
                <w:color w:val="auto"/>
              </w:rPr>
            </w:pPr>
            <w:r>
              <w:rPr>
                <w:rFonts w:ascii="Arial" w:cs="Arial" w:eastAsia="Arial" w:hAnsi="Arial"/>
                <w:sz w:val="16"/>
                <w:szCs w:val="16"/>
                <w:color w:val="auto"/>
              </w:rPr>
              <w:t>Amortizable intangible assets:</w:t>
            </w: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080" w:type="dxa"/>
            <w:vAlign w:val="bottom"/>
          </w:tcPr>
          <w:p>
            <w:pPr>
              <w:ind w:left="200"/>
              <w:spacing w:after="0" w:line="168" w:lineRule="exact"/>
              <w:rPr>
                <w:sz w:val="20"/>
                <w:szCs w:val="20"/>
                <w:color w:val="auto"/>
              </w:rPr>
            </w:pPr>
            <w:r>
              <w:rPr>
                <w:rFonts w:ascii="Arial" w:cs="Arial" w:eastAsia="Arial" w:hAnsi="Arial"/>
                <w:sz w:val="16"/>
                <w:szCs w:val="16"/>
                <w:color w:val="auto"/>
              </w:rPr>
              <w:t>Customer relationships and other</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393,400</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55,073</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338,327</w:t>
            </w:r>
          </w:p>
        </w:tc>
        <w:tc>
          <w:tcPr>
            <w:tcW w:w="180" w:type="dxa"/>
            <w:vAlign w:val="bottom"/>
          </w:tcPr>
          <w:p>
            <w:pPr>
              <w:spacing w:after="0"/>
              <w:rPr>
                <w:sz w:val="14"/>
                <w:szCs w:val="14"/>
                <w:color w:val="auto"/>
              </w:rPr>
            </w:pPr>
          </w:p>
        </w:tc>
        <w:tc>
          <w:tcPr>
            <w:tcW w:w="260" w:type="dxa"/>
            <w:vAlign w:val="bottom"/>
            <w:vMerge w:val="restart"/>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82,400</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50,503</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31,897</w:t>
            </w:r>
          </w:p>
        </w:tc>
        <w:tc>
          <w:tcPr>
            <w:tcW w:w="0" w:type="dxa"/>
            <w:vAlign w:val="bottom"/>
          </w:tcPr>
          <w:p>
            <w:pPr>
              <w:spacing w:after="0"/>
              <w:rPr>
                <w:sz w:val="1"/>
                <w:szCs w:val="1"/>
                <w:color w:val="auto"/>
              </w:rPr>
            </w:pPr>
          </w:p>
        </w:tc>
      </w:tr>
      <w:tr>
        <w:trPr>
          <w:trHeight w:val="211"/>
        </w:trPr>
        <w:tc>
          <w:tcPr>
            <w:tcW w:w="3080" w:type="dxa"/>
            <w:vAlign w:val="bottom"/>
          </w:tcPr>
          <w:p>
            <w:pPr>
              <w:ind w:left="200"/>
              <w:spacing w:after="0" w:line="210" w:lineRule="exact"/>
              <w:rPr>
                <w:sz w:val="20"/>
                <w:szCs w:val="20"/>
                <w:color w:val="auto"/>
              </w:rPr>
            </w:pPr>
            <w:r>
              <w:rPr>
                <w:rFonts w:ascii="Arial" w:cs="Arial" w:eastAsia="Arial" w:hAnsi="Arial"/>
                <w:sz w:val="16"/>
                <w:szCs w:val="16"/>
                <w:color w:val="auto"/>
              </w:rPr>
              <w:t>amortizable intangible assets</w:t>
            </w:r>
            <w:r>
              <w:rPr>
                <w:rFonts w:ascii="Arial" w:cs="Arial" w:eastAsia="Arial" w:hAnsi="Arial"/>
                <w:sz w:val="20"/>
                <w:szCs w:val="20"/>
                <w:color w:val="auto"/>
                <w:vertAlign w:val="superscript"/>
              </w:rPr>
              <w:t>(1)</w:t>
            </w:r>
          </w:p>
        </w:tc>
        <w:tc>
          <w:tcPr>
            <w:tcW w:w="1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80" w:type="dxa"/>
            <w:vAlign w:val="bottom"/>
          </w:tcPr>
          <w:p>
            <w:pPr>
              <w:ind w:left="200"/>
              <w:spacing w:after="0"/>
              <w:rPr>
                <w:sz w:val="20"/>
                <w:szCs w:val="20"/>
                <w:color w:val="auto"/>
              </w:rPr>
            </w:pPr>
            <w:r>
              <w:rPr>
                <w:rFonts w:ascii="Arial" w:cs="Arial" w:eastAsia="Arial" w:hAnsi="Arial"/>
                <w:sz w:val="16"/>
                <w:szCs w:val="16"/>
                <w:color w:val="auto"/>
              </w:rPr>
              <w:t>Software</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116,948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35,713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81,235</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114,972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29,941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85,031</w:t>
            </w:r>
          </w:p>
        </w:tc>
        <w:tc>
          <w:tcPr>
            <w:tcW w:w="0" w:type="dxa"/>
            <w:vAlign w:val="bottom"/>
          </w:tcPr>
          <w:p>
            <w:pPr>
              <w:spacing w:after="0"/>
              <w:rPr>
                <w:sz w:val="1"/>
                <w:szCs w:val="1"/>
                <w:color w:val="auto"/>
              </w:rPr>
            </w:pPr>
          </w:p>
        </w:tc>
      </w:tr>
      <w:tr>
        <w:trPr>
          <w:trHeight w:val="204"/>
        </w:trPr>
        <w:tc>
          <w:tcPr>
            <w:tcW w:w="3080" w:type="dxa"/>
            <w:vAlign w:val="bottom"/>
          </w:tcPr>
          <w:p>
            <w:pPr>
              <w:spacing w:after="0"/>
              <w:rPr>
                <w:sz w:val="20"/>
                <w:szCs w:val="20"/>
                <w:color w:val="auto"/>
              </w:rPr>
            </w:pPr>
            <w:r>
              <w:rPr>
                <w:rFonts w:ascii="Arial" w:cs="Arial" w:eastAsia="Arial" w:hAnsi="Arial"/>
                <w:sz w:val="16"/>
                <w:szCs w:val="16"/>
                <w:color w:val="auto"/>
              </w:rPr>
              <w:t>Total amortizable intangible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510,348</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90,786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419,562</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197,372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80,444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116,928</w:t>
            </w:r>
          </w:p>
        </w:tc>
        <w:tc>
          <w:tcPr>
            <w:tcW w:w="0" w:type="dxa"/>
            <w:vAlign w:val="bottom"/>
          </w:tcPr>
          <w:p>
            <w:pPr>
              <w:spacing w:after="0"/>
              <w:rPr>
                <w:sz w:val="1"/>
                <w:szCs w:val="1"/>
                <w:color w:val="auto"/>
              </w:rPr>
            </w:pPr>
          </w:p>
        </w:tc>
      </w:tr>
      <w:tr>
        <w:trPr>
          <w:trHeight w:val="191"/>
        </w:trPr>
        <w:tc>
          <w:tcPr>
            <w:tcW w:w="3080" w:type="dxa"/>
            <w:vAlign w:val="bottom"/>
          </w:tcPr>
          <w:p>
            <w:pPr>
              <w:spacing w:after="0"/>
              <w:rPr>
                <w:sz w:val="20"/>
                <w:szCs w:val="20"/>
                <w:color w:val="auto"/>
              </w:rPr>
            </w:pPr>
            <w:r>
              <w:rPr>
                <w:rFonts w:ascii="Arial" w:cs="Arial" w:eastAsia="Arial" w:hAnsi="Arial"/>
                <w:sz w:val="16"/>
                <w:szCs w:val="16"/>
                <w:color w:val="auto"/>
              </w:rPr>
              <w:t>Unamortizable intangible assets:</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80" w:type="dxa"/>
            <w:vAlign w:val="bottom"/>
          </w:tcPr>
          <w:p>
            <w:pPr>
              <w:ind w:left="200"/>
              <w:spacing w:after="0"/>
              <w:rPr>
                <w:sz w:val="20"/>
                <w:szCs w:val="20"/>
                <w:color w:val="auto"/>
              </w:rPr>
            </w:pPr>
            <w:r>
              <w:rPr>
                <w:rFonts w:ascii="Arial" w:cs="Arial" w:eastAsia="Arial" w:hAnsi="Arial"/>
                <w:sz w:val="16"/>
                <w:szCs w:val="16"/>
                <w:color w:val="auto"/>
              </w:rPr>
              <w:t>Trade name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190,200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190,200</w:t>
            </w:r>
          </w:p>
        </w:tc>
        <w:tc>
          <w:tcPr>
            <w:tcW w:w="18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190,200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190,200</w:t>
            </w:r>
          </w:p>
        </w:tc>
        <w:tc>
          <w:tcPr>
            <w:tcW w:w="0" w:type="dxa"/>
            <w:vAlign w:val="bottom"/>
          </w:tcPr>
          <w:p>
            <w:pPr>
              <w:spacing w:after="0"/>
              <w:rPr>
                <w:sz w:val="1"/>
                <w:szCs w:val="1"/>
                <w:color w:val="auto"/>
              </w:rPr>
            </w:pPr>
          </w:p>
        </w:tc>
      </w:tr>
      <w:tr>
        <w:trPr>
          <w:trHeight w:val="207"/>
        </w:trPr>
        <w:tc>
          <w:tcPr>
            <w:tcW w:w="3080" w:type="dxa"/>
            <w:vAlign w:val="bottom"/>
          </w:tcPr>
          <w:p>
            <w:pPr>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700,548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90,786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609,762</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387,572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80,444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307,128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160" w:right="100" w:firstLine="237"/>
        <w:spacing w:after="0" w:line="229"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The increase in the carrying amount of customer relationships and other amortizable intangible assets was attributable to the Company's acquisition of Liberty.</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remainder of fiscal 2022 and estimated annual amortization expense for future periods:</w:t>
      </w:r>
    </w:p>
    <w:p>
      <w:pPr>
        <w:spacing w:after="0" w:line="138"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7980" w:type="dxa"/>
            <w:vAlign w:val="bottom"/>
          </w:tcPr>
          <w:p>
            <w:pPr>
              <w:ind w:left="420"/>
              <w:spacing w:after="0"/>
              <w:rPr>
                <w:sz w:val="20"/>
                <w:szCs w:val="20"/>
                <w:color w:val="auto"/>
              </w:rPr>
            </w:pPr>
            <w:r>
              <w:rPr>
                <w:rFonts w:ascii="Arial" w:cs="Arial" w:eastAsia="Arial" w:hAnsi="Arial"/>
                <w:sz w:val="14"/>
                <w:szCs w:val="14"/>
                <w:b w:val="1"/>
                <w:bCs w:val="1"/>
                <w:color w:val="auto"/>
              </w:rPr>
              <w:t>Fiscal Year Ending</w:t>
            </w: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29"/>
        </w:trPr>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Remainder of 2022</w:t>
            </w:r>
          </w:p>
        </w:tc>
        <w:tc>
          <w:tcPr>
            <w:tcW w:w="13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42,583</w:t>
            </w:r>
          </w:p>
        </w:tc>
      </w:tr>
      <w:tr>
        <w:trPr>
          <w:trHeight w:val="223"/>
        </w:trPr>
        <w:tc>
          <w:tcPr>
            <w:tcW w:w="7980" w:type="dxa"/>
            <w:vAlign w:val="bottom"/>
          </w:tcPr>
          <w:p>
            <w:pPr>
              <w:ind w:left="420"/>
              <w:spacing w:after="0"/>
              <w:rPr>
                <w:sz w:val="20"/>
                <w:szCs w:val="20"/>
                <w:color w:val="auto"/>
              </w:rPr>
            </w:pPr>
            <w:r>
              <w:rPr>
                <w:rFonts w:ascii="Arial" w:cs="Arial" w:eastAsia="Arial" w:hAnsi="Arial"/>
                <w:sz w:val="18"/>
                <w:szCs w:val="18"/>
                <w:color w:val="auto"/>
              </w:rPr>
              <w:t>2023</w:t>
            </w:r>
          </w:p>
        </w:tc>
        <w:tc>
          <w:tcPr>
            <w:tcW w:w="1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66,069</w:t>
            </w:r>
          </w:p>
        </w:tc>
      </w:tr>
      <w:tr>
        <w:trPr>
          <w:trHeight w:val="224"/>
        </w:trPr>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2024</w:t>
            </w:r>
          </w:p>
        </w:tc>
        <w:tc>
          <w:tcPr>
            <w:tcW w:w="1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56,497</w:t>
            </w:r>
          </w:p>
        </w:tc>
      </w:tr>
      <w:tr>
        <w:trPr>
          <w:trHeight w:val="223"/>
        </w:trPr>
        <w:tc>
          <w:tcPr>
            <w:tcW w:w="7980" w:type="dxa"/>
            <w:vAlign w:val="bottom"/>
          </w:tcPr>
          <w:p>
            <w:pPr>
              <w:ind w:left="420"/>
              <w:spacing w:after="0"/>
              <w:rPr>
                <w:sz w:val="20"/>
                <w:szCs w:val="20"/>
                <w:color w:val="auto"/>
              </w:rPr>
            </w:pPr>
            <w:r>
              <w:rPr>
                <w:rFonts w:ascii="Arial" w:cs="Arial" w:eastAsia="Arial" w:hAnsi="Arial"/>
                <w:sz w:val="18"/>
                <w:szCs w:val="18"/>
                <w:color w:val="auto"/>
              </w:rPr>
              <w:t>2025</w:t>
            </w:r>
          </w:p>
        </w:tc>
        <w:tc>
          <w:tcPr>
            <w:tcW w:w="1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47,595</w:t>
            </w:r>
          </w:p>
        </w:tc>
      </w:tr>
      <w:tr>
        <w:trPr>
          <w:trHeight w:val="224"/>
        </w:trPr>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2026</w:t>
            </w:r>
          </w:p>
        </w:tc>
        <w:tc>
          <w:tcPr>
            <w:tcW w:w="1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84,109</w:t>
            </w:r>
          </w:p>
        </w:tc>
      </w:tr>
      <w:tr>
        <w:trPr>
          <w:trHeight w:val="223"/>
        </w:trPr>
        <w:tc>
          <w:tcPr>
            <w:tcW w:w="79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Thereafter</w:t>
            </w:r>
          </w:p>
        </w:tc>
        <w:tc>
          <w:tcPr>
            <w:tcW w:w="1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122,709</w:t>
            </w:r>
          </w:p>
        </w:tc>
      </w:tr>
      <w:tr>
        <w:trPr>
          <w:trHeight w:val="242"/>
        </w:trPr>
        <w:tc>
          <w:tcPr>
            <w:tcW w:w="79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419,562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Amortization expense for the three months ended June 30, 2021 and June 30, 2020 was $10.3 million and $4.8 million, respectively.</w:t>
      </w:r>
    </w:p>
    <w:p>
      <w:pPr>
        <w:spacing w:after="0" w:line="103" w:lineRule="exact"/>
        <w:rPr>
          <w:sz w:val="20"/>
          <w:szCs w:val="20"/>
          <w:color w:val="auto"/>
        </w:rPr>
      </w:pPr>
    </w:p>
    <w:p>
      <w:pPr>
        <w:ind w:left="440" w:right="5760" w:hanging="435"/>
        <w:spacing w:after="0" w:line="469" w:lineRule="auto"/>
        <w:tabs>
          <w:tab w:leader="none" w:pos="181"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PAYABLE AND OTHER ACCRUED EXPENSES </w:t>
      </w:r>
      <w:r>
        <w:rPr>
          <w:rFonts w:ascii="Arial" w:cs="Arial" w:eastAsia="Arial" w:hAnsi="Arial"/>
          <w:sz w:val="16"/>
          <w:szCs w:val="16"/>
          <w:color w:val="auto"/>
        </w:rPr>
        <w:t>Accounts payable and other accrued expenses consisted of the following:</w:t>
      </w:r>
    </w:p>
    <w:p>
      <w:pPr>
        <w:spacing w:after="0" w:line="2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Arial" w:cs="Arial" w:eastAsia="Arial" w:hAnsi="Arial"/>
                <w:sz w:val="14"/>
                <w:szCs w:val="14"/>
                <w:b w:val="1"/>
                <w:bCs w:val="1"/>
                <w:color w:val="auto"/>
              </w:rPr>
              <w:t>March 31,</w:t>
            </w:r>
          </w:p>
        </w:tc>
      </w:tr>
      <w:tr>
        <w:trPr>
          <w:trHeight w:val="184"/>
        </w:trPr>
        <w:tc>
          <w:tcPr>
            <w:tcW w:w="73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r>
      <w:tr>
        <w:trPr>
          <w:trHeight w:val="217"/>
        </w:trPr>
        <w:tc>
          <w:tcPr>
            <w:tcW w:w="7360" w:type="dxa"/>
            <w:vAlign w:val="bottom"/>
            <w:shd w:val="clear" w:color="auto" w:fill="CCEEFF"/>
          </w:tcPr>
          <w:p>
            <w:pPr>
              <w:ind w:left="460"/>
              <w:spacing w:after="0" w:line="204" w:lineRule="exact"/>
              <w:rPr>
                <w:sz w:val="20"/>
                <w:szCs w:val="20"/>
                <w:color w:val="auto"/>
              </w:rPr>
            </w:pPr>
            <w:r>
              <w:rPr>
                <w:rFonts w:ascii="Arial" w:cs="Arial" w:eastAsia="Arial" w:hAnsi="Arial"/>
                <w:sz w:val="18"/>
                <w:szCs w:val="18"/>
                <w:color w:val="auto"/>
              </w:rPr>
              <w:t>Vendor payables</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478,578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23"/>
        </w:trPr>
        <w:tc>
          <w:tcPr>
            <w:tcW w:w="7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Accrued expenses</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344,600</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42"/>
        </w:trPr>
        <w:tc>
          <w:tcPr>
            <w:tcW w:w="7360" w:type="dxa"/>
            <w:vAlign w:val="bottom"/>
            <w:tcBorders>
              <w:bottom w:val="single" w:sz="8" w:color="CCEEFF"/>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Total accounts payable and other accrued expenses</w:t>
            </w: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823,178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right="560" w:firstLine="434"/>
        <w:spacing w:after="0" w:line="261" w:lineRule="auto"/>
        <w:rPr>
          <w:sz w:val="20"/>
          <w:szCs w:val="20"/>
          <w:color w:val="auto"/>
        </w:rPr>
      </w:pPr>
      <w:r>
        <w:rPr>
          <w:rFonts w:ascii="Arial" w:cs="Arial" w:eastAsia="Arial" w:hAnsi="Arial"/>
          <w:sz w:val="18"/>
          <w:szCs w:val="18"/>
          <w:color w:val="auto"/>
        </w:rPr>
        <w:t>Accrued expenses consisted primarily of the Company’s provision for claimed indirect costs, which were approximately $272.0 million and $263.2 million as of June 30, 2021 and March 31, 2021, respectively. See Note 17 for further discussion of this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4" w:lineRule="exact"/>
        <w:rPr>
          <w:sz w:val="20"/>
          <w:szCs w:val="20"/>
          <w:color w:val="auto"/>
        </w:rPr>
      </w:pPr>
    </w:p>
    <w:p>
      <w:pPr>
        <w:jc w:val="both"/>
        <w:ind w:left="2200" w:right="2160" w:firstLine="10"/>
        <w:spacing w:after="0" w:line="345"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COMPENSATION AND BENEFITS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00" w:type="dxa"/>
            <w:vAlign w:val="bottom"/>
          </w:tcPr>
          <w:p>
            <w:pPr>
              <w:jc w:val="right"/>
              <w:ind w:right="337"/>
              <w:spacing w:after="0"/>
              <w:rPr>
                <w:sz w:val="20"/>
                <w:szCs w:val="20"/>
                <w:color w:val="auto"/>
              </w:rPr>
            </w:pPr>
            <w:r>
              <w:rPr>
                <w:rFonts w:ascii="Arial" w:cs="Arial" w:eastAsia="Arial" w:hAnsi="Arial"/>
                <w:sz w:val="14"/>
                <w:szCs w:val="14"/>
                <w:b w:val="1"/>
                <w:bCs w:val="1"/>
                <w:color w:val="auto"/>
              </w:rPr>
              <w:t>March 31,</w:t>
            </w:r>
          </w:p>
        </w:tc>
      </w:tr>
      <w:tr>
        <w:trPr>
          <w:trHeight w:val="184"/>
        </w:trPr>
        <w:tc>
          <w:tcPr>
            <w:tcW w:w="8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217"/>
        </w:trPr>
        <w:tc>
          <w:tcPr>
            <w:tcW w:w="81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Bonus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130,565</w:t>
            </w:r>
          </w:p>
        </w:tc>
      </w:tr>
      <w:tr>
        <w:trPr>
          <w:trHeight w:val="223"/>
        </w:trPr>
        <w:tc>
          <w:tcPr>
            <w:tcW w:w="8160" w:type="dxa"/>
            <w:vAlign w:val="bottom"/>
          </w:tcPr>
          <w:p>
            <w:pPr>
              <w:spacing w:after="0"/>
              <w:rPr>
                <w:sz w:val="20"/>
                <w:szCs w:val="20"/>
                <w:color w:val="auto"/>
              </w:rPr>
            </w:pPr>
            <w:r>
              <w:rPr>
                <w:rFonts w:ascii="Arial" w:cs="Arial" w:eastAsia="Arial" w:hAnsi="Arial"/>
                <w:sz w:val="18"/>
                <w:szCs w:val="18"/>
                <w:color w:val="auto"/>
              </w:rPr>
              <w:t>Retirement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63,233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44,474</w:t>
            </w:r>
          </w:p>
        </w:tc>
      </w:tr>
      <w:tr>
        <w:trPr>
          <w:trHeight w:val="224"/>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Vacation</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202,100</w:t>
            </w:r>
          </w:p>
        </w:tc>
      </w:tr>
      <w:tr>
        <w:trPr>
          <w:trHeight w:val="223"/>
        </w:trPr>
        <w:tc>
          <w:tcPr>
            <w:tcW w:w="8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48,476</w:t>
            </w:r>
          </w:p>
        </w:tc>
      </w:tr>
      <w:tr>
        <w:trPr>
          <w:trHeight w:val="242"/>
        </w:trPr>
        <w:tc>
          <w:tcPr>
            <w:tcW w:w="8160" w:type="dxa"/>
            <w:vAlign w:val="bottom"/>
            <w:tcBorders>
              <w:bottom w:val="single" w:sz="8" w:color="CCEEFF"/>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Total accrued compensation and benefits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425,615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Debt consisted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6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March 31, 2021</w:t>
            </w:r>
          </w:p>
        </w:tc>
      </w:tr>
      <w:tr>
        <w:trPr>
          <w:trHeight w:val="130"/>
        </w:trPr>
        <w:tc>
          <w:tcPr>
            <w:tcW w:w="5260" w:type="dxa"/>
            <w:vAlign w:val="bottom"/>
          </w:tcPr>
          <w:p>
            <w:pPr>
              <w:spacing w:after="0"/>
              <w:rPr>
                <w:sz w:val="11"/>
                <w:szCs w:val="11"/>
                <w:color w:val="auto"/>
              </w:rPr>
            </w:pPr>
          </w:p>
        </w:tc>
        <w:tc>
          <w:tcPr>
            <w:tcW w:w="1560" w:type="dxa"/>
            <w:vAlign w:val="bottom"/>
            <w:gridSpan w:val="2"/>
          </w:tcPr>
          <w:p>
            <w:pPr>
              <w:ind w:left="500"/>
              <w:spacing w:after="0" w:line="130" w:lineRule="exact"/>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1"/>
                <w:szCs w:val="11"/>
                <w:color w:val="auto"/>
              </w:rPr>
            </w:pPr>
          </w:p>
        </w:tc>
        <w:tc>
          <w:tcPr>
            <w:tcW w:w="1140" w:type="dxa"/>
            <w:vAlign w:val="bottom"/>
          </w:tcPr>
          <w:p>
            <w:pPr>
              <w:jc w:val="right"/>
              <w:ind w:right="216"/>
              <w:spacing w:after="0" w:line="130" w:lineRule="exact"/>
              <w:rPr>
                <w:sz w:val="20"/>
                <w:szCs w:val="20"/>
                <w:color w:val="auto"/>
              </w:rPr>
            </w:pPr>
            <w:r>
              <w:rPr>
                <w:rFonts w:ascii="Arial" w:cs="Arial" w:eastAsia="Arial" w:hAnsi="Arial"/>
                <w:sz w:val="14"/>
                <w:szCs w:val="14"/>
                <w:b w:val="1"/>
                <w:bCs w:val="1"/>
                <w:color w:val="auto"/>
                <w:w w:val="99"/>
              </w:rPr>
              <w:t>Outstanding</w:t>
            </w:r>
          </w:p>
        </w:tc>
        <w:tc>
          <w:tcPr>
            <w:tcW w:w="100" w:type="dxa"/>
            <w:vAlign w:val="bottom"/>
          </w:tcPr>
          <w:p>
            <w:pPr>
              <w:spacing w:after="0"/>
              <w:rPr>
                <w:sz w:val="11"/>
                <w:szCs w:val="11"/>
                <w:color w:val="auto"/>
              </w:rPr>
            </w:pPr>
          </w:p>
        </w:tc>
        <w:tc>
          <w:tcPr>
            <w:tcW w:w="1760" w:type="dxa"/>
            <w:vAlign w:val="bottom"/>
            <w:gridSpan w:val="3"/>
          </w:tcPr>
          <w:p>
            <w:pPr>
              <w:jc w:val="right"/>
              <w:ind w:right="800"/>
              <w:spacing w:after="0" w:line="130" w:lineRule="exact"/>
              <w:rPr>
                <w:sz w:val="20"/>
                <w:szCs w:val="20"/>
                <w:color w:val="auto"/>
              </w:rPr>
            </w:pPr>
            <w:r>
              <w:rPr>
                <w:rFonts w:ascii="Arial" w:cs="Arial" w:eastAsia="Arial" w:hAnsi="Arial"/>
                <w:sz w:val="14"/>
                <w:szCs w:val="14"/>
                <w:b w:val="1"/>
                <w:bCs w:val="1"/>
                <w:color w:val="auto"/>
              </w:rPr>
              <w:t>Interest</w:t>
            </w:r>
          </w:p>
        </w:tc>
        <w:tc>
          <w:tcPr>
            <w:tcW w:w="1140" w:type="dxa"/>
            <w:vAlign w:val="bottom"/>
          </w:tcPr>
          <w:p>
            <w:pPr>
              <w:jc w:val="right"/>
              <w:ind w:right="216"/>
              <w:spacing w:after="0" w:line="130" w:lineRule="exact"/>
              <w:rPr>
                <w:sz w:val="20"/>
                <w:szCs w:val="20"/>
                <w:color w:val="auto"/>
              </w:rPr>
            </w:pPr>
            <w:r>
              <w:rPr>
                <w:rFonts w:ascii="Arial" w:cs="Arial" w:eastAsia="Arial" w:hAnsi="Arial"/>
                <w:sz w:val="14"/>
                <w:szCs w:val="14"/>
                <w:b w:val="1"/>
                <w:bCs w:val="1"/>
                <w:color w:val="auto"/>
                <w:w w:val="99"/>
              </w:rPr>
              <w:t>Outstanding</w:t>
            </w:r>
          </w:p>
        </w:tc>
      </w:tr>
      <w:tr>
        <w:trPr>
          <w:trHeight w:val="184"/>
        </w:trPr>
        <w:tc>
          <w:tcPr>
            <w:tcW w:w="526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Balance</w:t>
            </w:r>
          </w:p>
        </w:tc>
      </w:tr>
      <w:tr>
        <w:trPr>
          <w:trHeight w:val="217"/>
        </w:trPr>
        <w:tc>
          <w:tcPr>
            <w:tcW w:w="52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Term Loan A</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1,289,764</w:t>
            </w:r>
          </w:p>
        </w:tc>
        <w:tc>
          <w:tcPr>
            <w:tcW w:w="1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1.61 %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1,289,764</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460" w:type="dxa"/>
            <w:vAlign w:val="bottom"/>
          </w:tcPr>
          <w:p>
            <w:pPr>
              <w:jc w:val="right"/>
              <w:spacing w:after="0"/>
              <w:rPr>
                <w:sz w:val="20"/>
                <w:szCs w:val="20"/>
                <w:color w:val="auto"/>
              </w:rPr>
            </w:pPr>
            <w:r>
              <w:rPr>
                <w:rFonts w:ascii="Arial" w:cs="Arial" w:eastAsia="Arial" w:hAnsi="Arial"/>
                <w:sz w:val="18"/>
                <w:szCs w:val="18"/>
                <w:color w:val="auto"/>
              </w:rPr>
              <w:t>1.85 %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383,239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384,212</w:t>
            </w:r>
          </w:p>
        </w:tc>
      </w:tr>
      <w:tr>
        <w:trPr>
          <w:trHeight w:val="224"/>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Senior Notes due 2029</w:t>
            </w:r>
          </w:p>
        </w:tc>
        <w:tc>
          <w:tcPr>
            <w:tcW w:w="1460" w:type="dxa"/>
            <w:vAlign w:val="bottom"/>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1760" w:type="dxa"/>
            <w:vAlign w:val="bottom"/>
            <w:gridSpan w:val="3"/>
          </w:tcPr>
          <w:p>
            <w:pPr>
              <w:jc w:val="right"/>
              <w:ind w:right="32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Unamortized debt issuance costs and discount on debt</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(17,380)</w:t>
            </w:r>
          </w:p>
        </w:tc>
      </w:tr>
      <w:tr>
        <w:trPr>
          <w:trHeight w:val="217"/>
        </w:trPr>
        <w:tc>
          <w:tcPr>
            <w:tcW w:w="5260" w:type="dxa"/>
            <w:vAlign w:val="bottom"/>
          </w:tcPr>
          <w:p>
            <w:pPr>
              <w:ind w:left="340"/>
              <w:spacing w:after="0" w:line="203" w:lineRule="exact"/>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2,848,656</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2,356,596</w:t>
            </w:r>
          </w:p>
        </w:tc>
      </w:tr>
      <w:tr>
        <w:trPr>
          <w:trHeight w:val="224"/>
        </w:trPr>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portion of long-term debt</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(77,865)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(77,865)</w:t>
            </w:r>
          </w:p>
        </w:tc>
      </w:tr>
      <w:tr>
        <w:trPr>
          <w:trHeight w:val="217"/>
        </w:trPr>
        <w:tc>
          <w:tcPr>
            <w:tcW w:w="5260" w:type="dxa"/>
            <w:vAlign w:val="bottom"/>
          </w:tcPr>
          <w:p>
            <w:pPr>
              <w:ind w:left="1080"/>
              <w:spacing w:after="0" w:line="203" w:lineRule="exact"/>
              <w:rPr>
                <w:sz w:val="20"/>
                <w:szCs w:val="20"/>
                <w:color w:val="auto"/>
              </w:rPr>
            </w:pPr>
            <w:r>
              <w:rPr>
                <w:rFonts w:ascii="Arial" w:cs="Arial" w:eastAsia="Arial" w:hAnsi="Arial"/>
                <w:sz w:val="18"/>
                <w:szCs w:val="18"/>
                <w:color w:val="auto"/>
              </w:rPr>
              <w:t>Long-term debt, net of current portion</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2,770,791</w:t>
            </w:r>
          </w:p>
        </w:tc>
        <w:tc>
          <w:tcPr>
            <w:tcW w:w="18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2,278,731</w:t>
            </w:r>
          </w:p>
        </w:tc>
      </w:tr>
      <w:tr>
        <w:trPr>
          <w:trHeight w:val="20"/>
        </w:trPr>
        <w:tc>
          <w:tcPr>
            <w:tcW w:w="5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96"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On June 24, 2021 (the "Amendment Effective Date"), Booz Allen Hamilton Inc. ("Booz Allen Hamilton"), Booz Allen Hamilton Investor Corporation ("Investor"), and certain wholly-owned subsidiaries of Booz Allen Hamilton, entered into the eighth amendment (the "Eighth Amendment") to the Credit Agreement dated as of July 31, 2012, as amended (the "Existing Credit Agreement" and, as amended, the "Credit Agreement"), with certain institutional lenders and Bank of America, N.A., as Administrative Agent and Collateral Agent. The Eighth Amendment added an additional tier in the pricing grid and extended the maturity applicable to both the Term Loan A ("Term Loan A") and revolving credit facility (the "Revolving Credit Facility") to June 24, 2026, increased the aggregate principal amount of the Revolving Credit Facility and the letter of credit sublimit thereunder, and made certain other amendments to the financial covenants and other terms under the Existing Credit Agreement. The interest rate and maturity date applicable to Term Loan B ("Term Loan B" and, together with Term Loan A, the "Term Loans") remained unchanged.</w:t>
      </w:r>
    </w:p>
    <w:p>
      <w:pPr>
        <w:spacing w:after="0" w:line="64"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Prior to the Eighth Amendment, approximately $1,289.8 million was outstanding under Term Loan A (the "Existing Tranche A Term Loans"). Pursuant to the Eighth Amendment, certain lenders under the Existing Credit Agreement converted their Existing Tranche A Term Loans into a new tranche of tranche A term loans (the “New Refinancing Tranche A Term Loans”) in an aggregate amount, along with the New Refinancing Tranche A Term Loans advanced by certain new lenders, of approximately $1,289.8 million. The proceeds from the new lenders were used to prepay in full all of the Existing Tranche A Term Loans that were not converted into the New Refinancing Tranche A Term Loans. Voluntary prepayments of the New Refinancing Tranche A Term Loans are permitted at any time, in minimum principal amounts, without premium or penalty. The other terms of the New Refinancing Tranche A Term Loans are generally the same as the Existing Tranche A Term Loans prior to the Eighth Amendment.</w:t>
      </w:r>
    </w:p>
    <w:p>
      <w:pPr>
        <w:spacing w:after="0" w:line="64" w:lineRule="exact"/>
        <w:rPr>
          <w:sz w:val="20"/>
          <w:szCs w:val="20"/>
          <w:color w:val="auto"/>
        </w:rPr>
      </w:pPr>
    </w:p>
    <w:p>
      <w:pPr>
        <w:ind w:right="60" w:firstLine="395"/>
        <w:spacing w:after="0" w:line="252" w:lineRule="auto"/>
        <w:rPr>
          <w:sz w:val="20"/>
          <w:szCs w:val="20"/>
          <w:color w:val="auto"/>
        </w:rPr>
      </w:pPr>
      <w:r>
        <w:rPr>
          <w:rFonts w:ascii="Arial" w:cs="Arial" w:eastAsia="Arial" w:hAnsi="Arial"/>
          <w:sz w:val="16"/>
          <w:szCs w:val="16"/>
          <w:color w:val="auto"/>
        </w:rPr>
        <w:t>Prior to the Eighth Amendment, approximately $500.0 million of revolving commitments (the “Existing Revolving Commitments”) were available under the Existing Credit Agreement, with a sublimit for letters of credit of $100.0 million. Pursuant to the Eighth Amendment, certain lenders under the Existing Credit Agreement converted their Existing Revolving Commitments into a new tranche of revolving commitments (the “New Revolving Commitments” and the revolving credit loans made thereunder, the “New Revolving Loans”) in an aggregate amount, along with the New Revolving Commitments of certain new lenders, of $1,000 million, with a sublimit for letters of credit of $200.0 million.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45"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82" w:lineRule="exact"/>
        <w:rPr>
          <w:sz w:val="20"/>
          <w:szCs w:val="20"/>
          <w:color w:val="auto"/>
        </w:rPr>
      </w:pPr>
    </w:p>
    <w:p>
      <w:pPr>
        <w:ind w:right="80" w:firstLine="395"/>
        <w:spacing w:after="0" w:line="276" w:lineRule="auto"/>
        <w:rPr>
          <w:sz w:val="20"/>
          <w:szCs w:val="20"/>
          <w:color w:val="auto"/>
        </w:rPr>
      </w:pPr>
      <w:r>
        <w:rPr>
          <w:rFonts w:ascii="Arial" w:cs="Arial" w:eastAsia="Arial" w:hAnsi="Arial"/>
          <w:sz w:val="16"/>
          <w:szCs w:val="16"/>
          <w:color w:val="auto"/>
        </w:rPr>
        <w:t>As of June 30, 2021, the Credit Agreement provided Booz Allen Hamilton with a $1,289.8 million Term Loan A, a $383.2 million Term Loan B, and a $1,000.0 million Revolving Credit Facility, with a sub-limit for letters of credit of $200.0 million (collectively, the "Secured Credit Facility"). As of June 30, 2021, the maturity date of Term Loan B was November 26, 2026. Booz Allen Hamilton’s obligations and the guarantors’ guarantees under the Credit Agreement (the "Guarantee")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$909 million and</w:t>
      </w:r>
    </w:p>
    <w:p>
      <w:pPr>
        <w:spacing w:after="0" w:line="4" w:lineRule="exact"/>
        <w:rPr>
          <w:sz w:val="20"/>
          <w:szCs w:val="20"/>
          <w:color w:val="auto"/>
        </w:rPr>
      </w:pPr>
    </w:p>
    <w:p>
      <w:pPr>
        <w:ind w:right="240" w:firstLine="5"/>
        <w:spacing w:after="0" w:line="246" w:lineRule="auto"/>
        <w:tabs>
          <w:tab w:leader="none" w:pos="248"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of consolidated EBITDA of Booz Allen Hamilton, as of the end of the most recently ended four quarter period for which financial statements have been delivered pursuant to the Credit Agreement plus (ii) the aggregate principal amount under which pro forma consolidated net senior secured leverage remains less than or equal to 3.50:1.00.</w:t>
      </w:r>
    </w:p>
    <w:p>
      <w:pPr>
        <w:spacing w:after="0" w:line="76" w:lineRule="exact"/>
        <w:rPr>
          <w:sz w:val="20"/>
          <w:szCs w:val="20"/>
          <w:color w:val="auto"/>
        </w:rPr>
      </w:pPr>
    </w:p>
    <w:p>
      <w:pPr>
        <w:ind w:right="60" w:firstLine="395"/>
        <w:spacing w:after="0" w:line="246" w:lineRule="auto"/>
        <w:rPr>
          <w:sz w:val="20"/>
          <w:szCs w:val="20"/>
          <w:color w:val="auto"/>
        </w:rPr>
      </w:pPr>
      <w:r>
        <w:rPr>
          <w:rFonts w:ascii="Arial" w:cs="Arial" w:eastAsia="Arial" w:hAnsi="Arial"/>
          <w:sz w:val="16"/>
          <w:szCs w:val="16"/>
          <w:color w:val="auto"/>
        </w:rPr>
        <w:t>At Booz Allen Hamilton’s option, borrowings under the Term Loan A and the Revolving Credit Facility bear interest based either at LIBOR (adjusted for maximum reserves, and subject to a floor of zero) for the applicable interest period or a base rate (equal to the highest of (i) the administrative agent’s prime corporate rate, (ii) the overnight federal funds rate plus 0.50%, and (iii) three-month LIBOR (adjusted for maximum reserves, and subject to a floor of zero) plus 1.00%), in each case plus an applicable margin as determined by the pricing grid, payable at the end of the applicable interest period and in any event at least quarterly. The applicable margin for Term Loan A and borrowings under the Revolving Credit Facility ranges from 1.125% to 2.00% for LIBOR loans and 0.125% to 1.00% for base rate loans, in each case based on Booz Allen Hamilton’s consolidated total net leverage ratio. Unused commitments under the Revolving Credit Facility are subject to a quarterly fee ranging from 0.175% to 0.35% based on Booz Allen Hamilton’s consolidated total net leverage ratio. Booz Allen Hamilton also agreed to pay customary letter of credit and agency fees. The applicable margin for Term Loan B is 1.75% for LIBOR loans and 0.75% for base rate loans.</w:t>
      </w:r>
    </w:p>
    <w:p>
      <w:pPr>
        <w:spacing w:after="0" w:line="79"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Booz Allen Hamilton occasionally borrows under the Revolving Credit Facility in anticipation of cash demands. For the three months ended June 30, 2021, Booz Allen Hamilton accessed $60.0 million of its Revolving Credit Facility, which was repaid in full during the period. For the three months ended June 30, 2020, Booz Allen Hamilton did not access its Revolving Credit Facility. As of June 30, 2021 and March 31, 2021, there was no outstanding balance on the Revolving Credit Facility.</w:t>
      </w:r>
    </w:p>
    <w:p>
      <w:pPr>
        <w:spacing w:after="0" w:line="85" w:lineRule="exact"/>
        <w:rPr>
          <w:sz w:val="20"/>
          <w:szCs w:val="20"/>
          <w:color w:val="auto"/>
        </w:rPr>
      </w:pPr>
    </w:p>
    <w:p>
      <w:pPr>
        <w:ind w:right="600" w:firstLine="395"/>
        <w:spacing w:after="0" w:line="261"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76" w:lineRule="exact"/>
        <w:rPr>
          <w:sz w:val="20"/>
          <w:szCs w:val="20"/>
          <w:color w:val="auto"/>
        </w:rPr>
      </w:pPr>
    </w:p>
    <w:p>
      <w:pPr>
        <w:ind w:right="180" w:firstLine="395"/>
        <w:spacing w:after="0" w:line="279"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w:t>
      </w:r>
    </w:p>
    <w:p>
      <w:pPr>
        <w:spacing w:after="0" w:line="2" w:lineRule="exact"/>
        <w:rPr>
          <w:sz w:val="20"/>
          <w:szCs w:val="20"/>
          <w:color w:val="auto"/>
        </w:rPr>
      </w:pPr>
    </w:p>
    <w:p>
      <w:pPr>
        <w:ind w:right="60" w:firstLine="5"/>
        <w:spacing w:after="0" w:line="279" w:lineRule="auto"/>
        <w:tabs>
          <w:tab w:leader="none" w:pos="297" w:val="left"/>
        </w:tabs>
        <w:numPr>
          <w:ilvl w:val="0"/>
          <w:numId w:val="8"/>
        </w:numPr>
        <w:rPr>
          <w:rFonts w:ascii="Arial" w:cs="Arial" w:eastAsia="Arial" w:hAnsi="Arial"/>
          <w:sz w:val="16"/>
          <w:szCs w:val="16"/>
          <w:color w:val="auto"/>
        </w:rPr>
      </w:pPr>
      <w:r>
        <w:rPr>
          <w:rFonts w:ascii="Arial" w:cs="Arial" w:eastAsia="Arial" w:hAnsi="Arial"/>
          <w:sz w:val="16"/>
          <w:szCs w:val="16"/>
          <w:color w:val="auto"/>
        </w:rPr>
        <w:t>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 As of June 30, 2021 and March 31, 2021, Booz Allen Hamilton was in compliance with all financial covenants associated with its debt and debt-like instruments.</w:t>
      </w:r>
    </w:p>
    <w:p>
      <w:pPr>
        <w:spacing w:after="0" w:line="67" w:lineRule="exact"/>
        <w:rPr>
          <w:sz w:val="20"/>
          <w:szCs w:val="20"/>
          <w:color w:val="auto"/>
        </w:rPr>
      </w:pPr>
    </w:p>
    <w:p>
      <w:pPr>
        <w:ind w:right="60" w:firstLine="395"/>
        <w:spacing w:after="0" w:line="261" w:lineRule="auto"/>
        <w:rPr>
          <w:sz w:val="20"/>
          <w:szCs w:val="20"/>
          <w:color w:val="auto"/>
        </w:rPr>
      </w:pPr>
      <w:r>
        <w:rPr>
          <w:rFonts w:ascii="Arial" w:cs="Arial" w:eastAsia="Arial" w:hAnsi="Arial"/>
          <w:sz w:val="18"/>
          <w:szCs w:val="18"/>
          <w:color w:val="auto"/>
        </w:rPr>
        <w:t>For the three months ended June 30, 2021 and 2020, interest payments of $4.9 million and $6.9 million were made for Term Loan A and $1.8 million and $2.2 million were made for Term Loan B, respectively.</w:t>
      </w:r>
    </w:p>
    <w:p>
      <w:pPr>
        <w:spacing w:after="0" w:line="76" w:lineRule="exact"/>
        <w:rPr>
          <w:sz w:val="20"/>
          <w:szCs w:val="20"/>
          <w:color w:val="auto"/>
        </w:rPr>
      </w:pPr>
    </w:p>
    <w:p>
      <w:pPr>
        <w:ind w:right="60" w:firstLine="395"/>
        <w:spacing w:after="0" w:line="287" w:lineRule="auto"/>
        <w:rPr>
          <w:sz w:val="20"/>
          <w:szCs w:val="20"/>
          <w:color w:val="auto"/>
        </w:rPr>
      </w:pPr>
      <w:r>
        <w:rPr>
          <w:rFonts w:ascii="Arial" w:cs="Arial" w:eastAsia="Arial" w:hAnsi="Arial"/>
          <w:sz w:val="16"/>
          <w:szCs w:val="16"/>
          <w:color w:val="auto"/>
        </w:rPr>
        <w:t>Borrowings under the Term Loans, and if used, the Revolving Credit Facility, incur interest at a variable rate. In accordance with Booz Allen Hamilton’s risk management strategy, between April 6, 2017 and April 4, 2019, Booz Allen Hamilton executed a series of interest rate swaps. As of June 30, 2021, Booz Allen Hamilton had interest rate swaps with an aggregate notional amount of $700.0 million. These instruments hedge the variability of cash outflows for interest payments on the Term Loans and Revolving Credit Facility. The Company's objectives in using cash flow hedges are to reduce volatility due to interest rate movements and to add stability to interest expense (see Note 9 to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4" w:lineRule="exact"/>
        <w:rPr>
          <w:sz w:val="20"/>
          <w:szCs w:val="20"/>
          <w:color w:val="auto"/>
        </w:rPr>
      </w:pPr>
    </w:p>
    <w:p>
      <w:pPr>
        <w:jc w:val="both"/>
        <w:ind w:left="2200" w:right="2120" w:firstLine="10"/>
        <w:spacing w:after="0" w:line="345"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69"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On June 17, 2021, Booz Allen Hamilton issued $500.0 million aggregate principal amounts of its 4.000% Senior Notes due July 1, 2029 (the “Senior Notes due 2029”) under an Indenture, dated as of June 17, 2021 among Booz Allen Hamilton, certain subsidiaries of Booz Allen Hamilton, as guarantors (the “Subsidiary Guarantors”), and Wilmington Trust, National Association (in such capacity, the “Trustee”), as supplemented by the First Supplemental Indenture, dated as of June 17, 2021, among Booz Allen Hamilton, the Subsidiary Guarantors and the Trustee. The Senior Notes due 2029 and the related guarantees are Booz Allen Hamilton’s and each Subsidiary Guarantors’ senior unsecured obligations and rank equally in right of payment with all of Booz Allen Hamilton’s and the Subsidiary Guarantors’ existing and future senior indebtedness and rank senior in right of payment to any of Booz Allen Hamilton’s and the Subsidiary Guarantors’ future subordinated indebtedness. The net proceeds from the sale of the Senior Notes due 2029 were used to fund the acquisition of Liberty and to pay related fees and expenses.</w:t>
      </w:r>
    </w:p>
    <w:p>
      <w:pPr>
        <w:spacing w:after="0" w:line="77" w:lineRule="exact"/>
        <w:rPr>
          <w:sz w:val="20"/>
          <w:szCs w:val="20"/>
          <w:color w:val="auto"/>
        </w:rPr>
      </w:pPr>
    </w:p>
    <w:p>
      <w:pPr>
        <w:ind w:right="40" w:firstLine="395"/>
        <w:spacing w:after="0" w:line="279" w:lineRule="auto"/>
        <w:rPr>
          <w:sz w:val="20"/>
          <w:szCs w:val="20"/>
          <w:color w:val="auto"/>
        </w:rPr>
      </w:pPr>
      <w:r>
        <w:rPr>
          <w:rFonts w:ascii="Arial" w:cs="Arial" w:eastAsia="Arial" w:hAnsi="Arial"/>
          <w:sz w:val="16"/>
          <w:szCs w:val="16"/>
          <w:color w:val="auto"/>
        </w:rPr>
        <w:t>Booz Allen Hamilton may redeem some or all of the Senior Notes due 2029 at any time prior to July 1, 2024, at a price equal to 100% of the principal amount of the Senior Notes due 2029 redeemed, plus accrued and unpaid interest, if any, to (but not including) the redemption date, plus an applicable “make-whole premium.” Booz Allen Hamilton may redeem the Senior Notes due 2029 at its option, in whole at any time or in part from time to time, upon certain required notice, at any time (i) on and after July 1, 2024, at a price equal to 102.00% of the principal amount of the Senior Notes due 2029 redeemed, (ii) on or after July 1, 2025, at a price equal to 101.00% of the principal amount of the Senior Notes due 2029 redeemed, and (iii) on July 1, 2026 and thereafter, at a price equal to 100.00% of the principal amount of the Senior Notes due 2029 redeemed, in each case, plus accrued and unpaid interest, if any, to (but not including) the applicable redemption date. In addition, at any time on or prior to July 1, 2024, Booz Allen Hamilton may redeem up to 40.00% of the Senior Notes due 2029 with an amount equal to the net cash proceeds of certain equity offerings at a redemption price equal to 104.00%, plus accrued and unpaid interest, if any, to (but not including) the redemption date, provided, however, that at least 50.00% of the original aggregate principal amount of the Senior Notes due 2029 must remain outstanding after each such redemption; and provided, further, that such redemption shall occur within 180 days after the date on which any such equity offering is consummated.</w:t>
      </w:r>
    </w:p>
    <w:p>
      <w:pPr>
        <w:spacing w:after="0" w:line="68" w:lineRule="exact"/>
        <w:rPr>
          <w:sz w:val="20"/>
          <w:szCs w:val="20"/>
          <w:color w:val="auto"/>
        </w:rPr>
      </w:pPr>
    </w:p>
    <w:p>
      <w:pPr>
        <w:jc w:val="both"/>
        <w:ind w:right="100" w:firstLine="395"/>
        <w:spacing w:after="0" w:line="299" w:lineRule="auto"/>
        <w:rPr>
          <w:sz w:val="20"/>
          <w:szCs w:val="20"/>
          <w:color w:val="auto"/>
        </w:rPr>
      </w:pPr>
      <w:r>
        <w:rPr>
          <w:rFonts w:ascii="Arial" w:cs="Arial" w:eastAsia="Arial" w:hAnsi="Arial"/>
          <w:sz w:val="16"/>
          <w:szCs w:val="16"/>
          <w:color w:val="auto"/>
        </w:rPr>
        <w:t>Interest is payable on the Senior Notes due 2029 semi-annually in cash in arrears on July 1 and January 1 of each year, beginning on January 1, 2022. In connection with the issuance of the Senior Notes due 2029, the Company recognized $6.5 million of issuance costs, which were recorded as an offset against the carrying value of debt and will be amortized to interest expense over the term of the Senior Notes due 2029.</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Interest on debt and debt-like instruments consisted of the following:</w:t>
      </w:r>
    </w:p>
    <w:p>
      <w:pPr>
        <w:spacing w:after="0" w:line="19" w:lineRule="exact"/>
        <w:rPr>
          <w:sz w:val="20"/>
          <w:szCs w:val="20"/>
          <w:color w:val="auto"/>
        </w:rPr>
      </w:pPr>
    </w:p>
    <w:p>
      <w:pPr>
        <w:ind w:left="7940"/>
        <w:spacing w:after="0"/>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78"/>
        </w:trPr>
        <w:tc>
          <w:tcPr>
            <w:tcW w:w="65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77"/>
        </w:trPr>
        <w:tc>
          <w:tcPr>
            <w:tcW w:w="65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78"/>
        </w:trPr>
        <w:tc>
          <w:tcPr>
            <w:tcW w:w="65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40" w:type="dxa"/>
            <w:vAlign w:val="bottom"/>
            <w:gridSpan w:val="4"/>
            <w:shd w:val="clear" w:color="auto" w:fill="CCEEFF"/>
          </w:tcPr>
          <w:p>
            <w:pPr>
              <w:jc w:val="right"/>
              <w:ind w:right="92"/>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shd w:val="clear" w:color="auto" w:fill="CCEEFF"/>
          </w:tcPr>
          <w:p>
            <w:pPr>
              <w:spacing w:after="0"/>
              <w:rPr>
                <w:sz w:val="15"/>
                <w:szCs w:val="15"/>
                <w:color w:val="auto"/>
              </w:rPr>
            </w:pPr>
          </w:p>
        </w:tc>
      </w:tr>
      <w:tr>
        <w:trPr>
          <w:trHeight w:val="223"/>
        </w:trPr>
        <w:tc>
          <w:tcPr>
            <w:tcW w:w="6500" w:type="dxa"/>
            <w:vAlign w:val="bottom"/>
          </w:tcPr>
          <w:p>
            <w:pPr>
              <w:ind w:left="420"/>
              <w:spacing w:after="0"/>
              <w:rPr>
                <w:sz w:val="20"/>
                <w:szCs w:val="20"/>
                <w:color w:val="auto"/>
              </w:rPr>
            </w:pPr>
            <w:r>
              <w:rPr>
                <w:rFonts w:ascii="Arial" w:cs="Arial" w:eastAsia="Arial" w:hAnsi="Arial"/>
                <w:sz w:val="18"/>
                <w:szCs w:val="18"/>
                <w:color w:val="auto"/>
              </w:rPr>
              <w:t>Term Loan A Interest Expense</w:t>
            </w:r>
          </w:p>
        </w:tc>
        <w:tc>
          <w:tcPr>
            <w:tcW w:w="1260" w:type="dxa"/>
            <w:vAlign w:val="bottom"/>
          </w:tcPr>
          <w:p>
            <w:pPr>
              <w:jc w:val="right"/>
              <w:ind w:right="67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6,918</w:t>
            </w:r>
          </w:p>
        </w:tc>
      </w:tr>
      <w:tr>
        <w:trPr>
          <w:trHeight w:val="224"/>
        </w:trPr>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Loan B Interest Expense</w:t>
            </w:r>
          </w:p>
        </w:tc>
        <w:tc>
          <w:tcPr>
            <w:tcW w:w="1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r>
      <w:tr>
        <w:trPr>
          <w:trHeight w:val="223"/>
        </w:trPr>
        <w:tc>
          <w:tcPr>
            <w:tcW w:w="6500" w:type="dxa"/>
            <w:vAlign w:val="bottom"/>
          </w:tcPr>
          <w:p>
            <w:pPr>
              <w:ind w:left="420"/>
              <w:spacing w:after="0"/>
              <w:rPr>
                <w:sz w:val="20"/>
                <w:szCs w:val="20"/>
                <w:color w:val="auto"/>
              </w:rPr>
            </w:pPr>
            <w:r>
              <w:rPr>
                <w:rFonts w:ascii="Arial" w:cs="Arial" w:eastAsia="Arial" w:hAnsi="Arial"/>
                <w:sz w:val="18"/>
                <w:szCs w:val="18"/>
                <w:color w:val="auto"/>
              </w:rPr>
              <w:t>Interest on Revolving Credit Facility</w:t>
            </w:r>
          </w:p>
        </w:tc>
        <w:tc>
          <w:tcPr>
            <w:tcW w:w="1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224"/>
        </w:trPr>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Notes Interest Expense</w:t>
            </w:r>
          </w:p>
        </w:tc>
        <w:tc>
          <w:tcPr>
            <w:tcW w:w="1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r>
      <w:tr>
        <w:trPr>
          <w:trHeight w:val="224"/>
        </w:trPr>
        <w:tc>
          <w:tcPr>
            <w:tcW w:w="6500" w:type="dxa"/>
            <w:vAlign w:val="bottom"/>
          </w:tcPr>
          <w:p>
            <w:pPr>
              <w:ind w:left="420"/>
              <w:spacing w:after="0" w:line="224" w:lineRule="exact"/>
              <w:rPr>
                <w:sz w:val="20"/>
                <w:szCs w:val="20"/>
                <w:color w:val="auto"/>
              </w:rPr>
            </w:pPr>
            <w:r>
              <w:rPr>
                <w:rFonts w:ascii="Arial" w:cs="Arial" w:eastAsia="Arial" w:hAnsi="Arial"/>
                <w:sz w:val="18"/>
                <w:szCs w:val="18"/>
                <w:color w:val="auto"/>
                <w:w w:val="96"/>
              </w:rPr>
              <w:t xml:space="preserve">Amortization of Debt Issuance Cost (DIC) and Original Issue Discount (OID) </w:t>
            </w:r>
            <w:r>
              <w:rPr>
                <w:rFonts w:ascii="Arial" w:cs="Arial" w:eastAsia="Arial" w:hAnsi="Arial"/>
                <w:sz w:val="22"/>
                <w:szCs w:val="22"/>
                <w:color w:val="auto"/>
                <w:w w:val="96"/>
                <w:vertAlign w:val="superscript"/>
              </w:rPr>
              <w:t>(1)</w:t>
            </w:r>
          </w:p>
        </w:tc>
        <w:tc>
          <w:tcPr>
            <w:tcW w:w="1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1,070</w:t>
            </w:r>
          </w:p>
        </w:tc>
      </w:tr>
      <w:tr>
        <w:trPr>
          <w:trHeight w:val="224"/>
        </w:trPr>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Swap Expense</w:t>
            </w:r>
          </w:p>
        </w:tc>
        <w:tc>
          <w:tcPr>
            <w:tcW w:w="1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r>
      <w:tr>
        <w:trPr>
          <w:trHeight w:val="223"/>
        </w:trPr>
        <w:tc>
          <w:tcPr>
            <w:tcW w:w="65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r>
      <w:tr>
        <w:trPr>
          <w:trHeight w:val="242"/>
        </w:trPr>
        <w:tc>
          <w:tcPr>
            <w:tcW w:w="6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Interest Expense</w:t>
            </w:r>
          </w:p>
        </w:tc>
        <w:tc>
          <w:tcPr>
            <w:tcW w:w="126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21,270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160" w:right="200" w:firstLine="3"/>
        <w:spacing w:after="0" w:line="289" w:lineRule="auto"/>
        <w:tabs>
          <w:tab w:leader="none" w:pos="321" w:val="left"/>
        </w:tabs>
        <w:numPr>
          <w:ilvl w:val="1"/>
          <w:numId w:val="9"/>
        </w:numPr>
        <w:rPr>
          <w:rFonts w:ascii="Arial" w:cs="Arial" w:eastAsia="Arial" w:hAnsi="Arial"/>
          <w:sz w:val="19"/>
          <w:szCs w:val="19"/>
          <w:color w:val="auto"/>
          <w:vertAlign w:val="superscript"/>
        </w:rPr>
      </w:pPr>
      <w:r>
        <w:rPr>
          <w:rFonts w:ascii="Arial" w:cs="Arial" w:eastAsia="Arial" w:hAnsi="Arial"/>
          <w:sz w:val="15"/>
          <w:szCs w:val="15"/>
          <w:color w:val="auto"/>
        </w:rPr>
        <w:t>DIC and OID on the Term Loans and senior notes are recorded as a reduction of long-term debt in the condensed consolidated balance sheet and are amortized ratably over the life of the related debt using the effective rate method. DIC on the Revolving Credit Facility is recorded as a long-term asset on the condensed consolidated balance sheet and amortized ratably over the term of the Revolving Credit Facility.</w:t>
      </w:r>
    </w:p>
    <w:p>
      <w:pPr>
        <w:spacing w:after="0" w:line="289" w:lineRule="exact"/>
        <w:rPr>
          <w:rFonts w:ascii="Arial" w:cs="Arial" w:eastAsia="Arial" w:hAnsi="Arial"/>
          <w:sz w:val="19"/>
          <w:szCs w:val="19"/>
          <w:color w:val="auto"/>
          <w:vertAlign w:val="superscript"/>
        </w:rPr>
      </w:pPr>
    </w:p>
    <w:p>
      <w:pPr>
        <w:ind w:left="180" w:hanging="175"/>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115" w:lineRule="exact"/>
        <w:rPr>
          <w:sz w:val="20"/>
          <w:szCs w:val="20"/>
          <w:color w:val="auto"/>
        </w:rPr>
      </w:pPr>
    </w:p>
    <w:p>
      <w:pPr>
        <w:ind w:right="20" w:firstLine="395"/>
        <w:spacing w:after="0" w:line="316" w:lineRule="auto"/>
        <w:rPr>
          <w:sz w:val="20"/>
          <w:szCs w:val="20"/>
          <w:color w:val="auto"/>
        </w:rPr>
      </w:pPr>
      <w:r>
        <w:rPr>
          <w:rFonts w:ascii="Arial" w:cs="Arial" w:eastAsia="Arial" w:hAnsi="Arial"/>
          <w:sz w:val="15"/>
          <w:szCs w:val="15"/>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 The aggregate notional amount of all interest rate swap agreements was $700.0 million as of June 30, 2021. The swaps have staggered maturities, ranging from June 30, 2022 to June 30, 2025. These swaps mature within the last tranche of the Company's floating rate debt (November 26, 2026).</w:t>
      </w: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45"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82" w:lineRule="exact"/>
        <w:rPr>
          <w:sz w:val="20"/>
          <w:szCs w:val="20"/>
          <w:color w:val="auto"/>
        </w:rPr>
      </w:pPr>
    </w:p>
    <w:p>
      <w:pPr>
        <w:ind w:right="60" w:firstLine="395"/>
        <w:spacing w:after="0" w:line="252" w:lineRule="auto"/>
        <w:rPr>
          <w:sz w:val="20"/>
          <w:szCs w:val="20"/>
          <w:color w:val="auto"/>
        </w:rPr>
      </w:pPr>
      <w:r>
        <w:rPr>
          <w:rFonts w:ascii="Arial" w:cs="Arial" w:eastAsia="Arial" w:hAnsi="Arial"/>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 a portion of the variable rate debt into fixed interest rate debt.</w:t>
      </w:r>
    </w:p>
    <w:p>
      <w:pPr>
        <w:spacing w:after="0" w:line="85"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color w:val="auto"/>
        </w:rPr>
        <w:t>Derivative instruments are recorded in the condensed consolidated balance sheet on a gross basis at estimated fair value. As of June 30, 2021, $15.8 million and $18.3 million were classified as other current liabilities and other long-term liabilities, respectively, on the condensed consolidated balance sheet. As of March 31, 2021, $17.2 million and $21.0 million were classified as other current liabilities, and other long-term liabilities, respectively, on the condensed consolidated balance sheet.</w:t>
      </w:r>
    </w:p>
    <w:p>
      <w:pPr>
        <w:spacing w:after="0" w:line="85" w:lineRule="exact"/>
        <w:rPr>
          <w:sz w:val="20"/>
          <w:szCs w:val="20"/>
          <w:color w:val="auto"/>
        </w:rPr>
      </w:pPr>
    </w:p>
    <w:p>
      <w:pPr>
        <w:ind w:right="220" w:firstLine="395"/>
        <w:spacing w:after="0" w:line="250" w:lineRule="auto"/>
        <w:rPr>
          <w:sz w:val="20"/>
          <w:szCs w:val="20"/>
          <w:color w:val="auto"/>
        </w:rPr>
      </w:pPr>
      <w:r>
        <w:rPr>
          <w:rFonts w:ascii="Arial" w:cs="Arial" w:eastAsia="Arial" w:hAnsi="Arial"/>
          <w:sz w:val="18"/>
          <w:szCs w:val="18"/>
          <w:color w:val="auto"/>
        </w:rPr>
        <w:t>For interest rate swaps designated as cash flow hedges, the changes in the fair value of derivatives is recorded in Accumulated Other Comprehensive Loss, or AOCL, net of taxes, and is subsequently reclassified into interest expense in the period that the hedged forecasted interest payments are made on the Company's variable-rate debt. The effect of derivative instruments on the accompanying condensed consolidated financial statements for the three months ended June 30, 2021 and 2020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4"/>
                <w:szCs w:val="14"/>
                <w:b w:val="1"/>
                <w:bCs w:val="1"/>
                <w:color w:val="auto"/>
                <w:w w:val="98"/>
              </w:rPr>
              <w:t>Three Months Ended June 30,</w:t>
            </w:r>
          </w:p>
        </w:tc>
        <w:tc>
          <w:tcPr>
            <w:tcW w:w="1020" w:type="dxa"/>
            <w:vAlign w:val="bottom"/>
            <w:tcBorders>
              <w:bottom w:val="single" w:sz="8" w:color="auto"/>
            </w:tcBorders>
          </w:tcPr>
          <w:p>
            <w:pPr>
              <w:spacing w:after="0"/>
              <w:rPr>
                <w:sz w:val="16"/>
                <w:szCs w:val="16"/>
                <w:color w:val="auto"/>
              </w:rPr>
            </w:pPr>
          </w:p>
        </w:tc>
      </w:tr>
      <w:tr>
        <w:trPr>
          <w:trHeight w:val="275"/>
        </w:trPr>
        <w:tc>
          <w:tcPr>
            <w:tcW w:w="24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2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90"/>
              </w:rPr>
              <w:t>Amount of (Loss) or Gain Recognized in</w:t>
            </w:r>
          </w:p>
        </w:tc>
        <w:tc>
          <w:tcPr>
            <w:tcW w:w="140" w:type="dxa"/>
            <w:vAlign w:val="bottom"/>
          </w:tcPr>
          <w:p>
            <w:pPr>
              <w:spacing w:after="0"/>
              <w:rPr>
                <w:sz w:val="23"/>
                <w:szCs w:val="23"/>
                <w:color w:val="auto"/>
              </w:rPr>
            </w:pPr>
          </w:p>
        </w:tc>
        <w:tc>
          <w:tcPr>
            <w:tcW w:w="250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9"/>
              </w:rPr>
              <w:t>Amount of (Loss) or Gain Reclassified</w:t>
            </w:r>
          </w:p>
        </w:tc>
      </w:tr>
      <w:tr>
        <w:trPr>
          <w:trHeight w:val="184"/>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Derivatives in Cash Flow Hedging</w:t>
            </w:r>
          </w:p>
        </w:tc>
        <w:tc>
          <w:tcPr>
            <w:tcW w:w="2640" w:type="dxa"/>
            <w:vAlign w:val="bottom"/>
          </w:tcPr>
          <w:p>
            <w:pPr>
              <w:jc w:val="center"/>
              <w:ind w:left="250"/>
              <w:spacing w:after="0"/>
              <w:rPr>
                <w:sz w:val="20"/>
                <w:szCs w:val="20"/>
                <w:color w:val="auto"/>
              </w:rPr>
            </w:pPr>
            <w:r>
              <w:rPr>
                <w:rFonts w:ascii="Arial" w:cs="Arial" w:eastAsia="Arial" w:hAnsi="Arial"/>
                <w:sz w:val="14"/>
                <w:szCs w:val="14"/>
                <w:b w:val="1"/>
                <w:bCs w:val="1"/>
                <w:color w:val="auto"/>
                <w:w w:val="88"/>
              </w:rPr>
              <w:t>Location of Gain or Loss Recognized</w:t>
            </w: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93"/>
              </w:rPr>
              <w:t>AOCL on Derivatives</w:t>
            </w:r>
          </w:p>
        </w:tc>
        <w:tc>
          <w:tcPr>
            <w:tcW w:w="1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w w:val="94"/>
              </w:rPr>
              <w:t>from AOCL into Income</w:t>
            </w:r>
          </w:p>
        </w:tc>
      </w:tr>
      <w:tr>
        <w:trPr>
          <w:trHeight w:val="191"/>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Relationships</w:t>
            </w:r>
          </w:p>
        </w:tc>
        <w:tc>
          <w:tcPr>
            <w:tcW w:w="2640" w:type="dxa"/>
            <w:vAlign w:val="bottom"/>
            <w:tcBorders>
              <w:bottom w:val="single" w:sz="8" w:color="auto"/>
            </w:tcBorders>
          </w:tcPr>
          <w:p>
            <w:pPr>
              <w:jc w:val="center"/>
              <w:ind w:left="250"/>
              <w:spacing w:after="0"/>
              <w:rPr>
                <w:sz w:val="20"/>
                <w:szCs w:val="20"/>
                <w:color w:val="auto"/>
              </w:rPr>
            </w:pPr>
            <w:r>
              <w:rPr>
                <w:rFonts w:ascii="Arial" w:cs="Arial" w:eastAsia="Arial" w:hAnsi="Arial"/>
                <w:sz w:val="14"/>
                <w:szCs w:val="14"/>
                <w:b w:val="1"/>
                <w:bCs w:val="1"/>
                <w:color w:val="auto"/>
                <w:w w:val="89"/>
              </w:rPr>
              <w:t>in Income on Derivatives</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0"/>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r>
      <w:tr>
        <w:trPr>
          <w:trHeight w:val="178"/>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2640" w:type="dxa"/>
            <w:vAlign w:val="bottom"/>
            <w:shd w:val="clear" w:color="auto" w:fill="CCEEFF"/>
          </w:tcPr>
          <w:p>
            <w:pPr>
              <w:jc w:val="center"/>
              <w:ind w:left="250"/>
              <w:spacing w:after="0"/>
              <w:rPr>
                <w:sz w:val="20"/>
                <w:szCs w:val="20"/>
                <w:color w:val="auto"/>
              </w:rPr>
            </w:pPr>
            <w:r>
              <w:rPr>
                <w:rFonts w:ascii="Arial" w:cs="Arial" w:eastAsia="Arial" w:hAnsi="Arial"/>
                <w:sz w:val="14"/>
                <w:szCs w:val="14"/>
                <w:color w:val="auto"/>
                <w:w w:val="88"/>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(1,394)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(5,443) $</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(4,441)</w:t>
            </w:r>
          </w:p>
        </w:tc>
      </w:tr>
    </w:tbl>
    <w:p>
      <w:pPr>
        <w:spacing w:after="0" w:line="200" w:lineRule="exact"/>
        <w:rPr>
          <w:sz w:val="20"/>
          <w:szCs w:val="20"/>
          <w:color w:val="auto"/>
        </w:rPr>
      </w:pPr>
    </w:p>
    <w:p>
      <w:pPr>
        <w:spacing w:after="0" w:line="235" w:lineRule="exact"/>
        <w:rPr>
          <w:sz w:val="20"/>
          <w:szCs w:val="20"/>
          <w:color w:val="auto"/>
        </w:rPr>
      </w:pPr>
    </w:p>
    <w:p>
      <w:pPr>
        <w:ind w:right="360" w:firstLine="395"/>
        <w:spacing w:after="0" w:line="324" w:lineRule="auto"/>
        <w:rPr>
          <w:sz w:val="20"/>
          <w:szCs w:val="20"/>
          <w:color w:val="auto"/>
        </w:rPr>
      </w:pPr>
      <w:r>
        <w:rPr>
          <w:rFonts w:ascii="Arial" w:cs="Arial" w:eastAsia="Arial" w:hAnsi="Arial"/>
          <w:sz w:val="16"/>
          <w:szCs w:val="16"/>
          <w:color w:val="auto"/>
        </w:rPr>
        <w:t>Over the next 12 months, the Company estimates that $15.9 million will be reclassified as an increase to interest expense. Cash flows associated with periodic settlements of interest rate swaps will be classified as operating activities in the condensed consolidated statement of cash flows.</w:t>
      </w:r>
    </w:p>
    <w:p>
      <w:pPr>
        <w:spacing w:after="0" w:line="30" w:lineRule="exact"/>
        <w:rPr>
          <w:sz w:val="20"/>
          <w:szCs w:val="20"/>
          <w:color w:val="auto"/>
        </w:rPr>
      </w:pPr>
    </w:p>
    <w:p>
      <w:pPr>
        <w:jc w:val="both"/>
        <w:ind w:right="420" w:firstLine="395"/>
        <w:spacing w:after="0" w:line="299" w:lineRule="auto"/>
        <w:rPr>
          <w:sz w:val="20"/>
          <w:szCs w:val="20"/>
          <w:color w:val="auto"/>
        </w:rPr>
      </w:pPr>
      <w:r>
        <w:rPr>
          <w:rFonts w:ascii="Arial" w:cs="Arial" w:eastAsia="Arial" w:hAnsi="Arial"/>
          <w:sz w:val="16"/>
          <w:szCs w:val="16"/>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15" w:lineRule="exact"/>
        <w:rPr>
          <w:sz w:val="20"/>
          <w:szCs w:val="20"/>
          <w:color w:val="auto"/>
        </w:rPr>
      </w:pPr>
    </w:p>
    <w:p>
      <w:pPr>
        <w:ind w:right="260" w:firstLine="395"/>
        <w:spacing w:after="0" w:line="291" w:lineRule="auto"/>
        <w:rPr>
          <w:sz w:val="20"/>
          <w:szCs w:val="20"/>
          <w:color w:val="auto"/>
        </w:rPr>
      </w:pPr>
      <w:r>
        <w:rPr>
          <w:rFonts w:ascii="Arial" w:cs="Arial" w:eastAsia="Arial" w:hAnsi="Arial"/>
          <w:sz w:val="16"/>
          <w:szCs w:val="16"/>
          <w:color w:val="auto"/>
        </w:rPr>
        <w:t>The Company’s effective income tax rates were 22.9% and 24.3% for the three months ended June 30, 2021 and 2020. Our effective tax rates for these periods differ from the federal statutory rate of 21.0% primarily due to the inclusion of state and foreign income taxes and permanent rate differences, which are predominantly related to certain executive compensation and the accrual of reserves for uncertain tax positions, offset by research and development tax credits, excess tax benefits for employee share-based compensation, and the Foreign Derived Intangible Income deduction.</w:t>
      </w:r>
    </w:p>
    <w:p>
      <w:pPr>
        <w:spacing w:after="0" w:line="55"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color w:val="auto"/>
        </w:rPr>
        <w:t>The Company is currently contesting tax assessments from the District of Columbia Office of Tax and Revenue for fiscal years 2013 through 2015 at various stages of applicable administrative and judicial processes, with a combined amount at issue of approximately $11.7 million, net of associated federal tax benefits as of June 30, 2021. The Company has taken similar tax positions with respect to subsequent fiscal years, with approximately $38.6 million, net of federal tax benefits, of total potential future tax expense that would arise from an adverse final resolution. As of June 30, 2021, the Company does not maintain reserves for any uncertain tax positions related to the contested tax benefits or the similar tax positions taken in the subsequent fiscal years. Given the recoverable nature of the state tax expense, the Company does not believe that the resolution of these matters will have a material adverse effect on its results of operations, cash flows or financial condition.</w:t>
      </w:r>
    </w:p>
    <w:p>
      <w:pPr>
        <w:spacing w:after="0" w:line="66" w:lineRule="exact"/>
        <w:rPr>
          <w:sz w:val="20"/>
          <w:szCs w:val="20"/>
          <w:color w:val="auto"/>
        </w:rPr>
      </w:pPr>
    </w:p>
    <w:p>
      <w:pPr>
        <w:ind w:right="220" w:firstLine="395"/>
        <w:spacing w:after="0" w:line="250" w:lineRule="auto"/>
        <w:rPr>
          <w:sz w:val="20"/>
          <w:szCs w:val="20"/>
          <w:color w:val="auto"/>
        </w:rPr>
      </w:pPr>
      <w:r>
        <w:rPr>
          <w:rFonts w:ascii="Arial" w:cs="Arial" w:eastAsia="Arial" w:hAnsi="Arial"/>
          <w:sz w:val="18"/>
          <w:szCs w:val="18"/>
          <w:color w:val="auto"/>
        </w:rPr>
        <w:t>The Company maintained reserves for uncertain tax positions of $66.3 million and $62.9 million as of June 30, 2021 and March 31, 2021, respectively, $11.1 million of which is reflected as a reduction to deferred taxes with the remaining balance included in other long-term liabilities in the accompanying condensed consolidated balance sheets. As of June 30, 2021, the Company's reserves for uncertain tax positions are related entirely to research and development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4" w:lineRule="exact"/>
        <w:rPr>
          <w:sz w:val="20"/>
          <w:szCs w:val="20"/>
          <w:color w:val="auto"/>
        </w:rPr>
      </w:pPr>
    </w:p>
    <w:p>
      <w:pPr>
        <w:jc w:val="both"/>
        <w:ind w:left="2200" w:right="2160" w:firstLine="10"/>
        <w:spacing w:after="0" w:line="345"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LONG-TERM LIABILITIES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00" w:type="dxa"/>
            <w:vAlign w:val="bottom"/>
          </w:tcPr>
          <w:p>
            <w:pPr>
              <w:jc w:val="right"/>
              <w:ind w:right="338"/>
              <w:spacing w:after="0"/>
              <w:rPr>
                <w:sz w:val="20"/>
                <w:szCs w:val="20"/>
                <w:color w:val="auto"/>
              </w:rPr>
            </w:pPr>
            <w:r>
              <w:rPr>
                <w:rFonts w:ascii="Arial" w:cs="Arial" w:eastAsia="Arial" w:hAnsi="Arial"/>
                <w:sz w:val="14"/>
                <w:szCs w:val="14"/>
                <w:b w:val="1"/>
                <w:bCs w:val="1"/>
                <w:color w:val="auto"/>
              </w:rPr>
              <w:t>March 31,</w:t>
            </w:r>
          </w:p>
        </w:tc>
      </w:tr>
      <w:tr>
        <w:trPr>
          <w:trHeight w:val="184"/>
        </w:trPr>
        <w:tc>
          <w:tcPr>
            <w:tcW w:w="8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r>
      <w:tr>
        <w:trPr>
          <w:trHeight w:val="217"/>
        </w:trPr>
        <w:tc>
          <w:tcPr>
            <w:tcW w:w="81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Postretirement benefit obligations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126,054</w:t>
            </w:r>
          </w:p>
        </w:tc>
      </w:tr>
      <w:tr>
        <w:trPr>
          <w:trHeight w:val="223"/>
        </w:trPr>
        <w:tc>
          <w:tcPr>
            <w:tcW w:w="8160" w:type="dxa"/>
            <w:vAlign w:val="bottom"/>
          </w:tcPr>
          <w:p>
            <w:pPr>
              <w:spacing w:after="0"/>
              <w:rPr>
                <w:sz w:val="20"/>
                <w:szCs w:val="20"/>
                <w:color w:val="auto"/>
              </w:rPr>
            </w:pPr>
            <w:r>
              <w:rPr>
                <w:rFonts w:ascii="Arial" w:cs="Arial" w:eastAsia="Arial" w:hAnsi="Arial"/>
                <w:sz w:val="18"/>
                <w:szCs w:val="18"/>
                <w:color w:val="auto"/>
              </w:rPr>
              <w:t>Reserves for uncertain tax positions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56,576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53,203</w:t>
            </w:r>
          </w:p>
        </w:tc>
      </w:tr>
      <w:tr>
        <w:trPr>
          <w:trHeight w:val="224"/>
        </w:trPr>
        <w:tc>
          <w:tcPr>
            <w:tcW w:w="8160" w:type="dxa"/>
            <w:vAlign w:val="bottom"/>
            <w:shd w:val="clear" w:color="auto" w:fill="CCEEFF"/>
          </w:tcPr>
          <w:p>
            <w:pPr>
              <w:spacing w:after="0" w:line="224" w:lineRule="exact"/>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51,727</w:t>
            </w:r>
          </w:p>
        </w:tc>
      </w:tr>
      <w:tr>
        <w:trPr>
          <w:trHeight w:val="217"/>
        </w:trPr>
        <w:tc>
          <w:tcPr>
            <w:tcW w:w="8160" w:type="dxa"/>
            <w:vAlign w:val="bottom"/>
          </w:tcPr>
          <w:p>
            <w:pPr>
              <w:ind w:left="320"/>
              <w:spacing w:after="0" w:line="203" w:lineRule="exact"/>
              <w:rPr>
                <w:sz w:val="20"/>
                <w:szCs w:val="20"/>
                <w:color w:val="auto"/>
              </w:rPr>
            </w:pPr>
            <w:r>
              <w:rPr>
                <w:rFonts w:ascii="Arial" w:cs="Arial" w:eastAsia="Arial" w:hAnsi="Arial"/>
                <w:sz w:val="18"/>
                <w:szCs w:val="18"/>
                <w:color w:val="auto"/>
              </w:rPr>
              <w:t>Total other long-term liabilities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238,367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230,984</w:t>
            </w:r>
          </w:p>
        </w:tc>
      </w:tr>
      <w:tr>
        <w:trPr>
          <w:trHeight w:val="20"/>
        </w:trPr>
        <w:tc>
          <w:tcPr>
            <w:tcW w:w="8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62" w:lineRule="exact"/>
        <w:rPr>
          <w:sz w:val="20"/>
          <w:szCs w:val="20"/>
          <w:color w:val="auto"/>
        </w:rPr>
      </w:pPr>
    </w:p>
    <w:p>
      <w:pPr>
        <w:ind w:right="120"/>
        <w:spacing w:after="0" w:line="243"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7"/>
          <w:szCs w:val="17"/>
          <w:color w:val="auto"/>
        </w:rPr>
        <w:t>Because of the condensed financial statement presentation, components of other long-term liabilities at June 30, 2021 and March 31, 2021 primarily include the Company's long-term liability portion of the Company's derivative instruments, and the long-term disability obligation.</w:t>
      </w:r>
    </w:p>
    <w:p>
      <w:pPr>
        <w:spacing w:after="0" w:line="374" w:lineRule="exact"/>
        <w:rPr>
          <w:sz w:val="20"/>
          <w:szCs w:val="20"/>
          <w:color w:val="auto"/>
        </w:rPr>
      </w:pPr>
    </w:p>
    <w:p>
      <w:pPr>
        <w:ind w:left="320" w:right="8520" w:hanging="315"/>
        <w:spacing w:after="0" w:line="415" w:lineRule="auto"/>
        <w:tabs>
          <w:tab w:leader="none" w:pos="267"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EMPLOYEE BENEFIT PLANS </w:t>
      </w:r>
      <w:r>
        <w:rPr>
          <w:rFonts w:ascii="Arial" w:cs="Arial" w:eastAsia="Arial" w:hAnsi="Arial"/>
          <w:sz w:val="16"/>
          <w:szCs w:val="16"/>
          <w:b w:val="1"/>
          <w:bCs w:val="1"/>
          <w:i w:val="1"/>
          <w:iCs w:val="1"/>
          <w:color w:val="auto"/>
        </w:rPr>
        <w:t>Defined Contribution Plan</w:t>
      </w:r>
    </w:p>
    <w:p>
      <w:pPr>
        <w:spacing w:after="0" w:line="1" w:lineRule="exact"/>
        <w:rPr>
          <w:sz w:val="20"/>
          <w:szCs w:val="20"/>
          <w:color w:val="auto"/>
        </w:rPr>
      </w:pPr>
    </w:p>
    <w:p>
      <w:pPr>
        <w:ind w:right="60" w:firstLine="395"/>
        <w:spacing w:after="0" w:line="250" w:lineRule="auto"/>
        <w:rPr>
          <w:sz w:val="20"/>
          <w:szCs w:val="20"/>
          <w:color w:val="auto"/>
        </w:rPr>
      </w:pPr>
      <w:r>
        <w:rPr>
          <w:rFonts w:ascii="Arial" w:cs="Arial" w:eastAsia="Arial" w:hAnsi="Arial"/>
          <w:sz w:val="18"/>
          <w:szCs w:val="18"/>
          <w:color w:val="auto"/>
        </w:rPr>
        <w:t>The Company sponsors the Employees’ Capital Accumulation Plan, or ECAP, which is a qualified defined contribution plan that covers eligible U.S. and certain international employees. ECAP provides for distributions to participants by reason of retirement, death, disability, or termination of employment. The Company provides an annual matching contribution of up to 6% of eligible annual compensation. Total expenses recognized under ECAP were $43.2 million and $41.1 million for the three months ended June 30, 2021 and 2020, respectively.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Defined Benefit Plan</w:t>
      </w:r>
    </w:p>
    <w:p>
      <w:pPr>
        <w:spacing w:after="0" w:line="109" w:lineRule="exact"/>
        <w:rPr>
          <w:sz w:val="20"/>
          <w:szCs w:val="20"/>
          <w:color w:val="auto"/>
        </w:rPr>
      </w:pPr>
    </w:p>
    <w:p>
      <w:pPr>
        <w:ind w:right="520" w:firstLine="395"/>
        <w:spacing w:after="0" w:line="261" w:lineRule="auto"/>
        <w:rPr>
          <w:sz w:val="20"/>
          <w:szCs w:val="20"/>
          <w:color w:val="auto"/>
        </w:rPr>
      </w:pPr>
      <w:r>
        <w:rPr>
          <w:rFonts w:ascii="Arial" w:cs="Arial" w:eastAsia="Arial" w:hAnsi="Arial"/>
          <w:sz w:val="18"/>
          <w:szCs w:val="18"/>
          <w:color w:val="auto"/>
        </w:rPr>
        <w:t>The Company provides postretirement healthcare benefits to former officers under a medical indemnity insurance plan, with premiums paid by the Company. This plan is referred to as the Officer Medical Plan.</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17"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Three Months Ended</w:t>
      </w:r>
    </w:p>
    <w:p>
      <w:pPr>
        <w:jc w:val="center"/>
        <w:ind w:left="8060"/>
        <w:spacing w:after="0"/>
        <w:rPr>
          <w:sz w:val="20"/>
          <w:szCs w:val="20"/>
          <w:color w:val="auto"/>
        </w:rPr>
      </w:pPr>
      <w:r>
        <w:rPr>
          <w:rFonts w:ascii="Arial" w:cs="Arial" w:eastAsia="Arial" w:hAnsi="Arial"/>
          <w:sz w:val="14"/>
          <w:szCs w:val="14"/>
          <w:b w:val="1"/>
          <w:bCs w:val="1"/>
          <w:color w:val="auto"/>
        </w:rPr>
        <w:t>June 30,</w:t>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806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r>
      <w:tr>
        <w:trPr>
          <w:trHeight w:val="217"/>
        </w:trPr>
        <w:tc>
          <w:tcPr>
            <w:tcW w:w="80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Service cost</w:t>
            </w: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r>
      <w:tr>
        <w:trPr>
          <w:trHeight w:val="223"/>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cost</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r>
      <w:tr>
        <w:trPr>
          <w:trHeight w:val="242"/>
        </w:trPr>
        <w:tc>
          <w:tcPr>
            <w:tcW w:w="8060" w:type="dxa"/>
            <w:vAlign w:val="bottom"/>
            <w:tcBorders>
              <w:bottom w:val="single" w:sz="8" w:color="CCEEFF"/>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Total postretirement medical expense</w:t>
            </w: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right="100" w:firstLine="395"/>
        <w:spacing w:after="0" w:line="252" w:lineRule="auto"/>
        <w:rPr>
          <w:sz w:val="20"/>
          <w:szCs w:val="20"/>
          <w:color w:val="auto"/>
        </w:rPr>
      </w:pPr>
      <w:r>
        <w:rPr>
          <w:rFonts w:ascii="Arial" w:cs="Arial" w:eastAsia="Arial" w:hAnsi="Arial"/>
          <w:sz w:val="18"/>
          <w:szCs w:val="18"/>
          <w:color w:val="auto"/>
        </w:rPr>
        <w:t>The service cost component of net periodic benefit cost is included in cost of revenue and general and administrative expenses, and the non-service cost components of net periodic benefit cost (interest cost and net actuarial loss) is included as part of Other (expense) income, net in the accompanying condensed consolidated statements of operations.</w:t>
      </w:r>
    </w:p>
    <w:p>
      <w:pPr>
        <w:spacing w:after="0" w:line="190" w:lineRule="exact"/>
        <w:rPr>
          <w:sz w:val="20"/>
          <w:szCs w:val="20"/>
          <w:color w:val="auto"/>
        </w:rPr>
      </w:pPr>
    </w:p>
    <w:p>
      <w:pPr>
        <w:ind w:right="260" w:firstLine="395"/>
        <w:spacing w:after="0" w:line="261" w:lineRule="auto"/>
        <w:rPr>
          <w:sz w:val="20"/>
          <w:szCs w:val="20"/>
          <w:color w:val="auto"/>
        </w:rPr>
      </w:pPr>
      <w:r>
        <w:rPr>
          <w:rFonts w:ascii="Arial" w:cs="Arial" w:eastAsia="Arial" w:hAnsi="Arial"/>
          <w:sz w:val="18"/>
          <w:szCs w:val="18"/>
          <w:color w:val="auto"/>
        </w:rPr>
        <w:t>As of June 30, 2021 and March 31, 2021, the unfunded status of the post-retirement medical plan was $122.7 million and $121.5 million, respectively, which is included in other long-term liabilities in the accompanying condensed consolidated balance sheets.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Long-term Disability Benefits</w:t>
      </w:r>
    </w:p>
    <w:p>
      <w:pPr>
        <w:spacing w:after="0" w:line="109" w:lineRule="exact"/>
        <w:rPr>
          <w:sz w:val="20"/>
          <w:szCs w:val="20"/>
          <w:color w:val="auto"/>
        </w:rPr>
      </w:pPr>
    </w:p>
    <w:p>
      <w:pPr>
        <w:ind w:right="60" w:firstLine="395"/>
        <w:spacing w:after="0" w:line="248" w:lineRule="auto"/>
        <w:rPr>
          <w:sz w:val="20"/>
          <w:szCs w:val="20"/>
          <w:color w:val="auto"/>
        </w:rPr>
      </w:pPr>
      <w:r>
        <w:rPr>
          <w:rFonts w:ascii="Arial" w:cs="Arial" w:eastAsia="Arial" w:hAnsi="Arial"/>
          <w:sz w:val="18"/>
          <w:szCs w:val="18"/>
          <w:color w:val="auto"/>
        </w:rPr>
        <w:t>The Company offers medical and dental benefits to inactive employees (and their eligible dependents) on long-term disability. These benefits do not vary with an employee's years of service; therefore, the Company is required to accrue the costs of the benefits at the date the inactive employee becomes disability eligible and elects to participate in the benefit. The accrued cost for such benefits is calculated using an actuarial estimate. The accrued cost for these benefits was $10.9 million at both June 30, 2021 and March 31, 2021, and is presented in other long-term liabilities in the accompanying condensed consolidated balance sheets.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4" w:lineRule="exact"/>
        <w:rPr>
          <w:sz w:val="20"/>
          <w:szCs w:val="20"/>
          <w:color w:val="auto"/>
        </w:rPr>
      </w:pPr>
    </w:p>
    <w:p>
      <w:pPr>
        <w:jc w:val="both"/>
        <w:ind w:left="2200" w:right="2120" w:firstLine="10"/>
        <w:spacing w:after="0" w:line="345"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09"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The Company established a non-qualified deferred compensation plan (the "Plan") for certain executives and other highly compensated employees that was effective in fiscal 2018. The fair values of plan investments and obligations as of June 30, 2021 and March 31, 2021 were $19.7 million and $14.1 million, respectively, and were recorded in other long-term assets and in other long-term liabilities, respectively, in the condensed consolidated balance sheets. Adjustments to the fair value of the plan investments and obligations are recorded in operating expenses.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All amounts recorded in other comprehensive loss are related to the Company's post-retirement plans and interest rate swaps designated as cash flow hedges.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accumulated other comprehensive loss, net of tax: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4"/>
          </w:tcPr>
          <w:p>
            <w:pPr>
              <w:jc w:val="center"/>
              <w:ind w:left="792"/>
              <w:spacing w:after="0"/>
              <w:rPr>
                <w:sz w:val="20"/>
                <w:szCs w:val="20"/>
                <w:color w:val="auto"/>
              </w:rPr>
            </w:pPr>
            <w:r>
              <w:rPr>
                <w:rFonts w:ascii="Arial" w:cs="Arial" w:eastAsia="Arial" w:hAnsi="Arial"/>
                <w:sz w:val="18"/>
                <w:szCs w:val="18"/>
                <w:b w:val="1"/>
                <w:bCs w:val="1"/>
                <w:color w:val="auto"/>
                <w:w w:val="88"/>
              </w:rPr>
              <w:t>Three Months Ended June 30, 2021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6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88"/>
              </w:rPr>
              <w:t>Post-retirement</w:t>
            </w:r>
          </w:p>
        </w:tc>
        <w:tc>
          <w:tcPr>
            <w:tcW w:w="120" w:type="dxa"/>
            <w:vAlign w:val="bottom"/>
          </w:tcPr>
          <w:p>
            <w:pPr>
              <w:spacing w:after="0"/>
              <w:rPr>
                <w:sz w:val="14"/>
                <w:szCs w:val="14"/>
                <w:color w:val="auto"/>
              </w:rPr>
            </w:pPr>
          </w:p>
        </w:tc>
        <w:tc>
          <w:tcPr>
            <w:tcW w:w="1480" w:type="dxa"/>
            <w:vAlign w:val="bottom"/>
          </w:tcPr>
          <w:p>
            <w:pPr>
              <w:jc w:val="center"/>
              <w:ind w:right="32"/>
              <w:spacing w:after="0" w:line="164" w:lineRule="exact"/>
              <w:rPr>
                <w:sz w:val="20"/>
                <w:szCs w:val="20"/>
                <w:color w:val="auto"/>
              </w:rPr>
            </w:pPr>
            <w:r>
              <w:rPr>
                <w:rFonts w:ascii="Arial" w:cs="Arial" w:eastAsia="Arial" w:hAnsi="Arial"/>
                <w:sz w:val="18"/>
                <w:szCs w:val="18"/>
                <w:b w:val="1"/>
                <w:bCs w:val="1"/>
                <w:color w:val="auto"/>
                <w:w w:val="87"/>
              </w:rPr>
              <w:t>Derivatives</w:t>
            </w: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2"/>
              <w:spacing w:after="0" w:line="171" w:lineRule="exact"/>
              <w:rPr>
                <w:sz w:val="20"/>
                <w:szCs w:val="20"/>
                <w:color w:val="auto"/>
              </w:rPr>
            </w:pPr>
            <w:r>
              <w:rPr>
                <w:rFonts w:ascii="Arial" w:cs="Arial" w:eastAsia="Arial" w:hAnsi="Arial"/>
                <w:sz w:val="18"/>
                <w:szCs w:val="18"/>
                <w:b w:val="1"/>
                <w:bCs w:val="1"/>
                <w:color w:val="auto"/>
                <w:w w:val="83"/>
              </w:rPr>
              <w:t>designated as cash</w:t>
            </w:r>
          </w:p>
        </w:tc>
        <w:tc>
          <w:tcPr>
            <w:tcW w:w="560" w:type="dxa"/>
            <w:vAlign w:val="bottom"/>
          </w:tcPr>
          <w:p>
            <w:pPr>
              <w:spacing w:after="0"/>
              <w:rPr>
                <w:sz w:val="14"/>
                <w:szCs w:val="14"/>
                <w:color w:val="auto"/>
              </w:rPr>
            </w:pPr>
          </w:p>
        </w:tc>
        <w:tc>
          <w:tcPr>
            <w:tcW w:w="1040" w:type="dxa"/>
            <w:vAlign w:val="bottom"/>
            <w:vMerge w:val="restart"/>
          </w:tcPr>
          <w:p>
            <w:pPr>
              <w:jc w:val="right"/>
              <w:ind w:right="492"/>
              <w:spacing w:after="0"/>
              <w:rPr>
                <w:sz w:val="20"/>
                <w:szCs w:val="20"/>
                <w:color w:val="auto"/>
              </w:rPr>
            </w:pPr>
            <w:r>
              <w:rPr>
                <w:rFonts w:ascii="Arial" w:cs="Arial" w:eastAsia="Arial" w:hAnsi="Arial"/>
                <w:sz w:val="18"/>
                <w:szCs w:val="18"/>
                <w:b w:val="1"/>
                <w:bCs w:val="1"/>
                <w:color w:val="auto"/>
                <w:w w:val="82"/>
              </w:rPr>
              <w:t>Totals</w:t>
            </w:r>
          </w:p>
        </w:tc>
        <w:tc>
          <w:tcPr>
            <w:tcW w:w="0" w:type="dxa"/>
            <w:vAlign w:val="bottom"/>
          </w:tcPr>
          <w:p>
            <w:pPr>
              <w:spacing w:after="0"/>
              <w:rPr>
                <w:sz w:val="1"/>
                <w:szCs w:val="1"/>
                <w:color w:val="auto"/>
              </w:rPr>
            </w:pPr>
          </w:p>
        </w:tc>
      </w:tr>
      <w:tr>
        <w:trPr>
          <w:trHeight w:val="224"/>
        </w:trPr>
        <w:tc>
          <w:tcPr>
            <w:tcW w:w="6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4"/>
              </w:rPr>
              <w:t>plans</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flow hedges</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(28,209)</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(29,771)</w:t>
            </w:r>
          </w:p>
        </w:tc>
        <w:tc>
          <w:tcPr>
            <w:tcW w:w="0" w:type="dxa"/>
            <w:vAlign w:val="bottom"/>
          </w:tcPr>
          <w:p>
            <w:pPr>
              <w:spacing w:after="0"/>
              <w:rPr>
                <w:sz w:val="1"/>
                <w:szCs w:val="1"/>
                <w:color w:val="auto"/>
              </w:rPr>
            </w:pPr>
          </w:p>
        </w:tc>
      </w:tr>
      <w:tr>
        <w:trPr>
          <w:trHeight w:val="224"/>
        </w:trPr>
        <w:tc>
          <w:tcPr>
            <w:tcW w:w="6140" w:type="dxa"/>
            <w:vAlign w:val="bottom"/>
          </w:tcPr>
          <w:p>
            <w:pPr>
              <w:ind w:left="140"/>
              <w:spacing w:after="0" w:line="224" w:lineRule="exact"/>
              <w:rPr>
                <w:sz w:val="20"/>
                <w:szCs w:val="20"/>
                <w:color w:val="auto"/>
              </w:rPr>
            </w:pPr>
            <w:r>
              <w:rPr>
                <w:rFonts w:ascii="Arial" w:cs="Arial" w:eastAsia="Arial" w:hAnsi="Arial"/>
                <w:sz w:val="18"/>
                <w:szCs w:val="18"/>
                <w:color w:val="auto"/>
              </w:rPr>
              <w:t>Other comprehensive loss before reclassifications</w:t>
            </w:r>
            <w:r>
              <w:rPr>
                <w:rFonts w:ascii="Arial" w:cs="Arial" w:eastAsia="Arial" w:hAnsi="Arial"/>
                <w:sz w:val="22"/>
                <w:szCs w:val="22"/>
                <w:color w:val="auto"/>
                <w:vertAlign w:val="superscript"/>
              </w:rPr>
              <w:t>(1)</w:t>
            </w:r>
          </w:p>
        </w:tc>
        <w:tc>
          <w:tcPr>
            <w:tcW w:w="160" w:type="dxa"/>
            <w:vAlign w:val="bottom"/>
          </w:tcPr>
          <w:p>
            <w:pPr>
              <w:spacing w:after="0"/>
              <w:rPr>
                <w:sz w:val="19"/>
                <w:szCs w:val="19"/>
                <w:color w:val="auto"/>
              </w:rPr>
            </w:pPr>
          </w:p>
        </w:tc>
        <w:tc>
          <w:tcPr>
            <w:tcW w:w="1420" w:type="dxa"/>
            <w:vAlign w:val="bottom"/>
          </w:tcPr>
          <w:p>
            <w:pPr>
              <w:ind w:left="1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(1,031)</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0" w:type="dxa"/>
            <w:vAlign w:val="bottom"/>
          </w:tcPr>
          <w:p>
            <w:pPr>
              <w:spacing w:after="0"/>
              <w:rPr>
                <w:sz w:val="1"/>
                <w:szCs w:val="1"/>
                <w:color w:val="auto"/>
              </w:rPr>
            </w:pPr>
          </w:p>
        </w:tc>
      </w:tr>
      <w:tr>
        <w:trPr>
          <w:trHeight w:val="217"/>
        </w:trPr>
        <w:tc>
          <w:tcPr>
            <w:tcW w:w="6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42"/>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(25,215)</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(26,758)</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right="60" w:firstLine="5"/>
        <w:spacing w:after="0" w:line="249" w:lineRule="auto"/>
        <w:tabs>
          <w:tab w:leader="none" w:pos="177"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Changes in other comprehensive income (loss) before reclassification for derivatives designated as cash flow hedges are recorded net of tax benefits of $0.4 million for the three months ended June 30,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4"/>
          </w:tcPr>
          <w:p>
            <w:pPr>
              <w:jc w:val="center"/>
              <w:ind w:left="792"/>
              <w:spacing w:after="0"/>
              <w:rPr>
                <w:sz w:val="20"/>
                <w:szCs w:val="20"/>
                <w:color w:val="auto"/>
              </w:rPr>
            </w:pPr>
            <w:r>
              <w:rPr>
                <w:rFonts w:ascii="Arial" w:cs="Arial" w:eastAsia="Arial" w:hAnsi="Arial"/>
                <w:sz w:val="18"/>
                <w:szCs w:val="18"/>
                <w:b w:val="1"/>
                <w:bCs w:val="1"/>
                <w:color w:val="auto"/>
                <w:w w:val="88"/>
              </w:rPr>
              <w:t>Three Months Ended June 30, 2020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6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88"/>
              </w:rPr>
              <w:t>Post-retirement</w:t>
            </w:r>
          </w:p>
        </w:tc>
        <w:tc>
          <w:tcPr>
            <w:tcW w:w="120" w:type="dxa"/>
            <w:vAlign w:val="bottom"/>
          </w:tcPr>
          <w:p>
            <w:pPr>
              <w:spacing w:after="0"/>
              <w:rPr>
                <w:sz w:val="14"/>
                <w:szCs w:val="14"/>
                <w:color w:val="auto"/>
              </w:rPr>
            </w:pPr>
          </w:p>
        </w:tc>
        <w:tc>
          <w:tcPr>
            <w:tcW w:w="1480" w:type="dxa"/>
            <w:vAlign w:val="bottom"/>
          </w:tcPr>
          <w:p>
            <w:pPr>
              <w:jc w:val="center"/>
              <w:ind w:right="32"/>
              <w:spacing w:after="0" w:line="164" w:lineRule="exact"/>
              <w:rPr>
                <w:sz w:val="20"/>
                <w:szCs w:val="20"/>
                <w:color w:val="auto"/>
              </w:rPr>
            </w:pPr>
            <w:r>
              <w:rPr>
                <w:rFonts w:ascii="Arial" w:cs="Arial" w:eastAsia="Arial" w:hAnsi="Arial"/>
                <w:sz w:val="18"/>
                <w:szCs w:val="18"/>
                <w:b w:val="1"/>
                <w:bCs w:val="1"/>
                <w:color w:val="auto"/>
                <w:w w:val="87"/>
              </w:rPr>
              <w:t>Derivatives</w:t>
            </w: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2"/>
              <w:spacing w:after="0" w:line="171" w:lineRule="exact"/>
              <w:rPr>
                <w:sz w:val="20"/>
                <w:szCs w:val="20"/>
                <w:color w:val="auto"/>
              </w:rPr>
            </w:pPr>
            <w:r>
              <w:rPr>
                <w:rFonts w:ascii="Arial" w:cs="Arial" w:eastAsia="Arial" w:hAnsi="Arial"/>
                <w:sz w:val="18"/>
                <w:szCs w:val="18"/>
                <w:b w:val="1"/>
                <w:bCs w:val="1"/>
                <w:color w:val="auto"/>
                <w:w w:val="83"/>
              </w:rPr>
              <w:t>designated as cash</w:t>
            </w:r>
          </w:p>
        </w:tc>
        <w:tc>
          <w:tcPr>
            <w:tcW w:w="560" w:type="dxa"/>
            <w:vAlign w:val="bottom"/>
          </w:tcPr>
          <w:p>
            <w:pPr>
              <w:spacing w:after="0"/>
              <w:rPr>
                <w:sz w:val="14"/>
                <w:szCs w:val="14"/>
                <w:color w:val="auto"/>
              </w:rPr>
            </w:pPr>
          </w:p>
        </w:tc>
        <w:tc>
          <w:tcPr>
            <w:tcW w:w="1040" w:type="dxa"/>
            <w:vAlign w:val="bottom"/>
            <w:vMerge w:val="restart"/>
          </w:tcPr>
          <w:p>
            <w:pPr>
              <w:jc w:val="right"/>
              <w:ind w:right="492"/>
              <w:spacing w:after="0"/>
              <w:rPr>
                <w:sz w:val="20"/>
                <w:szCs w:val="20"/>
                <w:color w:val="auto"/>
              </w:rPr>
            </w:pPr>
            <w:r>
              <w:rPr>
                <w:rFonts w:ascii="Arial" w:cs="Arial" w:eastAsia="Arial" w:hAnsi="Arial"/>
                <w:sz w:val="18"/>
                <w:szCs w:val="18"/>
                <w:b w:val="1"/>
                <w:bCs w:val="1"/>
                <w:color w:val="auto"/>
                <w:w w:val="82"/>
              </w:rPr>
              <w:t>Totals</w:t>
            </w:r>
          </w:p>
        </w:tc>
        <w:tc>
          <w:tcPr>
            <w:tcW w:w="0" w:type="dxa"/>
            <w:vAlign w:val="bottom"/>
          </w:tcPr>
          <w:p>
            <w:pPr>
              <w:spacing w:after="0"/>
              <w:rPr>
                <w:sz w:val="1"/>
                <w:szCs w:val="1"/>
                <w:color w:val="auto"/>
              </w:rPr>
            </w:pPr>
          </w:p>
        </w:tc>
      </w:tr>
      <w:tr>
        <w:trPr>
          <w:trHeight w:val="224"/>
        </w:trPr>
        <w:tc>
          <w:tcPr>
            <w:tcW w:w="6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4"/>
              </w:rPr>
              <w:t>plans</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4"/>
              </w:rPr>
              <w:t>flow hedges</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(41,874)</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(46,001)</w:t>
            </w:r>
          </w:p>
        </w:tc>
        <w:tc>
          <w:tcPr>
            <w:tcW w:w="0" w:type="dxa"/>
            <w:vAlign w:val="bottom"/>
          </w:tcPr>
          <w:p>
            <w:pPr>
              <w:spacing w:after="0"/>
              <w:rPr>
                <w:sz w:val="1"/>
                <w:szCs w:val="1"/>
                <w:color w:val="auto"/>
              </w:rPr>
            </w:pPr>
          </w:p>
        </w:tc>
      </w:tr>
      <w:tr>
        <w:trPr>
          <w:trHeight w:val="224"/>
        </w:trPr>
        <w:tc>
          <w:tcPr>
            <w:tcW w:w="6140" w:type="dxa"/>
            <w:vAlign w:val="bottom"/>
          </w:tcPr>
          <w:p>
            <w:pPr>
              <w:ind w:left="140"/>
              <w:spacing w:after="0" w:line="224" w:lineRule="exact"/>
              <w:rPr>
                <w:sz w:val="20"/>
                <w:szCs w:val="20"/>
                <w:color w:val="auto"/>
              </w:rPr>
            </w:pPr>
            <w:r>
              <w:rPr>
                <w:rFonts w:ascii="Arial" w:cs="Arial" w:eastAsia="Arial" w:hAnsi="Arial"/>
                <w:sz w:val="18"/>
                <w:szCs w:val="18"/>
                <w:color w:val="auto"/>
              </w:rPr>
              <w:t>Other comprehensive loss before reclassifications</w:t>
            </w:r>
            <w:r>
              <w:rPr>
                <w:rFonts w:ascii="Arial" w:cs="Arial" w:eastAsia="Arial" w:hAnsi="Arial"/>
                <w:sz w:val="22"/>
                <w:szCs w:val="22"/>
                <w:color w:val="auto"/>
                <w:vertAlign w:val="superscript"/>
              </w:rPr>
              <w:t>(2)</w:t>
            </w:r>
          </w:p>
        </w:tc>
        <w:tc>
          <w:tcPr>
            <w:tcW w:w="160" w:type="dxa"/>
            <w:vAlign w:val="bottom"/>
          </w:tcPr>
          <w:p>
            <w:pPr>
              <w:spacing w:after="0"/>
              <w:rPr>
                <w:sz w:val="19"/>
                <w:szCs w:val="19"/>
                <w:color w:val="auto"/>
              </w:rPr>
            </w:pPr>
          </w:p>
        </w:tc>
        <w:tc>
          <w:tcPr>
            <w:tcW w:w="1420" w:type="dxa"/>
            <w:vAlign w:val="bottom"/>
          </w:tcPr>
          <w:p>
            <w:pPr>
              <w:ind w:left="1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(4,722)</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17"/>
        </w:trPr>
        <w:tc>
          <w:tcPr>
            <w:tcW w:w="6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42"/>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(43,313)</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(47,418)</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right="460"/>
        <w:spacing w:after="0" w:line="225" w:lineRule="auto"/>
        <w:rPr>
          <w:sz w:val="20"/>
          <w:szCs w:val="20"/>
          <w:color w:val="auto"/>
        </w:rPr>
      </w:pPr>
      <w:r>
        <w:rPr>
          <w:rFonts w:ascii="Arial" w:cs="Arial" w:eastAsia="Arial" w:hAnsi="Arial"/>
          <w:sz w:val="22"/>
          <w:szCs w:val="22"/>
          <w:color w:val="auto"/>
          <w:vertAlign w:val="superscript"/>
        </w:rPr>
        <w:t>(2)</w:t>
      </w:r>
      <w:r>
        <w:rPr>
          <w:rFonts w:ascii="Arial" w:cs="Arial" w:eastAsia="Arial" w:hAnsi="Arial"/>
          <w:sz w:val="18"/>
          <w:szCs w:val="18"/>
          <w:color w:val="auto"/>
        </w:rPr>
        <w:t>Changes in other comprehensive income (loss) before reclassification for derivatives designated as cash flow hedges are recorded net of tax benefits of $1.7 million for the three months ended June 30, 2020.</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45"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218" w:lineRule="exact"/>
        <w:rPr>
          <w:sz w:val="20"/>
          <w:szCs w:val="20"/>
          <w:color w:val="auto"/>
        </w:rPr>
      </w:pPr>
    </w:p>
    <w:p>
      <w:pPr>
        <w:jc w:val="center"/>
        <w:ind w:left="7560"/>
        <w:spacing w:after="0"/>
        <w:rPr>
          <w:sz w:val="20"/>
          <w:szCs w:val="20"/>
          <w:color w:val="auto"/>
        </w:rPr>
      </w:pPr>
      <w:r>
        <w:rPr>
          <w:rFonts w:ascii="Arial" w:cs="Arial" w:eastAsia="Arial" w:hAnsi="Arial"/>
          <w:sz w:val="18"/>
          <w:szCs w:val="18"/>
          <w:b w:val="1"/>
          <w:bCs w:val="1"/>
          <w:color w:val="auto"/>
        </w:rPr>
        <w:t>Three Months Ended</w:t>
      </w:r>
    </w:p>
    <w:p>
      <w:pPr>
        <w:jc w:val="center"/>
        <w:ind w:left="7560"/>
        <w:spacing w:after="0"/>
        <w:rPr>
          <w:sz w:val="20"/>
          <w:szCs w:val="20"/>
          <w:color w:val="auto"/>
        </w:rPr>
      </w:pPr>
      <w:r>
        <w:rPr>
          <w:rFonts w:ascii="Arial" w:cs="Arial" w:eastAsia="Arial" w:hAnsi="Arial"/>
          <w:sz w:val="18"/>
          <w:szCs w:val="18"/>
          <w:b w:val="1"/>
          <w:bCs w:val="1"/>
          <w:color w:val="auto"/>
        </w:rPr>
        <w:t>June 30,</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2020</w:t>
            </w:r>
          </w:p>
        </w:tc>
      </w:tr>
      <w:tr>
        <w:trPr>
          <w:trHeight w:val="203"/>
        </w:trPr>
        <w:tc>
          <w:tcPr>
            <w:tcW w:w="7580" w:type="dxa"/>
            <w:vAlign w:val="bottom"/>
          </w:tcPr>
          <w:p>
            <w:pPr>
              <w:ind w:left="20"/>
              <w:spacing w:after="0" w:line="203" w:lineRule="exact"/>
              <w:rPr>
                <w:sz w:val="20"/>
                <w:szCs w:val="20"/>
                <w:color w:val="auto"/>
              </w:rPr>
            </w:pPr>
            <w:r>
              <w:rPr>
                <w:rFonts w:ascii="Arial" w:cs="Arial" w:eastAsia="Arial" w:hAnsi="Arial"/>
                <w:sz w:val="18"/>
                <w:szCs w:val="18"/>
                <w:color w:val="auto"/>
              </w:rPr>
              <w:t>Amounts reclassified from accumulated other comprehensive loss:</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4"/>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Post-retirement plans (Note 12):</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3"/>
        </w:trPr>
        <w:tc>
          <w:tcPr>
            <w:tcW w:w="7580" w:type="dxa"/>
            <w:vAlign w:val="bottom"/>
          </w:tcPr>
          <w:p>
            <w:pPr>
              <w:ind w:left="340"/>
              <w:spacing w:after="0"/>
              <w:rPr>
                <w:sz w:val="20"/>
                <w:szCs w:val="20"/>
                <w:color w:val="auto"/>
              </w:rPr>
            </w:pPr>
            <w:r>
              <w:rPr>
                <w:rFonts w:ascii="Arial" w:cs="Arial" w:eastAsia="Arial" w:hAnsi="Arial"/>
                <w:sz w:val="18"/>
                <w:szCs w:val="18"/>
                <w:color w:val="auto"/>
              </w:rPr>
              <w:t>Amortization of net actuarial loss included in net periodic benefit cost</w:t>
            </w: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4"/>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(benefit) expense</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7"/>
        </w:trPr>
        <w:tc>
          <w:tcPr>
            <w:tcW w:w="7580" w:type="dxa"/>
            <w:vAlign w:val="bottom"/>
          </w:tcPr>
          <w:p>
            <w:pPr>
              <w:ind w:left="440"/>
              <w:spacing w:after="0"/>
              <w:rPr>
                <w:sz w:val="20"/>
                <w:szCs w:val="20"/>
                <w:color w:val="auto"/>
              </w:rPr>
            </w:pPr>
            <w:r>
              <w:rPr>
                <w:rFonts w:ascii="Arial" w:cs="Arial" w:eastAsia="Arial" w:hAnsi="Arial"/>
                <w:sz w:val="18"/>
                <w:szCs w:val="18"/>
                <w:color w:val="auto"/>
              </w:rPr>
              <w:t>Net of tax</w:t>
            </w:r>
          </w:p>
        </w:tc>
        <w:tc>
          <w:tcPr>
            <w:tcW w:w="104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0"/>
        </w:trPr>
        <w:tc>
          <w:tcPr>
            <w:tcW w:w="7580" w:type="dxa"/>
            <w:vAlign w:val="bottom"/>
            <w:shd w:val="clear" w:color="auto" w:fill="CCEEFF"/>
          </w:tcPr>
          <w:p>
            <w:pPr>
              <w:ind w:left="220"/>
              <w:spacing w:after="0" w:line="190" w:lineRule="exact"/>
              <w:rPr>
                <w:sz w:val="20"/>
                <w:szCs w:val="20"/>
                <w:color w:val="auto"/>
              </w:rPr>
            </w:pPr>
            <w:r>
              <w:rPr>
                <w:rFonts w:ascii="Arial" w:cs="Arial" w:eastAsia="Arial" w:hAnsi="Arial"/>
                <w:sz w:val="18"/>
                <w:szCs w:val="18"/>
                <w:color w:val="auto"/>
              </w:rPr>
              <w:t>Derivatives designated as cash flow hedges (Note 9):</w:t>
            </w:r>
          </w:p>
        </w:tc>
        <w:tc>
          <w:tcPr>
            <w:tcW w:w="10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3"/>
        </w:trPr>
        <w:tc>
          <w:tcPr>
            <w:tcW w:w="7580" w:type="dxa"/>
            <w:vAlign w:val="bottom"/>
          </w:tcPr>
          <w:p>
            <w:pPr>
              <w:ind w:left="340"/>
              <w:spacing w:after="0"/>
              <w:rPr>
                <w:sz w:val="20"/>
                <w:szCs w:val="20"/>
                <w:color w:val="auto"/>
              </w:rPr>
            </w:pPr>
            <w:r>
              <w:rPr>
                <w:rFonts w:ascii="Arial" w:cs="Arial" w:eastAsia="Arial" w:hAnsi="Arial"/>
                <w:sz w:val="18"/>
                <w:szCs w:val="18"/>
                <w:color w:val="auto"/>
              </w:rPr>
              <w:t>Reclassification of hedge loss (gain)</w:t>
            </w: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4,441</w:t>
            </w:r>
          </w:p>
        </w:tc>
      </w:tr>
      <w:tr>
        <w:trPr>
          <w:trHeight w:val="224"/>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(benefit) expense</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r>
      <w:tr>
        <w:trPr>
          <w:trHeight w:val="217"/>
        </w:trPr>
        <w:tc>
          <w:tcPr>
            <w:tcW w:w="7580" w:type="dxa"/>
            <w:vAlign w:val="bottom"/>
          </w:tcPr>
          <w:p>
            <w:pPr>
              <w:ind w:left="440"/>
              <w:spacing w:after="0"/>
              <w:rPr>
                <w:sz w:val="20"/>
                <w:szCs w:val="20"/>
                <w:color w:val="auto"/>
              </w:rPr>
            </w:pPr>
            <w:r>
              <w:rPr>
                <w:rFonts w:ascii="Arial" w:cs="Arial" w:eastAsia="Arial" w:hAnsi="Arial"/>
                <w:sz w:val="18"/>
                <w:szCs w:val="18"/>
                <w:color w:val="auto"/>
              </w:rPr>
              <w:t>Net of tax</w:t>
            </w:r>
          </w:p>
        </w:tc>
        <w:tc>
          <w:tcPr>
            <w:tcW w:w="104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w:t>
            </w:r>
          </w:p>
        </w:tc>
      </w:tr>
      <w:tr>
        <w:trPr>
          <w:trHeight w:val="20"/>
        </w:trPr>
        <w:tc>
          <w:tcPr>
            <w:tcW w:w="7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stock-based compensation expense recognized in the condensed consolidated statements of operations:</w:t>
      </w:r>
    </w:p>
    <w:p>
      <w:pPr>
        <w:spacing w:after="0" w:line="227"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Three Months Ended</w:t>
      </w:r>
    </w:p>
    <w:p>
      <w:pPr>
        <w:jc w:val="center"/>
        <w:ind w:left="8140"/>
        <w:spacing w:after="0"/>
        <w:rPr>
          <w:sz w:val="20"/>
          <w:szCs w:val="20"/>
          <w:color w:val="auto"/>
        </w:rPr>
      </w:pPr>
      <w:r>
        <w:rPr>
          <w:rFonts w:ascii="Arial" w:cs="Arial" w:eastAsia="Arial" w:hAnsi="Arial"/>
          <w:sz w:val="14"/>
          <w:szCs w:val="14"/>
          <w:b w:val="1"/>
          <w:bCs w:val="1"/>
          <w:color w:val="auto"/>
        </w:rPr>
        <w:t>June 30,</w:t>
      </w:r>
    </w:p>
    <w:p>
      <w:pPr>
        <w:spacing w:after="0" w:line="6"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816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17"/>
        </w:trPr>
        <w:tc>
          <w:tcPr>
            <w:tcW w:w="81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Cost of revenue</w:t>
            </w: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r>
      <w:tr>
        <w:trPr>
          <w:trHeight w:val="22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6,335</w:t>
            </w:r>
          </w:p>
        </w:tc>
      </w:tr>
      <w:tr>
        <w:trPr>
          <w:trHeight w:val="242"/>
        </w:trPr>
        <w:tc>
          <w:tcPr>
            <w:tcW w:w="8160" w:type="dxa"/>
            <w:vAlign w:val="bottom"/>
            <w:tcBorders>
              <w:bottom w:val="single" w:sz="8" w:color="CCEEFF"/>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12,444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right="280" w:firstLine="395"/>
        <w:spacing w:after="0" w:line="261"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184"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Three Months Ended</w:t>
      </w:r>
    </w:p>
    <w:p>
      <w:pPr>
        <w:jc w:val="center"/>
        <w:ind w:left="8040"/>
        <w:spacing w:after="0"/>
        <w:rPr>
          <w:sz w:val="20"/>
          <w:szCs w:val="20"/>
          <w:color w:val="auto"/>
        </w:rPr>
      </w:pPr>
      <w:r>
        <w:rPr>
          <w:rFonts w:ascii="Arial" w:cs="Arial" w:eastAsia="Arial" w:hAnsi="Arial"/>
          <w:sz w:val="14"/>
          <w:szCs w:val="14"/>
          <w:b w:val="1"/>
          <w:bCs w:val="1"/>
          <w:color w:val="auto"/>
        </w:rPr>
        <w:t>June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17"/>
        </w:trPr>
        <w:tc>
          <w:tcPr>
            <w:tcW w:w="8160" w:type="dxa"/>
            <w:vAlign w:val="bottom"/>
            <w:shd w:val="clear" w:color="auto" w:fill="CCEEFF"/>
          </w:tcPr>
          <w:p>
            <w:pPr>
              <w:ind w:left="140"/>
              <w:spacing w:after="0" w:line="204" w:lineRule="exact"/>
              <w:rPr>
                <w:sz w:val="20"/>
                <w:szCs w:val="20"/>
                <w:color w:val="auto"/>
              </w:rPr>
            </w:pPr>
            <w:r>
              <w:rPr>
                <w:rFonts w:ascii="Arial" w:cs="Arial" w:eastAsia="Arial" w:hAnsi="Arial"/>
                <w:sz w:val="18"/>
                <w:szCs w:val="18"/>
                <w:color w:val="auto"/>
              </w:rPr>
              <w:t>Equity Incentive Plan Options</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23"/>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Stock Awards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11,871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10,387</w:t>
            </w:r>
          </w:p>
        </w:tc>
      </w:tr>
      <w:tr>
        <w:trPr>
          <w:trHeight w:val="242"/>
        </w:trPr>
        <w:tc>
          <w:tcPr>
            <w:tcW w:w="8160" w:type="dxa"/>
            <w:vAlign w:val="bottom"/>
            <w:tcBorders>
              <w:bottom w:val="single" w:sz="8" w:color="CCEEFF"/>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12,444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340" w:firstLine="395"/>
        <w:spacing w:after="0" w:line="291" w:lineRule="auto"/>
        <w:rPr>
          <w:sz w:val="20"/>
          <w:szCs w:val="20"/>
          <w:color w:val="auto"/>
        </w:rPr>
      </w:pPr>
      <w:r>
        <w:rPr>
          <w:rFonts w:ascii="Arial" w:cs="Arial" w:eastAsia="Arial" w:hAnsi="Arial"/>
          <w:sz w:val="16"/>
          <w:szCs w:val="16"/>
          <w:color w:val="auto"/>
        </w:rPr>
        <w:t>As of June 30, 2021, there was $75.5 million of total unrecognized compensation cost related to unvested stock-based compensation agreements. The unrecognized compensation cost as of June 30, 2021 is expected to be fully amortized over the next 4.75 years. Absent the effect of accelerating stock compensation cost for any departures of employees who may continue to vest in their equity awards, the following table summarizes the unrecognized compensation cost and the weighted-average period the cost is expected to be amortized.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80" w:type="dxa"/>
            <w:vAlign w:val="bottom"/>
            <w:gridSpan w:val="4"/>
          </w:tcPr>
          <w:p>
            <w:pPr>
              <w:ind w:left="138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361"/>
              <w:spacing w:after="0" w:line="130" w:lineRule="exact"/>
              <w:rPr>
                <w:sz w:val="20"/>
                <w:szCs w:val="20"/>
                <w:color w:val="auto"/>
              </w:rPr>
            </w:pPr>
            <w:r>
              <w:rPr>
                <w:rFonts w:ascii="Arial" w:cs="Arial" w:eastAsia="Arial" w:hAnsi="Arial"/>
                <w:sz w:val="14"/>
                <w:szCs w:val="14"/>
                <w:b w:val="1"/>
                <w:bCs w:val="1"/>
                <w:color w:val="auto"/>
              </w:rPr>
              <w:t>Unrecognized</w:t>
            </w:r>
          </w:p>
        </w:tc>
        <w:tc>
          <w:tcPr>
            <w:tcW w:w="120" w:type="dxa"/>
            <w:vAlign w:val="bottom"/>
            <w:tcBorders>
              <w:top w:val="single" w:sz="8" w:color="auto"/>
            </w:tcBorders>
          </w:tcPr>
          <w:p>
            <w:pPr>
              <w:spacing w:after="0"/>
              <w:rPr>
                <w:sz w:val="11"/>
                <w:szCs w:val="11"/>
                <w:color w:val="auto"/>
              </w:rPr>
            </w:pPr>
          </w:p>
        </w:tc>
        <w:tc>
          <w:tcPr>
            <w:tcW w:w="21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0"/>
              </w:rPr>
              <w:t>Weighted Average Remaining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820" w:type="dxa"/>
            <w:vAlign w:val="bottom"/>
            <w:tcBorders>
              <w:bottom w:val="single" w:sz="8" w:color="CCEEFF"/>
            </w:tcBorders>
          </w:tcPr>
          <w:p>
            <w:pPr>
              <w:spacing w:after="0"/>
              <w:rPr>
                <w:sz w:val="15"/>
                <w:szCs w:val="15"/>
                <w:color w:val="auto"/>
              </w:rPr>
            </w:pPr>
          </w:p>
        </w:tc>
        <w:tc>
          <w:tcPr>
            <w:tcW w:w="34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2"/>
              </w:rPr>
              <w:t>Compensation Cost</w:t>
            </w:r>
          </w:p>
        </w:tc>
        <w:tc>
          <w:tcPr>
            <w:tcW w:w="120" w:type="dxa"/>
            <w:vAlign w:val="bottom"/>
            <w:tcBorders>
              <w:bottom w:val="single" w:sz="8" w:color="CCEEFF"/>
            </w:tcBorders>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Period to be Recognized (in years)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Equity Incentive Plan Options</w:t>
            </w:r>
          </w:p>
        </w:tc>
        <w:tc>
          <w:tcPr>
            <w:tcW w:w="3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22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5"/>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Awards</w:t>
            </w:r>
          </w:p>
        </w:tc>
        <w:tc>
          <w:tcPr>
            <w:tcW w:w="3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71,218</w:t>
            </w:r>
          </w:p>
        </w:tc>
        <w:tc>
          <w:tcPr>
            <w:tcW w:w="2260" w:type="dxa"/>
            <w:vAlign w:val="bottom"/>
            <w:tcBorders>
              <w:bottom w:val="single" w:sz="8" w:color="CCEEFF"/>
            </w:tcBorders>
            <w:gridSpan w:val="2"/>
          </w:tcPr>
          <w:p>
            <w:pPr>
              <w:jc w:val="center"/>
              <w:ind w:left="32"/>
              <w:spacing w:after="0"/>
              <w:rPr>
                <w:sz w:val="20"/>
                <w:szCs w:val="20"/>
                <w:color w:val="auto"/>
              </w:rPr>
            </w:pPr>
            <w:r>
              <w:rPr>
                <w:rFonts w:ascii="Arial" w:cs="Arial" w:eastAsia="Arial" w:hAnsi="Arial"/>
                <w:sz w:val="18"/>
                <w:szCs w:val="18"/>
                <w:color w:val="auto"/>
                <w:w w:val="85"/>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Total</w:t>
            </w:r>
          </w:p>
        </w:tc>
        <w:tc>
          <w:tcPr>
            <w:tcW w:w="3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75,481</w:t>
            </w:r>
          </w:p>
        </w:tc>
        <w:tc>
          <w:tcPr>
            <w:tcW w:w="12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1452"/>
              <w:spacing w:after="0"/>
              <w:rPr>
                <w:sz w:val="20"/>
                <w:szCs w:val="20"/>
                <w:color w:val="auto"/>
              </w:rPr>
            </w:pPr>
            <w:r>
              <w:rPr>
                <w:rFonts w:ascii="Arial" w:cs="Arial" w:eastAsia="Arial" w:hAnsi="Arial"/>
                <w:sz w:val="18"/>
                <w:szCs w:val="18"/>
                <w:color w:val="auto"/>
              </w:rPr>
              <w:t>19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4"/>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45"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09" w:lineRule="exact"/>
        <w:rPr>
          <w:sz w:val="20"/>
          <w:szCs w:val="20"/>
          <w:color w:val="auto"/>
        </w:rPr>
      </w:pPr>
    </w:p>
    <w:p>
      <w:pPr>
        <w:ind w:right="20" w:firstLine="395"/>
        <w:spacing w:after="0" w:line="261" w:lineRule="auto"/>
        <w:rPr>
          <w:sz w:val="20"/>
          <w:szCs w:val="20"/>
          <w:color w:val="auto"/>
        </w:rPr>
      </w:pPr>
      <w:r>
        <w:rPr>
          <w:rFonts w:ascii="Arial" w:cs="Arial" w:eastAsia="Arial" w:hAnsi="Arial"/>
          <w:sz w:val="18"/>
          <w:szCs w:val="18"/>
          <w:color w:val="auto"/>
        </w:rPr>
        <w:t>During the three months ended June 30, 2021, 93,150 options were granted under the Amended and Restated Equity Incentive Plan, or EIP. The aggregate fair value of options granted was $1.4 million based on the estimated fair value per-option granted of $14.49.</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June 30, 2021, there were 1,450,852 EIP options outstanding, of which 607,862 were unvested.</w:t>
      </w:r>
    </w:p>
    <w:p>
      <w:pPr>
        <w:spacing w:after="0" w:line="109" w:lineRule="exact"/>
        <w:rPr>
          <w:sz w:val="20"/>
          <w:szCs w:val="20"/>
          <w:color w:val="auto"/>
        </w:rPr>
      </w:pPr>
    </w:p>
    <w:p>
      <w:pPr>
        <w:ind w:right="280" w:firstLine="395"/>
        <w:spacing w:after="0" w:line="324" w:lineRule="auto"/>
        <w:rPr>
          <w:sz w:val="20"/>
          <w:szCs w:val="20"/>
          <w:color w:val="auto"/>
        </w:rPr>
      </w:pPr>
      <w:r>
        <w:rPr>
          <w:rFonts w:ascii="Arial" w:cs="Arial" w:eastAsia="Arial" w:hAnsi="Arial"/>
          <w:sz w:val="16"/>
          <w:szCs w:val="16"/>
          <w:color w:val="auto"/>
        </w:rPr>
        <w:t>During the three months ended June 30, 2021, the Board of Directors granted 721,969 restricted stock units to certain employees of the Company. The aggregate value of these awards was $52.0 million based on the grant date stock price, which ranged from $41.65 to $88.13.</w:t>
      </w:r>
    </w:p>
    <w:p>
      <w:pPr>
        <w:spacing w:after="0" w:line="30" w:lineRule="exact"/>
        <w:rPr>
          <w:sz w:val="20"/>
          <w:szCs w:val="20"/>
          <w:color w:val="auto"/>
        </w:rPr>
      </w:pPr>
    </w:p>
    <w:p>
      <w:pPr>
        <w:jc w:val="both"/>
        <w:ind w:right="60" w:firstLine="395"/>
        <w:spacing w:after="0" w:line="291" w:lineRule="auto"/>
        <w:rPr>
          <w:sz w:val="20"/>
          <w:szCs w:val="20"/>
          <w:color w:val="auto"/>
        </w:rPr>
      </w:pPr>
      <w:r>
        <w:rPr>
          <w:rFonts w:ascii="Arial" w:cs="Arial" w:eastAsia="Arial" w:hAnsi="Arial"/>
          <w:sz w:val="16"/>
          <w:szCs w:val="16"/>
          <w:color w:val="auto"/>
        </w:rPr>
        <w:t>As permitted under the terms of the EIP, the Compensation Committee, as Administrator of the EIP, authorized the withholding of taxes not to exceed the minimum statutory withholding amount, through the surrender of restricted stock units upon the vesting of restricted stock units and the surrender of shares of Class A Common Stock issuable upon the vesting of restricted stock. The participants surrendered 161,013 shares of Class A Common Stock issuable upon the vesting of restricted stock and recorded them as treasury shares at a cost of $13.3 million during the three months ended June 30, 2021.</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9" w:lineRule="exact"/>
        <w:rPr>
          <w:sz w:val="20"/>
          <w:szCs w:val="20"/>
          <w:color w:val="auto"/>
        </w:rPr>
      </w:pPr>
    </w:p>
    <w:p>
      <w:pPr>
        <w:jc w:val="both"/>
        <w:ind w:right="60" w:firstLine="395"/>
        <w:spacing w:after="0" w:line="324" w:lineRule="auto"/>
        <w:rPr>
          <w:sz w:val="20"/>
          <w:szCs w:val="20"/>
          <w:color w:val="auto"/>
        </w:rPr>
      </w:pPr>
      <w:r>
        <w:rPr>
          <w:rFonts w:ascii="Arial" w:cs="Arial" w:eastAsia="Arial" w:hAnsi="Arial"/>
          <w:sz w:val="16"/>
          <w:szCs w:val="16"/>
          <w:color w:val="auto"/>
        </w:rPr>
        <w:t>For the quarterly offering period that closed on June 30, 2021, 71,161 Class A Common Stock shares were purchased by employees under the Company's Employee Stock Purchase Plan, or ESPP. Since the program's inception, 2,980,059 shares have been purchased by employees.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115"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85" w:lineRule="exact"/>
        <w:rPr>
          <w:sz w:val="20"/>
          <w:szCs w:val="20"/>
          <w:color w:val="auto"/>
        </w:rPr>
      </w:pPr>
    </w:p>
    <w:p>
      <w:pPr>
        <w:ind w:right="300" w:firstLine="395"/>
        <w:spacing w:after="0" w:line="324" w:lineRule="auto"/>
        <w:rPr>
          <w:sz w:val="20"/>
          <w:szCs w:val="20"/>
          <w:color w:val="auto"/>
        </w:rPr>
      </w:pPr>
      <w:r>
        <w:rPr>
          <w:rFonts w:ascii="Arial" w:cs="Arial" w:eastAsia="Arial" w:hAnsi="Arial"/>
          <w:sz w:val="16"/>
          <w:szCs w:val="16"/>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960" w:type="dxa"/>
            <w:vAlign w:val="bottom"/>
            <w:gridSpan w:val="9"/>
          </w:tcPr>
          <w:p>
            <w:pPr>
              <w:jc w:val="center"/>
              <w:ind w:right="92"/>
              <w:spacing w:after="0"/>
              <w:rPr>
                <w:sz w:val="20"/>
                <w:szCs w:val="20"/>
                <w:color w:val="auto"/>
              </w:rPr>
            </w:pPr>
            <w:r>
              <w:rPr>
                <w:rFonts w:ascii="Arial" w:cs="Arial" w:eastAsia="Arial" w:hAnsi="Arial"/>
                <w:sz w:val="18"/>
                <w:szCs w:val="18"/>
                <w:b w:val="1"/>
                <w:bCs w:val="1"/>
                <w:color w:val="auto"/>
                <w:w w:val="89"/>
              </w:rPr>
              <w:t>Recurring Fair Value Measurements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8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b w:val="1"/>
                <w:bCs w:val="1"/>
                <w:color w:val="auto"/>
                <w:w w:val="86"/>
              </w:rPr>
              <w:t>as of June 30, 2021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Level 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20"/>
              <w:spacing w:after="0" w:line="203" w:lineRule="exact"/>
              <w:rPr>
                <w:sz w:val="20"/>
                <w:szCs w:val="20"/>
                <w:color w:val="auto"/>
              </w:rPr>
            </w:pPr>
            <w:r>
              <w:rPr>
                <w:rFonts w:ascii="Arial" w:cs="Arial" w:eastAsia="Arial" w:hAnsi="Arial"/>
                <w:sz w:val="18"/>
                <w:szCs w:val="18"/>
                <w:color w:val="auto"/>
              </w:rPr>
              <w:t>Assets:</w:t>
            </w:r>
          </w:p>
        </w:tc>
        <w:tc>
          <w:tcPr>
            <w:tcW w:w="16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ind w:left="140"/>
              <w:spacing w:after="0" w:line="224" w:lineRule="exact"/>
              <w:rPr>
                <w:sz w:val="20"/>
                <w:szCs w:val="20"/>
                <w:color w:val="auto"/>
              </w:rPr>
            </w:pPr>
            <w:r>
              <w:rPr>
                <w:rFonts w:ascii="Arial" w:cs="Arial" w:eastAsia="Arial" w:hAnsi="Arial"/>
                <w:sz w:val="18"/>
                <w:szCs w:val="18"/>
                <w:color w:val="auto"/>
              </w:rPr>
              <w:t xml:space="preserve">Long-term deferred compensation plan asset </w:t>
            </w:r>
            <w:r>
              <w:rPr>
                <w:rFonts w:ascii="Arial" w:cs="Arial" w:eastAsia="Arial" w:hAnsi="Arial"/>
                <w:sz w:val="22"/>
                <w:szCs w:val="22"/>
                <w:color w:val="auto"/>
                <w:vertAlign w:val="superscript"/>
              </w:rPr>
              <w:t>(1)</w:t>
            </w:r>
          </w:p>
        </w:tc>
        <w:tc>
          <w:tcPr>
            <w:tcW w:w="1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19,670</w:t>
            </w:r>
          </w:p>
        </w:tc>
        <w:tc>
          <w:tcPr>
            <w:tcW w:w="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19,670</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19,670</w:t>
            </w:r>
          </w:p>
        </w:tc>
        <w:tc>
          <w:tcPr>
            <w:tcW w:w="2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Liabilities:</w:t>
            </w:r>
          </w:p>
        </w:tc>
        <w:tc>
          <w:tcPr>
            <w:tcW w:w="1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4580" w:type="dxa"/>
            <w:vAlign w:val="bottom"/>
          </w:tcPr>
          <w:p>
            <w:pPr>
              <w:ind w:left="140"/>
              <w:spacing w:after="0" w:line="224" w:lineRule="exact"/>
              <w:rPr>
                <w:sz w:val="20"/>
                <w:szCs w:val="20"/>
                <w:color w:val="auto"/>
              </w:rPr>
            </w:pPr>
            <w:r>
              <w:rPr>
                <w:rFonts w:ascii="Arial" w:cs="Arial" w:eastAsia="Arial" w:hAnsi="Arial"/>
                <w:sz w:val="18"/>
                <w:szCs w:val="18"/>
                <w:color w:val="auto"/>
              </w:rPr>
              <w:t xml:space="preserve">Contingent consideration liability </w:t>
            </w:r>
            <w:r>
              <w:rPr>
                <w:rFonts w:ascii="Arial" w:cs="Arial" w:eastAsia="Arial" w:hAnsi="Arial"/>
                <w:sz w:val="22"/>
                <w:szCs w:val="22"/>
                <w:color w:val="auto"/>
                <w:vertAlign w:val="superscript"/>
              </w:rPr>
              <w:t>(2)</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1,223</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ind w:left="140"/>
              <w:spacing w:after="0" w:line="224" w:lineRule="exact"/>
              <w:rPr>
                <w:sz w:val="20"/>
                <w:szCs w:val="20"/>
                <w:color w:val="auto"/>
              </w:rPr>
            </w:pPr>
            <w:r>
              <w:rPr>
                <w:rFonts w:ascii="Arial" w:cs="Arial" w:eastAsia="Arial" w:hAnsi="Arial"/>
                <w:sz w:val="18"/>
                <w:szCs w:val="18"/>
                <w:color w:val="auto"/>
              </w:rPr>
              <w:t xml:space="preserve">Current derivative instruments </w:t>
            </w:r>
            <w:r>
              <w:rPr>
                <w:rFonts w:ascii="Arial" w:cs="Arial" w:eastAsia="Arial" w:hAnsi="Arial"/>
                <w:sz w:val="22"/>
                <w:szCs w:val="22"/>
                <w:color w:val="auto"/>
                <w:vertAlign w:val="superscript"/>
              </w:rPr>
              <w:t>(3)</w:t>
            </w: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15,809</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4580" w:type="dxa"/>
            <w:vAlign w:val="bottom"/>
          </w:tcPr>
          <w:p>
            <w:pPr>
              <w:ind w:left="140"/>
              <w:spacing w:after="0" w:line="224" w:lineRule="exact"/>
              <w:rPr>
                <w:sz w:val="20"/>
                <w:szCs w:val="20"/>
                <w:color w:val="auto"/>
              </w:rPr>
            </w:pPr>
            <w:r>
              <w:rPr>
                <w:rFonts w:ascii="Arial" w:cs="Arial" w:eastAsia="Arial" w:hAnsi="Arial"/>
                <w:sz w:val="18"/>
                <w:szCs w:val="18"/>
                <w:color w:val="auto"/>
              </w:rPr>
              <w:t xml:space="preserve">Long-term derivative instruments </w:t>
            </w:r>
            <w:r>
              <w:rPr>
                <w:rFonts w:ascii="Arial" w:cs="Arial" w:eastAsia="Arial" w:hAnsi="Arial"/>
                <w:sz w:val="22"/>
                <w:szCs w:val="22"/>
                <w:color w:val="auto"/>
                <w:vertAlign w:val="superscript"/>
              </w:rPr>
              <w:t>(3)</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18,304</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CCEEFF"/>
          </w:tcPr>
          <w:p>
            <w:pPr>
              <w:ind w:left="140"/>
              <w:spacing w:after="0" w:line="224" w:lineRule="exact"/>
              <w:rPr>
                <w:sz w:val="20"/>
                <w:szCs w:val="20"/>
                <w:color w:val="auto"/>
              </w:rPr>
            </w:pPr>
            <w:r>
              <w:rPr>
                <w:rFonts w:ascii="Arial" w:cs="Arial" w:eastAsia="Arial" w:hAnsi="Arial"/>
                <w:sz w:val="18"/>
                <w:szCs w:val="18"/>
                <w:color w:val="auto"/>
              </w:rPr>
              <w:t xml:space="preserve">Long-term deferred compensation plan liability </w:t>
            </w:r>
            <w:r>
              <w:rPr>
                <w:rFonts w:ascii="Arial" w:cs="Arial" w:eastAsia="Arial" w:hAnsi="Arial"/>
                <w:sz w:val="22"/>
                <w:szCs w:val="22"/>
                <w:color w:val="auto"/>
                <w:vertAlign w:val="superscript"/>
              </w:rPr>
              <w:t>(1)</w:t>
            </w:r>
          </w:p>
        </w:tc>
        <w:tc>
          <w:tcPr>
            <w:tcW w:w="1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19,670</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34,113</w:t>
            </w:r>
          </w:p>
        </w:tc>
        <w:tc>
          <w:tcPr>
            <w:tcW w:w="1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55,006</w:t>
            </w:r>
          </w:p>
        </w:tc>
        <w:tc>
          <w:tcPr>
            <w:tcW w:w="20" w:type="dxa"/>
            <w:vAlign w:val="bottom"/>
          </w:tcPr>
          <w:p>
            <w:pPr>
              <w:spacing w:after="0"/>
              <w:rPr>
                <w:sz w:val="18"/>
                <w:szCs w:val="18"/>
                <w:color w:val="auto"/>
              </w:rPr>
            </w:pPr>
          </w:p>
        </w:tc>
      </w:tr>
      <w:tr>
        <w:trPr>
          <w:trHeight w:val="848"/>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jc w:val="right"/>
              <w:ind w:right="412"/>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4" w:lineRule="exact"/>
        <w:rPr>
          <w:sz w:val="20"/>
          <w:szCs w:val="20"/>
          <w:color w:val="auto"/>
        </w:rPr>
      </w:pPr>
    </w:p>
    <w:p>
      <w:pPr>
        <w:jc w:val="both"/>
        <w:ind w:left="2200" w:right="2160" w:firstLine="10"/>
        <w:spacing w:after="0" w:line="345"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960" w:type="dxa"/>
            <w:vAlign w:val="bottom"/>
            <w:gridSpan w:val="9"/>
          </w:tcPr>
          <w:p>
            <w:pPr>
              <w:jc w:val="center"/>
              <w:ind w:right="132"/>
              <w:spacing w:after="0"/>
              <w:rPr>
                <w:sz w:val="20"/>
                <w:szCs w:val="20"/>
                <w:color w:val="auto"/>
              </w:rPr>
            </w:pPr>
            <w:r>
              <w:rPr>
                <w:rFonts w:ascii="Arial" w:cs="Arial" w:eastAsia="Arial" w:hAnsi="Arial"/>
                <w:sz w:val="18"/>
                <w:szCs w:val="18"/>
                <w:b w:val="1"/>
                <w:bCs w:val="1"/>
                <w:color w:val="auto"/>
                <w:w w:val="89"/>
              </w:rPr>
              <w:t>Recurring Fair Value Measurements</w:t>
            </w:r>
          </w:p>
        </w:tc>
        <w:tc>
          <w:tcPr>
            <w:tcW w:w="920" w:type="dxa"/>
            <w:vAlign w:val="bottom"/>
          </w:tcPr>
          <w:p>
            <w:pPr>
              <w:spacing w:after="0"/>
              <w:rPr>
                <w:sz w:val="17"/>
                <w:szCs w:val="17"/>
                <w:color w:val="auto"/>
              </w:rPr>
            </w:pPr>
          </w:p>
        </w:tc>
      </w:tr>
      <w:tr>
        <w:trPr>
          <w:trHeight w:val="224"/>
        </w:trPr>
        <w:tc>
          <w:tcPr>
            <w:tcW w:w="6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w w:val="89"/>
              </w:rPr>
              <w:t>as of March 31, 2020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17"/>
        </w:trPr>
        <w:tc>
          <w:tcPr>
            <w:tcW w:w="6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Level 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3</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Total</w:t>
            </w:r>
          </w:p>
        </w:tc>
      </w:tr>
      <w:tr>
        <w:trPr>
          <w:trHeight w:val="203"/>
        </w:trPr>
        <w:tc>
          <w:tcPr>
            <w:tcW w:w="6220" w:type="dxa"/>
            <w:vAlign w:val="bottom"/>
          </w:tcPr>
          <w:p>
            <w:pPr>
              <w:ind w:left="20"/>
              <w:spacing w:after="0" w:line="203"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24"/>
        </w:trPr>
        <w:tc>
          <w:tcPr>
            <w:tcW w:w="6220" w:type="dxa"/>
            <w:vAlign w:val="bottom"/>
            <w:shd w:val="clear" w:color="auto" w:fill="CCEEFF"/>
          </w:tcPr>
          <w:p>
            <w:pPr>
              <w:ind w:left="140"/>
              <w:spacing w:after="0" w:line="224" w:lineRule="exact"/>
              <w:rPr>
                <w:sz w:val="20"/>
                <w:szCs w:val="20"/>
                <w:color w:val="auto"/>
              </w:rPr>
            </w:pPr>
            <w:r>
              <w:rPr>
                <w:rFonts w:ascii="Arial" w:cs="Arial" w:eastAsia="Arial" w:hAnsi="Arial"/>
                <w:sz w:val="18"/>
                <w:szCs w:val="18"/>
                <w:color w:val="auto"/>
              </w:rPr>
              <w:t xml:space="preserve">Long-term deferred compensation plan asset </w:t>
            </w:r>
            <w:r>
              <w:rPr>
                <w:rFonts w:ascii="Arial" w:cs="Arial" w:eastAsia="Arial" w:hAnsi="Arial"/>
                <w:sz w:val="22"/>
                <w:szCs w:val="22"/>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14,142</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14,142</w:t>
            </w:r>
          </w:p>
        </w:tc>
      </w:tr>
      <w:tr>
        <w:trPr>
          <w:trHeight w:val="217"/>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14,142</w:t>
            </w:r>
          </w:p>
        </w:tc>
        <w:tc>
          <w:tcPr>
            <w:tcW w:w="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14,142</w:t>
            </w:r>
          </w:p>
        </w:tc>
      </w:tr>
      <w:tr>
        <w:trPr>
          <w:trHeight w:val="204"/>
        </w:trPr>
        <w:tc>
          <w:tcPr>
            <w:tcW w:w="62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4"/>
        </w:trPr>
        <w:tc>
          <w:tcPr>
            <w:tcW w:w="6220" w:type="dxa"/>
            <w:vAlign w:val="bottom"/>
          </w:tcPr>
          <w:p>
            <w:pPr>
              <w:ind w:left="140"/>
              <w:spacing w:after="0" w:line="224" w:lineRule="exact"/>
              <w:rPr>
                <w:sz w:val="20"/>
                <w:szCs w:val="20"/>
                <w:color w:val="auto"/>
              </w:rPr>
            </w:pPr>
            <w:r>
              <w:rPr>
                <w:rFonts w:ascii="Arial" w:cs="Arial" w:eastAsia="Arial" w:hAnsi="Arial"/>
                <w:sz w:val="18"/>
                <w:szCs w:val="18"/>
                <w:color w:val="auto"/>
              </w:rPr>
              <w:t xml:space="preserve">Contingent consideration liability </w:t>
            </w:r>
            <w:r>
              <w:rPr>
                <w:rFonts w:ascii="Arial" w:cs="Arial" w:eastAsia="Arial" w:hAnsi="Arial"/>
                <w:sz w:val="22"/>
                <w:szCs w:val="22"/>
                <w:color w:val="auto"/>
                <w:vertAlign w:val="superscript"/>
              </w:rPr>
              <w:t>(2)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1,223</w:t>
            </w:r>
          </w:p>
        </w:tc>
      </w:tr>
      <w:tr>
        <w:trPr>
          <w:trHeight w:val="224"/>
        </w:trPr>
        <w:tc>
          <w:tcPr>
            <w:tcW w:w="6220" w:type="dxa"/>
            <w:vAlign w:val="bottom"/>
            <w:shd w:val="clear" w:color="auto" w:fill="CCEEFF"/>
          </w:tcPr>
          <w:p>
            <w:pPr>
              <w:ind w:left="140"/>
              <w:spacing w:after="0" w:line="224" w:lineRule="exact"/>
              <w:rPr>
                <w:sz w:val="20"/>
                <w:szCs w:val="20"/>
                <w:color w:val="auto"/>
              </w:rPr>
            </w:pPr>
            <w:r>
              <w:rPr>
                <w:rFonts w:ascii="Arial" w:cs="Arial" w:eastAsia="Arial" w:hAnsi="Arial"/>
                <w:sz w:val="18"/>
                <w:szCs w:val="18"/>
                <w:color w:val="auto"/>
              </w:rPr>
              <w:t xml:space="preserve">Current derivative instruments </w:t>
            </w:r>
            <w:r>
              <w:rPr>
                <w:rFonts w:ascii="Arial" w:cs="Arial" w:eastAsia="Arial" w:hAnsi="Arial"/>
                <w:sz w:val="22"/>
                <w:szCs w:val="22"/>
                <w:color w:val="auto"/>
                <w:vertAlign w:val="superscript"/>
              </w:rPr>
              <w:t>(3)</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17,163</w:t>
            </w:r>
          </w:p>
        </w:tc>
      </w:tr>
      <w:tr>
        <w:trPr>
          <w:trHeight w:val="224"/>
        </w:trPr>
        <w:tc>
          <w:tcPr>
            <w:tcW w:w="6220" w:type="dxa"/>
            <w:vAlign w:val="bottom"/>
          </w:tcPr>
          <w:p>
            <w:pPr>
              <w:ind w:left="140"/>
              <w:spacing w:after="0" w:line="224" w:lineRule="exact"/>
              <w:rPr>
                <w:sz w:val="20"/>
                <w:szCs w:val="20"/>
                <w:color w:val="auto"/>
              </w:rPr>
            </w:pPr>
            <w:r>
              <w:rPr>
                <w:rFonts w:ascii="Arial" w:cs="Arial" w:eastAsia="Arial" w:hAnsi="Arial"/>
                <w:sz w:val="18"/>
                <w:szCs w:val="18"/>
                <w:color w:val="auto"/>
              </w:rPr>
              <w:t xml:space="preserve">Long-term derivative instruments </w:t>
            </w:r>
            <w:r>
              <w:rPr>
                <w:rFonts w:ascii="Arial" w:cs="Arial" w:eastAsia="Arial" w:hAnsi="Arial"/>
                <w:sz w:val="22"/>
                <w:szCs w:val="22"/>
                <w:color w:val="auto"/>
                <w:vertAlign w:val="superscript"/>
              </w:rPr>
              <w:t>(3)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20,999</w:t>
            </w:r>
          </w:p>
        </w:tc>
      </w:tr>
      <w:tr>
        <w:trPr>
          <w:trHeight w:val="224"/>
        </w:trPr>
        <w:tc>
          <w:tcPr>
            <w:tcW w:w="6220" w:type="dxa"/>
            <w:vAlign w:val="bottom"/>
            <w:shd w:val="clear" w:color="auto" w:fill="CCEEFF"/>
          </w:tcPr>
          <w:p>
            <w:pPr>
              <w:ind w:left="140"/>
              <w:spacing w:after="0" w:line="224" w:lineRule="exact"/>
              <w:rPr>
                <w:sz w:val="20"/>
                <w:szCs w:val="20"/>
                <w:color w:val="auto"/>
              </w:rPr>
            </w:pPr>
            <w:r>
              <w:rPr>
                <w:rFonts w:ascii="Arial" w:cs="Arial" w:eastAsia="Arial" w:hAnsi="Arial"/>
                <w:sz w:val="18"/>
                <w:szCs w:val="18"/>
                <w:color w:val="auto"/>
              </w:rPr>
              <w:t xml:space="preserve">Long-term deferred compensation plan liability </w:t>
            </w:r>
            <w:r>
              <w:rPr>
                <w:rFonts w:ascii="Arial" w:cs="Arial" w:eastAsia="Arial" w:hAnsi="Arial"/>
                <w:sz w:val="22"/>
                <w:szCs w:val="22"/>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14,142</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14,142</w:t>
            </w:r>
          </w:p>
        </w:tc>
      </w:tr>
      <w:tr>
        <w:trPr>
          <w:trHeight w:val="217"/>
        </w:trPr>
        <w:tc>
          <w:tcPr>
            <w:tcW w:w="62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14,142</w:t>
            </w:r>
          </w:p>
        </w:tc>
        <w:tc>
          <w:tcPr>
            <w:tcW w:w="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53,527</w:t>
            </w:r>
          </w:p>
        </w:tc>
      </w:tr>
    </w:tbl>
    <w:p>
      <w:pPr>
        <w:spacing w:after="0" w:line="93" w:lineRule="exact"/>
        <w:rPr>
          <w:sz w:val="20"/>
          <w:szCs w:val="20"/>
          <w:color w:val="auto"/>
        </w:rPr>
      </w:pPr>
    </w:p>
    <w:p>
      <w:pPr>
        <w:jc w:val="both"/>
        <w:ind w:right="300" w:firstLine="5"/>
        <w:spacing w:after="0" w:line="290" w:lineRule="auto"/>
        <w:tabs>
          <w:tab w:leader="none" w:pos="161"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represent investments held in a consolidated trust to fund the Company's non-qualified deferred compensation plan and are recorded in other long-term assets and other long-term liabilities on our condensed consolidated balance sheets.</w:t>
      </w:r>
    </w:p>
    <w:p>
      <w:pPr>
        <w:spacing w:after="0" w:line="58" w:lineRule="exact"/>
        <w:rPr>
          <w:rFonts w:ascii="Arial" w:cs="Arial" w:eastAsia="Arial" w:hAnsi="Arial"/>
          <w:sz w:val="19"/>
          <w:szCs w:val="19"/>
          <w:color w:val="auto"/>
          <w:vertAlign w:val="superscript"/>
        </w:rPr>
      </w:pPr>
    </w:p>
    <w:p>
      <w:pPr>
        <w:ind w:firstLine="5"/>
        <w:spacing w:after="0" w:line="289" w:lineRule="auto"/>
        <w:tabs>
          <w:tab w:leader="none" w:pos="161"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The Company recognized a contingent consideration liability of $3.6 million in connection with its acquisition of Aquilent in fiscal 2017. As of both June 30, 2021 and March 31, 2021, the estimated fair value of the contingent consideration liability was $1.2 million, and was valued using probability-weighted cash flows, which is based on the use of Level 3 fair value measurement inputs.</w:t>
      </w:r>
    </w:p>
    <w:p>
      <w:pPr>
        <w:spacing w:after="0" w:line="58" w:lineRule="exact"/>
        <w:rPr>
          <w:rFonts w:ascii="Arial" w:cs="Arial" w:eastAsia="Arial" w:hAnsi="Arial"/>
          <w:sz w:val="19"/>
          <w:szCs w:val="19"/>
          <w:color w:val="auto"/>
          <w:vertAlign w:val="superscript"/>
        </w:rPr>
      </w:pPr>
    </w:p>
    <w:p>
      <w:pPr>
        <w:ind w:right="280" w:firstLine="5"/>
        <w:spacing w:after="0" w:line="259" w:lineRule="auto"/>
        <w:tabs>
          <w:tab w:leader="none" w:pos="177"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to the condensed consolidated financial statements for further discussion on the Company’s derivative instruments designated as cash flow hedges.</w:t>
      </w:r>
    </w:p>
    <w:p>
      <w:pPr>
        <w:spacing w:after="0" w:line="79" w:lineRule="exact"/>
        <w:rPr>
          <w:sz w:val="20"/>
          <w:szCs w:val="20"/>
          <w:color w:val="auto"/>
        </w:rPr>
      </w:pPr>
    </w:p>
    <w:p>
      <w:pPr>
        <w:ind w:right="320" w:firstLine="395"/>
        <w:spacing w:after="0" w:line="261" w:lineRule="auto"/>
        <w:rPr>
          <w:sz w:val="20"/>
          <w:szCs w:val="20"/>
          <w:color w:val="auto"/>
        </w:rPr>
      </w:pPr>
      <w:r>
        <w:rPr>
          <w:rFonts w:ascii="Arial" w:cs="Arial" w:eastAsia="Arial" w:hAnsi="Arial"/>
          <w:sz w:val="18"/>
          <w:szCs w:val="18"/>
          <w:color w:val="auto"/>
        </w:rPr>
        <w:t>We did not have any material items that were measured at fair value on a non-recurring basis as of June 30, 2021, with the exception of the assets and liabilities acquired through the acquisition of Liberty (see Note 5).</w:t>
      </w:r>
    </w:p>
    <w:p>
      <w:pPr>
        <w:spacing w:after="0" w:line="76" w:lineRule="exact"/>
        <w:rPr>
          <w:sz w:val="20"/>
          <w:szCs w:val="20"/>
          <w:color w:val="auto"/>
        </w:rPr>
      </w:pPr>
    </w:p>
    <w:p>
      <w:pPr>
        <w:ind w:right="240" w:firstLine="395"/>
        <w:spacing w:after="0" w:line="306" w:lineRule="auto"/>
        <w:rPr>
          <w:sz w:val="20"/>
          <w:szCs w:val="20"/>
          <w:color w:val="auto"/>
        </w:rPr>
      </w:pPr>
      <w:r>
        <w:rPr>
          <w:rFonts w:ascii="Arial" w:cs="Arial" w:eastAsia="Arial" w:hAnsi="Arial"/>
          <w:sz w:val="15"/>
          <w:szCs w:val="15"/>
          <w:color w:val="auto"/>
        </w:rPr>
        <w:t>The fair value of the Company's cash and cash equivalents, which are Level 1 inputs, approximated its carrying values at June 30, 2021 and March 31, 2021. The fair value of the Company's debt instruments approximated its carrying value at June 30, 2021 and March 31, 2021.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due 2029 and 3.875% Senior Notes due 2028 (the "Senior Notes due 2028") is determined using quoted prices or other market information obtained from recent trading activity in the high-yield bond market (Level 2 inputs).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w:t>
      </w:r>
    </w:p>
    <w:p>
      <w:pPr>
        <w:spacing w:after="0" w:line="220"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color w:val="auto"/>
        </w:rPr>
        <w:t>Two of our directors currently serve on the board of directors of a subcontractor to which the Company subcontracted $17.8 million and $23.3 million of services for the three months ended June 30, 2021 and 2020, respectively.</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09" w:lineRule="exact"/>
        <w:rPr>
          <w:sz w:val="20"/>
          <w:szCs w:val="20"/>
          <w:color w:val="auto"/>
        </w:rPr>
      </w:pPr>
    </w:p>
    <w:p>
      <w:pPr>
        <w:ind w:right="220" w:firstLine="395"/>
        <w:spacing w:after="0" w:line="247" w:lineRule="auto"/>
        <w:rPr>
          <w:sz w:val="20"/>
          <w:szCs w:val="20"/>
          <w:color w:val="auto"/>
        </w:rPr>
      </w:pPr>
      <w:r>
        <w:rPr>
          <w:rFonts w:ascii="Arial" w:cs="Arial" w:eastAsia="Arial" w:hAnsi="Arial"/>
          <w:sz w:val="18"/>
          <w:szCs w:val="18"/>
          <w:color w:val="auto"/>
        </w:rPr>
        <w:t>As of June 30, 2021 and March 31, 2021, the Company was contingently liable under open standby letters of credit and bank guarantees issued by our banks in favor of third parties that totaled $8.8 million and $9.8 million, respectively. These letters of credit and bank guarantees primarily support insurance and bid and performance obligations. At both June 30, 2021 and March 31, 2021, approximately $0.9 million of these instruments reduced the available borrowings under the Revolving Credit Facility. The remainder is guaranteed under a separate $20.0 million facility, originally established in fiscal 2015 and most recently increased to $20.0 million in fiscal 2021, of which $12.1 million and $11.1 million were available to the Company at June 30, 2021 and March 31, 2021, respectively.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w:t>
        </w:r>
      </w:hyperlink>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4" w:lineRule="exact"/>
        <w:rPr>
          <w:sz w:val="20"/>
          <w:szCs w:val="20"/>
          <w:color w:val="auto"/>
        </w:rPr>
      </w:pPr>
    </w:p>
    <w:p>
      <w:pPr>
        <w:jc w:val="both"/>
        <w:ind w:left="2200" w:right="2180" w:firstLine="10"/>
        <w:spacing w:after="0" w:line="345"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8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Contracting Matters - Provision for Claimed Indirect Costs</w:t>
      </w:r>
    </w:p>
    <w:p>
      <w:pPr>
        <w:spacing w:after="0" w:line="109" w:lineRule="exact"/>
        <w:rPr>
          <w:sz w:val="20"/>
          <w:szCs w:val="20"/>
          <w:color w:val="auto"/>
        </w:rPr>
      </w:pPr>
    </w:p>
    <w:p>
      <w:pPr>
        <w:ind w:right="20" w:firstLine="395"/>
        <w:spacing w:after="0" w:line="279" w:lineRule="auto"/>
        <w:rPr>
          <w:sz w:val="20"/>
          <w:szCs w:val="20"/>
          <w:color w:val="auto"/>
        </w:rPr>
      </w:pPr>
      <w:r>
        <w:rPr>
          <w:rFonts w:ascii="Arial" w:cs="Arial" w:eastAsia="Arial" w:hAnsi="Arial"/>
          <w:sz w:val="16"/>
          <w:szCs w:val="16"/>
          <w:color w:val="auto"/>
        </w:rPr>
        <w:t>For the three months ended June 30, 2021 and 2020, approximately 98% and 97%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U.S. government contracts and subcontracts are subject to extensive legal and regulatory requirements. As noted in the Company's Annual Report on Form 10-K for the fiscal year ended March 31, 2021, in the ordinary course of business, agencies of the U.S. government, including the Defense Contract Audit Agency (DCAA), audit the Company’s claimed indirect costs and conduct inquiries and investigations of our business practices with respect to government contracts to determine whether the Company's operations are conducted in accordance with these requirements and the terms of the relevant contracts. Management believes it has recorded the appropriate provision for claimed indirect costs for any audit, inquiry, or investigation of which it is aware that may be subject to any reductions and/or penalties. As of June 30, 2021 and March 31, 2021, the Company had recorded liabilities of approximately $272.0 million and $263.2 million, respectively, for estimated adjustments to claimed indirect costs based on its historical DCAA audit results, including the final resolution of such audits with the Defense Contract Management Agency, for claimed indirect costs incurred subsequent to fiscal 2011, and for contracts not yet closed that are subject to audit and final resolution.</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Litigation</w:t>
      </w:r>
    </w:p>
    <w:p>
      <w:pPr>
        <w:spacing w:after="0" w:line="109" w:lineRule="exact"/>
        <w:rPr>
          <w:sz w:val="20"/>
          <w:szCs w:val="20"/>
          <w:color w:val="auto"/>
        </w:rPr>
      </w:pPr>
    </w:p>
    <w:p>
      <w:pPr>
        <w:ind w:firstLine="395"/>
        <w:spacing w:after="0" w:line="278" w:lineRule="auto"/>
        <w:rPr>
          <w:sz w:val="20"/>
          <w:szCs w:val="20"/>
          <w:color w:val="auto"/>
        </w:rPr>
      </w:pPr>
      <w:r>
        <w:rPr>
          <w:rFonts w:ascii="Arial" w:cs="Arial" w:eastAsia="Arial" w:hAnsi="Arial"/>
          <w:sz w:val="16"/>
          <w:szCs w:val="16"/>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June 30, 2021 and March 31, 2021, there were no material amounts accrued in the condensed consolidated financial statements related to these proceedings. As previously disclosed in Note 21 to the consolidated financial statements of the Company's Annual Report on Form 10-K for the fiscal year ended March 31, 2021, the Company is not able to reasonably estimate the expected amount or range of cost or any loss associated with these matters.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02" w:lineRule="exact"/>
        <w:rPr>
          <w:sz w:val="20"/>
          <w:szCs w:val="20"/>
          <w:color w:val="auto"/>
        </w:rPr>
      </w:pPr>
    </w:p>
    <w:p>
      <w:pPr>
        <w:ind w:right="480"/>
        <w:spacing w:after="0" w:line="252"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3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2021 filed with the Securities and Exchange Commission on May 21, 2021,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43" w:lineRule="exact"/>
        <w:rPr>
          <w:sz w:val="20"/>
          <w:szCs w:val="20"/>
          <w:color w:val="auto"/>
        </w:rPr>
      </w:pPr>
    </w:p>
    <w:p>
      <w:pPr>
        <w:ind w:right="220"/>
        <w:spacing w:after="0" w:line="366" w:lineRule="auto"/>
        <w:rPr>
          <w:sz w:val="20"/>
          <w:szCs w:val="20"/>
          <w:color w:val="auto"/>
        </w:rPr>
      </w:pPr>
      <w:r>
        <w:rPr>
          <w:rFonts w:ascii="Arial" w:cs="Arial" w:eastAsia="Arial" w:hAnsi="Arial"/>
          <w:sz w:val="18"/>
          <w:szCs w:val="18"/>
          <w:i w:val="1"/>
          <w:iCs w:val="1"/>
          <w:color w:val="auto"/>
        </w:rPr>
        <w:t xml:space="preserve">Our fiscal year ends March 31 and, unless otherwise noted, references to years or fiscal are for fiscal years ended March 31. See “—Results of Operations.” </w:t>
      </w:r>
      <w:r>
        <w:rPr>
          <w:rFonts w:ascii="Arial" w:cs="Arial" w:eastAsia="Arial" w:hAnsi="Arial"/>
          <w:sz w:val="18"/>
          <w:szCs w:val="18"/>
          <w:b w:val="1"/>
          <w:bCs w:val="1"/>
          <w:color w:val="auto"/>
        </w:rPr>
        <w:t>Overview</w:t>
      </w:r>
    </w:p>
    <w:p>
      <w:pPr>
        <w:ind w:right="200" w:firstLine="395"/>
        <w:spacing w:after="0" w:line="287" w:lineRule="auto"/>
        <w:rPr>
          <w:sz w:val="20"/>
          <w:szCs w:val="20"/>
          <w:color w:val="auto"/>
        </w:rPr>
      </w:pPr>
      <w:r>
        <w:rPr>
          <w:rFonts w:ascii="Arial" w:cs="Arial" w:eastAsia="Arial" w:hAnsi="Arial"/>
          <w:sz w:val="16"/>
          <w:szCs w:val="16"/>
          <w:color w:val="auto"/>
        </w:rPr>
        <w:t>We are a leading provider of management and technology consulting, analytics, engineering, digital solutions, mission operations, and cyber services to U.S. and international governments, major corporations, and not-for-profit organizations. Our ability to deliver value to our clients has always been, and continues to be, a product of the strong character, expertise and tremendous passion of our people. Our approximately 28,600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58"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color w:val="auto"/>
        </w:rPr>
        <w:t>Through our dedication to our clients' missions, and a commitment to evolving our business to address their client needs, we have longstanding relationships with our clients, some more than 80 years. We support critical missions for a diverse base of federal government clients, including nearly all of the 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technology. We have a presence in the Middle East and other international markets.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During the first quarter of fiscal 2022, the Company generated year over year revenue growth and increased client staff headcount.</w:t>
      </w:r>
    </w:p>
    <w:p>
      <w:pPr>
        <w:spacing w:after="0" w:line="4" w:lineRule="exact"/>
        <w:rPr>
          <w:sz w:val="20"/>
          <w:szCs w:val="20"/>
          <w:color w:val="auto"/>
        </w:rPr>
      </w:pPr>
    </w:p>
    <w:p>
      <w:pPr>
        <w:ind w:right="100" w:firstLine="395"/>
        <w:spacing w:after="0" w:line="256" w:lineRule="auto"/>
        <w:rPr>
          <w:sz w:val="20"/>
          <w:szCs w:val="20"/>
          <w:color w:val="auto"/>
        </w:rPr>
      </w:pPr>
      <w:r>
        <w:rPr>
          <w:rFonts w:ascii="Arial" w:cs="Arial" w:eastAsia="Arial" w:hAnsi="Arial"/>
          <w:sz w:val="16"/>
          <w:szCs w:val="16"/>
          <w:color w:val="auto"/>
        </w:rPr>
        <w:t>Revenue increased 1.7% from the three months ended June 30, 2020 to the three months ended June 30, 2021. Growth was primarily driven by sustained client demand and headcount to meet that demand, partially offset by higher than normal staff utilization in the comparable prior year period driven by fewer paid time off (PTO) days taken by our employees which resulted in increases in our direct labor and corresponding generation of revenue.</w:t>
      </w:r>
    </w:p>
    <w:p>
      <w:pPr>
        <w:spacing w:after="0" w:line="16" w:lineRule="exact"/>
        <w:rPr>
          <w:sz w:val="20"/>
          <w:szCs w:val="20"/>
          <w:color w:val="auto"/>
        </w:rPr>
      </w:pPr>
    </w:p>
    <w:p>
      <w:pPr>
        <w:ind w:right="40" w:firstLine="395"/>
        <w:spacing w:after="0" w:line="234" w:lineRule="auto"/>
        <w:rPr>
          <w:sz w:val="20"/>
          <w:szCs w:val="20"/>
          <w:color w:val="auto"/>
        </w:rPr>
      </w:pPr>
      <w:r>
        <w:rPr>
          <w:rFonts w:ascii="Arial" w:cs="Arial" w:eastAsia="Arial" w:hAnsi="Arial"/>
          <w:sz w:val="18"/>
          <w:szCs w:val="18"/>
          <w:color w:val="auto"/>
        </w:rPr>
        <w:t>Operating income decreased 26.4% to $141.3 million in the three months ended June 30, 2021 from $191.9 million in the three months ended June 30, 2020, while operating margin decreased from 9.8% to 7.1%. The decreases in operating income and operating margin for the three months ended June 30, 2021 were primarily driven by acquisition costs of $66.8 million related to our acquisition of Liberty IT Solutions, LLC ("Liberty"), as more fully described in Note 5 to Notes to Condensed Consolidated Financial Statements. These decreases were partially offset by strong contract performance and cost management of unallowable spending.</w:t>
      </w:r>
    </w:p>
    <w:p>
      <w:pPr>
        <w:spacing w:after="0" w:line="30" w:lineRule="exact"/>
        <w:rPr>
          <w:sz w:val="20"/>
          <w:szCs w:val="20"/>
          <w:color w:val="auto"/>
        </w:rPr>
      </w:pPr>
    </w:p>
    <w:p>
      <w:pPr>
        <w:ind w:right="240" w:firstLine="395"/>
        <w:spacing w:after="0" w:line="274" w:lineRule="auto"/>
        <w:rPr>
          <w:sz w:val="20"/>
          <w:szCs w:val="20"/>
          <w:color w:val="auto"/>
        </w:rPr>
      </w:pPr>
      <w:r>
        <w:rPr>
          <w:rFonts w:ascii="Arial" w:cs="Arial" w:eastAsia="Arial" w:hAnsi="Arial"/>
          <w:sz w:val="16"/>
          <w:szCs w:val="16"/>
          <w:color w:val="auto"/>
        </w:rPr>
        <w:t>The Company also incurred incremental legal costs during the three months ended June 30, 2021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We are monitoring the evolving situation related to COVID-19 and vaccine rollout, and we continue to work with our stakeholders to assess further possible implications to our business. We expect to continue to be impacted by the inability of certain employees to perform their contract requirements at their designated work locations due to facility closures or restrictions as a result of COVID-19 and cannot perform such work remotely. Through June 30, 2021, we have withheld recognition of revenue associated with these amounts at risk of not being reimbursed under the Coronavirus Aid, Relief and Economic Security Act of 2020 (the "CARES Act"). We do not expect non-reimbursed fees to have a material impact on earnings in future periods. Although we cannot currently predict the overall impact of COVID-19 and vaccine rollout, the longer the duration of the event, the more likely it is that it could have an adverse effect on our business, financial position, results of operations, billable expenses, and/or cash flows.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15" w:lineRule="exact"/>
        <w:rPr>
          <w:sz w:val="20"/>
          <w:szCs w:val="20"/>
          <w:color w:val="auto"/>
        </w:rPr>
      </w:pPr>
    </w:p>
    <w:p>
      <w:pPr>
        <w:ind w:firstLine="395"/>
        <w:spacing w:after="0" w:line="276" w:lineRule="auto"/>
        <w:rPr>
          <w:sz w:val="20"/>
          <w:szCs w:val="20"/>
          <w:color w:val="auto"/>
        </w:rPr>
      </w:pPr>
      <w:r>
        <w:rPr>
          <w:rFonts w:ascii="Arial" w:cs="Arial" w:eastAsia="Arial" w:hAnsi="Arial"/>
          <w:sz w:val="16"/>
          <w:szCs w:val="16"/>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EPS,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79" w:lineRule="exact"/>
        <w:rPr>
          <w:sz w:val="20"/>
          <w:szCs w:val="20"/>
          <w:color w:val="auto"/>
        </w:rPr>
      </w:pPr>
    </w:p>
    <w:p>
      <w:pPr>
        <w:ind w:left="1260" w:hanging="623"/>
        <w:spacing w:after="0" w:line="250" w:lineRule="auto"/>
        <w:tabs>
          <w:tab w:leader="none" w:pos="12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84" w:lineRule="exact"/>
        <w:rPr>
          <w:rFonts w:ascii="Arial" w:cs="Arial" w:eastAsia="Arial" w:hAnsi="Arial"/>
          <w:sz w:val="18"/>
          <w:szCs w:val="18"/>
          <w:color w:val="auto"/>
        </w:rPr>
      </w:pPr>
    </w:p>
    <w:p>
      <w:pPr>
        <w:ind w:left="1260" w:right="20" w:hanging="623"/>
        <w:spacing w:after="0" w:line="250" w:lineRule="auto"/>
        <w:tabs>
          <w:tab w:leader="none" w:pos="12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Operating Income" represents operating income before financing transaction costs, supplemental employee benefits due to COVID-19, and acquisition-related costs, including significant acquisition amortization.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84" w:lineRule="exact"/>
        <w:rPr>
          <w:rFonts w:ascii="Arial" w:cs="Arial" w:eastAsia="Arial" w:hAnsi="Arial"/>
          <w:sz w:val="18"/>
          <w:szCs w:val="18"/>
          <w:color w:val="auto"/>
        </w:rPr>
      </w:pPr>
    </w:p>
    <w:p>
      <w:pPr>
        <w:ind w:left="1260" w:right="40" w:hanging="623"/>
        <w:spacing w:after="0" w:line="287" w:lineRule="auto"/>
        <w:tabs>
          <w:tab w:leader="none" w:pos="1256"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represents net income before income taxes, net interest and other expense and depreciation and amortization and before certain other items, including financing transaction costs , supplemental employee benefits due to COVID-19, and acquisition-related costs.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60"/>
        <w:spacing w:after="0" w:line="252" w:lineRule="auto"/>
        <w:rPr>
          <w:sz w:val="20"/>
          <w:szCs w:val="20"/>
          <w:color w:val="auto"/>
        </w:rPr>
      </w:pPr>
      <w:r>
        <w:rPr>
          <w:rFonts w:ascii="Arial" w:cs="Arial" w:eastAsia="Arial" w:hAnsi="Arial"/>
          <w:sz w:val="18"/>
          <w:szCs w:val="18"/>
          <w:color w:val="auto"/>
        </w:rPr>
        <w:t>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85" w:lineRule="exact"/>
        <w:rPr>
          <w:sz w:val="20"/>
          <w:szCs w:val="20"/>
          <w:color w:val="auto"/>
        </w:rPr>
      </w:pPr>
    </w:p>
    <w:p>
      <w:pPr>
        <w:ind w:left="1260" w:hanging="623"/>
        <w:spacing w:after="0" w:line="282" w:lineRule="auto"/>
        <w:tabs>
          <w:tab w:leader="none" w:pos="12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acquisition costs, (ii) financing transaction costs (iii) supplemental employee benefits due to COVID-19, (iv) significant acquisition amortization (v) release of income tax reserves, and (vi) amortization or write-off of debt issuance costs and debt discount,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Adjusted Net Income as an important indicator of performance consistent with the manner in which management measures and forecasts the Company's performance and the way in which management is incentivized to perform.</w:t>
      </w:r>
    </w:p>
    <w:p>
      <w:pPr>
        <w:spacing w:after="0" w:line="65" w:lineRule="exact"/>
        <w:rPr>
          <w:rFonts w:ascii="Arial" w:cs="Arial" w:eastAsia="Arial" w:hAnsi="Arial"/>
          <w:sz w:val="16"/>
          <w:szCs w:val="16"/>
          <w:color w:val="auto"/>
        </w:rPr>
      </w:pPr>
    </w:p>
    <w:p>
      <w:pPr>
        <w:ind w:left="1260" w:right="20" w:hanging="623"/>
        <w:spacing w:after="0" w:line="252" w:lineRule="auto"/>
        <w:tabs>
          <w:tab w:leader="none" w:pos="12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84" w:lineRule="exact"/>
        <w:rPr>
          <w:rFonts w:ascii="Arial" w:cs="Arial" w:eastAsia="Arial" w:hAnsi="Arial"/>
          <w:sz w:val="18"/>
          <w:szCs w:val="18"/>
          <w:color w:val="auto"/>
        </w:rPr>
      </w:pPr>
    </w:p>
    <w:p>
      <w:pPr>
        <w:ind w:left="1260" w:right="520" w:hanging="623"/>
        <w:spacing w:after="0" w:line="261" w:lineRule="auto"/>
        <w:tabs>
          <w:tab w:leader="none" w:pos="12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"Free Cash Flow" represents the net cash generated from operating activities less the impact of purchases of property, equipment and software.</w:t>
      </w:r>
    </w:p>
    <w:p>
      <w:pPr>
        <w:spacing w:after="0" w:line="200" w:lineRule="exact"/>
        <w:rPr>
          <w:sz w:val="20"/>
          <w:szCs w:val="20"/>
          <w:color w:val="auto"/>
        </w:rPr>
      </w:pPr>
    </w:p>
    <w:p>
      <w:pPr>
        <w:spacing w:after="0" w:line="218"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4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83"/>
        </w:trPr>
        <w:tc>
          <w:tcPr>
            <w:tcW w:w="7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center"/>
              <w:ind w:left="1014"/>
              <w:spacing w:after="0"/>
              <w:rPr>
                <w:sz w:val="20"/>
                <w:szCs w:val="20"/>
                <w:color w:val="auto"/>
              </w:rPr>
            </w:pPr>
            <w:r>
              <w:rPr>
                <w:rFonts w:ascii="Arial" w:cs="Arial" w:eastAsia="Arial" w:hAnsi="Arial"/>
                <w:sz w:val="14"/>
                <w:szCs w:val="14"/>
                <w:b w:val="1"/>
                <w:bCs w:val="1"/>
                <w:color w:val="auto"/>
                <w:w w:val="89"/>
              </w:rPr>
              <w:t>June 30,</w:t>
            </w: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18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7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gridSpan w:val="3"/>
          </w:tcPr>
          <w:p>
            <w:pPr>
              <w:jc w:val="center"/>
              <w:ind w:left="1034"/>
              <w:spacing w:after="0"/>
              <w:rPr>
                <w:sz w:val="20"/>
                <w:szCs w:val="20"/>
                <w:color w:val="auto"/>
              </w:rPr>
            </w:pPr>
            <w:r>
              <w:rPr>
                <w:rFonts w:ascii="Arial" w:cs="Arial" w:eastAsia="Arial" w:hAnsi="Arial"/>
                <w:sz w:val="14"/>
                <w:szCs w:val="14"/>
                <w:b w:val="1"/>
                <w:bCs w:val="1"/>
                <w:color w:val="auto"/>
                <w:w w:val="92"/>
              </w:rPr>
              <w:t>(Unaudited)</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 Excluding Billable Expenses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1,989,066</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1,956,453</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Billable expenses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555,545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549,077</w:t>
            </w:r>
          </w:p>
        </w:tc>
        <w:tc>
          <w:tcPr>
            <w:tcW w:w="0" w:type="dxa"/>
            <w:vAlign w:val="bottom"/>
          </w:tcPr>
          <w:p>
            <w:pPr>
              <w:spacing w:after="0"/>
              <w:rPr>
                <w:sz w:val="1"/>
                <w:szCs w:val="1"/>
                <w:color w:val="auto"/>
              </w:rPr>
            </w:pPr>
          </w:p>
        </w:tc>
      </w:tr>
      <w:tr>
        <w:trPr>
          <w:trHeight w:val="217"/>
        </w:trPr>
        <w:tc>
          <w:tcPr>
            <w:tcW w:w="7180" w:type="dxa"/>
            <w:vAlign w:val="bottom"/>
          </w:tcPr>
          <w:p>
            <w:pPr>
              <w:ind w:left="460"/>
              <w:spacing w:after="0" w:line="203" w:lineRule="exact"/>
              <w:rPr>
                <w:sz w:val="20"/>
                <w:szCs w:val="20"/>
                <w:color w:val="auto"/>
              </w:rPr>
            </w:pPr>
            <w:r>
              <w:rPr>
                <w:rFonts w:ascii="Arial" w:cs="Arial" w:eastAsia="Arial" w:hAnsi="Arial"/>
                <w:sz w:val="18"/>
                <w:szCs w:val="18"/>
                <w:color w:val="auto"/>
              </w:rPr>
              <w:t>Revenue, Excluding Billable Expenses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1,433,521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1,407,376</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b w:val="1"/>
                <w:bCs w:val="1"/>
                <w:i w:val="1"/>
                <w:iCs w:val="1"/>
                <w:color w:val="auto"/>
              </w:rPr>
              <w:t>Adjusted Operating Income</w:t>
            </w: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141,257</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191,887</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costs (a)</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66,789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80" w:type="dxa"/>
            <w:vAlign w:val="bottom"/>
          </w:tcPr>
          <w:p>
            <w:pPr>
              <w:ind w:left="240"/>
              <w:spacing w:after="0"/>
              <w:rPr>
                <w:sz w:val="20"/>
                <w:szCs w:val="20"/>
                <w:color w:val="auto"/>
              </w:rPr>
            </w:pPr>
            <w:r>
              <w:rPr>
                <w:rFonts w:ascii="Arial" w:cs="Arial" w:eastAsia="Arial" w:hAnsi="Arial"/>
                <w:sz w:val="18"/>
                <w:szCs w:val="18"/>
                <w:color w:val="auto"/>
              </w:rPr>
              <w:t>Financing transaction costs (b)</w:t>
            </w:r>
          </w:p>
        </w:tc>
        <w:tc>
          <w:tcPr>
            <w:tcW w:w="280" w:type="dxa"/>
            <w:vAlign w:val="bottom"/>
          </w:tcPr>
          <w:p>
            <w:pPr>
              <w:spacing w:after="0"/>
              <w:rPr>
                <w:sz w:val="19"/>
                <w:szCs w:val="19"/>
                <w:color w:val="auto"/>
              </w:rPr>
            </w:pP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COVID-19 supplemental employee benefits (c)</w:t>
            </w: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Significant acquisition amortization (d)</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180" w:type="dxa"/>
            <w:vAlign w:val="bottom"/>
            <w:tcBorders>
              <w:bottom w:val="single" w:sz="8" w:color="CCEEFF"/>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Adjusted Operating Income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213,052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192,229</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line="158" w:lineRule="exact"/>
              <w:rPr>
                <w:sz w:val="20"/>
                <w:szCs w:val="20"/>
                <w:color w:val="auto"/>
              </w:rPr>
            </w:pPr>
            <w:r>
              <w:rPr>
                <w:rFonts w:ascii="Arial" w:cs="Arial" w:eastAsia="Arial" w:hAnsi="Arial"/>
                <w:sz w:val="18"/>
                <w:szCs w:val="18"/>
                <w:b w:val="1"/>
                <w:bCs w:val="1"/>
                <w:i w:val="1"/>
                <w:iCs w:val="1"/>
                <w:color w:val="auto"/>
              </w:rPr>
              <w:t>EBITDA, Adjusted EBITDA, Adjusted EBITDA Margin on Revenue &amp; Adjusted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1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EBITDA Margin on Revenue, Excluding Billable Expenses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92,102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129,329</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27,352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41,487</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and other, net (e)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21,803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21,071</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27,745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20,732</w:t>
            </w:r>
          </w:p>
        </w:tc>
        <w:tc>
          <w:tcPr>
            <w:tcW w:w="0" w:type="dxa"/>
            <w:vAlign w:val="bottom"/>
          </w:tcPr>
          <w:p>
            <w:pPr>
              <w:spacing w:after="0"/>
              <w:rPr>
                <w:sz w:val="1"/>
                <w:szCs w:val="1"/>
                <w:color w:val="auto"/>
              </w:rPr>
            </w:pPr>
          </w:p>
        </w:tc>
      </w:tr>
      <w:tr>
        <w:trPr>
          <w:trHeight w:val="217"/>
        </w:trPr>
        <w:tc>
          <w:tcPr>
            <w:tcW w:w="7180" w:type="dxa"/>
            <w:vAlign w:val="bottom"/>
            <w:shd w:val="clear" w:color="auto" w:fill="CCEEFF"/>
          </w:tcPr>
          <w:p>
            <w:pPr>
              <w:ind w:left="460"/>
              <w:spacing w:after="0" w:line="203" w:lineRule="exact"/>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169,002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212,619</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Acquisition costs (a)</w:t>
            </w:r>
          </w:p>
        </w:tc>
        <w:tc>
          <w:tcPr>
            <w:tcW w:w="280" w:type="dxa"/>
            <w:vAlign w:val="bottom"/>
          </w:tcPr>
          <w:p>
            <w:pPr>
              <w:spacing w:after="0"/>
              <w:rPr>
                <w:sz w:val="19"/>
                <w:szCs w:val="19"/>
                <w:color w:val="auto"/>
              </w:rPr>
            </w:pP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66,789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Financing transaction costs (b)</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COVID-19 supplemental employee benefits (c)</w:t>
            </w:r>
          </w:p>
        </w:tc>
        <w:tc>
          <w:tcPr>
            <w:tcW w:w="28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9"/>
        </w:trPr>
        <w:tc>
          <w:tcPr>
            <w:tcW w:w="7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238,139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212,961</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color w:val="auto"/>
              </w:rPr>
              <w:t>Adjusted EBITDA Margin on Revenue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12.0 %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Adjusted EBITDA Margin on Revenue, Excluding Billable Expenses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Net Income</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92,102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129,329</w:t>
            </w:r>
          </w:p>
        </w:tc>
        <w:tc>
          <w:tcPr>
            <w:tcW w:w="0" w:type="dxa"/>
            <w:vAlign w:val="bottom"/>
          </w:tcPr>
          <w:p>
            <w:pPr>
              <w:spacing w:after="0"/>
              <w:rPr>
                <w:sz w:val="1"/>
                <w:szCs w:val="1"/>
                <w:color w:val="auto"/>
              </w:rPr>
            </w:pPr>
          </w:p>
        </w:tc>
      </w:tr>
      <w:tr>
        <w:trPr>
          <w:trHeight w:val="223"/>
        </w:trPr>
        <w:tc>
          <w:tcPr>
            <w:tcW w:w="7180" w:type="dxa"/>
            <w:vAlign w:val="bottom"/>
          </w:tcPr>
          <w:p>
            <w:pPr>
              <w:ind w:left="240"/>
              <w:spacing w:after="0"/>
              <w:rPr>
                <w:sz w:val="20"/>
                <w:szCs w:val="20"/>
                <w:color w:val="auto"/>
              </w:rPr>
            </w:pPr>
            <w:r>
              <w:rPr>
                <w:rFonts w:ascii="Arial" w:cs="Arial" w:eastAsia="Arial" w:hAnsi="Arial"/>
                <w:sz w:val="18"/>
                <w:szCs w:val="18"/>
                <w:color w:val="auto"/>
              </w:rPr>
              <w:t>Acquisition costs (a)</w:t>
            </w:r>
          </w:p>
        </w:tc>
        <w:tc>
          <w:tcPr>
            <w:tcW w:w="280" w:type="dxa"/>
            <w:vAlign w:val="bottom"/>
          </w:tcPr>
          <w:p>
            <w:pPr>
              <w:spacing w:after="0"/>
              <w:rPr>
                <w:sz w:val="19"/>
                <w:szCs w:val="19"/>
                <w:color w:val="auto"/>
              </w:rPr>
            </w:pP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66,789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Financing transaction costs (b)</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COVID-19 supplemental employee benefits (c)</w:t>
            </w:r>
          </w:p>
        </w:tc>
        <w:tc>
          <w:tcPr>
            <w:tcW w:w="28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Significant acquisition amortization (d)</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Release of income tax reserves (f)</w:t>
            </w:r>
          </w:p>
        </w:tc>
        <w:tc>
          <w:tcPr>
            <w:tcW w:w="28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and write-off of debt issuance costs and debt discount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Adjustments for tax effect (g)</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(18,897)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2"/>
        </w:trPr>
        <w:tc>
          <w:tcPr>
            <w:tcW w:w="7180" w:type="dxa"/>
            <w:vAlign w:val="bottom"/>
            <w:tcBorders>
              <w:bottom w:val="single" w:sz="8" w:color="CCEEFF"/>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Adjusted Net Income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145,887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129,897</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Adjusted Diluted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number of diluted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136,392,343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91"/>
              </w:rPr>
              <w:t>139,172,454</w:t>
            </w:r>
          </w:p>
        </w:tc>
        <w:tc>
          <w:tcPr>
            <w:tcW w:w="0" w:type="dxa"/>
            <w:vAlign w:val="bottom"/>
          </w:tcPr>
          <w:p>
            <w:pPr>
              <w:spacing w:after="0"/>
              <w:rPr>
                <w:sz w:val="1"/>
                <w:szCs w:val="1"/>
                <w:color w:val="auto"/>
              </w:rPr>
            </w:pPr>
          </w:p>
        </w:tc>
      </w:tr>
      <w:tr>
        <w:trPr>
          <w:trHeight w:val="217"/>
        </w:trPr>
        <w:tc>
          <w:tcPr>
            <w:tcW w:w="7180" w:type="dxa"/>
            <w:vAlign w:val="bottom"/>
          </w:tcPr>
          <w:p>
            <w:pPr>
              <w:ind w:left="220"/>
              <w:spacing w:after="0" w:line="203" w:lineRule="exact"/>
              <w:rPr>
                <w:sz w:val="20"/>
                <w:szCs w:val="20"/>
                <w:color w:val="auto"/>
              </w:rPr>
            </w:pPr>
            <w:r>
              <w:rPr>
                <w:rFonts w:ascii="Arial" w:cs="Arial" w:eastAsia="Arial" w:hAnsi="Arial"/>
                <w:sz w:val="18"/>
                <w:szCs w:val="18"/>
                <w:color w:val="auto"/>
              </w:rPr>
              <w:t>Adjusted Net Income Per Diluted Share (h)</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b w:val="1"/>
                <w:bCs w:val="1"/>
                <w:i w:val="1"/>
                <w:iCs w:val="1"/>
                <w:color w:val="auto"/>
              </w:rPr>
              <w:t>Free Cash Flow</w:t>
            </w: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Net cash (used in) provided by operating activities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(10,662)</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3"/>
              <w:spacing w:after="0"/>
              <w:rPr>
                <w:sz w:val="20"/>
                <w:szCs w:val="20"/>
                <w:color w:val="auto"/>
              </w:rPr>
            </w:pPr>
            <w:r>
              <w:rPr>
                <w:rFonts w:ascii="Arial" w:cs="Arial" w:eastAsia="Arial" w:hAnsi="Arial"/>
                <w:sz w:val="18"/>
                <w:szCs w:val="18"/>
                <w:color w:val="auto"/>
              </w:rPr>
              <w:t>140,418</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Purchases of property, equipment and software</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(9,008)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(20,058)</w:t>
            </w:r>
          </w:p>
        </w:tc>
        <w:tc>
          <w:tcPr>
            <w:tcW w:w="0" w:type="dxa"/>
            <w:vAlign w:val="bottom"/>
          </w:tcPr>
          <w:p>
            <w:pPr>
              <w:spacing w:after="0"/>
              <w:rPr>
                <w:sz w:val="1"/>
                <w:szCs w:val="1"/>
                <w:color w:val="auto"/>
              </w:rPr>
            </w:pPr>
          </w:p>
        </w:tc>
      </w:tr>
      <w:tr>
        <w:trPr>
          <w:trHeight w:val="217"/>
        </w:trPr>
        <w:tc>
          <w:tcPr>
            <w:tcW w:w="7180" w:type="dxa"/>
            <w:vAlign w:val="bottom"/>
          </w:tcPr>
          <w:p>
            <w:pPr>
              <w:ind w:left="460"/>
              <w:spacing w:after="0" w:line="203" w:lineRule="exact"/>
              <w:rPr>
                <w:sz w:val="20"/>
                <w:szCs w:val="20"/>
                <w:color w:val="auto"/>
              </w:rPr>
            </w:pPr>
            <w:r>
              <w:rPr>
                <w:rFonts w:ascii="Arial" w:cs="Arial" w:eastAsia="Arial" w:hAnsi="Arial"/>
                <w:sz w:val="18"/>
                <w:szCs w:val="18"/>
                <w:color w:val="auto"/>
              </w:rPr>
              <w:t>Free Cash Flow</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(19,670)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120,360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640" w:hanging="635"/>
        <w:spacing w:after="0" w:line="252" w:lineRule="auto"/>
        <w:tabs>
          <w:tab w:leader="none" w:pos="6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costs associated with the acquisition efforts of the Company related to transactions for which the Company has entered into a letter of intent to acquire a controlling financial interest in the target entity. Acquisition costs primarily include costs associated with (i) due diligence activities, (ii) compensation expenses associated with</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employee retention, and (iii) legal and advisory fees associated with the completion of the acquisition of Liberty, as disclosed in Note 5.</w:t>
      </w:r>
    </w:p>
    <w:p>
      <w:pPr>
        <w:spacing w:after="0" w:line="53" w:lineRule="exact"/>
        <w:rPr>
          <w:sz w:val="20"/>
          <w:szCs w:val="20"/>
          <w:color w:val="auto"/>
        </w:rPr>
      </w:pPr>
    </w:p>
    <w:p>
      <w:pPr>
        <w:ind w:left="640" w:hanging="635"/>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Reflects expenses associated with debt refinancing activities incurred during the first quarter of fiscal 2022.</w:t>
      </w:r>
    </w:p>
    <w:p>
      <w:pPr>
        <w:spacing w:after="0" w:line="108" w:lineRule="exact"/>
        <w:rPr>
          <w:rFonts w:ascii="Arial" w:cs="Arial" w:eastAsia="Arial" w:hAnsi="Arial"/>
          <w:sz w:val="18"/>
          <w:szCs w:val="18"/>
          <w:color w:val="auto"/>
        </w:rPr>
      </w:pPr>
    </w:p>
    <w:p>
      <w:pPr>
        <w:ind w:left="640" w:hanging="635"/>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supplemental contribution to employees' dependent care FSA accounts in response to COVID-19.</w:t>
      </w:r>
    </w:p>
    <w:p>
      <w:pPr>
        <w:spacing w:after="0" w:line="108" w:lineRule="exact"/>
        <w:rPr>
          <w:rFonts w:ascii="Arial" w:cs="Arial" w:eastAsia="Arial" w:hAnsi="Arial"/>
          <w:sz w:val="18"/>
          <w:szCs w:val="18"/>
          <w:color w:val="auto"/>
        </w:rPr>
      </w:pPr>
    </w:p>
    <w:p>
      <w:pPr>
        <w:ind w:left="640" w:right="200" w:hanging="635"/>
        <w:spacing w:after="0" w:line="252" w:lineRule="auto"/>
        <w:tabs>
          <w:tab w:leader="none" w:pos="6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Amortization expense associated with acquired intangibles from significant acquisitions. Significant acquisitions include acquisitions which the Company considers to be beyond the scope of our normal operations. Significant acquisition amortization includes amortization expense associated with the acquisition of Liberty for the first quarter of fiscal 2022.</w:t>
      </w:r>
    </w:p>
    <w:p>
      <w:pPr>
        <w:spacing w:after="0" w:line="84" w:lineRule="exact"/>
        <w:rPr>
          <w:rFonts w:ascii="Arial" w:cs="Arial" w:eastAsia="Arial" w:hAnsi="Arial"/>
          <w:sz w:val="18"/>
          <w:szCs w:val="18"/>
          <w:color w:val="auto"/>
        </w:rPr>
      </w:pPr>
    </w:p>
    <w:p>
      <w:pPr>
        <w:ind w:left="640" w:hanging="635"/>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Reflects the combination of Interest expense and Other (expense) income, net from the condensed consolidated statement of operations.</w:t>
      </w:r>
    </w:p>
    <w:p>
      <w:pPr>
        <w:spacing w:after="0" w:line="131" w:lineRule="exact"/>
        <w:rPr>
          <w:rFonts w:ascii="Arial" w:cs="Arial" w:eastAsia="Arial" w:hAnsi="Arial"/>
          <w:sz w:val="16"/>
          <w:szCs w:val="16"/>
          <w:color w:val="auto"/>
        </w:rPr>
      </w:pPr>
    </w:p>
    <w:p>
      <w:pPr>
        <w:ind w:left="620" w:hanging="615"/>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Release of pre-acquisition income tax reserves assumed by the Company in connection with the Carlyle acquisition.</w:t>
      </w:r>
    </w:p>
    <w:p>
      <w:pPr>
        <w:spacing w:after="0" w:line="108" w:lineRule="exact"/>
        <w:rPr>
          <w:rFonts w:ascii="Arial" w:cs="Arial" w:eastAsia="Arial" w:hAnsi="Arial"/>
          <w:sz w:val="18"/>
          <w:szCs w:val="18"/>
          <w:color w:val="auto"/>
        </w:rPr>
      </w:pPr>
    </w:p>
    <w:p>
      <w:pPr>
        <w:ind w:left="640" w:right="640" w:hanging="635"/>
        <w:spacing w:after="0" w:line="261" w:lineRule="auto"/>
        <w:tabs>
          <w:tab w:leader="none" w:pos="6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Reflects the tax effect of adjustments at an assumed effective tax rate of 26%, which approximates the blended federal and state tax rates, and consistently excludes the impact of other tax credits and incentive benefits realized.</w:t>
      </w:r>
    </w:p>
    <w:p>
      <w:pPr>
        <w:spacing w:after="0" w:line="76" w:lineRule="exact"/>
        <w:rPr>
          <w:rFonts w:ascii="Arial" w:cs="Arial" w:eastAsia="Arial" w:hAnsi="Arial"/>
          <w:sz w:val="18"/>
          <w:szCs w:val="18"/>
          <w:color w:val="auto"/>
        </w:rPr>
      </w:pPr>
    </w:p>
    <w:p>
      <w:pPr>
        <w:ind w:left="640" w:hanging="635"/>
        <w:spacing w:after="0" w:line="261" w:lineRule="auto"/>
        <w:tabs>
          <w:tab w:leader="none" w:pos="6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adjustments of approximately $0.5 million and $0.6 million of net earnings for the three months ended June 30, 2021 and 2020, respectively, associated with the application of the two-class method for computing diluted earnings per share.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15" w:lineRule="exact"/>
        <w:rPr>
          <w:sz w:val="20"/>
          <w:szCs w:val="20"/>
          <w:color w:val="auto"/>
        </w:rPr>
      </w:pPr>
    </w:p>
    <w:p>
      <w:pPr>
        <w:ind w:right="500" w:firstLine="395"/>
        <w:spacing w:after="0" w:line="261"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09" w:lineRule="exact"/>
        <w:rPr>
          <w:sz w:val="20"/>
          <w:szCs w:val="20"/>
          <w:color w:val="auto"/>
        </w:rPr>
      </w:pPr>
    </w:p>
    <w:p>
      <w:pPr>
        <w:ind w:right="400" w:firstLine="395"/>
        <w:spacing w:after="0" w:line="261"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76" w:lineRule="exact"/>
        <w:rPr>
          <w:sz w:val="20"/>
          <w:szCs w:val="20"/>
          <w:color w:val="auto"/>
        </w:rPr>
      </w:pPr>
    </w:p>
    <w:p>
      <w:pPr>
        <w:ind w:left="1260" w:right="100" w:hanging="623"/>
        <w:spacing w:after="0" w:line="284" w:lineRule="auto"/>
        <w:tabs>
          <w:tab w:leader="none" w:pos="1256"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Taxpayer Relief Act of 2012, the Bipartisan Budget Act of 2013, the Bipartisan Budget Act of 2015, the Bipartisan Budget Act of 2018, and the Bipartisan Budget Act of 2019, and address the ability of Congress to determine how to allocate the available budget authority and pass appropriations bills to fund both U.S. government departments and agencies that are, and those that are not, subject to the caps;</w:t>
      </w:r>
    </w:p>
    <w:p>
      <w:pPr>
        <w:spacing w:after="0" w:line="62" w:lineRule="exact"/>
        <w:rPr>
          <w:rFonts w:ascii="Arial" w:cs="Arial" w:eastAsia="Arial" w:hAnsi="Arial"/>
          <w:sz w:val="16"/>
          <w:szCs w:val="16"/>
          <w:color w:val="auto"/>
        </w:rPr>
      </w:pPr>
    </w:p>
    <w:p>
      <w:pPr>
        <w:ind w:left="1260" w:right="160" w:hanging="623"/>
        <w:spacing w:after="0" w:line="261" w:lineRule="auto"/>
        <w:tabs>
          <w:tab w:leader="none" w:pos="12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76" w:lineRule="exact"/>
        <w:rPr>
          <w:rFonts w:ascii="Arial" w:cs="Arial" w:eastAsia="Arial" w:hAnsi="Arial"/>
          <w:sz w:val="18"/>
          <w:szCs w:val="18"/>
          <w:color w:val="auto"/>
        </w:rPr>
      </w:pPr>
    </w:p>
    <w:p>
      <w:pPr>
        <w:ind w:left="1260" w:hanging="623"/>
        <w:spacing w:after="0" w:line="280" w:lineRule="auto"/>
        <w:tabs>
          <w:tab w:leader="none" w:pos="1256"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approve funding of the U.S. government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68" w:lineRule="exact"/>
        <w:rPr>
          <w:rFonts w:ascii="Arial" w:cs="Arial" w:eastAsia="Arial" w:hAnsi="Arial"/>
          <w:sz w:val="16"/>
          <w:szCs w:val="16"/>
          <w:color w:val="auto"/>
        </w:rPr>
      </w:pPr>
    </w:p>
    <w:p>
      <w:pPr>
        <w:ind w:left="1260" w:right="140" w:hanging="623"/>
        <w:spacing w:after="0" w:line="261" w:lineRule="auto"/>
        <w:tabs>
          <w:tab w:leader="none" w:pos="12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right="140" w:hanging="623"/>
        <w:spacing w:after="0" w:line="291" w:lineRule="auto"/>
        <w:tabs>
          <w:tab w:leader="none" w:pos="1256"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 including as a result of the presidential and administration transition;</w:t>
      </w:r>
    </w:p>
    <w:p>
      <w:pPr>
        <w:spacing w:after="0" w:line="55" w:lineRule="exact"/>
        <w:rPr>
          <w:rFonts w:ascii="Arial" w:cs="Arial" w:eastAsia="Arial" w:hAnsi="Arial"/>
          <w:sz w:val="16"/>
          <w:szCs w:val="16"/>
          <w:color w:val="auto"/>
        </w:rPr>
      </w:pPr>
    </w:p>
    <w:p>
      <w:pPr>
        <w:ind w:left="1260" w:right="200" w:hanging="623"/>
        <w:spacing w:after="0" w:line="252" w:lineRule="auto"/>
        <w:tabs>
          <w:tab w:leader="none" w:pos="12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nature and effect of COVID-19, including the impact on federal budgets, current and pending procurements, supply chains, demand for services, deployment and productivity of our employees and the economic and societal impact of a pandemic, and the expected continued volatility in billable expenses;</w:t>
      </w:r>
    </w:p>
    <w:p>
      <w:pPr>
        <w:spacing w:after="0" w:line="84" w:lineRule="exact"/>
        <w:rPr>
          <w:rFonts w:ascii="Arial" w:cs="Arial" w:eastAsia="Arial" w:hAnsi="Arial"/>
          <w:sz w:val="18"/>
          <w:szCs w:val="18"/>
          <w:color w:val="auto"/>
        </w:rPr>
      </w:pPr>
    </w:p>
    <w:p>
      <w:pPr>
        <w:ind w:left="1260" w:hanging="623"/>
        <w:spacing w:after="0" w:line="250" w:lineRule="auto"/>
        <w:tabs>
          <w:tab w:leader="none" w:pos="12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84" w:lineRule="exact"/>
        <w:rPr>
          <w:rFonts w:ascii="Arial" w:cs="Arial" w:eastAsia="Arial" w:hAnsi="Arial"/>
          <w:sz w:val="18"/>
          <w:szCs w:val="18"/>
          <w:color w:val="auto"/>
        </w:rPr>
      </w:pPr>
    </w:p>
    <w:p>
      <w:pPr>
        <w:ind w:left="1260" w:right="160" w:hanging="623"/>
        <w:spacing w:after="0" w:line="261" w:lineRule="auto"/>
        <w:tabs>
          <w:tab w:leader="none" w:pos="12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76" w:lineRule="exact"/>
        <w:rPr>
          <w:rFonts w:ascii="Arial" w:cs="Arial" w:eastAsia="Arial" w:hAnsi="Arial"/>
          <w:sz w:val="18"/>
          <w:szCs w:val="18"/>
          <w:color w:val="auto"/>
        </w:rPr>
      </w:pPr>
    </w:p>
    <w:p>
      <w:pPr>
        <w:ind w:left="1260" w:right="100" w:hanging="623"/>
        <w:spacing w:after="0" w:line="261" w:lineRule="auto"/>
        <w:tabs>
          <w:tab w:leader="none" w:pos="12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76" w:lineRule="exact"/>
        <w:rPr>
          <w:rFonts w:ascii="Arial" w:cs="Arial" w:eastAsia="Arial" w:hAnsi="Arial"/>
          <w:sz w:val="18"/>
          <w:szCs w:val="18"/>
          <w:color w:val="auto"/>
        </w:rPr>
      </w:pPr>
    </w:p>
    <w:p>
      <w:pPr>
        <w:ind w:left="1260" w:right="200" w:hanging="623"/>
        <w:spacing w:after="0" w:line="252" w:lineRule="auto"/>
        <w:tabs>
          <w:tab w:leader="none" w:pos="12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84" w:lineRule="exact"/>
        <w:rPr>
          <w:rFonts w:ascii="Arial" w:cs="Arial" w:eastAsia="Arial" w:hAnsi="Arial"/>
          <w:sz w:val="18"/>
          <w:szCs w:val="18"/>
          <w:color w:val="auto"/>
        </w:rPr>
      </w:pPr>
    </w:p>
    <w:p>
      <w:pPr>
        <w:ind w:left="1260" w:right="280" w:hanging="623"/>
        <w:spacing w:after="0" w:line="261" w:lineRule="auto"/>
        <w:tabs>
          <w:tab w:leader="none" w:pos="12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76" w:lineRule="exact"/>
        <w:rPr>
          <w:rFonts w:ascii="Arial" w:cs="Arial" w:eastAsia="Arial" w:hAnsi="Arial"/>
          <w:sz w:val="18"/>
          <w:szCs w:val="18"/>
          <w:color w:val="auto"/>
        </w:rPr>
      </w:pPr>
    </w:p>
    <w:p>
      <w:pPr>
        <w:ind w:left="1260" w:hanging="623"/>
        <w:spacing w:after="0" w:line="261" w:lineRule="auto"/>
        <w:tabs>
          <w:tab w:leader="none" w:pos="12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76" w:lineRule="exact"/>
        <w:rPr>
          <w:rFonts w:ascii="Arial" w:cs="Arial" w:eastAsia="Arial" w:hAnsi="Arial"/>
          <w:sz w:val="18"/>
          <w:szCs w:val="18"/>
          <w:color w:val="auto"/>
        </w:rPr>
      </w:pPr>
    </w:p>
    <w:p>
      <w:pPr>
        <w:ind w:left="1260" w:right="180" w:hanging="623"/>
        <w:spacing w:after="0" w:line="252" w:lineRule="auto"/>
        <w:tabs>
          <w:tab w:leader="none" w:pos="12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84" w:lineRule="exact"/>
        <w:rPr>
          <w:rFonts w:ascii="Arial" w:cs="Arial" w:eastAsia="Arial" w:hAnsi="Arial"/>
          <w:sz w:val="18"/>
          <w:szCs w:val="18"/>
          <w:color w:val="auto"/>
        </w:rPr>
      </w:pPr>
    </w:p>
    <w:p>
      <w:pPr>
        <w:ind w:left="1260" w:right="40" w:hanging="623"/>
        <w:spacing w:after="0" w:line="299" w:lineRule="auto"/>
        <w:tabs>
          <w:tab w:leader="none" w:pos="1256"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49" w:lineRule="exact"/>
        <w:rPr>
          <w:rFonts w:ascii="Arial" w:cs="Arial" w:eastAsia="Arial" w:hAnsi="Arial"/>
          <w:sz w:val="16"/>
          <w:szCs w:val="16"/>
          <w:color w:val="auto"/>
        </w:rPr>
      </w:pPr>
    </w:p>
    <w:p>
      <w:pPr>
        <w:ind w:left="1260" w:right="600" w:hanging="623"/>
        <w:spacing w:after="0" w:line="362" w:lineRule="auto"/>
        <w:tabs>
          <w:tab w:leader="none" w:pos="1256"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6" w:lineRule="exact"/>
        <w:rPr>
          <w:rFonts w:ascii="Arial" w:cs="Arial" w:eastAsia="Arial" w:hAnsi="Arial"/>
          <w:sz w:val="15"/>
          <w:szCs w:val="15"/>
          <w:color w:val="auto"/>
        </w:rPr>
      </w:pPr>
    </w:p>
    <w:p>
      <w:pPr>
        <w:ind w:left="1260" w:right="180" w:hanging="623"/>
        <w:spacing w:after="0" w:line="252" w:lineRule="auto"/>
        <w:tabs>
          <w:tab w:leader="none" w:pos="12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 and</w:t>
      </w:r>
    </w:p>
    <w:p>
      <w:pPr>
        <w:spacing w:after="0" w:line="84" w:lineRule="exact"/>
        <w:rPr>
          <w:rFonts w:ascii="Arial" w:cs="Arial" w:eastAsia="Arial" w:hAnsi="Arial"/>
          <w:sz w:val="18"/>
          <w:szCs w:val="18"/>
          <w:color w:val="auto"/>
        </w:rPr>
      </w:pPr>
    </w:p>
    <w:p>
      <w:pPr>
        <w:jc w:val="both"/>
        <w:ind w:left="1260" w:right="320" w:hanging="623"/>
        <w:spacing w:after="0" w:line="252" w:lineRule="auto"/>
        <w:tabs>
          <w:tab w:leader="none" w:pos="12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09" w:lineRule="exact"/>
        <w:rPr>
          <w:sz w:val="20"/>
          <w:szCs w:val="20"/>
          <w:color w:val="auto"/>
        </w:rPr>
      </w:pPr>
    </w:p>
    <w:p>
      <w:pPr>
        <w:ind w:right="20" w:firstLine="395"/>
        <w:spacing w:after="0" w:line="282" w:lineRule="auto"/>
        <w:rPr>
          <w:sz w:val="20"/>
          <w:szCs w:val="20"/>
          <w:color w:val="auto"/>
        </w:rPr>
      </w:pPr>
      <w:r>
        <w:rPr>
          <w:rFonts w:ascii="Arial" w:cs="Arial" w:eastAsia="Arial" w:hAnsi="Arial"/>
          <w:sz w:val="16"/>
          <w:szCs w:val="16"/>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originally required nine automatic spending cuts (referred to as “sequestration”) of $109 billion</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annually from 2013 to 2021, half of which was intended to come from defense programs, though less than $1 billion has been cut for defense programs per year under the BCA. Mandatory sequestrations under the BCA were subsequently extended by the Bipartisan Budget Act of 2013, the Bipartisan Budget Act of 2015, the Bipartisan Budget Act of 2018, the Bipartisan Budget Act of 2019 and the CARES Act, which did not specify an amount of savings required to be achieved through sequestration after 2021 but apply an 8.3% reduction in defense spending in each year from 2021 to 2030.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Types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09" w:lineRule="exact"/>
        <w:rPr>
          <w:sz w:val="20"/>
          <w:szCs w:val="20"/>
          <w:color w:val="auto"/>
        </w:rPr>
      </w:pPr>
    </w:p>
    <w:p>
      <w:pPr>
        <w:ind w:left="1900" w:right="80" w:hanging="632"/>
        <w:spacing w:after="0" w:line="280" w:lineRule="auto"/>
        <w:tabs>
          <w:tab w:leader="none" w:pos="1895"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Cost-Reimbursable Contracts. </w:t>
      </w:r>
      <w:r>
        <w:rPr>
          <w:rFonts w:ascii="Arial" w:cs="Arial" w:eastAsia="Arial" w:hAnsi="Arial"/>
          <w:sz w:val="16"/>
          <w:szCs w:val="16"/>
          <w:color w:val="auto"/>
        </w:rPr>
        <w:t>Cost-reimbursable contracts provide for the payment of allowable costs incurred during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contract, up to a ceiling based 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68" w:lineRule="exact"/>
        <w:rPr>
          <w:rFonts w:ascii="Arial" w:cs="Arial" w:eastAsia="Arial" w:hAnsi="Arial"/>
          <w:sz w:val="16"/>
          <w:szCs w:val="16"/>
          <w:i w:val="1"/>
          <w:iCs w:val="1"/>
          <w:color w:val="auto"/>
        </w:rPr>
      </w:pPr>
    </w:p>
    <w:p>
      <w:pPr>
        <w:ind w:left="1900" w:right="80" w:hanging="632"/>
        <w:spacing w:after="0" w:line="310" w:lineRule="auto"/>
        <w:tabs>
          <w:tab w:leader="none" w:pos="1895" w:val="left"/>
        </w:tabs>
        <w:numPr>
          <w:ilvl w:val="0"/>
          <w:numId w:val="20"/>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Time-and-Materials Contracts. </w:t>
      </w:r>
      <w:r>
        <w:rPr>
          <w:rFonts w:ascii="Arial" w:cs="Arial" w:eastAsia="Arial" w:hAnsi="Arial"/>
          <w:sz w:val="15"/>
          <w:szCs w:val="15"/>
          <w:color w:val="auto"/>
        </w:rPr>
        <w:t>Under contracts in this category, we are paid a fixed hourly rate for each direct labor hour expended,</w:t>
      </w:r>
      <w:r>
        <w:rPr>
          <w:rFonts w:ascii="Arial" w:cs="Arial" w:eastAsia="Arial" w:hAnsi="Arial"/>
          <w:sz w:val="15"/>
          <w:szCs w:val="15"/>
          <w:i w:val="1"/>
          <w:iCs w:val="1"/>
          <w:color w:val="auto"/>
        </w:rPr>
        <w:t xml:space="preserve"> </w:t>
      </w:r>
      <w:r>
        <w:rPr>
          <w:rFonts w:ascii="Arial" w:cs="Arial" w:eastAsia="Arial" w:hAnsi="Arial"/>
          <w:sz w:val="15"/>
          <w:szCs w:val="15"/>
          <w:color w:val="auto"/>
        </w:rPr>
        <w:t>and we are reimbursed for billable 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44" w:lineRule="exact"/>
        <w:rPr>
          <w:rFonts w:ascii="Arial" w:cs="Arial" w:eastAsia="Arial" w:hAnsi="Arial"/>
          <w:sz w:val="15"/>
          <w:szCs w:val="15"/>
          <w:i w:val="1"/>
          <w:iCs w:val="1"/>
          <w:color w:val="auto"/>
        </w:rPr>
      </w:pPr>
    </w:p>
    <w:p>
      <w:pPr>
        <w:ind w:left="1900" w:right="40" w:hanging="632"/>
        <w:spacing w:after="0" w:line="287" w:lineRule="auto"/>
        <w:tabs>
          <w:tab w:leader="none" w:pos="1895"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Fixed-Price Contracts. </w:t>
      </w:r>
      <w:r>
        <w:rPr>
          <w:rFonts w:ascii="Arial" w:cs="Arial" w:eastAsia="Arial" w:hAnsi="Arial"/>
          <w:sz w:val="16"/>
          <w:szCs w:val="16"/>
          <w:color w:val="auto"/>
        </w:rPr>
        <w:t>Under a fixed-price contract, we agree to perform the specified work for a predetermined price. To the extent</w:t>
      </w:r>
      <w:r>
        <w:rPr>
          <w:rFonts w:ascii="Arial" w:cs="Arial" w:eastAsia="Arial" w:hAnsi="Arial"/>
          <w:sz w:val="16"/>
          <w:szCs w:val="16"/>
          <w:i w:val="1"/>
          <w:iCs w:val="1"/>
          <w:color w:val="auto"/>
        </w:rPr>
        <w:t xml:space="preserve"> </w:t>
      </w:r>
      <w:r>
        <w:rPr>
          <w:rFonts w:ascii="Arial" w:cs="Arial" w:eastAsia="Arial" w:hAnsi="Arial"/>
          <w:sz w:val="16"/>
          <w:szCs w:val="16"/>
          <w:color w:val="auto"/>
        </w:rPr>
        <w:t>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58" w:lineRule="exact"/>
        <w:rPr>
          <w:sz w:val="20"/>
          <w:szCs w:val="20"/>
          <w:color w:val="auto"/>
        </w:rPr>
      </w:pPr>
    </w:p>
    <w:p>
      <w:pPr>
        <w:ind w:right="20" w:firstLine="395"/>
        <w:spacing w:after="0" w:line="280"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96"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Three Months Ended</w:t>
      </w:r>
    </w:p>
    <w:p>
      <w:pPr>
        <w:jc w:val="center"/>
        <w:ind w:left="7320"/>
        <w:spacing w:after="0"/>
        <w:rPr>
          <w:sz w:val="20"/>
          <w:szCs w:val="20"/>
          <w:color w:val="auto"/>
        </w:rPr>
      </w:pPr>
      <w:r>
        <w:rPr>
          <w:rFonts w:ascii="Arial" w:cs="Arial" w:eastAsia="Arial" w:hAnsi="Arial"/>
          <w:sz w:val="14"/>
          <w:szCs w:val="14"/>
          <w:b w:val="1"/>
          <w:bCs w:val="1"/>
          <w:color w:val="auto"/>
        </w:rPr>
        <w:t>June 30,</w:t>
      </w:r>
    </w:p>
    <w:p>
      <w:pPr>
        <w:spacing w:after="0" w:line="6" w:lineRule="exact"/>
        <w:rPr>
          <w:sz w:val="20"/>
          <w:szCs w:val="20"/>
          <w:color w:val="auto"/>
        </w:rPr>
      </w:pPr>
    </w:p>
    <w:tbl>
      <w:tblPr>
        <w:tblLayout w:type="fixed"/>
        <w:tblInd w:w="500" w:type="dxa"/>
        <w:tblCellMar>
          <w:top w:w="0" w:type="dxa"/>
          <w:left w:w="0" w:type="dxa"/>
          <w:bottom w:w="0" w:type="dxa"/>
          <w:right w:w="0" w:type="dxa"/>
        </w:tblCellMar>
      </w:tblPr>
      <w:tr>
        <w:trPr>
          <w:trHeight w:val="187"/>
        </w:trPr>
        <w:tc>
          <w:tcPr>
            <w:tcW w:w="732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17"/>
        </w:trPr>
        <w:tc>
          <w:tcPr>
            <w:tcW w:w="73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Cost-reimbursable</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56%</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Time-and-materials</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26%</w:t>
            </w:r>
          </w:p>
        </w:tc>
      </w:tr>
      <w:tr>
        <w:trPr>
          <w:trHeight w:val="224"/>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Fixed-price</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w:t>
            </w:r>
          </w:p>
        </w:tc>
      </w:tr>
    </w:tbl>
    <w:p>
      <w:pPr>
        <w:spacing w:after="0" w:line="35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Diversity and Revenue Mix</w:t>
      </w:r>
    </w:p>
    <w:p>
      <w:pPr>
        <w:spacing w:after="0" w:line="109" w:lineRule="exact"/>
        <w:rPr>
          <w:sz w:val="20"/>
          <w:szCs w:val="20"/>
          <w:color w:val="auto"/>
        </w:rPr>
      </w:pPr>
    </w:p>
    <w:p>
      <w:pPr>
        <w:ind w:right="20" w:firstLine="395"/>
        <w:spacing w:after="0" w:line="247" w:lineRule="auto"/>
        <w:rPr>
          <w:sz w:val="20"/>
          <w:szCs w:val="20"/>
          <w:color w:val="auto"/>
        </w:rPr>
      </w:pPr>
      <w:r>
        <w:rPr>
          <w:rFonts w:ascii="Arial" w:cs="Arial" w:eastAsia="Arial" w:hAnsi="Arial"/>
          <w:sz w:val="18"/>
          <w:szCs w:val="18"/>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competes under multiple award IDIQ contract vehicles for task orders to provide particular services, and we earn revenue under these contract vehicles only to the extent that we are successful in the bidding process for task orders.</w:t>
      </w:r>
    </w:p>
    <w:p>
      <w:pPr>
        <w:spacing w:after="0" w:line="90"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People</w:t>
      </w:r>
    </w:p>
    <w:p>
      <w:pPr>
        <w:spacing w:after="0" w:line="109"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June 30, 2021 and 2020, we employed approximately 28,600 and 27,400 people, respectively, of which approximately 25,500 and 24,500, respectively, were consulting staff.</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Backlog</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09" w:lineRule="exact"/>
        <w:rPr>
          <w:sz w:val="20"/>
          <w:szCs w:val="20"/>
          <w:color w:val="auto"/>
        </w:rPr>
      </w:pPr>
    </w:p>
    <w:p>
      <w:pPr>
        <w:ind w:left="1260" w:right="840" w:hanging="623"/>
        <w:spacing w:after="0" w:line="261" w:lineRule="auto"/>
        <w:tabs>
          <w:tab w:leader="none" w:pos="1256"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76" w:lineRule="exact"/>
        <w:rPr>
          <w:rFonts w:ascii="Arial" w:cs="Arial" w:eastAsia="Arial" w:hAnsi="Arial"/>
          <w:sz w:val="18"/>
          <w:szCs w:val="18"/>
          <w:i w:val="1"/>
          <w:iCs w:val="1"/>
          <w:color w:val="auto"/>
        </w:rPr>
      </w:pPr>
    </w:p>
    <w:p>
      <w:pPr>
        <w:ind w:left="1260" w:right="60" w:hanging="623"/>
        <w:spacing w:after="0" w:line="261" w:lineRule="auto"/>
        <w:tabs>
          <w:tab w:leader="none" w:pos="1256"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(including optional orders) for services under existing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funding has not been appropriated or otherwise authorized.</w:t>
      </w:r>
    </w:p>
    <w:p>
      <w:pPr>
        <w:spacing w:after="0" w:line="76" w:lineRule="exact"/>
        <w:rPr>
          <w:rFonts w:ascii="Arial" w:cs="Arial" w:eastAsia="Arial" w:hAnsi="Arial"/>
          <w:sz w:val="18"/>
          <w:szCs w:val="18"/>
          <w:color w:val="auto"/>
        </w:rPr>
      </w:pPr>
    </w:p>
    <w:p>
      <w:pPr>
        <w:ind w:left="1260" w:right="20" w:hanging="623"/>
        <w:spacing w:after="0" w:line="324" w:lineRule="auto"/>
        <w:tabs>
          <w:tab w:leader="none" w:pos="1256"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Priced Options. </w:t>
      </w:r>
      <w:r>
        <w:rPr>
          <w:rFonts w:ascii="Arial" w:cs="Arial" w:eastAsia="Arial" w:hAnsi="Arial"/>
          <w:sz w:val="16"/>
          <w:szCs w:val="16"/>
          <w:color w:val="auto"/>
        </w:rPr>
        <w:t>Priced contract options represent 100% of the revenue value of all future contract option periods under existing contracts that</w:t>
      </w:r>
      <w:r>
        <w:rPr>
          <w:rFonts w:ascii="Arial" w:cs="Arial" w:eastAsia="Arial" w:hAnsi="Arial"/>
          <w:sz w:val="16"/>
          <w:szCs w:val="16"/>
          <w:i w:val="1"/>
          <w:iCs w:val="1"/>
          <w:color w:val="auto"/>
        </w:rPr>
        <w:t xml:space="preserve"> </w:t>
      </w:r>
      <w:r>
        <w:rPr>
          <w:rFonts w:ascii="Arial" w:cs="Arial" w:eastAsia="Arial" w:hAnsi="Arial"/>
          <w:sz w:val="16"/>
          <w:szCs w:val="16"/>
          <w:color w:val="auto"/>
        </w:rPr>
        <w:t>may be exercised at our clients’ option and for which funding has not been appropriated or otherwise authorized.</w:t>
      </w:r>
    </w:p>
    <w:p>
      <w:pPr>
        <w:spacing w:after="0" w:line="30" w:lineRule="exact"/>
        <w:rPr>
          <w:sz w:val="20"/>
          <w:szCs w:val="20"/>
          <w:color w:val="auto"/>
        </w:rPr>
      </w:pPr>
    </w:p>
    <w:p>
      <w:pPr>
        <w:ind w:right="440" w:firstLine="395"/>
        <w:spacing w:after="0" w:line="261" w:lineRule="auto"/>
        <w:rPr>
          <w:sz w:val="20"/>
          <w:szCs w:val="20"/>
          <w:color w:val="auto"/>
        </w:rPr>
      </w:pPr>
      <w:r>
        <w:rPr>
          <w:rFonts w:ascii="Arial" w:cs="Arial" w:eastAsia="Arial" w:hAnsi="Arial"/>
          <w:sz w:val="18"/>
          <w:szCs w:val="18"/>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140" w:type="dxa"/>
            <w:vAlign w:val="bottom"/>
          </w:tcPr>
          <w:p>
            <w:pPr>
              <w:jc w:val="right"/>
              <w:ind w:right="458"/>
              <w:spacing w:after="0"/>
              <w:rPr>
                <w:sz w:val="20"/>
                <w:szCs w:val="20"/>
                <w:color w:val="auto"/>
              </w:rPr>
            </w:pPr>
            <w:r>
              <w:rPr>
                <w:rFonts w:ascii="Arial" w:cs="Arial" w:eastAsia="Arial" w:hAnsi="Arial"/>
                <w:sz w:val="14"/>
                <w:szCs w:val="14"/>
                <w:b w:val="1"/>
                <w:bCs w:val="1"/>
                <w:color w:val="auto"/>
              </w:rPr>
              <w:t>June 30,</w:t>
            </w:r>
          </w:p>
        </w:tc>
      </w:tr>
      <w:tr>
        <w:trPr>
          <w:trHeight w:val="184"/>
        </w:trPr>
        <w:tc>
          <w:tcPr>
            <w:tcW w:w="80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r>
      <w:tr>
        <w:trPr>
          <w:trHeight w:val="177"/>
        </w:trPr>
        <w:tc>
          <w:tcPr>
            <w:tcW w:w="8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5"/>
                <w:szCs w:val="15"/>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8"/>
                <w:szCs w:val="18"/>
                <w:color w:val="auto"/>
              </w:rPr>
              <w:t>Funded</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3,493</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3,437</w:t>
            </w:r>
          </w:p>
        </w:tc>
      </w:tr>
      <w:tr>
        <w:trPr>
          <w:trHeight w:val="224"/>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Unfunded</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w:t>
            </w:r>
          </w:p>
        </w:tc>
      </w:tr>
      <w:tr>
        <w:trPr>
          <w:trHeight w:val="223"/>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Priced options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14,846</w:t>
            </w:r>
          </w:p>
        </w:tc>
      </w:tr>
      <w:tr>
        <w:trPr>
          <w:trHeight w:val="242"/>
        </w:trPr>
        <w:tc>
          <w:tcPr>
            <w:tcW w:w="8000" w:type="dxa"/>
            <w:vAlign w:val="bottom"/>
            <w:tcBorders>
              <w:bottom w:val="single" w:sz="8" w:color="CCEEFF"/>
            </w:tcBorders>
            <w:shd w:val="clear" w:color="auto" w:fill="CCEEFF"/>
          </w:tcPr>
          <w:p>
            <w:pPr>
              <w:ind w:left="660"/>
              <w:spacing w:after="0" w:line="203" w:lineRule="exact"/>
              <w:rPr>
                <w:sz w:val="20"/>
                <w:szCs w:val="20"/>
                <w:color w:val="auto"/>
              </w:rPr>
            </w:pPr>
            <w:r>
              <w:rPr>
                <w:rFonts w:ascii="Arial" w:cs="Arial" w:eastAsia="Arial" w:hAnsi="Arial"/>
                <w:sz w:val="18"/>
                <w:szCs w:val="18"/>
                <w:color w:val="auto"/>
              </w:rPr>
              <w:t>Total backlog</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43" w:lineRule="exact"/>
        <w:rPr>
          <w:sz w:val="20"/>
          <w:szCs w:val="20"/>
          <w:color w:val="auto"/>
        </w:rPr>
      </w:pPr>
    </w:p>
    <w:p>
      <w:pPr>
        <w:ind w:left="480" w:right="580" w:hanging="475"/>
        <w:spacing w:after="0" w:line="261" w:lineRule="auto"/>
        <w:tabs>
          <w:tab w:leader="none" w:pos="3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Backlog presented includes backlog acquired from the Company's acquisition of Liberty made during the three months ended June 30, 2021. Total backlog acquired from Liberty was approximately $2.2 billion as of June 30, 2021.</w:t>
      </w:r>
    </w:p>
    <w:p>
      <w:pPr>
        <w:spacing w:after="0" w:line="247" w:lineRule="exact"/>
        <w:rPr>
          <w:sz w:val="20"/>
          <w:szCs w:val="20"/>
          <w:color w:val="auto"/>
        </w:rPr>
      </w:pPr>
    </w:p>
    <w:p>
      <w:pPr>
        <w:ind w:right="20" w:firstLine="395"/>
        <w:spacing w:after="0" w:line="280" w:lineRule="auto"/>
        <w:rPr>
          <w:sz w:val="20"/>
          <w:szCs w:val="20"/>
          <w:color w:val="auto"/>
        </w:rPr>
      </w:pPr>
      <w:r>
        <w:rPr>
          <w:rFonts w:ascii="Arial" w:cs="Arial" w:eastAsia="Arial" w:hAnsi="Arial"/>
          <w:sz w:val="16"/>
          <w:szCs w:val="16"/>
          <w:color w:val="auto"/>
        </w:rPr>
        <w:t>Our total backlog consists of remaining performance obligations, certain orders under contracts for which the period of performance has expired, and unexercised option period and other unexercised optional orders. As of June 30, 2021 and March 31, 2021, the Company had $7.0 billion and $6.7 billion of remaining performance obligations, respectively. We expect to recognize approximately 70% of the remaining performance obligations at June 30, 2021 as revenue over the next 12 months, and approximately 85% over the next 24 months. The remainder is expected to be recognized thereafter. However, given the uncertainties discussed below, as well as the risks described in "Item 1A. Risk Factors" of our Annual Report on Form 10-K for the fiscal year ended March 31, 2021,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64"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increased by 16.5% from June 30, 2020 to June 30, 2021. The change reflects $2.2 billion of backlog acquired as a result of the acquisition of Liberty. Additions to funded backlog during the twelve months ended June 30, 2021 totaled $7.9 billion in comparison to $7.8 billion for the comparable period in 2020,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66" w:lineRule="exact"/>
        <w:rPr>
          <w:sz w:val="20"/>
          <w:szCs w:val="20"/>
          <w:color w:val="auto"/>
        </w:rPr>
      </w:pPr>
    </w:p>
    <w:p>
      <w:pPr>
        <w:ind w:right="80" w:firstLine="395"/>
        <w:spacing w:after="0" w:line="279" w:lineRule="auto"/>
        <w:rPr>
          <w:sz w:val="20"/>
          <w:szCs w:val="20"/>
          <w:color w:val="auto"/>
        </w:rPr>
      </w:pPr>
      <w:r>
        <w:rPr>
          <w:rFonts w:ascii="Arial" w:cs="Arial" w:eastAsia="Arial" w:hAnsi="Arial"/>
          <w:sz w:val="16"/>
          <w:szCs w:val="16"/>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65" w:lineRule="exact"/>
        <w:rPr>
          <w:sz w:val="20"/>
          <w:szCs w:val="20"/>
          <w:color w:val="auto"/>
        </w:rPr>
      </w:pPr>
    </w:p>
    <w:p>
      <w:pPr>
        <w:ind w:right="60" w:firstLine="395"/>
        <w:spacing w:after="0" w:line="287" w:lineRule="auto"/>
        <w:rPr>
          <w:sz w:val="20"/>
          <w:szCs w:val="20"/>
          <w:color w:val="auto"/>
        </w:rPr>
      </w:pPr>
      <w:r>
        <w:rPr>
          <w:rFonts w:ascii="Arial" w:cs="Arial" w:eastAsia="Arial" w:hAnsi="Arial"/>
          <w:sz w:val="16"/>
          <w:szCs w:val="16"/>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5.3% of total backlog as of June 30, 2021 and any of the four preceding fiscal quarters.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20" w:firstLine="395"/>
        <w:spacing w:after="0" w:line="252" w:lineRule="auto"/>
        <w:rPr>
          <w:sz w:val="20"/>
          <w:szCs w:val="20"/>
          <w:color w:val="auto"/>
        </w:rPr>
      </w:pPr>
      <w:r>
        <w:rPr>
          <w:rFonts w:ascii="Arial" w:cs="Arial" w:eastAsia="Arial" w:hAnsi="Arial"/>
          <w:sz w:val="18"/>
          <w:szCs w:val="18"/>
          <w:color w:val="auto"/>
        </w:rPr>
        <w:t>We expect to recognize revenue from a substantial portion of funded backlog as of June 30, 2021 within the next twelve months. However, given the uncertainties discussed above, as well as the risks described in Part I, Item 1A, of our Annual Report on Form 10-K , we can give no assurance that we will be able to convert our backlog into revenue in any particular period, if at all.</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9" w:lineRule="exact"/>
        <w:rPr>
          <w:sz w:val="20"/>
          <w:szCs w:val="20"/>
          <w:color w:val="auto"/>
        </w:rPr>
      </w:pPr>
    </w:p>
    <w:p>
      <w:pPr>
        <w:ind w:right="100" w:firstLine="395"/>
        <w:spacing w:after="0" w:line="299" w:lineRule="auto"/>
        <w:rPr>
          <w:sz w:val="20"/>
          <w:szCs w:val="20"/>
          <w:color w:val="auto"/>
        </w:rPr>
      </w:pPr>
      <w:r>
        <w:rPr>
          <w:rFonts w:ascii="Arial" w:cs="Arial" w:eastAsia="Arial" w:hAnsi="Arial"/>
          <w:sz w:val="16"/>
          <w:szCs w:val="16"/>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09" w:lineRule="exact"/>
        <w:rPr>
          <w:sz w:val="20"/>
          <w:szCs w:val="20"/>
          <w:color w:val="auto"/>
        </w:rPr>
      </w:pPr>
    </w:p>
    <w:p>
      <w:pPr>
        <w:ind w:left="1260" w:right="660" w:hanging="623"/>
        <w:spacing w:after="0" w:line="324" w:lineRule="auto"/>
        <w:tabs>
          <w:tab w:leader="none" w:pos="1256"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Cost of revenue includes direct labor, related employee benefits, and overhead. Overhead consists of indirect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indirect labor relating to infrastructure, management and administration, and other expenses.</w:t>
      </w:r>
    </w:p>
    <w:p>
      <w:pPr>
        <w:spacing w:after="0" w:line="29" w:lineRule="exact"/>
        <w:rPr>
          <w:rFonts w:ascii="Arial" w:cs="Arial" w:eastAsia="Arial" w:hAnsi="Arial"/>
          <w:sz w:val="16"/>
          <w:szCs w:val="16"/>
          <w:color w:val="auto"/>
        </w:rPr>
      </w:pPr>
    </w:p>
    <w:p>
      <w:pPr>
        <w:ind w:left="1260" w:right="480" w:hanging="623"/>
        <w:spacing w:after="0" w:line="261" w:lineRule="auto"/>
        <w:tabs>
          <w:tab w:leader="none" w:pos="1256"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76" w:lineRule="exact"/>
        <w:rPr>
          <w:rFonts w:ascii="Arial" w:cs="Arial" w:eastAsia="Arial" w:hAnsi="Arial"/>
          <w:sz w:val="18"/>
          <w:szCs w:val="18"/>
          <w:color w:val="auto"/>
        </w:rPr>
      </w:pPr>
    </w:p>
    <w:p>
      <w:pPr>
        <w:ind w:left="1260" w:right="240" w:hanging="623"/>
        <w:spacing w:after="0" w:line="324" w:lineRule="auto"/>
        <w:tabs>
          <w:tab w:leader="none" w:pos="1256"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include indirect labor of executive management and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functions, marketing and bid and proposal costs, and other discretionary spending.</w:t>
      </w:r>
    </w:p>
    <w:p>
      <w:pPr>
        <w:spacing w:after="0" w:line="29" w:lineRule="exact"/>
        <w:rPr>
          <w:rFonts w:ascii="Arial" w:cs="Arial" w:eastAsia="Arial" w:hAnsi="Arial"/>
          <w:sz w:val="16"/>
          <w:szCs w:val="16"/>
          <w:color w:val="auto"/>
        </w:rPr>
      </w:pPr>
    </w:p>
    <w:p>
      <w:pPr>
        <w:ind w:left="1260" w:hanging="623"/>
        <w:spacing w:after="0" w:line="252" w:lineRule="auto"/>
        <w:tabs>
          <w:tab w:leader="none" w:pos="1256"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equipment, and the amortization of internally developed software, as well as third-party software that we use internally, and of identifiable long-lived intangible assets over their estimated useful lives.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109" w:lineRule="exact"/>
        <w:rPr>
          <w:sz w:val="20"/>
          <w:szCs w:val="20"/>
          <w:color w:val="auto"/>
        </w:rPr>
      </w:pPr>
    </w:p>
    <w:p>
      <w:pPr>
        <w:ind w:firstLine="395"/>
        <w:spacing w:after="0" w:line="304" w:lineRule="auto"/>
        <w:rPr>
          <w:sz w:val="20"/>
          <w:szCs w:val="20"/>
          <w:color w:val="auto"/>
        </w:rPr>
      </w:pPr>
      <w:r>
        <w:rPr>
          <w:rFonts w:ascii="Arial" w:cs="Arial" w:eastAsia="Arial" w:hAnsi="Arial"/>
          <w:sz w:val="15"/>
          <w:szCs w:val="15"/>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 Seasonality is just one of a number of factors, many of which are outside of our control, which may affect our results in any period.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15" w:lineRule="exact"/>
        <w:rPr>
          <w:sz w:val="20"/>
          <w:szCs w:val="20"/>
          <w:color w:val="auto"/>
        </w:rPr>
      </w:pPr>
    </w:p>
    <w:p>
      <w:pPr>
        <w:ind w:right="260" w:firstLine="395"/>
        <w:spacing w:after="0" w:line="299" w:lineRule="auto"/>
        <w:rPr>
          <w:sz w:val="20"/>
          <w:szCs w:val="20"/>
          <w:color w:val="auto"/>
        </w:rPr>
      </w:pPr>
      <w:r>
        <w:rPr>
          <w:rFonts w:ascii="Arial" w:cs="Arial" w:eastAsia="Arial" w:hAnsi="Arial"/>
          <w:sz w:val="16"/>
          <w:szCs w:val="16"/>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2021. There were no other material changes to our critical accounting policies, estimates or judgments that occurred in the quarterly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21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Percent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158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tcPr>
          <w:p>
            <w:pPr>
              <w:jc w:val="right"/>
              <w:ind w:right="337"/>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Borders>
              <w:right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2"/>
              </w:rPr>
              <w:t>(Unaudited)</w:t>
            </w: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1,989,066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1,956,453</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420"/>
              <w:spacing w:after="0"/>
              <w:rPr>
                <w:sz w:val="20"/>
                <w:szCs w:val="20"/>
                <w:color w:val="auto"/>
              </w:rPr>
            </w:pPr>
            <w:r>
              <w:rPr>
                <w:rFonts w:ascii="Arial" w:cs="Arial" w:eastAsia="Arial" w:hAnsi="Arial"/>
                <w:sz w:val="18"/>
                <w:szCs w:val="18"/>
                <w:color w:val="auto"/>
              </w:rPr>
              <w:t>Operating costs and expenses:</w:t>
            </w:r>
          </w:p>
        </w:tc>
        <w:tc>
          <w:tcPr>
            <w:tcW w:w="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Cost of revenue</w:t>
            </w:r>
          </w:p>
        </w:tc>
        <w:tc>
          <w:tcPr>
            <w:tcW w:w="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948,902</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600"/>
              <w:spacing w:after="0"/>
              <w:rPr>
                <w:sz w:val="20"/>
                <w:szCs w:val="20"/>
                <w:color w:val="auto"/>
              </w:rPr>
            </w:pPr>
            <w:r>
              <w:rPr>
                <w:rFonts w:ascii="Arial" w:cs="Arial" w:eastAsia="Arial" w:hAnsi="Arial"/>
                <w:sz w:val="18"/>
                <w:szCs w:val="18"/>
                <w:color w:val="auto"/>
              </w:rPr>
              <w:t>Billable expenses</w:t>
            </w:r>
          </w:p>
        </w:tc>
        <w:tc>
          <w:tcPr>
            <w:tcW w:w="6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555,545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549,077</w:t>
            </w:r>
          </w:p>
        </w:tc>
        <w:tc>
          <w:tcPr>
            <w:tcW w:w="80" w:type="dxa"/>
            <w:vAlign w:val="bottom"/>
          </w:tcPr>
          <w:p>
            <w:pPr>
              <w:spacing w:after="0"/>
              <w:rPr>
                <w:sz w:val="19"/>
                <w:szCs w:val="19"/>
                <w:color w:val="auto"/>
              </w:rPr>
            </w:pPr>
          </w:p>
        </w:tc>
        <w:tc>
          <w:tcPr>
            <w:tcW w:w="1580" w:type="dxa"/>
            <w:vAlign w:val="bottom"/>
          </w:tcPr>
          <w:p>
            <w:pPr>
              <w:jc w:val="right"/>
              <w:ind w:right="175"/>
              <w:spacing w:after="0"/>
              <w:rPr>
                <w:sz w:val="20"/>
                <w:szCs w:val="20"/>
                <w:color w:val="auto"/>
              </w:rPr>
            </w:pPr>
            <w:r>
              <w:rPr>
                <w:rFonts w:ascii="Arial" w:cs="Arial" w:eastAsia="Arial" w:hAnsi="Arial"/>
                <w:sz w:val="18"/>
                <w:szCs w:val="18"/>
                <w:color w:val="auto"/>
              </w:rPr>
              <w:t>1.2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General and administrative expenses</w:t>
            </w:r>
          </w:p>
        </w:tc>
        <w:tc>
          <w:tcPr>
            <w:tcW w:w="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245,855</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22.8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Depreciation and amortization</w:t>
            </w:r>
          </w:p>
        </w:tc>
        <w:tc>
          <w:tcPr>
            <w:tcW w:w="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8"/>
                <w:szCs w:val="18"/>
                <w:color w:val="auto"/>
              </w:rPr>
              <w:t>20,732</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33.8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840"/>
              <w:spacing w:after="0" w:line="203" w:lineRule="exact"/>
              <w:rPr>
                <w:sz w:val="20"/>
                <w:szCs w:val="20"/>
                <w:color w:val="auto"/>
              </w:rPr>
            </w:pPr>
            <w:r>
              <w:rPr>
                <w:rFonts w:ascii="Arial" w:cs="Arial" w:eastAsia="Arial" w:hAnsi="Arial"/>
                <w:sz w:val="18"/>
                <w:szCs w:val="18"/>
                <w:color w:val="auto"/>
              </w:rPr>
              <w:t>Total operating costs and expenses</w:t>
            </w:r>
          </w:p>
        </w:tc>
        <w:tc>
          <w:tcPr>
            <w:tcW w:w="6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1,847,809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1,764,566</w:t>
            </w:r>
          </w:p>
        </w:tc>
        <w:tc>
          <w:tcPr>
            <w:tcW w:w="8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4.7</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tcPr>
          <w:p>
            <w:pPr>
              <w:ind w:left="420"/>
              <w:spacing w:after="0" w:line="203" w:lineRule="exact"/>
              <w:rPr>
                <w:sz w:val="20"/>
                <w:szCs w:val="20"/>
                <w:color w:val="auto"/>
              </w:rPr>
            </w:pPr>
            <w:r>
              <w:rPr>
                <w:rFonts w:ascii="Arial" w:cs="Arial" w:eastAsia="Arial" w:hAnsi="Arial"/>
                <w:sz w:val="18"/>
                <w:szCs w:val="18"/>
                <w:color w:val="auto"/>
              </w:rPr>
              <w:t>Operating income</w:t>
            </w:r>
          </w:p>
        </w:tc>
        <w:tc>
          <w:tcPr>
            <w:tcW w:w="6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141,257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191,887</w:t>
            </w:r>
          </w:p>
        </w:tc>
        <w:tc>
          <w:tcPr>
            <w:tcW w:w="80" w:type="dxa"/>
            <w:vAlign w:val="bottom"/>
          </w:tcPr>
          <w:p>
            <w:pPr>
              <w:spacing w:after="0"/>
              <w:rPr>
                <w:sz w:val="18"/>
                <w:szCs w:val="18"/>
                <w:color w:val="auto"/>
              </w:rPr>
            </w:pPr>
          </w:p>
        </w:tc>
        <w:tc>
          <w:tcPr>
            <w:tcW w:w="1580" w:type="dxa"/>
            <w:vAlign w:val="bottom"/>
          </w:tcPr>
          <w:p>
            <w:pPr>
              <w:ind w:left="940"/>
              <w:spacing w:after="0"/>
              <w:rPr>
                <w:sz w:val="20"/>
                <w:szCs w:val="20"/>
                <w:color w:val="auto"/>
              </w:rPr>
            </w:pPr>
            <w:r>
              <w:rPr>
                <w:rFonts w:ascii="Arial" w:cs="Arial" w:eastAsia="Arial" w:hAnsi="Arial"/>
                <w:sz w:val="18"/>
                <w:szCs w:val="18"/>
                <w:color w:val="auto"/>
              </w:rPr>
              <w:t>(26.4)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(20,235)</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Other (expense) income, net</w:t>
            </w:r>
          </w:p>
        </w:tc>
        <w:tc>
          <w:tcPr>
            <w:tcW w:w="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(36.2)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Income before income taxes</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170,816</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(30.1)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Income tax expense</w:t>
            </w:r>
          </w:p>
        </w:tc>
        <w:tc>
          <w:tcPr>
            <w:tcW w:w="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8"/>
                <w:szCs w:val="18"/>
                <w:color w:val="auto"/>
              </w:rPr>
              <w:t>41,487</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(34.1)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20" w:type="dxa"/>
            <w:vAlign w:val="bottom"/>
            <w:tcBorders>
              <w:bottom w:val="single" w:sz="8" w:color="CCEEFF"/>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Net income</w:t>
            </w:r>
          </w:p>
        </w:tc>
        <w:tc>
          <w:tcPr>
            <w:tcW w:w="6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129,329</w:t>
            </w:r>
          </w:p>
        </w:tc>
        <w:tc>
          <w:tcPr>
            <w:tcW w:w="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(28.8)</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240" w:right="4760"/>
        <w:spacing w:after="0" w:line="358" w:lineRule="auto"/>
        <w:rPr>
          <w:sz w:val="20"/>
          <w:szCs w:val="20"/>
          <w:color w:val="auto"/>
        </w:rPr>
      </w:pPr>
      <w:r>
        <w:rPr>
          <w:rFonts w:ascii="Arial" w:cs="Arial" w:eastAsia="Arial" w:hAnsi="Arial"/>
          <w:sz w:val="18"/>
          <w:szCs w:val="18"/>
          <w:b w:val="1"/>
          <w:bCs w:val="1"/>
          <w:i w:val="1"/>
          <w:iCs w:val="1"/>
          <w:color w:val="auto"/>
        </w:rPr>
        <w:t xml:space="preserve">Three Months Ended June 30, 2021 Compared to Three Months Ended June 30, 2020 </w:t>
      </w:r>
      <w:r>
        <w:rPr>
          <w:rFonts w:ascii="Arial" w:cs="Arial" w:eastAsia="Arial" w:hAnsi="Arial"/>
          <w:sz w:val="18"/>
          <w:szCs w:val="18"/>
          <w:i w:val="1"/>
          <w:iCs w:val="1"/>
          <w:color w:val="auto"/>
        </w:rPr>
        <w:t>Revenue</w:t>
      </w:r>
    </w:p>
    <w:p>
      <w:pPr>
        <w:spacing w:after="0" w:line="1" w:lineRule="exact"/>
        <w:rPr>
          <w:sz w:val="20"/>
          <w:szCs w:val="20"/>
          <w:color w:val="auto"/>
        </w:rPr>
      </w:pPr>
    </w:p>
    <w:p>
      <w:pPr>
        <w:ind w:right="20" w:firstLine="395"/>
        <w:spacing w:after="0" w:line="224" w:lineRule="auto"/>
        <w:rPr>
          <w:sz w:val="20"/>
          <w:szCs w:val="20"/>
          <w:color w:val="auto"/>
        </w:rPr>
      </w:pPr>
      <w:r>
        <w:rPr>
          <w:rFonts w:ascii="Arial" w:cs="Arial" w:eastAsia="Arial" w:hAnsi="Arial"/>
          <w:sz w:val="18"/>
          <w:szCs w:val="18"/>
          <w:color w:val="auto"/>
        </w:rPr>
        <w:t>Revenue increased to $1,989.1 million from $1,956.5 million, or a 1.7% increase, primarily driven by sustained client demand and headcount to meet that demand, partially offset by higher than normal staff utilization in the comparable prior year period driven by fewer PTO days taken by our employees which resulted in increases in our direct labor and corresponding generation of revenue. Total headcount as of June 30, 2021 increased approximately 1,200 as compared to June 30, 2020.</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Revenue</w:t>
      </w:r>
    </w:p>
    <w:p>
      <w:pPr>
        <w:spacing w:after="0" w:line="96"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Cost of revenue as a percentage of revenue was 48.4% and 48.5% for the three months ended June 30, 2021 and 2020, respectively, The slight decrease in cost of revenue as a percentage of revenue was due to our growth in revenue outpacing our growth in cost of revenue. Cost of revenue increased to $962.7 million from $948.9 million, or a 1.5% increase. The increase was primarily due to increases in salaries and salary-related benefits of $38.2 million, driven by increased headcount and annual base salary increases.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Billable Expenses</w:t>
      </w:r>
    </w:p>
    <w:p>
      <w:pPr>
        <w:spacing w:after="0" w:line="109"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Billable expenses as a percentage of revenue were 27.9% and 28.1% for the three months ended June 30, 2021 and 2020, respectively. The slight decrease in billable expenses as a percentage of revenue was due to growth in revenue outpacing the growth in billable expenses. Billable expenses increased to $555.5 million from $549.1 million, or a 1.2% increase, primarily attributable to increases in expenses from contracts that require the Company to incur travel and other direct expenses on behalf of clients as compared to the prior year period, partially offset by a decrease in the use of subcontractors driven by client demand and timing of client needs.</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9" w:lineRule="exact"/>
        <w:rPr>
          <w:sz w:val="20"/>
          <w:szCs w:val="20"/>
          <w:color w:val="auto"/>
        </w:rPr>
      </w:pPr>
    </w:p>
    <w:p>
      <w:pPr>
        <w:jc w:val="both"/>
        <w:ind w:right="60" w:firstLine="395"/>
        <w:spacing w:after="0" w:line="250" w:lineRule="auto"/>
        <w:rPr>
          <w:sz w:val="20"/>
          <w:szCs w:val="20"/>
          <w:color w:val="auto"/>
        </w:rPr>
      </w:pPr>
      <w:r>
        <w:rPr>
          <w:rFonts w:ascii="Arial" w:cs="Arial" w:eastAsia="Arial" w:hAnsi="Arial"/>
          <w:sz w:val="18"/>
          <w:szCs w:val="18"/>
          <w:color w:val="auto"/>
        </w:rPr>
        <w:t>General and administrative expenses as a percentage of revenue were 15.2% and 12.6% for the three months ended June 30, 2021 and 2020, respectively. General and administrative expenses increased to $301.8 million from $245.9 million, or a 22.8% increase, primarily due to $66.8 million of acquisition costs incurred during the first quarter of fiscal 2022, primarily associated with our acquisition of Liberty, partially offset by decreases in other business expenses and professional fees of $2.9 million.</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109" w:lineRule="exact"/>
        <w:rPr>
          <w:sz w:val="20"/>
          <w:szCs w:val="20"/>
          <w:color w:val="auto"/>
        </w:rPr>
      </w:pPr>
    </w:p>
    <w:p>
      <w:pPr>
        <w:ind w:right="160" w:firstLine="395"/>
        <w:spacing w:after="0" w:line="252" w:lineRule="auto"/>
        <w:rPr>
          <w:sz w:val="20"/>
          <w:szCs w:val="20"/>
          <w:color w:val="auto"/>
        </w:rPr>
      </w:pPr>
      <w:r>
        <w:rPr>
          <w:rFonts w:ascii="Arial" w:cs="Arial" w:eastAsia="Arial" w:hAnsi="Arial"/>
          <w:sz w:val="18"/>
          <w:szCs w:val="18"/>
          <w:color w:val="auto"/>
        </w:rPr>
        <w:t>Depreciation and amortization increased to $27.7 million from $20.7 million, or a 33.8% increase, primarily due to increases in depreciation expense resulting from the implementation of our new financial management system on April 1, 2021, and intangible amortization related to the acquisition of Liberty in the first quarter of fiscal 2022.</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Interest expense increased to $21.3 million from $20.2 million, or a 5.1% increase, primarily due to increased expense related to the Senior Notes due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2029 and the Senior Notes due 2028.</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 Expense</w:t>
      </w:r>
    </w:p>
    <w:p>
      <w:pPr>
        <w:spacing w:after="0" w:line="109" w:lineRule="exact"/>
        <w:rPr>
          <w:sz w:val="20"/>
          <w:szCs w:val="20"/>
          <w:color w:val="auto"/>
        </w:rPr>
      </w:pPr>
    </w:p>
    <w:p>
      <w:pPr>
        <w:ind w:right="40" w:firstLine="395"/>
        <w:spacing w:after="0" w:line="362" w:lineRule="auto"/>
        <w:rPr>
          <w:sz w:val="20"/>
          <w:szCs w:val="20"/>
          <w:color w:val="auto"/>
        </w:rPr>
      </w:pPr>
      <w:r>
        <w:rPr>
          <w:rFonts w:ascii="Arial" w:cs="Arial" w:eastAsia="Arial" w:hAnsi="Arial"/>
          <w:sz w:val="15"/>
          <w:szCs w:val="15"/>
          <w:color w:val="auto"/>
        </w:rPr>
        <w:t>Income tax expense decreased to $27.4 million from $41.5 million, or a 34.1% decrease, primarily due to a decrease in pre-tax income as compared to the prior year period. The effective tax rate decreased to 22.9% for the three months ended June 30, 2021 from 24.3% for the three months ended June 30, 2020.</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presents selected financial information as of June 30, 2021 and March 31, 2021 and for the first three months of fiscal 2022 and 2021:</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14"/>
                <w:szCs w:val="14"/>
                <w:color w:val="auto"/>
              </w:rPr>
            </w:pPr>
          </w:p>
        </w:tc>
        <w:tc>
          <w:tcPr>
            <w:tcW w:w="1380" w:type="dxa"/>
            <w:vAlign w:val="bottom"/>
          </w:tcPr>
          <w:p>
            <w:pPr>
              <w:jc w:val="center"/>
              <w:ind w:right="399"/>
              <w:spacing w:after="0"/>
              <w:rPr>
                <w:sz w:val="20"/>
                <w:szCs w:val="20"/>
                <w:color w:val="auto"/>
              </w:rPr>
            </w:pPr>
            <w:r>
              <w:rPr>
                <w:rFonts w:ascii="Arial" w:cs="Arial" w:eastAsia="Arial" w:hAnsi="Arial"/>
                <w:sz w:val="14"/>
                <w:szCs w:val="14"/>
                <w:b w:val="1"/>
                <w:bCs w:val="1"/>
                <w:color w:val="auto"/>
                <w:w w:val="95"/>
              </w:rPr>
              <w:t>March 31,</w:t>
            </w:r>
          </w:p>
        </w:tc>
      </w:tr>
      <w:tr>
        <w:trPr>
          <w:trHeight w:val="184"/>
        </w:trPr>
        <w:tc>
          <w:tcPr>
            <w:tcW w:w="7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w w:val="89"/>
              </w:rPr>
              <w:t>2021</w:t>
            </w:r>
          </w:p>
        </w:tc>
      </w:tr>
      <w:tr>
        <w:trPr>
          <w:trHeight w:val="169"/>
        </w:trPr>
        <w:tc>
          <w:tcPr>
            <w:tcW w:w="7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center"/>
              <w:ind w:right="263"/>
              <w:spacing w:after="0"/>
              <w:rPr>
                <w:sz w:val="20"/>
                <w:szCs w:val="20"/>
                <w:color w:val="auto"/>
              </w:rPr>
            </w:pPr>
            <w:r>
              <w:rPr>
                <w:rFonts w:ascii="Arial" w:cs="Arial" w:eastAsia="Arial" w:hAnsi="Arial"/>
                <w:sz w:val="14"/>
                <w:szCs w:val="14"/>
                <w:b w:val="1"/>
                <w:bCs w:val="1"/>
                <w:color w:val="auto"/>
                <w:w w:val="92"/>
              </w:rPr>
              <w:t>(Unaudited)</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8"/>
        </w:trPr>
        <w:tc>
          <w:tcPr>
            <w:tcW w:w="7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gridSpan w:val="3"/>
          </w:tcPr>
          <w:p>
            <w:pPr>
              <w:jc w:val="center"/>
              <w:ind w:left="963"/>
              <w:spacing w:after="0"/>
              <w:rPr>
                <w:sz w:val="20"/>
                <w:szCs w:val="20"/>
                <w:color w:val="auto"/>
              </w:rPr>
            </w:pPr>
            <w:r>
              <w:rPr>
                <w:rFonts w:ascii="Arial" w:cs="Arial" w:eastAsia="Arial" w:hAnsi="Arial"/>
                <w:sz w:val="14"/>
                <w:szCs w:val="14"/>
                <w:b w:val="1"/>
                <w:bCs w:val="1"/>
                <w:color w:val="auto"/>
                <w:w w:val="91"/>
              </w:rPr>
              <w:t>(In thousands)</w:t>
            </w:r>
          </w:p>
        </w:tc>
        <w:tc>
          <w:tcPr>
            <w:tcW w:w="1380" w:type="dxa"/>
            <w:vAlign w:val="bottom"/>
          </w:tcPr>
          <w:p>
            <w:pPr>
              <w:spacing w:after="0"/>
              <w:rPr>
                <w:sz w:val="16"/>
                <w:szCs w:val="16"/>
                <w:color w:val="auto"/>
              </w:rPr>
            </w:pPr>
          </w:p>
        </w:tc>
      </w:tr>
      <w:tr>
        <w:trPr>
          <w:trHeight w:val="22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990,955</w:t>
            </w: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2,848,656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2,356,596</w:t>
            </w:r>
          </w:p>
        </w:tc>
      </w:tr>
      <w:tr>
        <w:trPr>
          <w:trHeight w:val="382"/>
        </w:trPr>
        <w:tc>
          <w:tcPr>
            <w:tcW w:w="7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gridSpan w:val="4"/>
          </w:tcPr>
          <w:p>
            <w:pPr>
              <w:jc w:val="center"/>
              <w:ind w:right="259"/>
              <w:spacing w:after="0"/>
              <w:rPr>
                <w:sz w:val="20"/>
                <w:szCs w:val="20"/>
                <w:color w:val="auto"/>
              </w:rPr>
            </w:pPr>
            <w:r>
              <w:rPr>
                <w:rFonts w:ascii="Arial" w:cs="Arial" w:eastAsia="Arial" w:hAnsi="Arial"/>
                <w:sz w:val="14"/>
                <w:szCs w:val="14"/>
                <w:b w:val="1"/>
                <w:bCs w:val="1"/>
                <w:color w:val="auto"/>
                <w:w w:val="92"/>
              </w:rPr>
              <w:t>Three Months Ended</w:t>
            </w:r>
          </w:p>
        </w:tc>
      </w:tr>
      <w:tr>
        <w:trPr>
          <w:trHeight w:val="184"/>
        </w:trPr>
        <w:tc>
          <w:tcPr>
            <w:tcW w:w="7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center"/>
              <w:ind w:left="983"/>
              <w:spacing w:after="0"/>
              <w:rPr>
                <w:sz w:val="20"/>
                <w:szCs w:val="20"/>
                <w:color w:val="auto"/>
              </w:rPr>
            </w:pPr>
            <w:r>
              <w:rPr>
                <w:rFonts w:ascii="Arial" w:cs="Arial" w:eastAsia="Arial" w:hAnsi="Arial"/>
                <w:sz w:val="14"/>
                <w:szCs w:val="14"/>
                <w:b w:val="1"/>
                <w:bCs w:val="1"/>
                <w:color w:val="auto"/>
                <w:w w:val="89"/>
              </w:rPr>
              <w:t>June 30,</w:t>
            </w:r>
          </w:p>
        </w:tc>
        <w:tc>
          <w:tcPr>
            <w:tcW w:w="1380" w:type="dxa"/>
            <w:vAlign w:val="bottom"/>
            <w:tcBorders>
              <w:bottom w:val="single" w:sz="8" w:color="auto"/>
            </w:tcBorders>
          </w:tcPr>
          <w:p>
            <w:pPr>
              <w:spacing w:after="0"/>
              <w:rPr>
                <w:sz w:val="15"/>
                <w:szCs w:val="15"/>
                <w:color w:val="auto"/>
              </w:rPr>
            </w:pPr>
          </w:p>
        </w:tc>
      </w:tr>
      <w:tr>
        <w:trPr>
          <w:trHeight w:val="177"/>
        </w:trPr>
        <w:tc>
          <w:tcPr>
            <w:tcW w:w="7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w w:val="89"/>
              </w:rPr>
              <w:t>2020</w:t>
            </w:r>
          </w:p>
        </w:tc>
      </w:tr>
      <w:tr>
        <w:trPr>
          <w:trHeight w:val="169"/>
        </w:trPr>
        <w:tc>
          <w:tcPr>
            <w:tcW w:w="7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center"/>
              <w:ind w:right="263"/>
              <w:spacing w:after="0"/>
              <w:rPr>
                <w:sz w:val="20"/>
                <w:szCs w:val="20"/>
                <w:color w:val="auto"/>
              </w:rPr>
            </w:pPr>
            <w:r>
              <w:rPr>
                <w:rFonts w:ascii="Arial" w:cs="Arial" w:eastAsia="Arial" w:hAnsi="Arial"/>
                <w:sz w:val="14"/>
                <w:szCs w:val="14"/>
                <w:b w:val="1"/>
                <w:bCs w:val="1"/>
                <w:color w:val="auto"/>
                <w:w w:val="92"/>
              </w:rPr>
              <w:t>(Unaudited)</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379"/>
              <w:spacing w:after="0"/>
              <w:rPr>
                <w:sz w:val="20"/>
                <w:szCs w:val="20"/>
                <w:color w:val="auto"/>
              </w:rPr>
            </w:pPr>
            <w:r>
              <w:rPr>
                <w:rFonts w:ascii="Arial" w:cs="Arial" w:eastAsia="Arial" w:hAnsi="Arial"/>
                <w:sz w:val="14"/>
                <w:szCs w:val="14"/>
                <w:b w:val="1"/>
                <w:bCs w:val="1"/>
                <w:color w:val="auto"/>
                <w:w w:val="92"/>
              </w:rPr>
              <w:t>(Unaudited)</w:t>
            </w:r>
          </w:p>
        </w:tc>
      </w:tr>
      <w:tr>
        <w:trPr>
          <w:trHeight w:val="188"/>
        </w:trPr>
        <w:tc>
          <w:tcPr>
            <w:tcW w:w="7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gridSpan w:val="3"/>
          </w:tcPr>
          <w:p>
            <w:pPr>
              <w:jc w:val="center"/>
              <w:ind w:left="963"/>
              <w:spacing w:after="0"/>
              <w:rPr>
                <w:sz w:val="20"/>
                <w:szCs w:val="20"/>
                <w:color w:val="auto"/>
              </w:rPr>
            </w:pPr>
            <w:r>
              <w:rPr>
                <w:rFonts w:ascii="Arial" w:cs="Arial" w:eastAsia="Arial" w:hAnsi="Arial"/>
                <w:sz w:val="14"/>
                <w:szCs w:val="14"/>
                <w:b w:val="1"/>
                <w:bCs w:val="1"/>
                <w:color w:val="auto"/>
                <w:w w:val="91"/>
              </w:rPr>
              <w:t>(In thousands)</w:t>
            </w:r>
          </w:p>
        </w:tc>
        <w:tc>
          <w:tcPr>
            <w:tcW w:w="1380" w:type="dxa"/>
            <w:vAlign w:val="bottom"/>
          </w:tcPr>
          <w:p>
            <w:pPr>
              <w:spacing w:after="0"/>
              <w:rPr>
                <w:sz w:val="16"/>
                <w:szCs w:val="16"/>
                <w:color w:val="auto"/>
              </w:rPr>
            </w:pPr>
          </w:p>
        </w:tc>
      </w:tr>
      <w:tr>
        <w:trPr>
          <w:trHeight w:val="22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140,418</w:t>
            </w: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(676,591)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(20,058)</w:t>
            </w:r>
          </w:p>
        </w:tc>
      </w:tr>
      <w:tr>
        <w:trPr>
          <w:trHeight w:val="224"/>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318,160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(241,649)</w:t>
            </w:r>
          </w:p>
        </w:tc>
      </w:tr>
      <w:tr>
        <w:trPr>
          <w:trHeight w:val="217"/>
        </w:trPr>
        <w:tc>
          <w:tcPr>
            <w:tcW w:w="7380" w:type="dxa"/>
            <w:vAlign w:val="bottom"/>
          </w:tcPr>
          <w:p>
            <w:pPr>
              <w:spacing w:after="0" w:line="203" w:lineRule="exact"/>
              <w:rPr>
                <w:sz w:val="20"/>
                <w:szCs w:val="20"/>
                <w:color w:val="auto"/>
              </w:rPr>
            </w:pPr>
            <w:r>
              <w:rPr>
                <w:rFonts w:ascii="Arial" w:cs="Arial" w:eastAsia="Arial" w:hAnsi="Arial"/>
                <w:sz w:val="18"/>
                <w:szCs w:val="18"/>
                <w:color w:val="auto"/>
              </w:rPr>
              <w:t>Total decrease in cash and cash equivalents</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(369,093)</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(121,289)</w:t>
            </w:r>
          </w:p>
        </w:tc>
      </w:tr>
      <w:tr>
        <w:trPr>
          <w:trHeight w:val="20"/>
        </w:trPr>
        <w:tc>
          <w:tcPr>
            <w:tcW w:w="7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right="180" w:firstLine="395"/>
        <w:spacing w:after="0" w:line="250" w:lineRule="auto"/>
        <w:rPr>
          <w:sz w:val="20"/>
          <w:szCs w:val="20"/>
          <w:color w:val="auto"/>
        </w:rPr>
      </w:pPr>
      <w:r>
        <w:rPr>
          <w:rFonts w:ascii="Arial" w:cs="Arial" w:eastAsia="Arial" w:hAnsi="Arial"/>
          <w:sz w:val="18"/>
          <w:szCs w:val="18"/>
          <w:color w:val="auto"/>
        </w:rPr>
        <w:t>To date, COVID-19 has not had a significant impact on our liquidity, cash flows or capital resources. However, the continued spread of COVID-19 has led to disruption and volatility in the global capital markets, which, depending on future developments, could impact our capital resources and liquidity in the future. In the opinion of management, we will be able to meet our liquidity and cash needs through a combination of cash flows from operating activities, available cash balances, and available borrowing under the Revolving Credit Facility.</w:t>
      </w:r>
    </w:p>
    <w:p>
      <w:pPr>
        <w:spacing w:after="0" w:line="85" w:lineRule="exact"/>
        <w:rPr>
          <w:sz w:val="20"/>
          <w:szCs w:val="20"/>
          <w:color w:val="auto"/>
        </w:rPr>
      </w:pPr>
    </w:p>
    <w:p>
      <w:pPr>
        <w:ind w:right="60" w:firstLine="395"/>
        <w:spacing w:after="0" w:line="316" w:lineRule="auto"/>
        <w:rPr>
          <w:sz w:val="20"/>
          <w:szCs w:val="20"/>
          <w:color w:val="auto"/>
        </w:rPr>
      </w:pPr>
      <w:r>
        <w:rPr>
          <w:rFonts w:ascii="Arial" w:cs="Arial" w:eastAsia="Arial" w:hAnsi="Arial"/>
          <w:sz w:val="15"/>
          <w:szCs w:val="15"/>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39" w:lineRule="exact"/>
        <w:rPr>
          <w:sz w:val="20"/>
          <w:szCs w:val="20"/>
          <w:color w:val="auto"/>
        </w:rPr>
      </w:pPr>
    </w:p>
    <w:p>
      <w:pPr>
        <w:ind w:right="40" w:firstLine="395"/>
        <w:spacing w:after="0" w:line="282" w:lineRule="auto"/>
        <w:rPr>
          <w:sz w:val="20"/>
          <w:szCs w:val="20"/>
          <w:color w:val="auto"/>
        </w:rPr>
      </w:pPr>
      <w:r>
        <w:rPr>
          <w:rFonts w:ascii="Arial" w:cs="Arial" w:eastAsia="Arial" w:hAnsi="Arial"/>
          <w:sz w:val="16"/>
          <w:szCs w:val="16"/>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provided by operating activities, existing cash and cash equivalents, and borrowing capacity under the Revolving Credit Facility will be sufficient to meet our anticipated cash requirements for the next twelve months, which primarily include:</w:t>
      </w:r>
    </w:p>
    <w:p>
      <w:pPr>
        <w:spacing w:after="0" w:line="76" w:lineRule="exact"/>
        <w:rPr>
          <w:sz w:val="20"/>
          <w:szCs w:val="20"/>
          <w:color w:val="auto"/>
        </w:rPr>
      </w:pPr>
    </w:p>
    <w:p>
      <w:pPr>
        <w:ind w:left="1260" w:hanging="62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108" w:lineRule="exact"/>
        <w:rPr>
          <w:rFonts w:ascii="Arial" w:cs="Arial" w:eastAsia="Arial" w:hAnsi="Arial"/>
          <w:sz w:val="18"/>
          <w:szCs w:val="18"/>
          <w:color w:val="auto"/>
        </w:rPr>
      </w:pPr>
    </w:p>
    <w:p>
      <w:pPr>
        <w:ind w:left="1260" w:hanging="62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108" w:lineRule="exact"/>
        <w:rPr>
          <w:rFonts w:ascii="Arial" w:cs="Arial" w:eastAsia="Arial" w:hAnsi="Arial"/>
          <w:sz w:val="18"/>
          <w:szCs w:val="18"/>
          <w:color w:val="auto"/>
        </w:rPr>
      </w:pPr>
    </w:p>
    <w:p>
      <w:pPr>
        <w:ind w:left="1260" w:right="100" w:hanging="623"/>
        <w:spacing w:after="0" w:line="261" w:lineRule="auto"/>
        <w:tabs>
          <w:tab w:leader="none" w:pos="12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76" w:lineRule="exact"/>
        <w:rPr>
          <w:rFonts w:ascii="Arial" w:cs="Arial" w:eastAsia="Arial" w:hAnsi="Arial"/>
          <w:sz w:val="18"/>
          <w:szCs w:val="18"/>
          <w:color w:val="auto"/>
        </w:rPr>
      </w:pPr>
    </w:p>
    <w:p>
      <w:pPr>
        <w:ind w:left="1260" w:hanging="62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implementation and operation of new financial management systems;</w:t>
      </w:r>
    </w:p>
    <w:p>
      <w:pPr>
        <w:spacing w:after="0" w:line="108" w:lineRule="exact"/>
        <w:rPr>
          <w:rFonts w:ascii="Arial" w:cs="Arial" w:eastAsia="Arial" w:hAnsi="Arial"/>
          <w:sz w:val="18"/>
          <w:szCs w:val="18"/>
          <w:color w:val="auto"/>
        </w:rPr>
      </w:pPr>
    </w:p>
    <w:p>
      <w:pPr>
        <w:ind w:left="1260" w:hanging="62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commitments and other discretionary investments;</w:t>
      </w:r>
    </w:p>
    <w:p>
      <w:pPr>
        <w:spacing w:after="0" w:line="108" w:lineRule="exact"/>
        <w:rPr>
          <w:rFonts w:ascii="Arial" w:cs="Arial" w:eastAsia="Arial" w:hAnsi="Arial"/>
          <w:sz w:val="18"/>
          <w:szCs w:val="18"/>
          <w:color w:val="auto"/>
        </w:rPr>
      </w:pPr>
    </w:p>
    <w:p>
      <w:pPr>
        <w:ind w:left="1260" w:right="400" w:hanging="623"/>
        <w:spacing w:after="0" w:line="261" w:lineRule="auto"/>
        <w:tabs>
          <w:tab w:leader="none" w:pos="12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Secured Credit Facility and interest payments for the Senior Notes due 2029 and the Senior Notes due 2028; and</w:t>
      </w:r>
    </w:p>
    <w:p>
      <w:pPr>
        <w:spacing w:after="0" w:line="76" w:lineRule="exact"/>
        <w:rPr>
          <w:rFonts w:ascii="Arial" w:cs="Arial" w:eastAsia="Arial" w:hAnsi="Arial"/>
          <w:sz w:val="18"/>
          <w:szCs w:val="18"/>
          <w:color w:val="auto"/>
        </w:rPr>
      </w:pPr>
    </w:p>
    <w:p>
      <w:pPr>
        <w:ind w:left="1260" w:hanging="62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09" w:lineRule="exact"/>
        <w:rPr>
          <w:sz w:val="20"/>
          <w:szCs w:val="20"/>
          <w:color w:val="auto"/>
        </w:rPr>
      </w:pPr>
    </w:p>
    <w:p>
      <w:pPr>
        <w:ind w:right="180" w:firstLine="395"/>
        <w:spacing w:after="0" w:line="252" w:lineRule="auto"/>
        <w:rPr>
          <w:sz w:val="20"/>
          <w:szCs w:val="20"/>
          <w:color w:val="auto"/>
        </w:rPr>
      </w:pPr>
      <w:r>
        <w:rPr>
          <w:rFonts w:ascii="Arial" w:cs="Arial" w:eastAsia="Arial" w:hAnsi="Arial"/>
          <w:sz w:val="18"/>
          <w:szCs w:val="18"/>
          <w:color w:val="auto"/>
        </w:rPr>
        <w:t>Our ability to fund our operating needs depends, in part, on our ability to continue to generate positive cash flows from operations or, if necessary, raise cash in the capital markets. In addition, from time to time we evaluate conditions to opportunistically access the financing markets to secure additional debt capital resources and improve the terms of our indebtedness.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w:t>
      </w:r>
    </w:p>
    <w:p>
      <w:pPr>
        <w:spacing w:after="0" w:line="109" w:lineRule="exact"/>
        <w:rPr>
          <w:sz w:val="20"/>
          <w:szCs w:val="20"/>
          <w:color w:val="auto"/>
        </w:rPr>
      </w:pPr>
    </w:p>
    <w:p>
      <w:pPr>
        <w:ind w:right="20" w:firstLine="395"/>
        <w:spacing w:after="0" w:line="284"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62"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Cash Flow</w:t>
      </w:r>
    </w:p>
    <w:p>
      <w:pPr>
        <w:spacing w:after="0" w:line="109" w:lineRule="exact"/>
        <w:rPr>
          <w:sz w:val="20"/>
          <w:szCs w:val="20"/>
          <w:color w:val="auto"/>
        </w:rPr>
      </w:pPr>
    </w:p>
    <w:p>
      <w:pPr>
        <w:ind w:right="40" w:firstLine="237"/>
        <w:spacing w:after="0" w:line="281" w:lineRule="auto"/>
        <w:rPr>
          <w:sz w:val="20"/>
          <w:szCs w:val="20"/>
          <w:color w:val="auto"/>
        </w:rPr>
      </w:pPr>
      <w:r>
        <w:rPr>
          <w:rFonts w:ascii="Arial" w:cs="Arial" w:eastAsia="Arial" w:hAnsi="Arial"/>
          <w:sz w:val="16"/>
          <w:szCs w:val="16"/>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may also affect our business as customers and suppliers may decide to downsize, defer, or cancel contracts, which could negatively affect the operating cash flows. Net cash used in operations was $10.7 million for the three months ended June 30, 2021 compared to net cash provided by operations of $140.4 million in the prior year period. The decrease in operating cash flows was primarily driven by lower collections on accounts receivable, largely attributable to timing around receivables associated with the integration of our new enterprise financial system, as well as approximately $66.8 million of acquisition costs incurred and paid during the first quarter of fiscal 2022, primarily associated with our acquisition of Liberty. These impacts were partially offset by lower disbursements in the first quarter of fiscal 2022.</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Cash Flow</w:t>
      </w:r>
    </w:p>
    <w:p>
      <w:pPr>
        <w:spacing w:after="0" w:line="109" w:lineRule="exact"/>
        <w:rPr>
          <w:sz w:val="20"/>
          <w:szCs w:val="20"/>
          <w:color w:val="auto"/>
        </w:rPr>
      </w:pPr>
    </w:p>
    <w:p>
      <w:pPr>
        <w:jc w:val="both"/>
        <w:ind w:right="20" w:firstLine="395"/>
        <w:spacing w:after="0" w:line="234" w:lineRule="auto"/>
        <w:rPr>
          <w:sz w:val="20"/>
          <w:szCs w:val="20"/>
          <w:color w:val="auto"/>
        </w:rPr>
      </w:pPr>
      <w:r>
        <w:rPr>
          <w:rFonts w:ascii="Arial" w:cs="Arial" w:eastAsia="Arial" w:hAnsi="Arial"/>
          <w:sz w:val="18"/>
          <w:szCs w:val="18"/>
          <w:color w:val="auto"/>
        </w:rPr>
        <w:t>Net cash used in investing activities was $676.6 million in the three months ended June 30, 2021 compared to $20.1 million in the prior year period. The increase in net cash used in investing activities was primarily due to the Company's acquisition of Liberty, partially offset by a decrease in capital expenditures over the prior period, driven by lower facilities expenses reflecting the investment in technology and tools needed to support the virtual work environment. We continue to modernize our corporate information technology infrastructure, including the implementation of our new financial management systems on April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Cash Flow</w:t>
      </w:r>
    </w:p>
    <w:p>
      <w:pPr>
        <w:spacing w:after="0" w:line="109" w:lineRule="exact"/>
        <w:rPr>
          <w:sz w:val="20"/>
          <w:szCs w:val="20"/>
          <w:color w:val="auto"/>
        </w:rPr>
      </w:pPr>
    </w:p>
    <w:p>
      <w:pPr>
        <w:ind w:right="200" w:firstLine="395"/>
        <w:spacing w:after="0" w:line="248" w:lineRule="auto"/>
        <w:rPr>
          <w:sz w:val="20"/>
          <w:szCs w:val="20"/>
          <w:color w:val="auto"/>
        </w:rPr>
      </w:pPr>
      <w:r>
        <w:rPr>
          <w:rFonts w:ascii="Arial" w:cs="Arial" w:eastAsia="Arial" w:hAnsi="Arial"/>
          <w:sz w:val="18"/>
          <w:szCs w:val="18"/>
          <w:color w:val="auto"/>
        </w:rPr>
        <w:t>Net cash provided by financing activities was $318.2 million in the three months ended June 30, 2021 compared to $241.6 million of net cash used in financing activities in the prior year period. The increase in net cash provided by financing activities was primarily due to net proceeds of $493.7 million received from the issuance of the 4.000% Senior Notes due 2029 and an $18.5 million decrease in payments on the Company's term loans over the prior year period. This was partially offset by a $100.0 million draw on the Revolving Credit Facility in the prior year and an increase in share repurchases of $37.9 million as compared to the prior year period.</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Dividends and Share Repurchases</w:t>
      </w:r>
    </w:p>
    <w:p>
      <w:pPr>
        <w:spacing w:after="0" w:line="109" w:lineRule="exact"/>
        <w:rPr>
          <w:sz w:val="20"/>
          <w:szCs w:val="20"/>
          <w:color w:val="auto"/>
        </w:rPr>
      </w:pPr>
    </w:p>
    <w:p>
      <w:pPr>
        <w:ind w:right="440" w:firstLine="395"/>
        <w:spacing w:after="0" w:line="261" w:lineRule="auto"/>
        <w:rPr>
          <w:sz w:val="20"/>
          <w:szCs w:val="20"/>
          <w:color w:val="auto"/>
        </w:rPr>
      </w:pPr>
      <w:r>
        <w:rPr>
          <w:rFonts w:ascii="Arial" w:cs="Arial" w:eastAsia="Arial" w:hAnsi="Arial"/>
          <w:sz w:val="18"/>
          <w:szCs w:val="18"/>
          <w:color w:val="auto"/>
        </w:rPr>
        <w:t>On July 30, 2021, the Company announced a regular quarterly cash dividend in the amount of $0.37 per share. The quarterly dividend is payable on August 31, 2021 to stockholders of record on August 16, 2021.</w:t>
      </w:r>
    </w:p>
    <w:p>
      <w:pPr>
        <w:spacing w:after="0" w:line="76" w:lineRule="exact"/>
        <w:rPr>
          <w:sz w:val="20"/>
          <w:szCs w:val="20"/>
          <w:color w:val="auto"/>
        </w:rPr>
      </w:pPr>
    </w:p>
    <w:p>
      <w:pPr>
        <w:ind w:right="140" w:firstLine="395"/>
        <w:spacing w:after="0" w:line="261" w:lineRule="auto"/>
        <w:rPr>
          <w:sz w:val="20"/>
          <w:szCs w:val="20"/>
          <w:color w:val="auto"/>
        </w:rPr>
      </w:pPr>
      <w:r>
        <w:rPr>
          <w:rFonts w:ascii="Arial" w:cs="Arial" w:eastAsia="Arial" w:hAnsi="Arial"/>
          <w:sz w:val="18"/>
          <w:szCs w:val="18"/>
          <w:color w:val="auto"/>
        </w:rPr>
        <w:t>During the first quarter of fiscal 2022, a quarterly cash dividend of $0.37 per share was declared and paid totaling $51.6 million. During the first quarter of fiscal 2021, a quarterly cash dividend of $0.31 per share was declared and paid totaling $43.8 million.</w:t>
      </w:r>
    </w:p>
    <w:p>
      <w:pPr>
        <w:spacing w:after="0" w:line="76" w:lineRule="exact"/>
        <w:rPr>
          <w:sz w:val="20"/>
          <w:szCs w:val="20"/>
          <w:color w:val="auto"/>
        </w:rPr>
      </w:pPr>
    </w:p>
    <w:p>
      <w:pPr>
        <w:ind w:right="120" w:firstLine="395"/>
        <w:spacing w:after="0" w:line="234" w:lineRule="auto"/>
        <w:rPr>
          <w:sz w:val="20"/>
          <w:szCs w:val="20"/>
          <w:color w:val="auto"/>
        </w:rPr>
      </w:pPr>
      <w:r>
        <w:rPr>
          <w:rFonts w:ascii="Arial" w:cs="Arial" w:eastAsia="Arial" w:hAnsi="Arial"/>
          <w:sz w:val="18"/>
          <w:szCs w:val="18"/>
          <w:color w:val="auto"/>
        </w:rPr>
        <w:t>On December 12, 2011, the Board of Directors approved a share repurchase program, which was most recently increased to $1,710.0 million on January 27, 2021. The Company may repurchase shares pursuant to the program by means of open market repurchases, directly negotiated repurchases or through agents acting pursuant to negotiated repurchase agreements. During the first quarter of fiscal 2022, the Company purchased 1.2 million shares of the Company's Class A Common Stock for an aggregate of $98.2 million. As of June 30, 2021, the Company had approximately $496.3 million of remaining capacity under its repurchase program.</w:t>
      </w:r>
    </w:p>
    <w:p>
      <w:pPr>
        <w:spacing w:after="0" w:line="83" w:lineRule="exact"/>
        <w:rPr>
          <w:sz w:val="20"/>
          <w:szCs w:val="20"/>
          <w:color w:val="auto"/>
        </w:rPr>
      </w:pPr>
    </w:p>
    <w:p>
      <w:pPr>
        <w:ind w:firstLine="395"/>
        <w:spacing w:after="0" w:line="299" w:lineRule="auto"/>
        <w:rPr>
          <w:sz w:val="20"/>
          <w:szCs w:val="20"/>
          <w:color w:val="auto"/>
        </w:rPr>
      </w:pPr>
      <w:r>
        <w:rPr>
          <w:rFonts w:ascii="Arial" w:cs="Arial" w:eastAsia="Arial" w:hAnsi="Arial"/>
          <w:sz w:val="16"/>
          <w:szCs w:val="16"/>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Indebtedness</w:t>
      </w:r>
    </w:p>
    <w:p>
      <w:pPr>
        <w:spacing w:after="0" w:line="83" w:lineRule="exact"/>
        <w:rPr>
          <w:sz w:val="20"/>
          <w:szCs w:val="20"/>
          <w:color w:val="auto"/>
        </w:rPr>
      </w:pPr>
    </w:p>
    <w:p>
      <w:pPr>
        <w:ind w:right="140" w:firstLine="395"/>
        <w:spacing w:after="0" w:line="247" w:lineRule="auto"/>
        <w:rPr>
          <w:sz w:val="20"/>
          <w:szCs w:val="20"/>
          <w:color w:val="auto"/>
        </w:rPr>
      </w:pPr>
      <w:r>
        <w:rPr>
          <w:rFonts w:ascii="Arial" w:cs="Arial" w:eastAsia="Arial" w:hAnsi="Arial"/>
          <w:sz w:val="16"/>
          <w:szCs w:val="16"/>
          <w:color w:val="auto"/>
        </w:rPr>
        <w:t>On June 24, 2021 (the "Amendment Effective Date"), Booz Allen Hamilton Inc. ("Booz Allen Hamilton"), Booz Allen Hamilton Investor Corporation, and certain wholly-owned subsidiaries of Booz Allen Hamilton, entered into the eighth amendment (the "Eighth Amendment") to the Credit Agreement dated as of July 31, 2012, as amended (the "Existing Credit Agreement" and, as amended, the "Credit Agreement"), with certain institutional lenders and Bank of America, N.A., as Administrative Agent and Collateral Agent. The Eighth Amendment added an additional tier in the pricing grid and extended the maturity applicable to both the Term Loan A (the "Term Loan A") and revolving credit facility (the "Revolving Credit Facility") to June 24, 2026, increased the aggregate principal amount of the Revolving Credit Facility and the letter of credit sublimit thereunder, and made certain other amendments to the financial covenants and other terms under the Existing Credit Agreement. The interest rate and maturity date applicable to the Term Loan B (the "Term Loan B" and, together with the Term Loan A, the "Term Loans") remained unchanged.</w:t>
      </w:r>
    </w:p>
    <w:p>
      <w:pPr>
        <w:spacing w:after="0" w:line="196"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Prior to the Eighth Amendment, approximately $1,289.8 million was outstanding under Term Loan A (the "Existing Tranche A Term Loans"). Pursuant to the Eighth Amendment, certain lenders under the Existing Credit Agreement converted their Existing Tranche A Term Loans into a new tranche of tranche A term loans (the “New Refinancing Tranche A Term Loans”) in an aggregate amount, along with the New Refinancing Tranche A Term Loans advanced by certain new lenders, of approximately $1,289.8 million. The proceeds from the new lenders were used to prepay in full all of the Existing Tranche A Term Loans that were not converted into the New Refinancing Tranche A Term Loans. Voluntary prepayments of the New Refinancing Tranche A Term Loans are permitted at any time, in minimum principal amounts, without premium or penalty. The other terms of the New Refinancing Tranche A Term Loans are generally the same as the Existing Tranche A Term Loans prior to the Eighth Amendment.</w:t>
      </w:r>
    </w:p>
    <w:p>
      <w:pPr>
        <w:spacing w:after="0" w:line="196" w:lineRule="exact"/>
        <w:rPr>
          <w:sz w:val="20"/>
          <w:szCs w:val="20"/>
          <w:color w:val="auto"/>
        </w:rPr>
      </w:pPr>
    </w:p>
    <w:p>
      <w:pPr>
        <w:ind w:right="2720" w:firstLine="395"/>
        <w:spacing w:after="0" w:line="281" w:lineRule="auto"/>
        <w:rPr>
          <w:sz w:val="20"/>
          <w:szCs w:val="20"/>
          <w:color w:val="auto"/>
        </w:rPr>
      </w:pPr>
      <w:r>
        <w:rPr>
          <w:rFonts w:ascii="Arial" w:cs="Arial" w:eastAsia="Arial" w:hAnsi="Arial"/>
          <w:sz w:val="16"/>
          <w:szCs w:val="16"/>
          <w:color w:val="auto"/>
        </w:rPr>
        <w:t>Prior to the Eighth Amendment, approximately $500.0 million of revolving commitments (the “Existing Revolving Commitments”) were available under the Existing Credit Agreement, with a sublimit for letters of credit of $100 million. Pursuant to the Eighth Amendment, certain lenders under the Existing Credit Agreement converted their Existing Revolving Commitments into a new tranche of revolving commitments (the “New Revolving Commitments” and the revolving credit loans made thereunder, the “New Revolving Loans”) in an aggregate amount, along with the New Revolving Commitments of certain new lenders, of $1,000.0 million, with a sublimit for letters of credit of $200 million.</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June 30, 2021, the Credit Agreement provided Booz Allen Hamilton with a $1,289.8 million Term Loan A, a $383.2 million Term Loan B,</w:t>
      </w:r>
    </w:p>
    <w:p>
      <w:pPr>
        <w:spacing w:after="0" w:line="14" w:lineRule="exact"/>
        <w:rPr>
          <w:sz w:val="20"/>
          <w:szCs w:val="20"/>
          <w:color w:val="auto"/>
        </w:rPr>
      </w:pPr>
    </w:p>
    <w:p>
      <w:pPr>
        <w:jc w:val="both"/>
        <w:ind w:right="60"/>
        <w:spacing w:after="0" w:line="256" w:lineRule="auto"/>
        <w:rPr>
          <w:sz w:val="20"/>
          <w:szCs w:val="20"/>
          <w:color w:val="auto"/>
        </w:rPr>
      </w:pPr>
      <w:r>
        <w:rPr>
          <w:rFonts w:ascii="Arial" w:cs="Arial" w:eastAsia="Arial" w:hAnsi="Arial"/>
          <w:sz w:val="16"/>
          <w:szCs w:val="16"/>
          <w:color w:val="auto"/>
        </w:rPr>
        <w:t>and $1,000.0 million in New Revolving Commitments with a sub-limit for letters of credit of $200.0 million (collectively, the "Secured Credit Facility"). As of June 30, 2021, the maturity date of Term Loan B was November 26, 2026. Booz Allen Hamilton’s obligations and the guarantors’ guarantees under the Credit Agreement (the "Guarantee") are secured by a first priority lien on substantially all of the assets (including capital stock of subsidiaries) of Booz</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0"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$909 million and</w:t>
      </w:r>
    </w:p>
    <w:p>
      <w:pPr>
        <w:spacing w:after="0" w:line="1" w:lineRule="exact"/>
        <w:rPr>
          <w:sz w:val="20"/>
          <w:szCs w:val="20"/>
          <w:color w:val="auto"/>
        </w:rPr>
      </w:pPr>
    </w:p>
    <w:p>
      <w:pPr>
        <w:ind w:right="240" w:firstLine="5"/>
        <w:spacing w:after="0" w:line="222" w:lineRule="auto"/>
        <w:tabs>
          <w:tab w:leader="none" w:pos="2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100% of consolidated EBITDA of Booz Allen Hamilton, as of the end of the most recently ended four quarter period for which financial statements have been delivered pursuant to the Credit Agreement plus (ii) the aggregate principal amount under which pro forma consolidated net senior secured leverage remains less than or equal to 3.50:1.00.</w:t>
      </w:r>
    </w:p>
    <w:p>
      <w:pPr>
        <w:spacing w:after="0" w:line="70" w:lineRule="exact"/>
        <w:rPr>
          <w:sz w:val="20"/>
          <w:szCs w:val="20"/>
          <w:color w:val="auto"/>
        </w:rPr>
      </w:pPr>
    </w:p>
    <w:p>
      <w:pPr>
        <w:ind w:right="40" w:firstLine="395"/>
        <w:spacing w:after="0" w:line="247" w:lineRule="auto"/>
        <w:rPr>
          <w:sz w:val="20"/>
          <w:szCs w:val="20"/>
          <w:color w:val="auto"/>
        </w:rPr>
      </w:pPr>
      <w:r>
        <w:rPr>
          <w:rFonts w:ascii="Arial" w:cs="Arial" w:eastAsia="Arial" w:hAnsi="Arial"/>
          <w:sz w:val="16"/>
          <w:szCs w:val="16"/>
          <w:color w:val="auto"/>
        </w:rPr>
        <w:t>At Booz Allen Hamilton's option, borrowings under the Term Loan A and the Revolving Credit Facility bear interest based either on LIBOR (adjusted for maximum reserves, and subject to a floor of zero) for the applicable interest period or a base rate equal to the highest of (i) the administrative agent’s prime corporate rate, (ii) the overnight federal funds rate plus 0.50%, and (iii)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1.125% to 2.00% for LIBOR loans and 0.125% to 1.00% for base rate loans, in each case based on Booz Allen Hamilton’s consolidated total net leverage ratio. Unused commitments under the Revolving Credit Facility are subject to a quarterly fee ranging from 0.175% to 0.35% based on Booz Allen Hamilton’s consolidated total net leverage ratio. Booz Allen Hamilton also agreed to pay customary letter of credit and agency fees.The applicable margin for Term Loan B is 1.75% for LIBOR loans and 0.75% for base rate loans.</w:t>
      </w:r>
    </w:p>
    <w:p>
      <w:pPr>
        <w:spacing w:after="0" w:line="77"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Booz Allen Hamilton occasionally borrows under the Revolving Credit Facility in anticipation of cash demands. For the three months ended June 30, 2021, Booz Allen Hamilton accessed $60.0 million of its Revolving Credit Facility, which was repaid in full during the period. For the three months ended June 30, 2020, Booz Allen Hamilton did not access its Revolving Credit Facility. As of June 30, 2021 and March 31, 2021, there was no outstanding balance on the Revolving Credit Facility.</w:t>
      </w:r>
    </w:p>
    <w:p>
      <w:pPr>
        <w:spacing w:after="0" w:line="85" w:lineRule="exact"/>
        <w:rPr>
          <w:sz w:val="20"/>
          <w:szCs w:val="20"/>
          <w:color w:val="auto"/>
        </w:rPr>
      </w:pPr>
    </w:p>
    <w:p>
      <w:pPr>
        <w:ind w:right="620" w:firstLine="395"/>
        <w:spacing w:after="0" w:line="261"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76"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As of June 30, 2021 and March 31, 2021, Booz Allen Hamilton was contingently liable under open standby letters of credit and bank guarantees issued by its banks in favor of third parties that totaled $8.8 million and $9.8 million, respectively. These letters of credit and bank guarantees primarily support insurance and bid and performance obligations. For both June 30, 2021 and March 31, 2021, approximately $0.9 million, of these instruments reduced the available borrowings under the Revolving Credit Facility. The remainder is guaranteed under a separate $20.0 million facility of which $12.1 million and $11.1 million, respectively, was available to Booz Allen Hamilton at June 30, 2021 and March 31, 2021. As of June 30, 2021, Booz Allen Hamilton had $999.1 million of capacity available for additional borrowings under the Revolving Credit Facility.</w:t>
      </w:r>
    </w:p>
    <w:p>
      <w:pPr>
        <w:spacing w:after="0" w:line="62" w:lineRule="exact"/>
        <w:rPr>
          <w:sz w:val="20"/>
          <w:szCs w:val="20"/>
          <w:color w:val="auto"/>
        </w:rPr>
      </w:pPr>
    </w:p>
    <w:p>
      <w:pPr>
        <w:ind w:right="180" w:firstLine="395"/>
        <w:spacing w:after="0" w:line="279"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w:t>
      </w:r>
    </w:p>
    <w:p>
      <w:pPr>
        <w:spacing w:after="0" w:line="2" w:lineRule="exact"/>
        <w:rPr>
          <w:sz w:val="20"/>
          <w:szCs w:val="20"/>
          <w:color w:val="auto"/>
        </w:rPr>
      </w:pPr>
    </w:p>
    <w:p>
      <w:pPr>
        <w:ind w:firstLine="5"/>
        <w:spacing w:after="0" w:line="279" w:lineRule="auto"/>
        <w:tabs>
          <w:tab w:leader="none" w:pos="29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Booz Allen Hamilton is required to meet certain financial covenants at each quarter end, namely consolidated net total leverage and consolidated net interest coverage ratios. As of June 30, 2021 and March 31, 2021, we were compliant with these covenants.</w:t>
      </w:r>
    </w:p>
    <w:p>
      <w:pPr>
        <w:spacing w:after="0" w:line="67" w:lineRule="exact"/>
        <w:rPr>
          <w:sz w:val="20"/>
          <w:szCs w:val="20"/>
          <w:color w:val="auto"/>
        </w:rPr>
      </w:pPr>
    </w:p>
    <w:p>
      <w:pPr>
        <w:ind w:right="60" w:firstLine="395"/>
        <w:spacing w:after="0" w:line="261" w:lineRule="auto"/>
        <w:rPr>
          <w:sz w:val="20"/>
          <w:szCs w:val="20"/>
          <w:color w:val="auto"/>
        </w:rPr>
      </w:pPr>
      <w:r>
        <w:rPr>
          <w:rFonts w:ascii="Arial" w:cs="Arial" w:eastAsia="Arial" w:hAnsi="Arial"/>
          <w:sz w:val="18"/>
          <w:szCs w:val="18"/>
          <w:color w:val="auto"/>
        </w:rPr>
        <w:t>For the three months ended June 30, 2021 and 2020, interest payments of $4.9 million and $6.9 million were made for Term Loan A and $1.8 million and $2.2 million were made for Term Loan B, respectively.</w:t>
      </w:r>
    </w:p>
    <w:p>
      <w:pPr>
        <w:spacing w:after="0" w:line="76"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Borrowings under the Term Loans and, if used, the Revolving Credit Facility, incur interest at a variable rate. In accordance with Booz Allen Hamilton's risk management strategy, Booz Allen Hamilton executed a series of interest rate swaps. As of June 30, 2021, Booz Allen Hamilton had interest rate swaps with an aggregate notional amount of $700.0 million. These instruments hedge the variability of cash outflows for interest payments on the Term Loans and Revolving Credit Facility. The Company's objectives in using cash flow hedges are to reduce volatility due to interest rate movements and to add stability to interest expense (See Note 9 to our condensed consolidated financial statements).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60" w:firstLine="395"/>
        <w:spacing w:after="0" w:line="247" w:lineRule="auto"/>
        <w:rPr>
          <w:sz w:val="20"/>
          <w:szCs w:val="20"/>
          <w:color w:val="auto"/>
        </w:rPr>
      </w:pPr>
      <w:r>
        <w:rPr>
          <w:rFonts w:ascii="Arial" w:cs="Arial" w:eastAsia="Arial" w:hAnsi="Arial"/>
          <w:sz w:val="16"/>
          <w:szCs w:val="16"/>
          <w:color w:val="auto"/>
        </w:rPr>
        <w:t>On June 17, 2021, Booz Allen Hamilton issued $500.0 million aggregate principal amounts of its 4.000% Senior Notes due July 1, 2029 (the “Senior Notes due 2029”) under an Indenture, dated as of June 17, 2021 among Booz Allen Hamilton, certain subsidiaries of Booz Allen Hamilton, as guarantors (the “Subsidiary Guarantors”), and Wilmington Trust, National Association (in such capacity, the “Trustee”), as supplemented by the First Supplemental Indenture, dated as of June 17, 2021, among Booz Allen Hamilton, the Subsidiary Guarantors and the Trustee. The Senior Notes due 2029 and the related guarantees are Booz Allen Hamilton’s and each Subsidiary Guarantors’ senior unsecured obligations and rank equally in right of payment with all of Booz Allen Hamilton’s and the Subsidiary Guarantors’ existing and future senior indebtedness and rank senior in right of payment to any of Booz Allen Hamilton’s and the Subsidiary Guarantors’ future subordinated indebtedness. The net proceeds from the sale of the Senior Notes due 2029 were used to fund the acquisition of Liberty and to pay related fees and expenses.</w:t>
      </w:r>
    </w:p>
    <w:p>
      <w:pPr>
        <w:spacing w:after="0" w:line="196" w:lineRule="exact"/>
        <w:rPr>
          <w:sz w:val="20"/>
          <w:szCs w:val="20"/>
          <w:color w:val="auto"/>
        </w:rPr>
      </w:pPr>
    </w:p>
    <w:p>
      <w:pPr>
        <w:ind w:right="2740" w:firstLine="395"/>
        <w:spacing w:after="0" w:line="285" w:lineRule="auto"/>
        <w:rPr>
          <w:sz w:val="20"/>
          <w:szCs w:val="20"/>
          <w:color w:val="auto"/>
        </w:rPr>
      </w:pPr>
      <w:r>
        <w:rPr>
          <w:rFonts w:ascii="Arial" w:cs="Arial" w:eastAsia="Arial" w:hAnsi="Arial"/>
          <w:sz w:val="16"/>
          <w:szCs w:val="16"/>
          <w:color w:val="auto"/>
        </w:rPr>
        <w:t>Interest is payable on the Senior Notes due 2029 semi-annually in cash in arrears on July 1 and January 1 of each year, beginning on January 1, 2022. In connection with the issuance of the Senior Notes due 2029, the Company recognized $6.5 million of issuance costs, which were recorded as an offset against the carrying value of debt and will be amortized to interest expense over the term of the Senior Notes due 2029.</w:t>
      </w:r>
    </w:p>
    <w:p>
      <w:pPr>
        <w:spacing w:after="0" w:line="60"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On August 24, 2020, Booz Allen Hamilton issued $700.0 million aggregate principal amount of its 3.875% Senior Notes due 2028 (the “Senior Notes due 2028”). Booz Allen Hamilton used a portion of the net proceeds from the sale of the Senior Notes due 2028 to redeem in full $350 million aggregate principal amount of the outstanding Senior Notes due 2025 and used the remaining net proceeds from the sale of the Senior Notes due 2028 for working capital and other general corporate purposes.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15" w:lineRule="exact"/>
        <w:rPr>
          <w:sz w:val="20"/>
          <w:szCs w:val="20"/>
          <w:color w:val="auto"/>
        </w:rPr>
      </w:pPr>
    </w:p>
    <w:p>
      <w:pPr>
        <w:ind w:right="300" w:firstLine="395"/>
        <w:spacing w:after="0" w:line="291" w:lineRule="auto"/>
        <w:rPr>
          <w:sz w:val="20"/>
          <w:szCs w:val="20"/>
          <w:color w:val="auto"/>
        </w:rPr>
      </w:pPr>
      <w:r>
        <w:rPr>
          <w:rFonts w:ascii="Arial" w:cs="Arial" w:eastAsia="Arial" w:hAnsi="Arial"/>
          <w:sz w:val="16"/>
          <w:szCs w:val="16"/>
          <w:color w:val="auto"/>
        </w:rPr>
        <w:t>Our stockholders’ equity amounted to $1,023.5 million as of June 30, 2021, a decrease of $47.7 million compared to stockholders’ equity of $1,071.2 million as of March 31, 2021. The decrease was primarily due to net income of $92.1 million for the three months ended June 30, 2021, stock-based compensation expense of $12.4 million, and issuance of common stock of $5.8 million, partially offset by $51.6 million in quarterly dividend payments and $111.4 million in treasury stock resulting from the repurchase of shares of our Class A Common Stock during the three months ended June 30,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15"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expenditures. Our capital expenditures for the three months ended June 30, 2021 and 2020 were $9.0 million and $20.1 million, respectively. The decrease in capital expenditures was primarily driven by lower facilities expenses reflecting the investment in technology and tools needed to support the virtual work environment. We continue to modernize our corporate information technology infrastructure, including the implementation of our new financial management systems on April 1, 2021. We expect capital expenditures to increase throughout the year as we shift away from a fully remote work environment.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15" w:lineRule="exact"/>
        <w:rPr>
          <w:sz w:val="20"/>
          <w:szCs w:val="20"/>
          <w:color w:val="auto"/>
        </w:rPr>
      </w:pPr>
    </w:p>
    <w:p>
      <w:pPr>
        <w:ind w:right="280" w:firstLine="395"/>
        <w:spacing w:after="0" w:line="261"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17 to our condensed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15" w:lineRule="exact"/>
        <w:rPr>
          <w:sz w:val="20"/>
          <w:szCs w:val="20"/>
          <w:color w:val="auto"/>
        </w:rPr>
      </w:pPr>
    </w:p>
    <w:p>
      <w:pPr>
        <w:ind w:right="20" w:firstLine="395"/>
        <w:spacing w:after="0" w:line="246" w:lineRule="auto"/>
        <w:rPr>
          <w:sz w:val="20"/>
          <w:szCs w:val="20"/>
          <w:color w:val="auto"/>
        </w:rPr>
      </w:pPr>
      <w:r>
        <w:rPr>
          <w:rFonts w:ascii="Arial" w:cs="Arial" w:eastAsia="Arial" w:hAnsi="Arial"/>
          <w:sz w:val="18"/>
          <w:szCs w:val="18"/>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92" w:lineRule="exact"/>
        <w:rPr>
          <w:sz w:val="20"/>
          <w:szCs w:val="20"/>
          <w:color w:val="auto"/>
        </w:rPr>
      </w:pPr>
    </w:p>
    <w:p>
      <w:pPr>
        <w:ind w:left="640" w:right="760" w:hanging="319"/>
        <w:spacing w:after="0" w:line="250" w:lineRule="auto"/>
        <w:tabs>
          <w:tab w:leader="none" w:pos="6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1" w:lineRule="exact"/>
        <w:rPr>
          <w:rFonts w:ascii="Arial" w:cs="Arial" w:eastAsia="Arial" w:hAnsi="Arial"/>
          <w:sz w:val="18"/>
          <w:szCs w:val="18"/>
          <w:color w:val="auto"/>
        </w:rPr>
      </w:pPr>
    </w:p>
    <w:p>
      <w:pPr>
        <w:ind w:left="640" w:right="480" w:hanging="319"/>
        <w:spacing w:after="0" w:line="233" w:lineRule="auto"/>
        <w:tabs>
          <w:tab w:leader="none" w:pos="6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U.S. government spending, including a continuation of efforts by the U.S. government to decrease spending for management support service contracts, and mission priorities that shift expenditures away from agencies or programs that we support, or as a result of the U.S. administration transition;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40" w:right="100" w:hanging="319"/>
        <w:spacing w:after="0" w:line="261"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efforts by Congress and other U.S. government bodies to reduce U.S. government spending and address budgetary constraints and the U.S. deficit, as well as associated uncertainty around the timing, extent, nature and effect of such efforts;</w:t>
      </w:r>
    </w:p>
    <w:p>
      <w:pPr>
        <w:spacing w:after="0" w:line="76" w:lineRule="exact"/>
        <w:rPr>
          <w:rFonts w:ascii="Arial" w:cs="Arial" w:eastAsia="Arial" w:hAnsi="Arial"/>
          <w:sz w:val="18"/>
          <w:szCs w:val="18"/>
          <w:color w:val="auto"/>
        </w:rPr>
      </w:pPr>
    </w:p>
    <w:p>
      <w:pPr>
        <w:ind w:left="640" w:right="420" w:hanging="319"/>
        <w:spacing w:after="0" w:line="252"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delayed funding of our contracts due to uncertainty relating to funding of the U.S. government and a possible failure of Congressional efforts to approve such funding and to craft a long-term agreement on the U.S. government’s ability to incur indebtedness in excess of its current limits, or changes in the pattern or timing of government funding and spending;</w:t>
      </w:r>
    </w:p>
    <w:p>
      <w:pPr>
        <w:spacing w:after="0" w:line="84"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government shutdowns, as a result of the failure by elected officials to fund the government;</w:t>
      </w:r>
    </w:p>
    <w:p>
      <w:pPr>
        <w:spacing w:after="0" w:line="108" w:lineRule="exact"/>
        <w:rPr>
          <w:rFonts w:ascii="Arial" w:cs="Arial" w:eastAsia="Arial" w:hAnsi="Arial"/>
          <w:sz w:val="18"/>
          <w:szCs w:val="18"/>
          <w:color w:val="auto"/>
        </w:rPr>
      </w:pPr>
    </w:p>
    <w:p>
      <w:pPr>
        <w:ind w:left="640" w:hanging="319"/>
        <w:spacing w:after="0" w:line="324" w:lineRule="auto"/>
        <w:tabs>
          <w:tab w:leader="none" w:pos="636"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29" w:lineRule="exact"/>
        <w:rPr>
          <w:rFonts w:ascii="Arial" w:cs="Arial" w:eastAsia="Arial" w:hAnsi="Arial"/>
          <w:sz w:val="16"/>
          <w:szCs w:val="16"/>
          <w:color w:val="auto"/>
        </w:rPr>
      </w:pPr>
    </w:p>
    <w:p>
      <w:pPr>
        <w:ind w:left="640" w:right="60" w:hanging="319"/>
        <w:spacing w:after="0" w:line="261"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COVID-19, and other pandemics or widespread health epidemics, including disruptions to our workforce and the impact on government spending and demand for our solutions;</w:t>
      </w:r>
    </w:p>
    <w:p>
      <w:pPr>
        <w:spacing w:after="0" w:line="76" w:lineRule="exact"/>
        <w:rPr>
          <w:rFonts w:ascii="Arial" w:cs="Arial" w:eastAsia="Arial" w:hAnsi="Arial"/>
          <w:sz w:val="18"/>
          <w:szCs w:val="18"/>
          <w:color w:val="auto"/>
        </w:rPr>
      </w:pPr>
    </w:p>
    <w:p>
      <w:pPr>
        <w:ind w:left="640" w:right="120" w:hanging="319"/>
        <w:spacing w:after="0" w:line="261"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compete effectively in the competitive bidding process and delays or losses of contract awards caused by competitors' protests of major contract awards received by us;</w:t>
      </w:r>
    </w:p>
    <w:p>
      <w:pPr>
        <w:spacing w:after="0" w:line="76" w:lineRule="exact"/>
        <w:rPr>
          <w:rFonts w:ascii="Arial" w:cs="Arial" w:eastAsia="Arial" w:hAnsi="Arial"/>
          <w:sz w:val="18"/>
          <w:szCs w:val="18"/>
          <w:color w:val="auto"/>
        </w:rPr>
      </w:pPr>
    </w:p>
    <w:p>
      <w:pPr>
        <w:ind w:left="640" w:right="120" w:hanging="319"/>
        <w:spacing w:after="0" w:line="261"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General Services Administration Multiple Award schedule contracts, or GSA schedules, blanket purchase agreements and indefinite delivery, indefinite quantity, or IDIQ contracts;</w:t>
      </w:r>
    </w:p>
    <w:p>
      <w:pPr>
        <w:spacing w:after="0" w:line="76"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loss of GSA schedules or our position as prime contractor on government-wide acquisition contract vehicles, or GWACs;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the mix of our contracts and our ability to accurately estimate or otherwise recover expenses, time, and resources for our contracts;</w:t>
      </w:r>
    </w:p>
    <w:p>
      <w:pPr>
        <w:spacing w:after="0" w:line="131" w:lineRule="exact"/>
        <w:rPr>
          <w:rFonts w:ascii="Arial" w:cs="Arial" w:eastAsia="Arial" w:hAnsi="Arial"/>
          <w:sz w:val="16"/>
          <w:szCs w:val="16"/>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estimates used in recognizing revenue;</w:t>
      </w:r>
    </w:p>
    <w:p>
      <w:pPr>
        <w:spacing w:after="0" w:line="108" w:lineRule="exact"/>
        <w:rPr>
          <w:rFonts w:ascii="Arial" w:cs="Arial" w:eastAsia="Arial" w:hAnsi="Arial"/>
          <w:sz w:val="18"/>
          <w:szCs w:val="18"/>
          <w:color w:val="auto"/>
        </w:rPr>
      </w:pPr>
    </w:p>
    <w:p>
      <w:pPr>
        <w:ind w:left="640" w:right="460" w:hanging="319"/>
        <w:spacing w:after="0" w:line="261"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realize the full value of and replenish our backlog, generate revenue under certain of our contracts, and the timing of our receipt of revenue under contracts included in backlog;</w:t>
      </w:r>
    </w:p>
    <w:p>
      <w:pPr>
        <w:spacing w:after="0" w:line="76" w:lineRule="exact"/>
        <w:rPr>
          <w:rFonts w:ascii="Arial" w:cs="Arial" w:eastAsia="Arial" w:hAnsi="Arial"/>
          <w:sz w:val="18"/>
          <w:szCs w:val="18"/>
          <w:color w:val="auto"/>
        </w:rPr>
      </w:pPr>
    </w:p>
    <w:p>
      <w:pPr>
        <w:ind w:left="640" w:right="260" w:hanging="319"/>
        <w:spacing w:after="0" w:line="261"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internal system or service failures and security breaches, including, but not limited to, those resulting from external or internal cyber attacks on our network and internal systems;</w:t>
      </w:r>
    </w:p>
    <w:p>
      <w:pPr>
        <w:spacing w:after="0" w:line="76"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related to the implementation and operation of new financial management systems;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inability to attract, train, or retain employees with the requisite skills and experience;</w:t>
      </w:r>
    </w:p>
    <w:p>
      <w:pPr>
        <w:spacing w:after="0" w:line="108" w:lineRule="exact"/>
        <w:rPr>
          <w:rFonts w:ascii="Arial" w:cs="Arial" w:eastAsia="Arial" w:hAnsi="Arial"/>
          <w:sz w:val="18"/>
          <w:szCs w:val="18"/>
          <w:color w:val="auto"/>
        </w:rPr>
      </w:pPr>
    </w:p>
    <w:p>
      <w:pPr>
        <w:ind w:left="640" w:right="180" w:hanging="319"/>
        <w:spacing w:after="0" w:line="261"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inability to timely hire, assimilate and effectively utilize our employees, ensure that employees obtain and maintain necessary security clearances and/or effectively manage our cost structure;</w:t>
      </w:r>
    </w:p>
    <w:p>
      <w:pPr>
        <w:spacing w:after="0" w:line="76"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loss of members of senior management or failure to develop new leaders;</w:t>
      </w:r>
    </w:p>
    <w:p>
      <w:pPr>
        <w:spacing w:after="0" w:line="108" w:lineRule="exact"/>
        <w:rPr>
          <w:rFonts w:ascii="Arial" w:cs="Arial" w:eastAsia="Arial" w:hAnsi="Arial"/>
          <w:sz w:val="18"/>
          <w:szCs w:val="18"/>
          <w:color w:val="auto"/>
        </w:rPr>
      </w:pPr>
    </w:p>
    <w:p>
      <w:pPr>
        <w:ind w:left="640" w:right="540" w:hanging="319"/>
        <w:spacing w:after="0" w:line="261"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misconduct or other improper activities from our employees or subcontractors, including the improper use or release of our clients' sensitive or classified information;</w:t>
      </w:r>
    </w:p>
    <w:p>
      <w:pPr>
        <w:spacing w:after="0" w:line="76"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competition from other companies in our industry;</w:t>
      </w:r>
    </w:p>
    <w:p>
      <w:pPr>
        <w:spacing w:after="0" w:line="108"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maintain strong relationships with other contractors, or the failure of contractors with which we have entered into a sub- or prime- contractor relationship to meet their obligations to us or our clients;</w:t>
      </w:r>
    </w:p>
    <w:p>
      <w:pPr>
        <w:spacing w:after="0" w:line="76" w:lineRule="exact"/>
        <w:rPr>
          <w:rFonts w:ascii="Arial" w:cs="Arial" w:eastAsia="Arial" w:hAnsi="Arial"/>
          <w:sz w:val="18"/>
          <w:szCs w:val="18"/>
          <w:color w:val="auto"/>
        </w:rPr>
      </w:pPr>
    </w:p>
    <w:p>
      <w:pPr>
        <w:jc w:val="both"/>
        <w:ind w:left="640" w:right="100" w:hanging="319"/>
        <w:spacing w:after="0" w:line="252"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84"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comply with special U.S. government laws and regulations relating to our international operations;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risks associated with increased competition, new relationships, clients, capabilities, and service offerings in our U.S. and international businesses;</w:t>
      </w:r>
    </w:p>
    <w:p>
      <w:pPr>
        <w:spacing w:after="0" w:line="131" w:lineRule="exact"/>
        <w:rPr>
          <w:rFonts w:ascii="Arial" w:cs="Arial" w:eastAsia="Arial" w:hAnsi="Arial"/>
          <w:sz w:val="16"/>
          <w:szCs w:val="16"/>
          <w:color w:val="auto"/>
        </w:rPr>
      </w:pPr>
    </w:p>
    <w:p>
      <w:pPr>
        <w:ind w:left="640" w:right="240" w:hanging="319"/>
        <w:spacing w:after="0" w:line="261"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related to changes to our operating structure, capabilities, or strategy intended to address client needs, grow our business or respond to market developments;</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40" w:hanging="319"/>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adoption by the U.S. government of new laws, rules, and regulations, such as those relating to organizational conflicts of interest issues or limits;</w:t>
      </w:r>
    </w:p>
    <w:p>
      <w:pPr>
        <w:spacing w:after="0" w:line="131" w:lineRule="exact"/>
        <w:rPr>
          <w:rFonts w:ascii="Arial" w:cs="Arial" w:eastAsia="Arial" w:hAnsi="Arial"/>
          <w:sz w:val="16"/>
          <w:szCs w:val="16"/>
          <w:color w:val="auto"/>
        </w:rPr>
      </w:pPr>
    </w:p>
    <w:p>
      <w:pPr>
        <w:ind w:left="640" w:hanging="3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related to completed and future acquisitions, including our ability to realize the expected benefits from such acquisitions;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incurrence of additional tax liabilities, including as a result of changes in tax laws or management judgments involving complex tax matters;</w:t>
      </w:r>
    </w:p>
    <w:p>
      <w:pPr>
        <w:spacing w:after="0" w:line="131" w:lineRule="exact"/>
        <w:rPr>
          <w:rFonts w:ascii="Arial" w:cs="Arial" w:eastAsia="Arial" w:hAnsi="Arial"/>
          <w:sz w:val="16"/>
          <w:szCs w:val="16"/>
          <w:color w:val="auto"/>
        </w:rPr>
      </w:pPr>
    </w:p>
    <w:p>
      <w:pPr>
        <w:ind w:left="640" w:hanging="3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inherent in the government contracting environment;</w:t>
      </w:r>
    </w:p>
    <w:p>
      <w:pPr>
        <w:spacing w:after="0" w:line="108" w:lineRule="exact"/>
        <w:rPr>
          <w:rFonts w:ascii="Arial" w:cs="Arial" w:eastAsia="Arial" w:hAnsi="Arial"/>
          <w:sz w:val="18"/>
          <w:szCs w:val="18"/>
          <w:color w:val="auto"/>
        </w:rPr>
      </w:pPr>
    </w:p>
    <w:p>
      <w:pPr>
        <w:ind w:left="640" w:right="260" w:hanging="319"/>
        <w:spacing w:after="0" w:line="252"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continued efforts to change how the U.S. government reimburses compensation related costs and other expenses or otherwise limits such reimbursements and an increased risk of compensation being deemed unreasonable and unallowable or payments being withheld as a result of U.S. government audit, review, or investigation;</w:t>
      </w:r>
    </w:p>
    <w:p>
      <w:pPr>
        <w:spacing w:after="0" w:line="84" w:lineRule="exact"/>
        <w:rPr>
          <w:rFonts w:ascii="Arial" w:cs="Arial" w:eastAsia="Arial" w:hAnsi="Arial"/>
          <w:sz w:val="18"/>
          <w:szCs w:val="18"/>
          <w:color w:val="auto"/>
        </w:rPr>
      </w:pPr>
    </w:p>
    <w:p>
      <w:pPr>
        <w:ind w:left="640" w:right="60" w:hanging="319"/>
        <w:spacing w:after="0" w:line="261"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76" w:lineRule="exact"/>
        <w:rPr>
          <w:rFonts w:ascii="Arial" w:cs="Arial" w:eastAsia="Arial" w:hAnsi="Arial"/>
          <w:sz w:val="18"/>
          <w:szCs w:val="18"/>
          <w:color w:val="auto"/>
        </w:rPr>
      </w:pPr>
    </w:p>
    <w:p>
      <w:pPr>
        <w:ind w:left="640" w:hanging="3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size of our addressable markets and the amount of U.S. government spending on private contractors;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related to our indebtedness and credit facilities which contain financial and operating covenants;</w:t>
      </w:r>
    </w:p>
    <w:p>
      <w:pPr>
        <w:spacing w:after="0" w:line="108" w:lineRule="exact"/>
        <w:rPr>
          <w:rFonts w:ascii="Arial" w:cs="Arial" w:eastAsia="Arial" w:hAnsi="Arial"/>
          <w:sz w:val="18"/>
          <w:szCs w:val="18"/>
          <w:color w:val="auto"/>
        </w:rPr>
      </w:pPr>
    </w:p>
    <w:p>
      <w:pPr>
        <w:ind w:left="640" w:right="320" w:hanging="319"/>
        <w:spacing w:after="0" w:line="261"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changes in accounting rules and regulations, or interpretations thereof, that may affect the way we recognize and report our financial results, including changes in accounting rules governing recognition of revenue; and</w:t>
      </w:r>
    </w:p>
    <w:p>
      <w:pPr>
        <w:spacing w:after="0" w:line="76" w:lineRule="exact"/>
        <w:rPr>
          <w:rFonts w:ascii="Arial" w:cs="Arial" w:eastAsia="Arial" w:hAnsi="Arial"/>
          <w:sz w:val="18"/>
          <w:szCs w:val="18"/>
          <w:color w:val="auto"/>
        </w:rPr>
      </w:pPr>
    </w:p>
    <w:p>
      <w:pPr>
        <w:ind w:left="640" w:hanging="319"/>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risks and factors listed under “Item 1A. Risk Factors” and elsewhere in this Quarterly Report.</w:t>
      </w:r>
    </w:p>
    <w:p>
      <w:pPr>
        <w:spacing w:after="0" w:line="109" w:lineRule="exact"/>
        <w:rPr>
          <w:sz w:val="20"/>
          <w:szCs w:val="20"/>
          <w:color w:val="auto"/>
        </w:rPr>
      </w:pPr>
    </w:p>
    <w:p>
      <w:pPr>
        <w:ind w:right="220" w:firstLine="395"/>
        <w:spacing w:after="0" w:line="252" w:lineRule="auto"/>
        <w:rPr>
          <w:sz w:val="20"/>
          <w:szCs w:val="20"/>
          <w:color w:val="auto"/>
        </w:rPr>
      </w:pPr>
      <w:r>
        <w:rPr>
          <w:rFonts w:ascii="Arial" w:cs="Arial" w:eastAsia="Arial" w:hAnsi="Arial"/>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7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5" w:lineRule="exact"/>
        <w:rPr>
          <w:sz w:val="20"/>
          <w:szCs w:val="20"/>
          <w:color w:val="auto"/>
        </w:rPr>
      </w:pPr>
    </w:p>
    <w:p>
      <w:pPr>
        <w:ind w:right="200" w:firstLine="395"/>
        <w:spacing w:after="0" w:line="250"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2021 filed with the Securities and Exchange Commission on May 21, 2021.</w:t>
      </w:r>
    </w:p>
    <w:p>
      <w:pPr>
        <w:spacing w:after="0" w:line="18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5" w:lineRule="exact"/>
        <w:rPr>
          <w:sz w:val="20"/>
          <w:szCs w:val="20"/>
          <w:color w:val="auto"/>
        </w:rPr>
      </w:pPr>
    </w:p>
    <w:p>
      <w:pPr>
        <w:jc w:val="both"/>
        <w:ind w:right="60" w:firstLine="395"/>
        <w:spacing w:after="0" w:line="291"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5"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During the three months ended June 30, 2021, the Company implemented new accounting and procurement systems. As part of the implementation, we have designed new internal controls and modified and/or enhanced existing internal controls in order to align with the new systems and business processes. The Company does not believe this implementation has had or will have a material adverse effect on the Company's internal control over financial reporting in the future. Except as disclosed above, there have not been any additional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9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5" w:lineRule="exact"/>
        <w:rPr>
          <w:sz w:val="20"/>
          <w:szCs w:val="20"/>
          <w:color w:val="auto"/>
        </w:rPr>
      </w:pPr>
    </w:p>
    <w:p>
      <w:pPr>
        <w:ind w:firstLine="395"/>
        <w:spacing w:after="0" w:line="279" w:lineRule="auto"/>
        <w:rPr>
          <w:sz w:val="20"/>
          <w:szCs w:val="20"/>
          <w:color w:val="auto"/>
        </w:rPr>
      </w:pPr>
      <w:r>
        <w:rPr>
          <w:rFonts w:ascii="Arial" w:cs="Arial" w:eastAsia="Arial" w:hAnsi="Arial"/>
          <w:sz w:val="16"/>
          <w:szCs w:val="16"/>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June 30, 2021 and March 31, 2021, there were no material amounts accrued in the condensed consolidated financial statements related to these proceedings.</w:t>
      </w:r>
    </w:p>
    <w:p>
      <w:pPr>
        <w:spacing w:after="0" w:line="65" w:lineRule="exact"/>
        <w:rPr>
          <w:sz w:val="20"/>
          <w:szCs w:val="20"/>
          <w:color w:val="auto"/>
        </w:rPr>
      </w:pPr>
    </w:p>
    <w:p>
      <w:pPr>
        <w:ind w:firstLine="395"/>
        <w:spacing w:after="0" w:line="300" w:lineRule="auto"/>
        <w:rPr>
          <w:sz w:val="20"/>
          <w:szCs w:val="20"/>
          <w:color w:val="auto"/>
        </w:rPr>
      </w:pPr>
      <w:r>
        <w:rPr>
          <w:rFonts w:ascii="Arial" w:cs="Arial" w:eastAsia="Arial" w:hAnsi="Arial"/>
          <w:sz w:val="15"/>
          <w:szCs w:val="15"/>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On May 12, 2021, the Company was informed that the DOJ has closed its criminal investigation.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55" w:lineRule="exact"/>
        <w:rPr>
          <w:sz w:val="20"/>
          <w:szCs w:val="20"/>
          <w:color w:val="auto"/>
        </w:rPr>
      </w:pPr>
    </w:p>
    <w:p>
      <w:pPr>
        <w:ind w:right="60" w:firstLine="395"/>
        <w:spacing w:after="0" w:line="280" w:lineRule="auto"/>
        <w:rPr>
          <w:sz w:val="20"/>
          <w:szCs w:val="20"/>
          <w:color w:val="auto"/>
        </w:rPr>
      </w:pPr>
      <w:r>
        <w:rPr>
          <w:rFonts w:ascii="Arial" w:cs="Arial" w:eastAsia="Arial" w:hAnsi="Arial"/>
          <w:sz w:val="16"/>
          <w:szCs w:val="16"/>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68" w:lineRule="exact"/>
        <w:rPr>
          <w:sz w:val="20"/>
          <w:szCs w:val="20"/>
          <w:color w:val="auto"/>
        </w:rPr>
      </w:pPr>
    </w:p>
    <w:p>
      <w:pPr>
        <w:ind w:right="40" w:firstLine="395"/>
        <w:spacing w:after="0" w:line="280" w:lineRule="auto"/>
        <w:rPr>
          <w:sz w:val="20"/>
          <w:szCs w:val="20"/>
          <w:color w:val="auto"/>
        </w:rPr>
      </w:pPr>
      <w:r>
        <w:rPr>
          <w:rFonts w:ascii="Arial" w:cs="Arial" w:eastAsia="Arial" w:hAnsi="Arial"/>
          <w:sz w:val="16"/>
          <w:szCs w:val="16"/>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 stay remain in effect and ordered the parties to submit periodic status reports. On May 27, 2020, November 23, 2020, and May 24, 2021, the parties submitted status reports stating that plaintiff believes the stay should remain in effect and defendants do not object to the stay remaining in effect. At this stage of the lawsuit, the Company is not able to reasonably estimate the expected amount or range of cost or any loss associated with the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5" w:lineRule="exact"/>
        <w:rPr>
          <w:sz w:val="20"/>
          <w:szCs w:val="20"/>
          <w:color w:val="auto"/>
        </w:rPr>
      </w:pPr>
    </w:p>
    <w:p>
      <w:pPr>
        <w:ind w:right="80" w:firstLine="395"/>
        <w:spacing w:after="0" w:line="324"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2021 filed with the Securities and Exchange Commission on May 21, 2021.</w:t>
      </w:r>
    </w:p>
    <w:p>
      <w:pPr>
        <w:spacing w:after="0" w:line="2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the share repurchase activity during the three months ended June 30,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8"/>
              </w:rPr>
              <w:t>Total Number of Shares</w:t>
            </w:r>
          </w:p>
        </w:tc>
        <w:tc>
          <w:tcPr>
            <w:tcW w:w="120" w:type="dxa"/>
            <w:vAlign w:val="bottom"/>
          </w:tcPr>
          <w:p>
            <w:pPr>
              <w:spacing w:after="0"/>
              <w:rPr>
                <w:sz w:val="16"/>
                <w:szCs w:val="16"/>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Approximate Dollar Value</w:t>
            </w: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Total Number of Shares</w:t>
            </w:r>
          </w:p>
        </w:tc>
        <w:tc>
          <w:tcPr>
            <w:tcW w:w="100" w:type="dxa"/>
            <w:vAlign w:val="bottom"/>
          </w:tcPr>
          <w:p>
            <w:pPr>
              <w:spacing w:after="0"/>
              <w:rPr>
                <w:sz w:val="13"/>
                <w:szCs w:val="13"/>
                <w:color w:val="auto"/>
              </w:rPr>
            </w:pPr>
          </w:p>
        </w:tc>
        <w:tc>
          <w:tcPr>
            <w:tcW w:w="18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9"/>
              </w:rPr>
              <w:t>Average Price Paid per</w:t>
            </w:r>
          </w:p>
        </w:tc>
        <w:tc>
          <w:tcPr>
            <w:tcW w:w="18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7"/>
              </w:rPr>
              <w:t>Purchased as Part of</w:t>
            </w:r>
          </w:p>
        </w:tc>
        <w:tc>
          <w:tcPr>
            <w:tcW w:w="120" w:type="dxa"/>
            <w:vAlign w:val="bottom"/>
          </w:tcPr>
          <w:p>
            <w:pPr>
              <w:spacing w:after="0"/>
              <w:rPr>
                <w:sz w:val="13"/>
                <w:szCs w:val="13"/>
                <w:color w:val="auto"/>
              </w:rPr>
            </w:pPr>
          </w:p>
        </w:tc>
        <w:tc>
          <w:tcPr>
            <w:tcW w:w="182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w w:val="89"/>
              </w:rPr>
              <w:t>of Shares that May Yet Be</w:t>
            </w:r>
          </w:p>
        </w:tc>
        <w:tc>
          <w:tcPr>
            <w:tcW w:w="0" w:type="dxa"/>
            <w:vAlign w:val="bottom"/>
          </w:tcPr>
          <w:p>
            <w:pPr>
              <w:spacing w:after="0"/>
              <w:rPr>
                <w:sz w:val="1"/>
                <w:szCs w:val="1"/>
                <w:color w:val="auto"/>
              </w:rPr>
            </w:pPr>
          </w:p>
        </w:tc>
      </w:tr>
      <w:tr>
        <w:trPr>
          <w:trHeight w:val="158"/>
        </w:trPr>
        <w:tc>
          <w:tcPr>
            <w:tcW w:w="3620" w:type="dxa"/>
            <w:vAlign w:val="bottom"/>
            <w:vMerge w:val="restart"/>
          </w:tcPr>
          <w:p>
            <w:pPr>
              <w:ind w:left="1600"/>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3"/>
                <w:szCs w:val="13"/>
                <w:color w:val="auto"/>
              </w:rPr>
            </w:pPr>
          </w:p>
        </w:tc>
        <w:tc>
          <w:tcPr>
            <w:tcW w:w="1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8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7"/>
              </w:rPr>
              <w:t>Publicly Announced Plans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jc w:val="right"/>
              <w:ind w:right="116"/>
              <w:spacing w:after="0" w:line="158" w:lineRule="exact"/>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08"/>
        </w:trPr>
        <w:tc>
          <w:tcPr>
            <w:tcW w:w="3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Purchased</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Share</w:t>
            </w:r>
          </w:p>
        </w:tc>
        <w:tc>
          <w:tcPr>
            <w:tcW w:w="12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or Programs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w w:val="90"/>
              </w:rPr>
              <w:t>Plans or Programs (1)</w:t>
            </w:r>
          </w:p>
        </w:tc>
        <w:tc>
          <w:tcPr>
            <w:tcW w:w="0" w:type="dxa"/>
            <w:vAlign w:val="bottom"/>
          </w:tcPr>
          <w:p>
            <w:pPr>
              <w:spacing w:after="0"/>
              <w:rPr>
                <w:sz w:val="1"/>
                <w:szCs w:val="1"/>
                <w:color w:val="auto"/>
              </w:rPr>
            </w:pPr>
          </w:p>
        </w:tc>
      </w:tr>
      <w:tr>
        <w:trPr>
          <w:trHeight w:val="22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2021</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423,806</w:t>
            </w:r>
          </w:p>
        </w:tc>
        <w:tc>
          <w:tcPr>
            <w:tcW w:w="18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$82.58</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423,806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556,460,995</w:t>
            </w:r>
          </w:p>
        </w:tc>
        <w:tc>
          <w:tcPr>
            <w:tcW w:w="0" w:type="dxa"/>
            <w:vAlign w:val="bottom"/>
          </w:tcPr>
          <w:p>
            <w:pPr>
              <w:spacing w:after="0"/>
              <w:rPr>
                <w:sz w:val="1"/>
                <w:szCs w:val="1"/>
                <w:color w:val="auto"/>
              </w:rPr>
            </w:pPr>
          </w:p>
        </w:tc>
      </w:tr>
      <w:tr>
        <w:trPr>
          <w:trHeight w:val="22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May 2021</w:t>
            </w: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415,925</w:t>
            </w:r>
          </w:p>
        </w:tc>
        <w:tc>
          <w:tcPr>
            <w:tcW w:w="186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$84.15</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6"/>
              </w:rPr>
              <w:t>415,925</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521,461,077</w:t>
            </w:r>
          </w:p>
        </w:tc>
        <w:tc>
          <w:tcPr>
            <w:tcW w:w="0" w:type="dxa"/>
            <w:vAlign w:val="bottom"/>
          </w:tcPr>
          <w:p>
            <w:pPr>
              <w:spacing w:after="0"/>
              <w:rPr>
                <w:sz w:val="1"/>
                <w:szCs w:val="1"/>
                <w:color w:val="auto"/>
              </w:rPr>
            </w:pPr>
          </w:p>
        </w:tc>
      </w:tr>
      <w:tr>
        <w:trPr>
          <w:trHeight w:val="224"/>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2021</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294,264</w:t>
            </w:r>
          </w:p>
        </w:tc>
        <w:tc>
          <w:tcPr>
            <w:tcW w:w="18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$85.34</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294,264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496,349,396</w:t>
            </w:r>
          </w:p>
        </w:tc>
        <w:tc>
          <w:tcPr>
            <w:tcW w:w="0" w:type="dxa"/>
            <w:vAlign w:val="bottom"/>
          </w:tcPr>
          <w:p>
            <w:pPr>
              <w:spacing w:after="0"/>
              <w:rPr>
                <w:sz w:val="1"/>
                <w:szCs w:val="1"/>
                <w:color w:val="auto"/>
              </w:rPr>
            </w:pPr>
          </w:p>
        </w:tc>
      </w:tr>
      <w:tr>
        <w:trPr>
          <w:trHeight w:val="217"/>
        </w:trPr>
        <w:tc>
          <w:tcPr>
            <w:tcW w:w="3720" w:type="dxa"/>
            <w:vAlign w:val="bottom"/>
            <w:gridSpan w:val="2"/>
          </w:tcPr>
          <w:p>
            <w:pPr>
              <w:ind w:left="66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1,133,995</w:t>
            </w: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1,133,995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640" w:right="200" w:hanging="635"/>
        <w:spacing w:after="0" w:line="236" w:lineRule="auto"/>
        <w:tabs>
          <w:tab w:leader="none" w:pos="6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December 12, 2011, the Board of Directors approved a share repurchase program, which was most recently increased to $1,710.0 million on January 27, 2021.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39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10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gridSpan w:val="22"/>
          </w:tcPr>
          <w:p>
            <w:pPr>
              <w:ind w:left="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64"/>
        </w:trPr>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240" w:type="dxa"/>
            <w:vAlign w:val="bottom"/>
          </w:tcPr>
          <w:p>
            <w:pPr>
              <w:spacing w:after="0"/>
              <w:rPr>
                <w:sz w:val="22"/>
                <w:szCs w:val="22"/>
                <w:color w:val="auto"/>
              </w:rPr>
            </w:pPr>
          </w:p>
        </w:tc>
        <w:tc>
          <w:tcPr>
            <w:tcW w:w="10300" w:type="dxa"/>
            <w:vAlign w:val="bottom"/>
            <w:gridSpan w:val="21"/>
            <w:vMerge w:val="restart"/>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12"/>
        </w:trPr>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top w:val="single" w:sz="8" w:color="auto"/>
            </w:tcBorders>
          </w:tcPr>
          <w:p>
            <w:pPr>
              <w:spacing w:after="0" w:line="112" w:lineRule="exact"/>
              <w:rPr>
                <w:sz w:val="20"/>
                <w:szCs w:val="20"/>
                <w:color w:val="auto"/>
              </w:rPr>
            </w:pPr>
            <w:r>
              <w:rPr>
                <w:rFonts w:ascii="Arial" w:cs="Arial" w:eastAsia="Arial" w:hAnsi="Arial"/>
                <w:sz w:val="12"/>
                <w:szCs w:val="12"/>
                <w:color w:val="auto"/>
                <w:w w:val="93"/>
              </w:rPr>
              <w:t>Number</w:t>
            </w: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300" w:type="dxa"/>
            <w:vAlign w:val="bottom"/>
            <w:gridSpan w:val="2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20" w:type="dxa"/>
            <w:vAlign w:val="bottom"/>
            <w:gridSpan w:val="3"/>
          </w:tcPr>
          <w:p>
            <w:pPr>
              <w:ind w:left="2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300" w:type="dxa"/>
            <w:vAlign w:val="bottom"/>
            <w:gridSpan w:val="21"/>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Membership Interest Purchase Agreement, dated May 3, 2021, among Booz Allen Hamilton Inc., Liberty IT Solutions, LLC, William Greene,</w:t>
              </w:r>
            </w:hyperlink>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960" w:type="dxa"/>
            <w:vAlign w:val="bottom"/>
            <w:tcBorders>
              <w:top w:val="single" w:sz="8" w:color="0000FF"/>
            </w:tcBorders>
            <w:gridSpan w:val="15"/>
          </w:tcPr>
          <w:p>
            <w:pPr>
              <w:spacing w:after="0" w:line="152" w:lineRule="exact"/>
              <w:rPr>
                <w:rFonts w:ascii="Arial" w:cs="Arial" w:eastAsia="Arial" w:hAnsi="Arial"/>
                <w:sz w:val="16"/>
                <w:szCs w:val="16"/>
                <w:color w:val="0000FF"/>
              </w:rPr>
            </w:pPr>
            <w:hyperlink r:id="rId63">
              <w:r>
                <w:rPr>
                  <w:rFonts w:ascii="Arial" w:cs="Arial" w:eastAsia="Arial" w:hAnsi="Arial"/>
                  <w:sz w:val="16"/>
                  <w:szCs w:val="16"/>
                  <w:color w:val="0000FF"/>
                </w:rPr>
                <w:t>Christopher Bickell, and Jeff Denniston, and Southpaw Representative, LLC, in its capacity as Members' Representative (Incorporated by</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60" w:type="dxa"/>
            <w:vAlign w:val="bottom"/>
            <w:tcBorders>
              <w:top w:val="single" w:sz="8" w:color="0000FF"/>
            </w:tcBorders>
            <w:gridSpan w:val="10"/>
          </w:tcPr>
          <w:p>
            <w:pPr>
              <w:spacing w:after="0" w:line="152" w:lineRule="exact"/>
              <w:rPr>
                <w:rFonts w:ascii="Arial" w:cs="Arial" w:eastAsia="Arial" w:hAnsi="Arial"/>
                <w:sz w:val="16"/>
                <w:szCs w:val="16"/>
                <w:color w:val="0000FF"/>
              </w:rPr>
            </w:pPr>
            <w:hyperlink r:id="rId63">
              <w:r>
                <w:rPr>
                  <w:rFonts w:ascii="Arial" w:cs="Arial" w:eastAsia="Arial" w:hAnsi="Arial"/>
                  <w:sz w:val="16"/>
                  <w:szCs w:val="16"/>
                  <w:color w:val="0000FF"/>
                </w:rPr>
                <w:t>reference to Exhibit 2.1 to the Company's Current Report on Form 8-K filed on May 4, 2021 (File No. 001-34972))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20" w:type="dxa"/>
            <w:vAlign w:val="bottom"/>
            <w:gridSpan w:val="3"/>
          </w:tcPr>
          <w:p>
            <w:pPr>
              <w:ind w:left="2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300" w:type="dxa"/>
            <w:vAlign w:val="bottom"/>
            <w:gridSpan w:val="21"/>
          </w:tcPr>
          <w:p>
            <w:pPr>
              <w:spacing w:after="0"/>
              <w:rPr>
                <w:rFonts w:ascii="Arial" w:cs="Arial" w:eastAsia="Arial" w:hAnsi="Arial"/>
                <w:sz w:val="18"/>
                <w:szCs w:val="18"/>
                <w:color w:val="0000FF"/>
                <w:w w:val="94"/>
              </w:rPr>
            </w:pPr>
            <w:hyperlink r:id="rId64">
              <w:r>
                <w:rPr>
                  <w:rFonts w:ascii="Arial" w:cs="Arial" w:eastAsia="Arial" w:hAnsi="Arial"/>
                  <w:sz w:val="18"/>
                  <w:szCs w:val="18"/>
                  <w:color w:val="0000FF"/>
                  <w:w w:val="94"/>
                </w:rPr>
                <w:t>Indenture, dated June 17, 2021, among Booz Allen Hamilton Inc., the Subsidiary Guarantors party thereto and Wilmington Trust, National</w:t>
              </w:r>
            </w:hyperlink>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12"/>
          </w:tcPr>
          <w:p>
            <w:pPr>
              <w:spacing w:after="0" w:line="152" w:lineRule="exact"/>
              <w:rPr>
                <w:rFonts w:ascii="Arial" w:cs="Arial" w:eastAsia="Arial" w:hAnsi="Arial"/>
                <w:sz w:val="16"/>
                <w:szCs w:val="16"/>
                <w:color w:val="0000FF"/>
              </w:rPr>
            </w:pPr>
            <w:hyperlink r:id="rId64">
              <w:r>
                <w:rPr>
                  <w:rFonts w:ascii="Arial" w:cs="Arial" w:eastAsia="Arial" w:hAnsi="Arial"/>
                  <w:sz w:val="16"/>
                  <w:szCs w:val="16"/>
                  <w:color w:val="0000FF"/>
                </w:rPr>
                <w:t>Association (Incorporated by reference to Exhibit 4.1 to the Company’s Current Report on Form 8-K filed on June 17, 2021 (File No. 001-</w:t>
              </w:r>
            </w:hyperlink>
          </w:p>
        </w:tc>
        <w:tc>
          <w:tcPr>
            <w:tcW w:w="560" w:type="dxa"/>
            <w:vAlign w:val="bottom"/>
            <w:tcBorders>
              <w:bottom w:val="single" w:sz="8" w:color="0000FF"/>
            </w:tcBorders>
            <w:gridSpan w:val="8"/>
          </w:tcPr>
          <w:p>
            <w:pPr>
              <w:jc w:val="right"/>
              <w:spacing w:after="0" w:line="152" w:lineRule="exact"/>
              <w:rPr>
                <w:rFonts w:ascii="Arial" w:cs="Arial" w:eastAsia="Arial" w:hAnsi="Arial"/>
                <w:sz w:val="16"/>
                <w:szCs w:val="16"/>
                <w:color w:val="0000FF"/>
                <w:w w:val="97"/>
              </w:rPr>
            </w:pPr>
            <w:hyperlink r:id="rId64">
              <w:r>
                <w:rPr>
                  <w:rFonts w:ascii="Arial" w:cs="Arial" w:eastAsia="Arial" w:hAnsi="Arial"/>
                  <w:sz w:val="16"/>
                  <w:szCs w:val="16"/>
                  <w:color w:val="0000FF"/>
                  <w:w w:val="97"/>
                </w:rPr>
                <w:t>34972))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620" w:type="dxa"/>
            <w:vAlign w:val="bottom"/>
            <w:gridSpan w:val="3"/>
          </w:tcPr>
          <w:p>
            <w:pPr>
              <w:ind w:left="2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20" w:type="dxa"/>
            <w:vAlign w:val="bottom"/>
            <w:tcBorders>
              <w:bottom w:val="single" w:sz="8" w:color="0000FF"/>
            </w:tcBorders>
            <w:gridSpan w:val="17"/>
          </w:tcPr>
          <w:p>
            <w:pPr>
              <w:spacing w:after="0"/>
              <w:rPr>
                <w:rFonts w:ascii="Arial" w:cs="Arial" w:eastAsia="Arial" w:hAnsi="Arial"/>
                <w:sz w:val="18"/>
                <w:szCs w:val="18"/>
                <w:color w:val="0000FF"/>
                <w:w w:val="88"/>
              </w:rPr>
            </w:pPr>
            <w:hyperlink r:id="rId65">
              <w:r>
                <w:rPr>
                  <w:rFonts w:ascii="Arial" w:cs="Arial" w:eastAsia="Arial" w:hAnsi="Arial"/>
                  <w:sz w:val="18"/>
                  <w:szCs w:val="18"/>
                  <w:color w:val="0000FF"/>
                  <w:w w:val="88"/>
                </w:rPr>
                <w:t>First Supplemental Indenture, dated June 17, 2021, among Booz Allen Hamilton Inc., the Subsidiary Guarantors party thereto and Wilmington</w:t>
              </w:r>
            </w:hyperlink>
          </w:p>
        </w:tc>
        <w:tc>
          <w:tcPr>
            <w:tcW w:w="28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300" w:type="dxa"/>
            <w:vAlign w:val="bottom"/>
            <w:gridSpan w:val="21"/>
          </w:tcPr>
          <w:p>
            <w:pPr>
              <w:spacing w:after="0" w:line="152" w:lineRule="exact"/>
              <w:rPr>
                <w:rFonts w:ascii="Arial" w:cs="Arial" w:eastAsia="Arial" w:hAnsi="Arial"/>
                <w:sz w:val="16"/>
                <w:szCs w:val="16"/>
                <w:color w:val="0000FF"/>
              </w:rPr>
            </w:pPr>
            <w:hyperlink r:id="rId65">
              <w:r>
                <w:rPr>
                  <w:rFonts w:ascii="Arial" w:cs="Arial" w:eastAsia="Arial" w:hAnsi="Arial"/>
                  <w:sz w:val="16"/>
                  <w:szCs w:val="16"/>
                  <w:color w:val="0000FF"/>
                </w:rPr>
                <w:t>Trust, National Association (Incorporated by reference to Exhibit 4.2 to the Company’s Current Report on Form 8-K filed on June 17, 2021 (File</w:t>
              </w:r>
            </w:hyperlink>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160" w:type="dxa"/>
            <w:vAlign w:val="bottom"/>
            <w:tcBorders>
              <w:top w:val="single" w:sz="8" w:color="0000FF"/>
            </w:tcBorders>
            <w:gridSpan w:val="18"/>
          </w:tcPr>
          <w:p>
            <w:pPr>
              <w:spacing w:after="0" w:line="152" w:lineRule="exact"/>
              <w:rPr>
                <w:rFonts w:ascii="Arial" w:cs="Arial" w:eastAsia="Arial" w:hAnsi="Arial"/>
                <w:sz w:val="16"/>
                <w:szCs w:val="16"/>
                <w:color w:val="0000FF"/>
              </w:rPr>
            </w:pPr>
            <w:hyperlink r:id="rId65">
              <w:r>
                <w:rPr>
                  <w:rFonts w:ascii="Arial" w:cs="Arial" w:eastAsia="Arial" w:hAnsi="Arial"/>
                  <w:sz w:val="16"/>
                  <w:szCs w:val="16"/>
                  <w:color w:val="0000FF"/>
                </w:rPr>
                <w:t>No. 001-34972))</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20" w:type="dxa"/>
            <w:vAlign w:val="bottom"/>
            <w:gridSpan w:val="3"/>
          </w:tcPr>
          <w:p>
            <w:pPr>
              <w:ind w:left="2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980" w:type="dxa"/>
            <w:vAlign w:val="bottom"/>
            <w:tcBorders>
              <w:bottom w:val="single" w:sz="8" w:color="0000FF"/>
            </w:tcBorders>
            <w:gridSpan w:val="7"/>
          </w:tcPr>
          <w:p>
            <w:pPr>
              <w:spacing w:after="0"/>
              <w:rPr>
                <w:rFonts w:ascii="Arial" w:cs="Arial" w:eastAsia="Arial" w:hAnsi="Arial"/>
                <w:sz w:val="18"/>
                <w:szCs w:val="18"/>
                <w:color w:val="0000FF"/>
                <w:w w:val="89"/>
              </w:rPr>
            </w:pPr>
            <w:hyperlink r:id="rId64">
              <w:r>
                <w:rPr>
                  <w:rFonts w:ascii="Arial" w:cs="Arial" w:eastAsia="Arial" w:hAnsi="Arial"/>
                  <w:sz w:val="18"/>
                  <w:szCs w:val="18"/>
                  <w:color w:val="0000FF"/>
                  <w:w w:val="89"/>
                </w:rPr>
                <w:t>Form of 4.000% Senior Note due 2029 (included in Exhibit 4.1 hereto)</w:t>
              </w:r>
            </w:hyperlink>
          </w:p>
        </w:tc>
        <w:tc>
          <w:tcPr>
            <w:tcW w:w="532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620" w:type="dxa"/>
            <w:vAlign w:val="bottom"/>
            <w:gridSpan w:val="3"/>
          </w:tcPr>
          <w:p>
            <w:pPr>
              <w:ind w:left="2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700" w:type="dxa"/>
            <w:vAlign w:val="bottom"/>
            <w:tcBorders>
              <w:bottom w:val="single" w:sz="8" w:color="0000FF"/>
            </w:tcBorders>
            <w:gridSpan w:val="11"/>
          </w:tcPr>
          <w:p>
            <w:pPr>
              <w:spacing w:after="0"/>
              <w:rPr>
                <w:rFonts w:ascii="Arial" w:cs="Arial" w:eastAsia="Arial" w:hAnsi="Arial"/>
                <w:sz w:val="18"/>
                <w:szCs w:val="18"/>
                <w:color w:val="0000FF"/>
                <w:w w:val="89"/>
              </w:rPr>
            </w:pPr>
            <w:hyperlink r:id="rId66">
              <w:r>
                <w:rPr>
                  <w:rFonts w:ascii="Arial" w:cs="Arial" w:eastAsia="Arial" w:hAnsi="Arial"/>
                  <w:sz w:val="18"/>
                  <w:szCs w:val="18"/>
                  <w:color w:val="0000FF"/>
                  <w:w w:val="89"/>
                </w:rPr>
                <w:t>Eighth Amendment to Credit Agreement, dated as of June 24, 2021, among Booz Allen Hamilton Inc., as Borrower, Booz Allen Hamilton</w:t>
              </w:r>
            </w:hyperlink>
          </w:p>
        </w:tc>
        <w:tc>
          <w:tcPr>
            <w:tcW w:w="600" w:type="dxa"/>
            <w:vAlign w:val="bottom"/>
            <w:gridSpan w:val="10"/>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00" w:type="dxa"/>
            <w:vAlign w:val="bottom"/>
            <w:tcBorders>
              <w:bottom w:val="single" w:sz="8" w:color="0000FF"/>
            </w:tcBorders>
            <w:gridSpan w:val="14"/>
          </w:tcPr>
          <w:p>
            <w:pPr>
              <w:spacing w:after="0" w:line="164"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Investor Corporation, eGov Holdings, Inc. and Aquilent, Inc., as Guarantors, Bank of America, N.A., as Administrative Agent and Collateral</w:t>
              </w:r>
            </w:hyperlink>
          </w:p>
        </w:tc>
        <w:tc>
          <w:tcPr>
            <w:tcW w:w="4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300" w:type="dxa"/>
            <w:vAlign w:val="bottom"/>
            <w:gridSpan w:val="21"/>
          </w:tcPr>
          <w:p>
            <w:pPr>
              <w:spacing w:after="0" w:line="164"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Agent and the other Lenders and financial institutions from time to time party thereto (Incorporated by reference to Exhibit 10.1 to the Company’s</w:t>
              </w:r>
            </w:hyperlink>
          </w:p>
        </w:tc>
        <w:tc>
          <w:tcPr>
            <w:tcW w:w="0" w:type="dxa"/>
            <w:vAlign w:val="bottom"/>
          </w:tcPr>
          <w:p>
            <w:pPr>
              <w:spacing w:after="0"/>
              <w:rPr>
                <w:sz w:val="1"/>
                <w:szCs w:val="1"/>
                <w:color w:val="auto"/>
              </w:rPr>
            </w:pPr>
          </w:p>
        </w:tc>
      </w:tr>
      <w:tr>
        <w:trPr>
          <w:trHeight w:val="164"/>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20" w:type="dxa"/>
            <w:vAlign w:val="bottom"/>
            <w:tcBorders>
              <w:top w:val="single" w:sz="8" w:color="0000FF"/>
              <w:bottom w:val="single" w:sz="8" w:color="0000FF"/>
            </w:tcBorders>
            <w:gridSpan w:val="8"/>
          </w:tcPr>
          <w:p>
            <w:pPr>
              <w:spacing w:after="0" w:line="164"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Current Report on Form 8-K filed on June 25, 2021 (File No. 001-34972))</w:t>
              </w:r>
            </w:hyperlink>
          </w:p>
        </w:tc>
        <w:tc>
          <w:tcPr>
            <w:tcW w:w="504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620" w:type="dxa"/>
            <w:vAlign w:val="bottom"/>
            <w:gridSpan w:val="3"/>
          </w:tcPr>
          <w:p>
            <w:pPr>
              <w:ind w:left="2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300" w:type="dxa"/>
            <w:vAlign w:val="bottom"/>
            <w:gridSpan w:val="21"/>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Form of Performance Restricted Stock Unit Agreement under the Third Amended and Restated Equity Incentive Plan of Booz Allen Hamilton</w:t>
              </w:r>
            </w:hyperlink>
          </w:p>
        </w:tc>
        <w:tc>
          <w:tcPr>
            <w:tcW w:w="0" w:type="dxa"/>
            <w:vAlign w:val="bottom"/>
          </w:tcPr>
          <w:p>
            <w:pPr>
              <w:spacing w:after="0"/>
              <w:rPr>
                <w:sz w:val="1"/>
                <w:szCs w:val="1"/>
                <w:color w:val="auto"/>
              </w:rPr>
            </w:pPr>
          </w:p>
        </w:tc>
      </w:tr>
      <w:tr>
        <w:trPr>
          <w:trHeight w:val="164"/>
        </w:trPr>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0" w:type="dxa"/>
            <w:vAlign w:val="bottom"/>
            <w:tcBorders>
              <w:top w:val="single" w:sz="8" w:color="0000FF"/>
            </w:tcBorders>
            <w:gridSpan w:val="16"/>
          </w:tcPr>
          <w:p>
            <w:pPr>
              <w:spacing w:after="0" w:line="164" w:lineRule="exact"/>
              <w:rPr>
                <w:rFonts w:ascii="Arial" w:cs="Arial" w:eastAsia="Arial" w:hAnsi="Arial"/>
                <w:sz w:val="18"/>
                <w:szCs w:val="18"/>
                <w:color w:val="0000FF"/>
              </w:rPr>
            </w:pPr>
            <w:hyperlink w:anchor="page49">
              <w:r>
                <w:rPr>
                  <w:rFonts w:ascii="Arial" w:cs="Arial" w:eastAsia="Arial" w:hAnsi="Arial"/>
                  <w:sz w:val="18"/>
                  <w:szCs w:val="18"/>
                  <w:color w:val="0000FF"/>
                </w:rPr>
                <w:t>Holding Corporation*</w:t>
              </w:r>
            </w:hyperlink>
          </w:p>
        </w:tc>
        <w:tc>
          <w:tcPr>
            <w:tcW w:w="2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20" w:type="dxa"/>
            <w:vAlign w:val="bottom"/>
            <w:gridSpan w:val="3"/>
          </w:tcPr>
          <w:p>
            <w:pPr>
              <w:ind w:left="20"/>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98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Rule 13a-14(a)/15d-14(a) Certification of the Chief Executive Officer*</w:t>
              </w:r>
            </w:hyperlink>
          </w:p>
        </w:tc>
        <w:tc>
          <w:tcPr>
            <w:tcW w:w="5320" w:type="dxa"/>
            <w:vAlign w:val="bottom"/>
            <w:gridSpan w:val="14"/>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20" w:type="dxa"/>
            <w:vAlign w:val="bottom"/>
            <w:gridSpan w:val="3"/>
          </w:tcPr>
          <w:p>
            <w:pPr>
              <w:ind w:left="2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94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61">
              <w:r>
                <w:rPr>
                  <w:rFonts w:ascii="Arial" w:cs="Arial" w:eastAsia="Arial" w:hAnsi="Arial"/>
                  <w:sz w:val="18"/>
                  <w:szCs w:val="18"/>
                  <w:color w:val="0000FF"/>
                  <w:w w:val="90"/>
                </w:rPr>
                <w:t>Rule 13a-14(a)/15d-14(a) Certification of the Chief Financial Officer*</w:t>
              </w:r>
            </w:hyperlink>
          </w:p>
        </w:tc>
        <w:tc>
          <w:tcPr>
            <w:tcW w:w="536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0" w:type="dxa"/>
            <w:vAlign w:val="bottom"/>
            <w:gridSpan w:val="3"/>
          </w:tcPr>
          <w:p>
            <w:pPr>
              <w:ind w:left="2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300" w:type="dxa"/>
            <w:vAlign w:val="bottom"/>
            <w:gridSpan w:val="21"/>
          </w:tcPr>
          <w:p>
            <w:pPr>
              <w:spacing w:after="0"/>
              <w:rPr>
                <w:rFonts w:ascii="Arial" w:cs="Arial" w:eastAsia="Arial" w:hAnsi="Arial"/>
                <w:sz w:val="18"/>
                <w:szCs w:val="18"/>
                <w:color w:val="0000FF"/>
                <w:w w:val="94"/>
              </w:rPr>
            </w:pPr>
            <w:hyperlink w:anchor="page62">
              <w:r>
                <w:rPr>
                  <w:rFonts w:ascii="Arial" w:cs="Arial" w:eastAsia="Arial" w:hAnsi="Arial"/>
                  <w:sz w:val="18"/>
                  <w:szCs w:val="18"/>
                  <w:color w:val="0000FF"/>
                  <w:w w:val="94"/>
                </w:rPr>
                <w:t>Certification of the Chief Executive Officer required by Rule 13a-14(b) or Rule 15d-14(b) and Section 1350 of Chapter 63 of Title 18 of the</w:t>
              </w:r>
            </w:hyperlink>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20" w:type="dxa"/>
            <w:vAlign w:val="bottom"/>
            <w:tcBorders>
              <w:top w:val="single" w:sz="8" w:color="0000FF"/>
            </w:tcBorders>
            <w:gridSpan w:val="13"/>
          </w:tcPr>
          <w:p>
            <w:pPr>
              <w:spacing w:after="0" w:line="152" w:lineRule="exact"/>
              <w:rPr>
                <w:rFonts w:ascii="Arial" w:cs="Arial" w:eastAsia="Arial" w:hAnsi="Arial"/>
                <w:sz w:val="16"/>
                <w:szCs w:val="16"/>
                <w:color w:val="0000FF"/>
              </w:rPr>
            </w:pPr>
            <w:hyperlink w:anchor="page62">
              <w:r>
                <w:rPr>
                  <w:rFonts w:ascii="Arial" w:cs="Arial" w:eastAsia="Arial" w:hAnsi="Arial"/>
                  <w:sz w:val="16"/>
                  <w:szCs w:val="16"/>
                  <w:color w:val="0000FF"/>
                </w:rPr>
                <w:t>United States Code (18 U.S.C. 1350)*</w:t>
              </w:r>
            </w:hyperlink>
          </w:p>
        </w:tc>
        <w:tc>
          <w:tcPr>
            <w:tcW w:w="4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20" w:type="dxa"/>
            <w:vAlign w:val="bottom"/>
            <w:gridSpan w:val="3"/>
          </w:tcPr>
          <w:p>
            <w:pPr>
              <w:ind w:left="20"/>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300" w:type="dxa"/>
            <w:vAlign w:val="bottom"/>
            <w:gridSpan w:val="21"/>
          </w:tcPr>
          <w:p>
            <w:pPr>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Certification of the Chief Financial Officer required by Rule 13a-14(b) or Rule 15d-14(b) and Section 1350 of Chapter 63 of Title 18 of the United</w:t>
              </w:r>
            </w:hyperlink>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4"/>
          </w:tcPr>
          <w:p>
            <w:pPr>
              <w:spacing w:after="0" w:line="152" w:lineRule="exact"/>
              <w:rPr>
                <w:rFonts w:ascii="Arial" w:cs="Arial" w:eastAsia="Arial" w:hAnsi="Arial"/>
                <w:sz w:val="16"/>
                <w:szCs w:val="16"/>
                <w:color w:val="0000FF"/>
                <w:w w:val="97"/>
              </w:rPr>
            </w:pPr>
            <w:hyperlink w:anchor="page63">
              <w:r>
                <w:rPr>
                  <w:rFonts w:ascii="Arial" w:cs="Arial" w:eastAsia="Arial" w:hAnsi="Arial"/>
                  <w:sz w:val="16"/>
                  <w:szCs w:val="16"/>
                  <w:color w:val="0000FF"/>
                  <w:w w:val="97"/>
                </w:rPr>
                <w:t>States Code (18 U.S.C. 1350)*</w:t>
              </w:r>
            </w:hyperlink>
          </w:p>
        </w:tc>
        <w:tc>
          <w:tcPr>
            <w:tcW w:w="81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900" w:right="60" w:hanging="877"/>
        <w:spacing w:after="0" w:line="255"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following materials from Booz Allen Hamilton Holding Corporation’s Quarterly Report on Form 10-Q for the three months ended June 30, 2021 formatted in Inline XBRL (eXtensible Business Reporting Language): (i) Condensed Consolidated Balance Sheets at June 30, 2021 and March 31, 2021; (ii) Condensed Consolidated Statements of Operations for the three months ended June 30, 2021 and 2020; (iii) Condensed Consolidated Statements of Comprehensive Income for the three months ended June 30, 2021 and 2020; (iv) Condensed Consolidated Statements of Cash Flows for the three months ended June 30, 2021 and 2020; and (v) Notes to Condensed Consolidated Financial Statements.</w:t>
      </w:r>
    </w:p>
    <w:p>
      <w:pPr>
        <w:spacing w:after="0" w:line="44" w:lineRule="exact"/>
        <w:rPr>
          <w:sz w:val="20"/>
          <w:szCs w:val="20"/>
          <w:color w:val="auto"/>
        </w:rPr>
      </w:pPr>
    </w:p>
    <w:p>
      <w:pPr>
        <w:ind w:left="900" w:hanging="877"/>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8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w:t>
      </w:r>
    </w:p>
    <w:p>
      <w:pPr>
        <w:spacing w:after="0" w:line="5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SIGNATURES</w:t>
      </w:r>
    </w:p>
    <w:p>
      <w:pPr>
        <w:spacing w:after="0" w:line="167"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02" w:lineRule="exact"/>
        <w:rPr>
          <w:sz w:val="20"/>
          <w:szCs w:val="20"/>
          <w:color w:val="auto"/>
        </w:rPr>
      </w:pPr>
    </w:p>
    <w:p>
      <w:pPr>
        <w:jc w:val="center"/>
        <w:ind w:left="522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17" w:lineRule="exact"/>
        <w:rPr>
          <w:sz w:val="20"/>
          <w:szCs w:val="20"/>
          <w:color w:val="auto"/>
        </w:rPr>
      </w:pPr>
    </w:p>
    <w:p>
      <w:pPr>
        <w:jc w:val="center"/>
        <w:ind w:left="52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4800" w:val="left"/>
          <w:tab w:leader="none" w:pos="5260" w:val="left"/>
        </w:tabs>
        <w:rPr>
          <w:sz w:val="20"/>
          <w:szCs w:val="20"/>
          <w:color w:val="auto"/>
        </w:rPr>
      </w:pPr>
      <w:r>
        <w:rPr>
          <w:rFonts w:ascii="Arial" w:cs="Arial" w:eastAsia="Arial" w:hAnsi="Arial"/>
          <w:sz w:val="18"/>
          <w:szCs w:val="18"/>
          <w:color w:val="auto"/>
        </w:rPr>
        <w:t>Date: July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10160</wp:posOffset>
            </wp:positionV>
            <wp:extent cx="37852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785235" cy="825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Lloyd W. Howell, Jr.</w:t>
      </w:r>
    </w:p>
    <w:p>
      <w:pPr>
        <w:ind w:left="5280"/>
        <w:spacing w:after="0" w:line="198" w:lineRule="auto"/>
        <w:rPr>
          <w:sz w:val="20"/>
          <w:szCs w:val="20"/>
          <w:color w:val="auto"/>
        </w:rPr>
      </w:pPr>
      <w:r>
        <w:rPr>
          <w:rFonts w:ascii="Arial" w:cs="Arial" w:eastAsia="Arial" w:hAnsi="Arial"/>
          <w:sz w:val="18"/>
          <w:szCs w:val="18"/>
          <w:color w:val="auto"/>
        </w:rPr>
        <w:t>Executive Vice President, Chief Financial Officer and Treasurer</w:t>
      </w:r>
    </w:p>
    <w:p>
      <w:pPr>
        <w:ind w:left="52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480"/>
          </w:cols>
          <w:pgMar w:left="320" w:top="127" w:right="1099" w:bottom="1440" w:gutter="0" w:footer="0" w:header="0"/>
        </w:sectPr>
      </w:pPr>
    </w:p>
    <w:bookmarkStart w:id="48" w:name="page49"/>
    <w:bookmarkEnd w:id="48"/>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Performance Restricted Stock Unit Agreement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THIRD AMENDED AND RESTATED EQUITY INCENTIVE PLAN OF</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BOOZ ALLEN HAMILTON HOLDING CORPORATION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PERFORMANCE RESTRICTED STOCK UNIT AGREEMENT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GRANT NOTICE</w:t>
      </w:r>
    </w:p>
    <w:p>
      <w:pPr>
        <w:spacing w:after="0" w:line="222" w:lineRule="exact"/>
        <w:rPr>
          <w:sz w:val="20"/>
          <w:szCs w:val="20"/>
          <w:color w:val="auto"/>
        </w:rPr>
      </w:pPr>
    </w:p>
    <w:p>
      <w:pPr>
        <w:ind w:right="40" w:firstLine="632"/>
        <w:spacing w:after="0" w:line="295" w:lineRule="auto"/>
        <w:rPr>
          <w:sz w:val="20"/>
          <w:szCs w:val="20"/>
          <w:color w:val="auto"/>
        </w:rPr>
      </w:pPr>
      <w:r>
        <w:rPr>
          <w:rFonts w:ascii="Arial" w:cs="Arial" w:eastAsia="Arial" w:hAnsi="Arial"/>
          <w:sz w:val="17"/>
          <w:szCs w:val="17"/>
          <w:color w:val="auto"/>
        </w:rPr>
        <w:t>Unless otherwise defined herein, the terms defined in the Third Amended and Restated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of Booz Allen Hamilton Holding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shall have the same defined meanings in this Performance Restricted Stock Unit Agreement, which includes the terms in this Grant Notice, including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 Notice</w:t>
      </w:r>
      <w:r>
        <w:rPr>
          <w:rFonts w:ascii="Arial" w:cs="Arial" w:eastAsia="Arial" w:hAnsi="Arial"/>
          <w:sz w:val="17"/>
          <w:szCs w:val="17"/>
          <w:color w:val="auto"/>
        </w:rPr>
        <w:t xml:space="preserv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attached hereto and any special terms and conditions set out in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attached hereto for your country of employment and/or residence (collectively, the “</w:t>
      </w: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144" w:lineRule="exact"/>
        <w:rPr>
          <w:sz w:val="20"/>
          <w:szCs w:val="20"/>
          <w:color w:val="auto"/>
        </w:rPr>
      </w:pPr>
    </w:p>
    <w:p>
      <w:pPr>
        <w:ind w:firstLine="632"/>
        <w:spacing w:after="0" w:line="255" w:lineRule="auto"/>
        <w:rPr>
          <w:sz w:val="20"/>
          <w:szCs w:val="20"/>
          <w:color w:val="auto"/>
        </w:rPr>
      </w:pPr>
      <w:r>
        <w:rPr>
          <w:rFonts w:ascii="Arial" w:cs="Arial" w:eastAsia="Arial" w:hAnsi="Arial"/>
          <w:sz w:val="19"/>
          <w:szCs w:val="19"/>
          <w:color w:val="auto"/>
        </w:rPr>
        <w:t xml:space="preserve">You have been granted performance-based restricted stock units, subject to the terms and conditions of the Plan and this Agreement in an amount, vesting schedule and subject to satisfaction of the performance goals for the applicable performance period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as delivered and made available to you by the Company, which shall be deemed part of and incorporated by reference into this Grant Notice.</w:t>
      </w:r>
    </w:p>
    <w:p>
      <w:pPr>
        <w:spacing w:after="0" w:line="177" w:lineRule="exact"/>
        <w:rPr>
          <w:sz w:val="20"/>
          <w:szCs w:val="20"/>
          <w:color w:val="auto"/>
        </w:rPr>
      </w:pPr>
    </w:p>
    <w:p>
      <w:pPr>
        <w:ind w:firstLine="632"/>
        <w:spacing w:after="0" w:line="284" w:lineRule="auto"/>
        <w:rPr>
          <w:sz w:val="20"/>
          <w:szCs w:val="20"/>
          <w:color w:val="auto"/>
        </w:rPr>
      </w:pPr>
      <w:r>
        <w:rPr>
          <w:rFonts w:ascii="Arial" w:cs="Arial" w:eastAsia="Arial" w:hAnsi="Arial"/>
          <w:sz w:val="17"/>
          <w:szCs w:val="17"/>
          <w:color w:val="auto"/>
        </w:rPr>
        <w:t xml:space="preserve">Your acceptance of this grant indicates your agreement and understanding that the Performance Restricted Stock Units granted herein are subject to all of the terms and conditions contained in the Agreement and the Plan. </w:t>
      </w:r>
      <w:r>
        <w:rPr>
          <w:rFonts w:ascii="Arial" w:cs="Arial" w:eastAsia="Arial" w:hAnsi="Arial"/>
          <w:sz w:val="17"/>
          <w:szCs w:val="17"/>
          <w:b w:val="1"/>
          <w:bCs w:val="1"/>
          <w:color w:val="auto"/>
        </w:rPr>
        <w:t>ACCORDINGLY, PLEASE BE SURE TO READ ALL</w:t>
      </w:r>
    </w:p>
    <w:p>
      <w:pPr>
        <w:spacing w:after="0" w:line="1" w:lineRule="exact"/>
        <w:rPr>
          <w:sz w:val="20"/>
          <w:szCs w:val="20"/>
          <w:color w:val="auto"/>
        </w:rPr>
      </w:pPr>
    </w:p>
    <w:p>
      <w:pPr>
        <w:ind w:right="1080"/>
        <w:spacing w:after="0" w:line="258" w:lineRule="auto"/>
        <w:rPr>
          <w:sz w:val="20"/>
          <w:szCs w:val="20"/>
          <w:color w:val="auto"/>
        </w:rPr>
      </w:pPr>
      <w:r>
        <w:rPr>
          <w:rFonts w:ascii="Arial" w:cs="Arial" w:eastAsia="Arial" w:hAnsi="Arial"/>
          <w:sz w:val="19"/>
          <w:szCs w:val="19"/>
          <w:b w:val="1"/>
          <w:bCs w:val="1"/>
          <w:color w:val="auto"/>
        </w:rPr>
        <w:t xml:space="preserve">OF THE PLAN AND </w:t>
      </w:r>
      <w:r>
        <w:rPr>
          <w:rFonts w:ascii="Arial" w:cs="Arial" w:eastAsia="Arial" w:hAnsi="Arial"/>
          <w:sz w:val="19"/>
          <w:szCs w:val="19"/>
          <w:b w:val="1"/>
          <w:bCs w:val="1"/>
          <w:u w:val="single" w:color="auto"/>
          <w:color w:val="auto"/>
        </w:rPr>
        <w:t>APPENDIX A</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APPENDIX B</w:t>
      </w:r>
      <w:r>
        <w:rPr>
          <w:rFonts w:ascii="Arial" w:cs="Arial" w:eastAsia="Arial" w:hAnsi="Arial"/>
          <w:sz w:val="19"/>
          <w:szCs w:val="19"/>
          <w:b w:val="1"/>
          <w:bCs w:val="1"/>
          <w:color w:val="auto"/>
        </w:rPr>
        <w:t xml:space="preserve"> AND </w:t>
      </w:r>
      <w:r>
        <w:rPr>
          <w:rFonts w:ascii="Arial" w:cs="Arial" w:eastAsia="Arial" w:hAnsi="Arial"/>
          <w:sz w:val="19"/>
          <w:szCs w:val="19"/>
          <w:b w:val="1"/>
          <w:bCs w:val="1"/>
          <w:u w:val="single" w:color="auto"/>
          <w:color w:val="auto"/>
        </w:rPr>
        <w:t>EXHIBIT A</w:t>
      </w:r>
      <w:r>
        <w:rPr>
          <w:rFonts w:ascii="Arial" w:cs="Arial" w:eastAsia="Arial" w:hAnsi="Arial"/>
          <w:sz w:val="19"/>
          <w:szCs w:val="19"/>
          <w:b w:val="1"/>
          <w:bCs w:val="1"/>
          <w:color w:val="auto"/>
        </w:rPr>
        <w:t>, WHICH CONTAIN THE SPECIFIC TERMS AND CONDITIONS OF THE PERFORMANCE RESTRICTED STOCK UNITS.</w:t>
      </w:r>
    </w:p>
    <w:p>
      <w:pPr>
        <w:spacing w:after="0" w:line="172" w:lineRule="exact"/>
        <w:rPr>
          <w:sz w:val="20"/>
          <w:szCs w:val="20"/>
          <w:color w:val="auto"/>
        </w:rPr>
      </w:pPr>
    </w:p>
    <w:p>
      <w:pPr>
        <w:ind w:right="520" w:firstLine="632"/>
        <w:spacing w:after="0" w:line="275" w:lineRule="auto"/>
        <w:rPr>
          <w:sz w:val="20"/>
          <w:szCs w:val="20"/>
          <w:color w:val="auto"/>
        </w:rPr>
      </w:pPr>
      <w:r>
        <w:rPr>
          <w:rFonts w:ascii="Arial" w:cs="Arial" w:eastAsia="Arial" w:hAnsi="Arial"/>
          <w:sz w:val="19"/>
          <w:szCs w:val="19"/>
          <w:color w:val="auto"/>
        </w:rPr>
        <w:t>In order to view the grant details and to accept this grant, please go to Fidelity NetBenefits at www.netbenefits.com and follow the instructions regarding this grant.</w:t>
      </w:r>
    </w:p>
    <w:p>
      <w:pPr>
        <w:sectPr>
          <w:pgSz w:w="11900" w:h="16838" w:orient="portrait"/>
          <w:cols w:equalWidth="0" w:num="1">
            <w:col w:w="11220"/>
          </w:cols>
          <w:pgMar w:left="320" w:top="1440" w:right="359" w:bottom="1440" w:gutter="0" w:footer="0" w:header="0"/>
        </w:sectPr>
      </w:pPr>
    </w:p>
    <w:bookmarkStart w:id="49" w:name="page50"/>
    <w:bookmarkEnd w:id="49"/>
    <w:p>
      <w:pPr>
        <w:spacing w:after="0" w:line="177" w:lineRule="exact"/>
        <w:rPr>
          <w:sz w:val="20"/>
          <w:szCs w:val="20"/>
          <w:color w:val="auto"/>
        </w:rPr>
      </w:pPr>
    </w:p>
    <w:p>
      <w:pPr>
        <w:ind w:left="1823" w:hanging="623"/>
        <w:spacing w:after="0"/>
        <w:tabs>
          <w:tab w:leader="none" w:pos="1823" w:val="left"/>
        </w:tabs>
        <w:numPr>
          <w:ilvl w:val="1"/>
          <w:numId w:val="33"/>
        </w:numPr>
        <w:rPr>
          <w:rFonts w:ascii="Arial" w:cs="Arial" w:eastAsia="Arial" w:hAnsi="Arial"/>
          <w:sz w:val="21"/>
          <w:szCs w:val="21"/>
          <w:color w:val="auto"/>
        </w:rPr>
      </w:pPr>
      <w:r>
        <w:rPr>
          <w:rFonts w:ascii="Arial" w:cs="Arial" w:eastAsia="Arial" w:hAnsi="Arial"/>
          <w:sz w:val="19"/>
          <w:szCs w:val="19"/>
          <w:b w:val="1"/>
          <w:bCs w:val="1"/>
          <w:color w:val="auto"/>
        </w:rPr>
        <w:t>APPENDIX A TO PERFORMANCE RESTRICTED STOCK UNIT AGREEMENT</w:t>
      </w:r>
    </w:p>
    <w:p>
      <w:pPr>
        <w:spacing w:after="0" w:line="198" w:lineRule="exact"/>
        <w:rPr>
          <w:rFonts w:ascii="Arial" w:cs="Arial" w:eastAsia="Arial" w:hAnsi="Arial"/>
          <w:sz w:val="21"/>
          <w:szCs w:val="21"/>
          <w:color w:val="auto"/>
        </w:rPr>
      </w:pPr>
    </w:p>
    <w:p>
      <w:pPr>
        <w:ind w:left="-637" w:firstLine="637"/>
        <w:spacing w:after="0" w:line="280" w:lineRule="auto"/>
        <w:tabs>
          <w:tab w:leader="none" w:pos="626"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 Units</w:t>
      </w:r>
      <w:r>
        <w:rPr>
          <w:rFonts w:ascii="Arial" w:cs="Arial" w:eastAsia="Arial" w:hAnsi="Arial"/>
          <w:sz w:val="17"/>
          <w:szCs w:val="17"/>
          <w:color w:val="auto"/>
        </w:rPr>
        <w:t xml:space="preserve">. Subject to the terms, conditions, and restrictions set forth in this Agreement (including the Grant Notice and any special terms and conditions for the Participant’s country set forth in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to this Agreement) and in the Plan, the Company hereby evidences and confirms its grant to the Participant, effective as of the Grant Date, of the target number of performance restricted stock units (the “</w:t>
      </w:r>
      <w:r>
        <w:rPr>
          <w:rFonts w:ascii="Arial" w:cs="Arial" w:eastAsia="Arial" w:hAnsi="Arial"/>
          <w:sz w:val="17"/>
          <w:szCs w:val="17"/>
          <w:u w:val="single" w:color="auto"/>
          <w:color w:val="auto"/>
        </w:rPr>
        <w:t>Target Award</w:t>
      </w:r>
      <w:r>
        <w:rPr>
          <w:rFonts w:ascii="Arial" w:cs="Arial" w:eastAsia="Arial" w:hAnsi="Arial"/>
          <w:sz w:val="17"/>
          <w:szCs w:val="17"/>
          <w:color w:val="auto"/>
        </w:rPr>
        <w:t>”) specified in the Grant Notice. Each performance restricted stock unit (a “</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xml:space="preserve">”) represents the right to receive between zero and 2.2 shares of Company Common Stock, subject to the terms and conditions set forth in this Agreement (including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and in the Plan. Except as otherwise provided in Section 2, the number of Restricted Stock Units that the Participant shall actually earn for the Performance Period (up to the maximum specified in the Grant Notice) will be determined by the Administrator based on the level of achievement of the performance goals specified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Performance Goals</w:t>
      </w:r>
      <w:r>
        <w:rPr>
          <w:rFonts w:ascii="Arial" w:cs="Arial" w:eastAsia="Arial" w:hAnsi="Arial"/>
          <w:sz w:val="17"/>
          <w:szCs w:val="17"/>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 Any capitalized terms used herein without definition shall have the meanings set forth in the Plan.</w:t>
      </w:r>
    </w:p>
    <w:p>
      <w:pPr>
        <w:spacing w:after="0" w:line="162" w:lineRule="exact"/>
        <w:rPr>
          <w:rFonts w:ascii="Arial" w:cs="Arial" w:eastAsia="Arial" w:hAnsi="Arial"/>
          <w:sz w:val="17"/>
          <w:szCs w:val="17"/>
          <w:color w:val="auto"/>
        </w:rPr>
      </w:pPr>
    </w:p>
    <w:p>
      <w:pPr>
        <w:ind w:left="623" w:hanging="623"/>
        <w:spacing w:after="0"/>
        <w:tabs>
          <w:tab w:leader="none" w:pos="623"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Vesting of Restricted Stock Units</w:t>
      </w:r>
      <w:r>
        <w:rPr>
          <w:rFonts w:ascii="Arial" w:cs="Arial" w:eastAsia="Arial" w:hAnsi="Arial"/>
          <w:sz w:val="19"/>
          <w:szCs w:val="19"/>
          <w:color w:val="auto"/>
        </w:rPr>
        <w:t>.</w:t>
      </w:r>
    </w:p>
    <w:p>
      <w:pPr>
        <w:spacing w:after="0" w:line="216" w:lineRule="exact"/>
        <w:rPr>
          <w:sz w:val="20"/>
          <w:szCs w:val="20"/>
          <w:color w:val="auto"/>
        </w:rPr>
      </w:pPr>
    </w:p>
    <w:p>
      <w:pPr>
        <w:ind w:left="-637" w:right="300" w:firstLine="637"/>
        <w:spacing w:after="0" w:line="251" w:lineRule="auto"/>
        <w:tabs>
          <w:tab w:leader="none" w:pos="617"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For purposes of this Agreement, the term “</w:t>
      </w:r>
      <w:r>
        <w:rPr>
          <w:rFonts w:ascii="Arial" w:cs="Arial" w:eastAsia="Arial" w:hAnsi="Arial"/>
          <w:sz w:val="19"/>
          <w:szCs w:val="19"/>
          <w:u w:val="single" w:color="auto"/>
          <w:color w:val="auto"/>
        </w:rPr>
        <w:t>Performance Period</w:t>
      </w:r>
      <w:r>
        <w:rPr>
          <w:rFonts w:ascii="Arial" w:cs="Arial" w:eastAsia="Arial" w:hAnsi="Arial"/>
          <w:sz w:val="19"/>
          <w:szCs w:val="19"/>
          <w:color w:val="auto"/>
        </w:rPr>
        <w:t xml:space="preserve">” shall mean the period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Restricted Stock Units are subject to forfeiture until they vest. Except as otherwise provided in this Section 2, the Restricted Stock Units shall become vested as of the vesting date specified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Vesting Date</w:t>
      </w:r>
      <w:r>
        <w:rPr>
          <w:rFonts w:ascii="Arial" w:cs="Arial" w:eastAsia="Arial" w:hAnsi="Arial"/>
          <w:sz w:val="19"/>
          <w:szCs w:val="19"/>
          <w:color w:val="auto"/>
        </w:rPr>
        <w:t xml:space="preserve">”), subject to the continued employment or service of the Participant by the Company or any Subsidiary thereof through the Vesting Date, and to the achievement of the Performance Goals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for the Performance Period as determined by the Administrator pursuant to Section 3(a). Restricted Stock Units that do not vest in accordance with this Section 2 shall be forfeited.</w:t>
      </w:r>
    </w:p>
    <w:p>
      <w:pPr>
        <w:spacing w:after="0" w:line="181" w:lineRule="exact"/>
        <w:rPr>
          <w:rFonts w:ascii="Arial" w:cs="Arial" w:eastAsia="Arial" w:hAnsi="Arial"/>
          <w:sz w:val="19"/>
          <w:szCs w:val="19"/>
          <w:color w:val="auto"/>
        </w:rPr>
      </w:pPr>
    </w:p>
    <w:p>
      <w:pPr>
        <w:ind w:left="623" w:hanging="623"/>
        <w:spacing w:after="0"/>
        <w:tabs>
          <w:tab w:leader="none" w:pos="623"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w:t>
      </w:r>
    </w:p>
    <w:p>
      <w:pPr>
        <w:spacing w:after="0" w:line="215" w:lineRule="exact"/>
        <w:rPr>
          <w:rFonts w:ascii="Arial" w:cs="Arial" w:eastAsia="Arial" w:hAnsi="Arial"/>
          <w:sz w:val="19"/>
          <w:szCs w:val="19"/>
          <w:color w:val="auto"/>
        </w:rPr>
      </w:pPr>
    </w:p>
    <w:p>
      <w:pPr>
        <w:ind w:left="-637" w:right="100" w:firstLine="1268"/>
        <w:spacing w:after="0" w:line="260" w:lineRule="auto"/>
        <w:tabs>
          <w:tab w:leader="none" w:pos="1256"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Termination Due to Death</w:t>
      </w:r>
      <w:r>
        <w:rPr>
          <w:rFonts w:ascii="Arial" w:cs="Arial" w:eastAsia="Arial" w:hAnsi="Arial"/>
          <w:sz w:val="19"/>
          <w:szCs w:val="19"/>
          <w:color w:val="auto"/>
        </w:rPr>
        <w:t>. If a Participant’s employment or service terminates due to the Participant’s death prior to the Vesting Date, all unvested Restricted Stock Units shall vest on the effective date of such termination of employment or service at Target Award levels. Vested Restricted Stock Units shall be settled as set forth in Section 3.</w:t>
      </w:r>
    </w:p>
    <w:p>
      <w:pPr>
        <w:spacing w:after="0" w:line="171" w:lineRule="exact"/>
        <w:rPr>
          <w:rFonts w:ascii="Arial" w:cs="Arial" w:eastAsia="Arial" w:hAnsi="Arial"/>
          <w:sz w:val="19"/>
          <w:szCs w:val="19"/>
          <w:color w:val="auto"/>
        </w:rPr>
      </w:pPr>
    </w:p>
    <w:p>
      <w:pPr>
        <w:ind w:left="-637" w:right="20" w:firstLine="1268"/>
        <w:spacing w:after="0" w:line="266" w:lineRule="auto"/>
        <w:tabs>
          <w:tab w:leader="none" w:pos="1257"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Termination by Reason of Disability</w:t>
      </w:r>
      <w:r>
        <w:rPr>
          <w:rFonts w:ascii="Arial" w:cs="Arial" w:eastAsia="Arial" w:hAnsi="Arial"/>
          <w:sz w:val="18"/>
          <w:szCs w:val="18"/>
          <w:color w:val="auto"/>
        </w:rPr>
        <w:t xml:space="preserve">. If a Participant’s employment or service terminates prior to the Vesting Date by reason of the Participant’s Disability, then, the Participant’s unvested Restricted Stock Units shall vest as of the Vesting Date in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amount of the Restricted Stock Units that would have been earned and vested in accordance with Section 2(a) based on actual achievement of the Performance Goals as if the Participant’s employment or service had not terminated, with such amount prorated for the portion of the Performance Period that lapsed prior to the Participant’s termination of employment or service;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transition period (within the meaning of the Company’s Transition Policy, as may be amended from time to time) shall not be considered a period of employment or service for purposes of calculating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amount. Vested Restricted Stock Units shall be settled as set forth in Section 3.</w:t>
      </w:r>
    </w:p>
    <w:p>
      <w:pPr>
        <w:spacing w:after="0" w:line="170" w:lineRule="exact"/>
        <w:rPr>
          <w:rFonts w:ascii="Arial" w:cs="Arial" w:eastAsia="Arial" w:hAnsi="Arial"/>
          <w:sz w:val="18"/>
          <w:szCs w:val="18"/>
          <w:color w:val="auto"/>
        </w:rPr>
      </w:pPr>
    </w:p>
    <w:p>
      <w:pPr>
        <w:ind w:left="-637" w:right="140" w:firstLine="1268"/>
        <w:spacing w:after="0" w:line="275" w:lineRule="auto"/>
        <w:tabs>
          <w:tab w:leader="none" w:pos="1258"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Retirement</w:t>
      </w:r>
      <w:r>
        <w:rPr>
          <w:rFonts w:ascii="Arial" w:cs="Arial" w:eastAsia="Arial" w:hAnsi="Arial"/>
          <w:sz w:val="19"/>
          <w:szCs w:val="19"/>
          <w:color w:val="auto"/>
        </w:rPr>
        <w:t>. (</w:t>
      </w:r>
      <w:r>
        <w:rPr>
          <w:rFonts w:ascii="Arial" w:cs="Arial" w:eastAsia="Arial" w:hAnsi="Arial"/>
          <w:sz w:val="19"/>
          <w:szCs w:val="19"/>
          <w:u w:val="single" w:color="auto"/>
          <w:color w:val="auto"/>
        </w:rPr>
        <w:t>A</w:t>
      </w:r>
      <w:r>
        <w:rPr>
          <w:rFonts w:ascii="Arial" w:cs="Arial" w:eastAsia="Arial" w:hAnsi="Arial"/>
          <w:sz w:val="19"/>
          <w:szCs w:val="19"/>
          <w:color w:val="auto"/>
        </w:rPr>
        <w:t>) If a Participant’s employment or service terminates prior to the Vesting Date by reason of a Participant’s Qualifying Permanent Retirement</w:t>
      </w:r>
    </w:p>
    <w:p>
      <w:pPr>
        <w:sectPr>
          <w:pgSz w:w="11900" w:h="16838" w:orient="portrait"/>
          <w:cols w:equalWidth="0" w:num="1">
            <w:col w:w="10603"/>
          </w:cols>
          <w:pgMar w:left="957" w:top="1440" w:right="339" w:bottom="1440" w:gutter="0" w:footer="0" w:header="0"/>
        </w:sectPr>
      </w:pPr>
    </w:p>
    <w:bookmarkStart w:id="50" w:name="page51"/>
    <w:bookmarkEnd w:id="50"/>
    <w:p>
      <w:pPr>
        <w:spacing w:after="0" w:line="15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defined below), provided that such termination occurs on or after March 31 (or if March 31 is not a business day, the last business day prior to March 31) of the first fiscal year of the Performance Period, the unvested Restricted Stock Units shall vest in accordance with Section 2(a) based on actual achievement of the Performance Goals as if the Participant’s employment or service had not terminated; (</w:t>
      </w:r>
      <w:r>
        <w:rPr>
          <w:rFonts w:ascii="Arial" w:cs="Arial" w:eastAsia="Arial" w:hAnsi="Arial"/>
          <w:sz w:val="17"/>
          <w:szCs w:val="17"/>
          <w:u w:val="single" w:color="auto"/>
          <w:color w:val="auto"/>
        </w:rPr>
        <w:t>B</w:t>
      </w:r>
      <w:r>
        <w:rPr>
          <w:rFonts w:ascii="Arial" w:cs="Arial" w:eastAsia="Arial" w:hAnsi="Arial"/>
          <w:sz w:val="17"/>
          <w:szCs w:val="17"/>
          <w:color w:val="auto"/>
        </w:rPr>
        <w:t>) if a Participant’s employment or service terminates prior to March 31 (or if March 31 is not a business day, the last business day prior to March 31) of the first fiscal year of the Performance Period by reason of a Participant’s retirement (notwithstanding that such retirement may otherwise qualify as a Qualifying Permanent Retirement), all unvested Restricted Stock Units shall immediately be forfeited as of the termination date; and (</w:t>
      </w:r>
      <w:r>
        <w:rPr>
          <w:rFonts w:ascii="Arial" w:cs="Arial" w:eastAsia="Arial" w:hAnsi="Arial"/>
          <w:sz w:val="17"/>
          <w:szCs w:val="17"/>
          <w:u w:val="single" w:color="auto"/>
          <w:color w:val="auto"/>
        </w:rPr>
        <w:t>C</w:t>
      </w:r>
      <w:r>
        <w:rPr>
          <w:rFonts w:ascii="Arial" w:cs="Arial" w:eastAsia="Arial" w:hAnsi="Arial"/>
          <w:sz w:val="17"/>
          <w:szCs w:val="17"/>
          <w:color w:val="auto"/>
        </w:rPr>
        <w:t>) if a Participant’s employment or service terminates at any point prior to the Vesting Date by reason of a Participant’s retirement that at any point during the Performance Period does not constitute a Qualifying Permanent Retirement, all unvested Restricted Stock Units shall immediately be forfeited as of the termination date or, if later, the date such retirement does not constitute a Qualifying Permanent Retirement. Vested Restricted Stock Units shall be settled as set forth in Section 3. “</w:t>
      </w:r>
      <w:r>
        <w:rPr>
          <w:rFonts w:ascii="Arial" w:cs="Arial" w:eastAsia="Arial" w:hAnsi="Arial"/>
          <w:sz w:val="17"/>
          <w:szCs w:val="17"/>
          <w:u w:val="single" w:color="auto"/>
          <w:color w:val="auto"/>
        </w:rPr>
        <w:t>Qualifying Permanent Retirement</w:t>
      </w:r>
      <w:r>
        <w:rPr>
          <w:rFonts w:ascii="Arial" w:cs="Arial" w:eastAsia="Arial" w:hAnsi="Arial"/>
          <w:sz w:val="17"/>
          <w:szCs w:val="17"/>
          <w:color w:val="auto"/>
        </w:rPr>
        <w:t>” means a termination of the Participant’s employment or service by reason of a retirement (</w:t>
      </w:r>
      <w:r>
        <w:rPr>
          <w:rFonts w:ascii="Arial" w:cs="Arial" w:eastAsia="Arial" w:hAnsi="Arial"/>
          <w:sz w:val="17"/>
          <w:szCs w:val="17"/>
          <w:u w:val="single" w:color="auto"/>
          <w:color w:val="auto"/>
        </w:rPr>
        <w:t>I</w:t>
      </w:r>
      <w:r>
        <w:rPr>
          <w:rFonts w:ascii="Arial" w:cs="Arial" w:eastAsia="Arial" w:hAnsi="Arial"/>
          <w:sz w:val="17"/>
          <w:szCs w:val="17"/>
          <w:color w:val="auto"/>
        </w:rPr>
        <w:t>) in accordance with the applicable Company retirement policy (as may be amended from time to time) and (</w:t>
      </w:r>
      <w:r>
        <w:rPr>
          <w:rFonts w:ascii="Arial" w:cs="Arial" w:eastAsia="Arial" w:hAnsi="Arial"/>
          <w:sz w:val="17"/>
          <w:szCs w:val="17"/>
          <w:u w:val="single" w:color="auto"/>
          <w:color w:val="auto"/>
        </w:rPr>
        <w:t>II</w:t>
      </w:r>
      <w:r>
        <w:rPr>
          <w:rFonts w:ascii="Arial" w:cs="Arial" w:eastAsia="Arial" w:hAnsi="Arial"/>
          <w:sz w:val="17"/>
          <w:szCs w:val="17"/>
          <w:color w:val="auto"/>
        </w:rPr>
        <w:t>) that is a permanent retirement from all current and future employment, including but not limited to self-employment, unless such employment is approved by the Company in writing in advance of the Participant commencing such employment.</w:t>
      </w:r>
    </w:p>
    <w:p>
      <w:pPr>
        <w:spacing w:after="0" w:line="164" w:lineRule="exact"/>
        <w:rPr>
          <w:sz w:val="20"/>
          <w:szCs w:val="20"/>
          <w:color w:val="auto"/>
        </w:rPr>
      </w:pPr>
    </w:p>
    <w:p>
      <w:pPr>
        <w:ind w:right="160" w:firstLine="1268"/>
        <w:spacing w:after="0" w:line="251" w:lineRule="auto"/>
        <w:tabs>
          <w:tab w:leader="none" w:pos="1884"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a Participant’s employment or service terminates for Cause, all unvested Restricted Stock Units shall be immediately forfeited and canceled, effective as of the date of the Participant’s termination of service. In addition, any Restricted Stock Units that vested during the twelve (12) months prior to or any time after the Participant engaged in the conduct that gave rise to the termination for Cause (and any stock or cash issued in settlement of such Restricted Stock Units) shall upon demand by the Administrator be immediately forfeited and disgorged or paid to the Company together with all gains earned or accrued due to the sale of Stock issued in settlement of any Restricted Stock Units.</w:t>
      </w:r>
    </w:p>
    <w:p>
      <w:pPr>
        <w:spacing w:after="0" w:line="181" w:lineRule="exact"/>
        <w:rPr>
          <w:rFonts w:ascii="Arial" w:cs="Arial" w:eastAsia="Arial" w:hAnsi="Arial"/>
          <w:sz w:val="19"/>
          <w:szCs w:val="19"/>
          <w:color w:val="auto"/>
        </w:rPr>
      </w:pPr>
    </w:p>
    <w:p>
      <w:pPr>
        <w:ind w:right="60" w:firstLine="1268"/>
        <w:spacing w:after="0" w:line="336" w:lineRule="auto"/>
        <w:tabs>
          <w:tab w:leader="none" w:pos="1883"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Termination for Any Other Reason</w:t>
      </w:r>
      <w:r>
        <w:rPr>
          <w:rFonts w:ascii="Arial" w:cs="Arial" w:eastAsia="Arial" w:hAnsi="Arial"/>
          <w:sz w:val="17"/>
          <w:szCs w:val="17"/>
          <w:color w:val="auto"/>
        </w:rPr>
        <w:t>. If a Participant’s employment terminates for any reason other than death, Disability, in a Qualifying Permanent Retirement or by the Company for Cause, all unvested Restricted Stock Units shall immediately be forfeited.</w:t>
      </w:r>
    </w:p>
    <w:p>
      <w:pPr>
        <w:spacing w:after="0" w:line="110" w:lineRule="exact"/>
        <w:rPr>
          <w:rFonts w:ascii="Arial" w:cs="Arial" w:eastAsia="Arial" w:hAnsi="Arial"/>
          <w:sz w:val="17"/>
          <w:szCs w:val="17"/>
          <w:color w:val="auto"/>
        </w:rPr>
      </w:pPr>
    </w:p>
    <w:p>
      <w:pPr>
        <w:ind w:firstLine="637"/>
        <w:spacing w:after="0" w:line="263" w:lineRule="auto"/>
        <w:tabs>
          <w:tab w:leader="none" w:pos="125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In the event of a Change in Control prior to the Vesting Date, notwithstanding anything in Article XIII of the Plan to the contrary, an amount of Restricted Stock Units equal to the Target Award shall remain outstanding and shall vest on the Vesting Date, subject to the continued employment or service of the Participant by the Company or any Subsidiary thereof through such date, but without regard to achievement of any Performance Goals;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Participant’s employment or service is terminated by the Company without Cause or for Good Reason (each, a “</w:t>
      </w:r>
      <w:r>
        <w:rPr>
          <w:rFonts w:ascii="Arial" w:cs="Arial" w:eastAsia="Arial" w:hAnsi="Arial"/>
          <w:sz w:val="18"/>
          <w:szCs w:val="18"/>
          <w:u w:val="single" w:color="auto"/>
          <w:color w:val="auto"/>
        </w:rPr>
        <w:t>Qualifying CIC Termination</w:t>
      </w:r>
      <w:r>
        <w:rPr>
          <w:rFonts w:ascii="Arial" w:cs="Arial" w:eastAsia="Arial" w:hAnsi="Arial"/>
          <w:sz w:val="18"/>
          <w:szCs w:val="18"/>
          <w:color w:val="auto"/>
        </w:rPr>
        <w:t>”) within two (2) years following the effective date of the Change in Control, such outstanding Restricted Stock Units shall vest as of the date of such Qualifying CIC Termination. Vested Restricted Stock Units shall be settled as set forth in Section 3. For purposes of this Agreement, “</w:t>
      </w:r>
      <w:r>
        <w:rPr>
          <w:rFonts w:ascii="Arial" w:cs="Arial" w:eastAsia="Arial" w:hAnsi="Arial"/>
          <w:sz w:val="18"/>
          <w:szCs w:val="18"/>
          <w:u w:val="single" w:color="auto"/>
          <w:color w:val="auto"/>
        </w:rPr>
        <w:t>Good Reason</w:t>
      </w:r>
      <w:r>
        <w:rPr>
          <w:rFonts w:ascii="Arial" w:cs="Arial" w:eastAsia="Arial" w:hAnsi="Arial"/>
          <w:sz w:val="18"/>
          <w:szCs w:val="18"/>
          <w:color w:val="auto"/>
        </w:rPr>
        <w:t>” means (</w:t>
      </w:r>
      <w:r>
        <w:rPr>
          <w:rFonts w:ascii="Arial" w:cs="Arial" w:eastAsia="Arial" w:hAnsi="Arial"/>
          <w:sz w:val="18"/>
          <w:szCs w:val="18"/>
          <w:u w:val="single" w:color="auto"/>
          <w:color w:val="auto"/>
        </w:rPr>
        <w:t>i</w:t>
      </w:r>
      <w:r>
        <w:rPr>
          <w:rFonts w:ascii="Arial" w:cs="Arial" w:eastAsia="Arial" w:hAnsi="Arial"/>
          <w:sz w:val="18"/>
          <w:szCs w:val="18"/>
          <w:color w:val="auto"/>
        </w:rPr>
        <w:t>) if a Participant is a party to an employment or service agreement with the Company and such agreement provides for a definition of Good Reason, the definition contained therein; or (</w:t>
      </w:r>
      <w:r>
        <w:rPr>
          <w:rFonts w:ascii="Arial" w:cs="Arial" w:eastAsia="Arial" w:hAnsi="Arial"/>
          <w:sz w:val="18"/>
          <w:szCs w:val="18"/>
          <w:u w:val="single" w:color="auto"/>
          <w:color w:val="auto"/>
        </w:rPr>
        <w:t>ii</w:t>
      </w:r>
      <w:r>
        <w:rPr>
          <w:rFonts w:ascii="Arial" w:cs="Arial" w:eastAsia="Arial" w:hAnsi="Arial"/>
          <w:sz w:val="18"/>
          <w:szCs w:val="18"/>
          <w:color w:val="auto"/>
        </w:rPr>
        <w:t>) if no such agreement exists or if such agreement does not define Good Reason, the occurrence of one or more of the following without the Participant’s express written consent, which circumstances are not remedied by the Company within thirty (30) days of its receipt of a written notice from the Participant describing the applicable circumstances (which notice must be provided by the Participant within ninety (90) days of the Participant’s knowledge of the applicable circumstances): (</w:t>
      </w:r>
      <w:r>
        <w:rPr>
          <w:rFonts w:ascii="Arial" w:cs="Arial" w:eastAsia="Arial" w:hAnsi="Arial"/>
          <w:sz w:val="18"/>
          <w:szCs w:val="18"/>
          <w:u w:val="single" w:color="auto"/>
          <w:color w:val="auto"/>
        </w:rPr>
        <w:t>A</w:t>
      </w:r>
      <w:r>
        <w:rPr>
          <w:rFonts w:ascii="Arial" w:cs="Arial" w:eastAsia="Arial" w:hAnsi="Arial"/>
          <w:sz w:val="18"/>
          <w:szCs w:val="18"/>
          <w:color w:val="auto"/>
        </w:rPr>
        <w:t>) any material, adverse change in the Participant’s duties, responsibilities or authority; (</w:t>
      </w:r>
      <w:r>
        <w:rPr>
          <w:rFonts w:ascii="Arial" w:cs="Arial" w:eastAsia="Arial" w:hAnsi="Arial"/>
          <w:sz w:val="18"/>
          <w:szCs w:val="18"/>
          <w:u w:val="single" w:color="auto"/>
          <w:color w:val="auto"/>
        </w:rPr>
        <w:t>B</w:t>
      </w:r>
      <w:r>
        <w:rPr>
          <w:rFonts w:ascii="Arial" w:cs="Arial" w:eastAsia="Arial" w:hAnsi="Arial"/>
          <w:sz w:val="18"/>
          <w:szCs w:val="18"/>
          <w:color w:val="auto"/>
        </w:rPr>
        <w:t>) a material</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57" w:lineRule="exact"/>
        <w:rPr>
          <w:sz w:val="20"/>
          <w:szCs w:val="20"/>
          <w:color w:val="auto"/>
        </w:rPr>
      </w:pPr>
    </w:p>
    <w:p>
      <w:pPr>
        <w:ind w:right="220"/>
        <w:spacing w:after="0" w:line="275" w:lineRule="auto"/>
        <w:rPr>
          <w:sz w:val="20"/>
          <w:szCs w:val="20"/>
          <w:color w:val="auto"/>
        </w:rPr>
      </w:pPr>
      <w:r>
        <w:rPr>
          <w:rFonts w:ascii="Arial" w:cs="Arial" w:eastAsia="Arial" w:hAnsi="Arial"/>
          <w:sz w:val="19"/>
          <w:szCs w:val="19"/>
          <w:color w:val="auto"/>
        </w:rPr>
        <w:t>reduction in the Participant’s base salary or bonus opportunity; or (</w:t>
      </w:r>
      <w:r>
        <w:rPr>
          <w:rFonts w:ascii="Arial" w:cs="Arial" w:eastAsia="Arial" w:hAnsi="Arial"/>
          <w:sz w:val="19"/>
          <w:szCs w:val="19"/>
          <w:u w:val="single" w:color="auto"/>
          <w:color w:val="auto"/>
        </w:rPr>
        <w:t>C</w:t>
      </w:r>
      <w:r>
        <w:rPr>
          <w:rFonts w:ascii="Arial" w:cs="Arial" w:eastAsia="Arial" w:hAnsi="Arial"/>
          <w:sz w:val="19"/>
          <w:szCs w:val="19"/>
          <w:color w:val="auto"/>
        </w:rPr>
        <w:t>) a geographical relocation of the Participant’s principal office location by more than fifty (50) miles (other than a temporary geographical relocation for business reasons).</w:t>
      </w:r>
    </w:p>
    <w:p>
      <w:pPr>
        <w:spacing w:after="0" w:line="157" w:lineRule="exact"/>
        <w:rPr>
          <w:sz w:val="20"/>
          <w:szCs w:val="20"/>
          <w:color w:val="auto"/>
        </w:rPr>
      </w:pPr>
    </w:p>
    <w:p>
      <w:pPr>
        <w:ind w:right="100" w:firstLine="637"/>
        <w:spacing w:after="0" w:line="270" w:lineRule="auto"/>
        <w:tabs>
          <w:tab w:leader="none" w:pos="125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Other Forfeiture Provisions</w:t>
      </w:r>
      <w:r>
        <w:rPr>
          <w:rFonts w:ascii="Arial" w:cs="Arial" w:eastAsia="Arial" w:hAnsi="Arial"/>
          <w:sz w:val="18"/>
          <w:szCs w:val="18"/>
          <w:color w:val="auto"/>
        </w:rPr>
        <w:t>. The Restricted Stock Units shall also be forfeited and subject to disgorgement and/or repayment to the Company in the event the Participant (</w:t>
      </w:r>
      <w:r>
        <w:rPr>
          <w:rFonts w:ascii="Arial" w:cs="Arial" w:eastAsia="Arial" w:hAnsi="Arial"/>
          <w:sz w:val="18"/>
          <w:szCs w:val="18"/>
          <w:u w:val="single" w:color="auto"/>
          <w:color w:val="auto"/>
        </w:rPr>
        <w:t>i</w:t>
      </w:r>
      <w:r>
        <w:rPr>
          <w:rFonts w:ascii="Arial" w:cs="Arial" w:eastAsia="Arial" w:hAnsi="Arial"/>
          <w:sz w:val="18"/>
          <w:szCs w:val="18"/>
          <w:color w:val="auto"/>
        </w:rPr>
        <w:t>) engages in financial or other misconduct (including but not limited to engaging in Competitive Activity (excluding, only of if the Participant is located in California, clause (a) of the definition of Competitive Activity contained in the Plan)) or as required by Applicable Law, as provided in the Plan or (</w:t>
      </w:r>
      <w:r>
        <w:rPr>
          <w:rFonts w:ascii="Arial" w:cs="Arial" w:eastAsia="Arial" w:hAnsi="Arial"/>
          <w:sz w:val="18"/>
          <w:szCs w:val="18"/>
          <w:u w:val="single" w:color="auto"/>
          <w:color w:val="auto"/>
        </w:rPr>
        <w:t>ii</w:t>
      </w:r>
      <w:r>
        <w:rPr>
          <w:rFonts w:ascii="Arial" w:cs="Arial" w:eastAsia="Arial" w:hAnsi="Arial"/>
          <w:sz w:val="18"/>
          <w:szCs w:val="18"/>
          <w:color w:val="auto"/>
        </w:rPr>
        <w:t>) materially violates any restrictive covenant agreement (or any other agreement containing restrictive covenants) that the Participant has entered into with the Company.</w:t>
      </w:r>
    </w:p>
    <w:p>
      <w:pPr>
        <w:spacing w:after="0" w:line="164" w:lineRule="exact"/>
        <w:rPr>
          <w:rFonts w:ascii="Arial" w:cs="Arial" w:eastAsia="Arial" w:hAnsi="Arial"/>
          <w:sz w:val="18"/>
          <w:szCs w:val="18"/>
          <w:color w:val="auto"/>
        </w:rPr>
      </w:pPr>
    </w:p>
    <w:p>
      <w:pPr>
        <w:ind w:firstLine="637"/>
        <w:spacing w:after="0" w:line="295" w:lineRule="auto"/>
        <w:tabs>
          <w:tab w:leader="none" w:pos="1254"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Administrator Discretion</w:t>
      </w:r>
      <w:r>
        <w:rPr>
          <w:rFonts w:ascii="Arial" w:cs="Arial" w:eastAsia="Arial" w:hAnsi="Arial"/>
          <w:sz w:val="17"/>
          <w:szCs w:val="17"/>
          <w:color w:val="auto"/>
        </w:rPr>
        <w:t xml:space="preserve">. Notwithstanding anything contained in this Agreement to the contrary, subject to Article XIII of the Plan, the Administrator, in its sole discretion, may waive forfeiture provisions or accelerate the vesting with respect to any Restricted Stock Units under this Agreement, at such times and upon such terms and conditions as the Administrator shall determine;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such waiver or acceleration of vesting shall not change the settlement date of the Restricted Stock Units provided in Section 3 of this Agreement.</w:t>
      </w:r>
    </w:p>
    <w:p>
      <w:pPr>
        <w:spacing w:after="0" w:line="144" w:lineRule="exact"/>
        <w:rPr>
          <w:rFonts w:ascii="Arial" w:cs="Arial" w:eastAsia="Arial" w:hAnsi="Arial"/>
          <w:sz w:val="17"/>
          <w:szCs w:val="17"/>
          <w:color w:val="auto"/>
        </w:rPr>
      </w:pPr>
    </w:p>
    <w:p>
      <w:pPr>
        <w:ind w:right="80" w:firstLine="637"/>
        <w:spacing w:after="0" w:line="265" w:lineRule="auto"/>
        <w:tabs>
          <w:tab w:leader="none" w:pos="1259"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Post-Termination Informational Requirements</w:t>
      </w:r>
      <w:r>
        <w:rPr>
          <w:rFonts w:ascii="Arial" w:cs="Arial" w:eastAsia="Arial" w:hAnsi="Arial"/>
          <w:sz w:val="18"/>
          <w:szCs w:val="18"/>
          <w:color w:val="auto"/>
        </w:rPr>
        <w:t>. Before the settlement of any Restricted Stock Units following termination of employment or service, the Company may require the Participant (or the Participant’s Eligible Representative, if applicable) to make such representations and provide such documents as the Administrator deems necessary or advisable to determine whether the provisions of Section 2(b)(iii), 2(b)(iv) or 2(d) apply. Such representations and documents may include tax returns and all other relevant information and records from which the Company can determine the current or former employment status of the Participant during the Performance Period. Notwithstanding anything in this Agreement to the contrary, the settlement of the Restricted Stock Units may be withheld until information deemed sufficient by the Company is delivered to it, and any unvested Restricted Stock Units shall be forfeited if the requested information is not provided in sufficient detail to the Company before the earlier of (</w:t>
      </w:r>
      <w:r>
        <w:rPr>
          <w:rFonts w:ascii="Arial" w:cs="Arial" w:eastAsia="Arial" w:hAnsi="Arial"/>
          <w:sz w:val="18"/>
          <w:szCs w:val="18"/>
          <w:u w:val="single" w:color="auto"/>
          <w:color w:val="auto"/>
        </w:rPr>
        <w:t>i</w:t>
      </w:r>
      <w:r>
        <w:rPr>
          <w:rFonts w:ascii="Arial" w:cs="Arial" w:eastAsia="Arial" w:hAnsi="Arial"/>
          <w:sz w:val="18"/>
          <w:szCs w:val="18"/>
          <w:color w:val="auto"/>
        </w:rPr>
        <w:t>) ninety (90) calendar days after the issue of a request from the Company for such information and (</w:t>
      </w:r>
      <w:r>
        <w:rPr>
          <w:rFonts w:ascii="Arial" w:cs="Arial" w:eastAsia="Arial" w:hAnsi="Arial"/>
          <w:sz w:val="18"/>
          <w:szCs w:val="18"/>
          <w:u w:val="single" w:color="auto"/>
          <w:color w:val="auto"/>
        </w:rPr>
        <w:t>ii</w:t>
      </w:r>
      <w:r>
        <w:rPr>
          <w:rFonts w:ascii="Arial" w:cs="Arial" w:eastAsia="Arial" w:hAnsi="Arial"/>
          <w:sz w:val="18"/>
          <w:szCs w:val="18"/>
          <w:color w:val="auto"/>
        </w:rPr>
        <w:t>) December 31 of the calendar year in which the Vesting Date occurs.</w:t>
      </w:r>
    </w:p>
    <w:p>
      <w:pPr>
        <w:spacing w:after="0" w:line="167" w:lineRule="exact"/>
        <w:rPr>
          <w:sz w:val="20"/>
          <w:szCs w:val="20"/>
          <w:color w:val="auto"/>
        </w:rPr>
      </w:pPr>
    </w:p>
    <w:p>
      <w:pPr>
        <w:ind w:left="1260" w:hanging="623"/>
        <w:spacing w:after="0"/>
        <w:tabs>
          <w:tab w:leader="none" w:pos="126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Administrator Certification; Settlement of Restricted Stock Units</w:t>
      </w:r>
      <w:r>
        <w:rPr>
          <w:rFonts w:ascii="Arial" w:cs="Arial" w:eastAsia="Arial" w:hAnsi="Arial"/>
          <w:sz w:val="19"/>
          <w:szCs w:val="19"/>
          <w:color w:val="auto"/>
        </w:rPr>
        <w:t>.</w:t>
      </w:r>
    </w:p>
    <w:p>
      <w:pPr>
        <w:spacing w:after="0" w:line="216" w:lineRule="exact"/>
        <w:rPr>
          <w:sz w:val="20"/>
          <w:szCs w:val="20"/>
          <w:color w:val="auto"/>
        </w:rPr>
      </w:pPr>
    </w:p>
    <w:p>
      <w:pPr>
        <w:ind w:firstLine="637"/>
        <w:spacing w:after="0" w:line="251" w:lineRule="auto"/>
        <w:tabs>
          <w:tab w:leader="none" w:pos="1254"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Certification</w:t>
      </w:r>
      <w:r>
        <w:rPr>
          <w:rFonts w:ascii="Arial" w:cs="Arial" w:eastAsia="Arial" w:hAnsi="Arial"/>
          <w:sz w:val="19"/>
          <w:szCs w:val="19"/>
          <w:color w:val="auto"/>
        </w:rPr>
        <w:t>. As soon as practicable following completion of the Performance Period, the Administrator will review and determine (</w:t>
      </w:r>
      <w:r>
        <w:rPr>
          <w:rFonts w:ascii="Arial" w:cs="Arial" w:eastAsia="Arial" w:hAnsi="Arial"/>
          <w:sz w:val="19"/>
          <w:szCs w:val="19"/>
          <w:u w:val="single" w:color="auto"/>
          <w:color w:val="auto"/>
        </w:rPr>
        <w:t>i</w:t>
      </w:r>
      <w:r>
        <w:rPr>
          <w:rFonts w:ascii="Arial" w:cs="Arial" w:eastAsia="Arial" w:hAnsi="Arial"/>
          <w:sz w:val="19"/>
          <w:szCs w:val="19"/>
          <w:color w:val="auto"/>
        </w:rPr>
        <w:t>) whether, and to what extent, the Performance Goals for the Performance Period have been achieved, in whole or in part, and (</w:t>
      </w:r>
      <w:r>
        <w:rPr>
          <w:rFonts w:ascii="Arial" w:cs="Arial" w:eastAsia="Arial" w:hAnsi="Arial"/>
          <w:sz w:val="19"/>
          <w:szCs w:val="19"/>
          <w:u w:val="single" w:color="auto"/>
          <w:color w:val="auto"/>
        </w:rPr>
        <w:t>ii</w:t>
      </w:r>
      <w:r>
        <w:rPr>
          <w:rFonts w:ascii="Arial" w:cs="Arial" w:eastAsia="Arial" w:hAnsi="Arial"/>
          <w:sz w:val="19"/>
          <w:szCs w:val="19"/>
          <w:color w:val="auto"/>
        </w:rPr>
        <w:t>) the number of Restricted Stock Units that the Participant shall earn, if any, subject to compliance with the requirements of Section 2 (the “</w:t>
      </w:r>
      <w:r>
        <w:rPr>
          <w:rFonts w:ascii="Arial" w:cs="Arial" w:eastAsia="Arial" w:hAnsi="Arial"/>
          <w:sz w:val="19"/>
          <w:szCs w:val="19"/>
          <w:u w:val="single" w:color="auto"/>
          <w:color w:val="auto"/>
        </w:rPr>
        <w:t>Administrator Certification</w:t>
      </w:r>
      <w:r>
        <w:rPr>
          <w:rFonts w:ascii="Arial" w:cs="Arial" w:eastAsia="Arial" w:hAnsi="Arial"/>
          <w:sz w:val="19"/>
          <w:szCs w:val="19"/>
          <w:color w:val="auto"/>
        </w:rPr>
        <w:t>”). All determinations of whether the Performance Goals have been achieved, the number of Restricted Stock Units earned by the Participant, and all other matters related to this Section 3(a) shall be made by the Administrator in its sole discretion and shall be final, conclusive and binding on the Participant.</w:t>
      </w:r>
    </w:p>
    <w:p>
      <w:pPr>
        <w:spacing w:after="0" w:line="181" w:lineRule="exact"/>
        <w:rPr>
          <w:rFonts w:ascii="Arial" w:cs="Arial" w:eastAsia="Arial" w:hAnsi="Arial"/>
          <w:sz w:val="19"/>
          <w:szCs w:val="19"/>
          <w:color w:val="auto"/>
        </w:rPr>
      </w:pPr>
    </w:p>
    <w:p>
      <w:pPr>
        <w:ind w:right="40" w:firstLine="637"/>
        <w:spacing w:after="0" w:line="253" w:lineRule="auto"/>
        <w:tabs>
          <w:tab w:leader="none" w:pos="1251"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Settlement of Restricted Stock Units</w:t>
      </w:r>
      <w:r>
        <w:rPr>
          <w:rFonts w:ascii="Arial" w:cs="Arial" w:eastAsia="Arial" w:hAnsi="Arial"/>
          <w:sz w:val="19"/>
          <w:szCs w:val="19"/>
          <w:color w:val="auto"/>
        </w:rPr>
        <w:t>. Subject to Sections 8(d), 2(f) and 3(a), the Company shall deliver to the Participant one (1) share of Company Common Stock (or the value thereof) in settlement of each Restricted Stock Unit that has become earned and vested as provided in Section 2 on the first to occur of the following: (</w:t>
      </w:r>
      <w:r>
        <w:rPr>
          <w:rFonts w:ascii="Arial" w:cs="Arial" w:eastAsia="Arial" w:hAnsi="Arial"/>
          <w:sz w:val="19"/>
          <w:szCs w:val="19"/>
          <w:u w:val="single" w:color="auto"/>
          <w:color w:val="auto"/>
        </w:rPr>
        <w:t>i</w:t>
      </w:r>
      <w:r>
        <w:rPr>
          <w:rFonts w:ascii="Arial" w:cs="Arial" w:eastAsia="Arial" w:hAnsi="Arial"/>
          <w:sz w:val="19"/>
          <w:szCs w:val="19"/>
          <w:color w:val="auto"/>
        </w:rPr>
        <w:t>) on or as soon as practicable following the date of the Administrator Certification (but in no event later than 2½ months after the Vesting Date); (</w:t>
      </w:r>
      <w:r>
        <w:rPr>
          <w:rFonts w:ascii="Arial" w:cs="Arial" w:eastAsia="Arial" w:hAnsi="Arial"/>
          <w:sz w:val="19"/>
          <w:szCs w:val="19"/>
          <w:u w:val="single" w:color="auto"/>
          <w:color w:val="auto"/>
        </w:rPr>
        <w:t>ii</w:t>
      </w:r>
      <w:r>
        <w:rPr>
          <w:rFonts w:ascii="Arial" w:cs="Arial" w:eastAsia="Arial" w:hAnsi="Arial"/>
          <w:sz w:val="19"/>
          <w:szCs w:val="19"/>
          <w:color w:val="auto"/>
        </w:rPr>
        <w:t>) in the event of a termination of employment or service due to death, as soon as practicable following the Participant’s</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57"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termination of employment or service by reason of death; (</w:t>
      </w:r>
      <w:r>
        <w:rPr>
          <w:rFonts w:ascii="Arial" w:cs="Arial" w:eastAsia="Arial" w:hAnsi="Arial"/>
          <w:sz w:val="19"/>
          <w:szCs w:val="19"/>
          <w:u w:val="single" w:color="auto"/>
          <w:color w:val="auto"/>
        </w:rPr>
        <w:t>iii</w:t>
      </w:r>
      <w:r>
        <w:rPr>
          <w:rFonts w:ascii="Arial" w:cs="Arial" w:eastAsia="Arial" w:hAnsi="Arial"/>
          <w:sz w:val="19"/>
          <w:szCs w:val="19"/>
          <w:color w:val="auto"/>
        </w:rPr>
        <w:t>) in the event of a Qualifying CIC Termination, within thirty (30) days following the effective date of the Participant’s Qualifying CIC Termination, in each case (</w:t>
      </w:r>
      <w:r>
        <w:rPr>
          <w:rFonts w:ascii="Arial" w:cs="Arial" w:eastAsia="Arial" w:hAnsi="Arial"/>
          <w:sz w:val="19"/>
          <w:szCs w:val="19"/>
          <w:u w:val="single" w:color="auto"/>
          <w:color w:val="auto"/>
        </w:rPr>
        <w:t>A</w:t>
      </w:r>
      <w:r>
        <w:rPr>
          <w:rFonts w:ascii="Arial" w:cs="Arial" w:eastAsia="Arial" w:hAnsi="Arial"/>
          <w:sz w:val="19"/>
          <w:szCs w:val="19"/>
          <w:color w:val="auto"/>
        </w:rPr>
        <w:t>) in Company Common Stock by either, (</w:t>
      </w:r>
      <w:r>
        <w:rPr>
          <w:rFonts w:ascii="Arial" w:cs="Arial" w:eastAsia="Arial" w:hAnsi="Arial"/>
          <w:sz w:val="19"/>
          <w:szCs w:val="19"/>
          <w:u w:val="single" w:color="auto"/>
          <w:color w:val="auto"/>
        </w:rPr>
        <w:t>x</w:t>
      </w:r>
      <w:r>
        <w:rPr>
          <w:rFonts w:ascii="Arial" w:cs="Arial" w:eastAsia="Arial" w:hAnsi="Arial"/>
          <w:sz w:val="19"/>
          <w:szCs w:val="19"/>
          <w:color w:val="auto"/>
        </w:rPr>
        <w:t>) issuing one or more certificates evidencing the Company Common Stock to the Participant or (</w:t>
      </w:r>
      <w:r>
        <w:rPr>
          <w:rFonts w:ascii="Arial" w:cs="Arial" w:eastAsia="Arial" w:hAnsi="Arial"/>
          <w:sz w:val="19"/>
          <w:szCs w:val="19"/>
          <w:u w:val="single" w:color="auto"/>
          <w:color w:val="auto"/>
        </w:rPr>
        <w:t>y</w:t>
      </w:r>
      <w:r>
        <w:rPr>
          <w:rFonts w:ascii="Arial" w:cs="Arial" w:eastAsia="Arial" w:hAnsi="Arial"/>
          <w:sz w:val="19"/>
          <w:szCs w:val="19"/>
          <w:color w:val="auto"/>
        </w:rPr>
        <w:t>) registering the issuance of the Company Common Stock in the name of the Participant through a book entry credit in the records of the Company’s transfer agent,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in the event of settlement upon a Change in Control, a cash payment equal to the Change in Control Price, multiplied by the number of vested Restricted Stock Units. No fractional shares of Company Common Stock shall be issued in settlement of Restricted Stock Units. Fractional shares shall be rounded up to the nearest whole share;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Participant may not vest in more than the maximum number of Restricted Stock Units specified in the Grant Notice.</w:t>
      </w:r>
    </w:p>
    <w:p>
      <w:pPr>
        <w:spacing w:after="0" w:line="179" w:lineRule="exact"/>
        <w:rPr>
          <w:sz w:val="20"/>
          <w:szCs w:val="20"/>
          <w:color w:val="auto"/>
        </w:rPr>
      </w:pPr>
    </w:p>
    <w:p>
      <w:pPr>
        <w:ind w:right="240"/>
        <w:spacing w:after="0" w:line="255" w:lineRule="auto"/>
        <w:rPr>
          <w:sz w:val="20"/>
          <w:szCs w:val="20"/>
          <w:color w:val="auto"/>
        </w:rPr>
      </w:pPr>
      <w:r>
        <w:rPr>
          <w:rFonts w:ascii="Arial" w:cs="Arial" w:eastAsia="Arial" w:hAnsi="Arial"/>
          <w:sz w:val="19"/>
          <w:szCs w:val="19"/>
          <w:color w:val="auto"/>
        </w:rPr>
        <w:t>Notwithstanding the foregoing, the Company, in its sole discretion, may provide for the settlement of the Restricted Stock Units in the form of Company Common Stock, but require the Participant to sell such Common Stock immediately or within a specified period following the Participant’s termination of service (in which case, the Participant hereby agrees that the Company shall have the authority to issue sale instructions in relation to such Common Stock on the Participant’s behalf).</w:t>
      </w:r>
    </w:p>
    <w:p>
      <w:pPr>
        <w:spacing w:after="0" w:line="177" w:lineRule="exact"/>
        <w:rPr>
          <w:sz w:val="20"/>
          <w:szCs w:val="20"/>
          <w:color w:val="auto"/>
        </w:rPr>
      </w:pPr>
    </w:p>
    <w:p>
      <w:pPr>
        <w:ind w:firstLine="637"/>
        <w:spacing w:after="0" w:line="251" w:lineRule="auto"/>
        <w:tabs>
          <w:tab w:leader="none" w:pos="1263"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Securities Law Compliance</w:t>
      </w:r>
      <w:r>
        <w:rPr>
          <w:rFonts w:ascii="Arial" w:cs="Arial" w:eastAsia="Arial" w:hAnsi="Arial"/>
          <w:sz w:val="19"/>
          <w:szCs w:val="19"/>
          <w:color w:val="auto"/>
        </w:rPr>
        <w:t>. Notwithstanding any other provision of this Agreement, the Participant may not sell the shares of Company Common Stock acquired upon vesting of the Restricted Stock Units unless such shares are registered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or, if such shares are not then so registered, such sale would be exempt from the registration requirements of the Securities Act. The sale of such shares must also comply with other applicable laws and regulations governing the shares and Participant may not sell the shares of Company Common Stock if the Company determines that such sale would not be in material compliance with such laws and regulations.</w:t>
      </w:r>
    </w:p>
    <w:p>
      <w:pPr>
        <w:spacing w:after="0" w:line="181" w:lineRule="exact"/>
        <w:rPr>
          <w:rFonts w:ascii="Arial" w:cs="Arial" w:eastAsia="Arial" w:hAnsi="Arial"/>
          <w:sz w:val="19"/>
          <w:szCs w:val="19"/>
          <w:color w:val="auto"/>
        </w:rPr>
      </w:pPr>
    </w:p>
    <w:p>
      <w:pPr>
        <w:ind w:left="1260" w:hanging="623"/>
        <w:spacing w:after="0"/>
        <w:tabs>
          <w:tab w:leader="none" w:pos="126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Participant’s Rights with Respect to the Restricted Stock Units</w:t>
      </w:r>
      <w:r>
        <w:rPr>
          <w:rFonts w:ascii="Arial" w:cs="Arial" w:eastAsia="Arial" w:hAnsi="Arial"/>
          <w:sz w:val="19"/>
          <w:szCs w:val="19"/>
          <w:color w:val="auto"/>
        </w:rPr>
        <w:t>.</w:t>
      </w:r>
    </w:p>
    <w:p>
      <w:pPr>
        <w:spacing w:after="0" w:line="216" w:lineRule="exact"/>
        <w:rPr>
          <w:sz w:val="20"/>
          <w:szCs w:val="20"/>
          <w:color w:val="auto"/>
        </w:rPr>
      </w:pPr>
    </w:p>
    <w:p>
      <w:pPr>
        <w:ind w:firstLine="637"/>
        <w:spacing w:after="0" w:line="251" w:lineRule="auto"/>
        <w:tabs>
          <w:tab w:leader="none" w:pos="1254"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Restrictions on Transferability</w:t>
      </w:r>
      <w:r>
        <w:rPr>
          <w:rFonts w:ascii="Arial" w:cs="Arial" w:eastAsia="Arial" w:hAnsi="Arial"/>
          <w:sz w:val="19"/>
          <w:szCs w:val="19"/>
          <w:color w:val="auto"/>
        </w:rPr>
        <w:t>.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provided that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181" w:lineRule="exact"/>
        <w:rPr>
          <w:rFonts w:ascii="Arial" w:cs="Arial" w:eastAsia="Arial" w:hAnsi="Arial"/>
          <w:sz w:val="19"/>
          <w:szCs w:val="19"/>
          <w:color w:val="auto"/>
        </w:rPr>
      </w:pPr>
    </w:p>
    <w:p>
      <w:pPr>
        <w:ind w:right="200" w:firstLine="637"/>
        <w:spacing w:after="0" w:line="281" w:lineRule="auto"/>
        <w:tabs>
          <w:tab w:leader="none" w:pos="125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The Participant shall not have any rights as a stockholder including any voting, dividend or other rights or privileges as a stockholder of the Company with respect to any Company Common Stock corresponding to the Restricted Stock Units granted hereby unless and until shares of Company Common Stock are issued to the Participant in respect thereof.</w:t>
      </w:r>
    </w:p>
    <w:p>
      <w:pPr>
        <w:spacing w:after="0" w:line="154" w:lineRule="exact"/>
        <w:rPr>
          <w:rFonts w:ascii="Arial" w:cs="Arial" w:eastAsia="Arial" w:hAnsi="Arial"/>
          <w:sz w:val="18"/>
          <w:szCs w:val="18"/>
          <w:color w:val="auto"/>
        </w:rPr>
      </w:pPr>
    </w:p>
    <w:p>
      <w:pPr>
        <w:ind w:right="40" w:firstLine="637"/>
        <w:spacing w:after="0" w:line="290" w:lineRule="auto"/>
        <w:tabs>
          <w:tab w:leader="none" w:pos="1254"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If the Company declares a cash dividend on the shares of Company Common Stock, then the Participant shall be credited with Dividend Equivalents in the form of a right to a cash payment equal to (</w:t>
      </w:r>
      <w:r>
        <w:rPr>
          <w:rFonts w:ascii="Arial" w:cs="Arial" w:eastAsia="Arial" w:hAnsi="Arial"/>
          <w:sz w:val="17"/>
          <w:szCs w:val="17"/>
          <w:u w:val="single" w:color="auto"/>
          <w:color w:val="auto"/>
        </w:rPr>
        <w:t>i</w:t>
      </w:r>
      <w:r>
        <w:rPr>
          <w:rFonts w:ascii="Arial" w:cs="Arial" w:eastAsia="Arial" w:hAnsi="Arial"/>
          <w:sz w:val="17"/>
          <w:szCs w:val="17"/>
          <w:color w:val="auto"/>
        </w:rPr>
        <w:t>) the amount of the dividend declared and paid for each share of Company Common Stock, multiplied by (</w:t>
      </w:r>
      <w:r>
        <w:rPr>
          <w:rFonts w:ascii="Arial" w:cs="Arial" w:eastAsia="Arial" w:hAnsi="Arial"/>
          <w:sz w:val="17"/>
          <w:szCs w:val="17"/>
          <w:u w:val="single" w:color="auto"/>
          <w:color w:val="auto"/>
        </w:rPr>
        <w:t>ii</w:t>
      </w:r>
      <w:r>
        <w:rPr>
          <w:rFonts w:ascii="Arial" w:cs="Arial" w:eastAsia="Arial" w:hAnsi="Arial"/>
          <w:sz w:val="17"/>
          <w:szCs w:val="17"/>
          <w:color w:val="auto"/>
        </w:rPr>
        <w:t>) (</w:t>
      </w:r>
      <w:r>
        <w:rPr>
          <w:rFonts w:ascii="Arial" w:cs="Arial" w:eastAsia="Arial" w:hAnsi="Arial"/>
          <w:sz w:val="17"/>
          <w:szCs w:val="17"/>
          <w:u w:val="single" w:color="auto"/>
          <w:color w:val="auto"/>
        </w:rPr>
        <w:t>x</w:t>
      </w:r>
      <w:r>
        <w:rPr>
          <w:rFonts w:ascii="Arial" w:cs="Arial" w:eastAsia="Arial" w:hAnsi="Arial"/>
          <w:sz w:val="17"/>
          <w:szCs w:val="17"/>
          <w:color w:val="auto"/>
        </w:rPr>
        <w:t>) the number of Restricted Stock Units earned by the Participant as determined by the Administrator pursuant to Section 3(a) or (</w:t>
      </w:r>
      <w:r>
        <w:rPr>
          <w:rFonts w:ascii="Arial" w:cs="Arial" w:eastAsia="Arial" w:hAnsi="Arial"/>
          <w:sz w:val="17"/>
          <w:szCs w:val="17"/>
          <w:u w:val="single" w:color="auto"/>
          <w:color w:val="auto"/>
        </w:rPr>
        <w:t>y</w:t>
      </w:r>
      <w:r>
        <w:rPr>
          <w:rFonts w:ascii="Arial" w:cs="Arial" w:eastAsia="Arial" w:hAnsi="Arial"/>
          <w:sz w:val="17"/>
          <w:szCs w:val="17"/>
          <w:color w:val="auto"/>
        </w:rPr>
        <w:t>) in the case of a termination of employment or service by reason of Death or a Qualifying CIC Termination, the number of Restricted Stock Units equal to the Target Award. Dividend Equivalents shall be subject to the same forfeiture</w:t>
      </w:r>
    </w:p>
    <w:p>
      <w:pPr>
        <w:sectPr>
          <w:pgSz w:w="11900" w:h="16838" w:orient="portrait"/>
          <w:cols w:equalWidth="0" w:num="1">
            <w:col w:w="11220"/>
          </w:cols>
          <w:pgMar w:left="320" w:top="1440" w:right="359" w:bottom="1440" w:gutter="0" w:footer="0" w:header="0"/>
        </w:sectPr>
      </w:pPr>
    </w:p>
    <w:bookmarkStart w:id="53" w:name="page54"/>
    <w:bookmarkEnd w:id="53"/>
    <w:p>
      <w:pPr>
        <w:spacing w:after="0" w:line="157"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restrictions as the Restricted Stock Units to which they are attributable and shall be paid on the same date the Restricted Stock Units to which they are attributable are settled in accordance with Section 3 hereof. Dividend Equivalents credited to a Participant shall be distributed in cash or, at the discretion of the Administrator, in shares of Company Common Stock having a Fair Market Value equal to the amount of the Dividend Equivalents, if 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60" w:hanging="623"/>
        <w:spacing w:after="0"/>
        <w:tabs>
          <w:tab w:leader="none" w:pos="126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Participant’s Representations, Warranties and Covenants</w:t>
      </w:r>
      <w:r>
        <w:rPr>
          <w:rFonts w:ascii="Arial" w:cs="Arial" w:eastAsia="Arial" w:hAnsi="Arial"/>
          <w:sz w:val="19"/>
          <w:szCs w:val="19"/>
          <w:color w:val="auto"/>
        </w:rPr>
        <w:t>.</w:t>
      </w:r>
    </w:p>
    <w:p>
      <w:pPr>
        <w:spacing w:after="0" w:line="216" w:lineRule="exact"/>
        <w:rPr>
          <w:sz w:val="20"/>
          <w:szCs w:val="20"/>
          <w:color w:val="auto"/>
        </w:rPr>
      </w:pPr>
    </w:p>
    <w:p>
      <w:pPr>
        <w:ind w:firstLine="637"/>
        <w:spacing w:after="0" w:line="250" w:lineRule="auto"/>
        <w:tabs>
          <w:tab w:leader="none" w:pos="1254"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No Conflicts; No Consents</w:t>
      </w:r>
      <w:r>
        <w:rPr>
          <w:rFonts w:ascii="Arial" w:cs="Arial" w:eastAsia="Arial" w:hAnsi="Arial"/>
          <w:sz w:val="19"/>
          <w:szCs w:val="19"/>
          <w:color w:val="auto"/>
        </w:rPr>
        <w:t>. The execution and delivery by the Participant of this Agreement, the consummation of the transactions contemplated hereby and the performance of the Participant’s obligations hereunder do not and will not (</w:t>
      </w:r>
      <w:r>
        <w:rPr>
          <w:rFonts w:ascii="Arial" w:cs="Arial" w:eastAsia="Arial" w:hAnsi="Arial"/>
          <w:sz w:val="19"/>
          <w:szCs w:val="19"/>
          <w:u w:val="single" w:color="auto"/>
          <w:color w:val="auto"/>
        </w:rPr>
        <w:t>i</w:t>
      </w:r>
      <w:r>
        <w:rPr>
          <w:rFonts w:ascii="Arial" w:cs="Arial" w:eastAsia="Arial" w:hAnsi="Arial"/>
          <w:sz w:val="19"/>
          <w:szCs w:val="19"/>
          <w:color w:val="auto"/>
        </w:rPr>
        <w:t>) materially conflict with or result in a material violation or breach of any term or provision of any Law applicable to either the Participant or the Restricted Stock Units or (</w:t>
      </w:r>
      <w:r>
        <w:rPr>
          <w:rFonts w:ascii="Arial" w:cs="Arial" w:eastAsia="Arial" w:hAnsi="Arial"/>
          <w:sz w:val="19"/>
          <w:szCs w:val="19"/>
          <w:u w:val="single" w:color="auto"/>
          <w:color w:val="auto"/>
        </w:rPr>
        <w:t>ii</w:t>
      </w:r>
      <w:r>
        <w:rPr>
          <w:rFonts w:ascii="Arial" w:cs="Arial" w:eastAsia="Arial" w:hAnsi="Arial"/>
          <w:sz w:val="19"/>
          <w:szCs w:val="19"/>
          <w:color w:val="auto"/>
        </w:rPr>
        <w:t>) violate in any material respect, conflict with in any material respect or result in any material breach of, or constitute (with or without notice or lapse of time or both) a material default under, or require either the Participant to obtain any consent, approval or action of, make any filing with or give any notice to any Person as a result or under the terms of, any contract, agreement, instrument, commitment, arrangement or understanding to which the Participant is a party.</w:t>
      </w:r>
    </w:p>
    <w:p>
      <w:pPr>
        <w:spacing w:after="0" w:line="183" w:lineRule="exact"/>
        <w:rPr>
          <w:rFonts w:ascii="Arial" w:cs="Arial" w:eastAsia="Arial" w:hAnsi="Arial"/>
          <w:sz w:val="19"/>
          <w:szCs w:val="19"/>
          <w:color w:val="auto"/>
        </w:rPr>
      </w:pPr>
    </w:p>
    <w:p>
      <w:pPr>
        <w:ind w:right="140" w:firstLine="637"/>
        <w:spacing w:after="0" w:line="255" w:lineRule="auto"/>
        <w:tabs>
          <w:tab w:leader="none" w:pos="1251"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Compliance with Rule 144</w:t>
      </w:r>
      <w:r>
        <w:rPr>
          <w:rFonts w:ascii="Arial" w:cs="Arial" w:eastAsia="Arial" w:hAnsi="Arial"/>
          <w:sz w:val="19"/>
          <w:szCs w:val="19"/>
          <w:color w:val="auto"/>
        </w:rPr>
        <w:t>. If any shares of Company Common Stock issued in respect of the Restricted Stock Units are to be disposed of in accordance with Rule 144, the Participant shall transmit to the Company an executed copy of Form 144 (if required by Rule 144) no later than the time such form is required to be transmitted to the Commission for filing and such other documentation as the Company may reasonably require to assure compliance with Rule 144 in connection with such disposition.</w:t>
      </w:r>
    </w:p>
    <w:p>
      <w:pPr>
        <w:spacing w:after="0" w:line="176" w:lineRule="exact"/>
        <w:rPr>
          <w:rFonts w:ascii="Arial" w:cs="Arial" w:eastAsia="Arial" w:hAnsi="Arial"/>
          <w:sz w:val="19"/>
          <w:szCs w:val="19"/>
          <w:color w:val="auto"/>
        </w:rPr>
      </w:pPr>
    </w:p>
    <w:p>
      <w:pPr>
        <w:ind w:right="420" w:firstLine="637"/>
        <w:spacing w:after="0" w:line="275" w:lineRule="auto"/>
        <w:tabs>
          <w:tab w:leader="none" w:pos="1254"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Participant Status</w:t>
      </w:r>
      <w:r>
        <w:rPr>
          <w:rFonts w:ascii="Arial" w:cs="Arial" w:eastAsia="Arial" w:hAnsi="Arial"/>
          <w:sz w:val="19"/>
          <w:szCs w:val="19"/>
          <w:color w:val="auto"/>
        </w:rPr>
        <w:t>. The Participant represents and warrants that, as of the date hereof, the Participant is an officer, employee, director or Consultant of the Company or a Subsidiary.</w:t>
      </w:r>
    </w:p>
    <w:p>
      <w:pPr>
        <w:spacing w:after="0" w:line="157" w:lineRule="exact"/>
        <w:rPr>
          <w:sz w:val="20"/>
          <w:szCs w:val="20"/>
          <w:color w:val="auto"/>
        </w:rPr>
      </w:pPr>
    </w:p>
    <w:p>
      <w:pPr>
        <w:ind w:right="280" w:firstLine="637"/>
        <w:spacing w:after="0" w:line="255" w:lineRule="auto"/>
        <w:tabs>
          <w:tab w:leader="none" w:pos="1263"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Adjustment in Capitalization</w:t>
      </w:r>
      <w:r>
        <w:rPr>
          <w:rFonts w:ascii="Arial" w:cs="Arial" w:eastAsia="Arial" w:hAnsi="Arial"/>
          <w:sz w:val="19"/>
          <w:szCs w:val="19"/>
          <w:color w:val="auto"/>
        </w:rPr>
        <w:t>. The number, class or other terms of any outstanding Restricted Stock Units shall be adjusted by the Committee to reflect any stock dividend, stock split or share combination or any recapitalization, business combination, merger, consolidation, spin-off, exchange of shares, liquidation or dissolution of the Company or other similar transaction affecting the Company Common Stock in such manner as it determines in its sole discretion.</w:t>
      </w:r>
    </w:p>
    <w:p>
      <w:pPr>
        <w:spacing w:after="0" w:line="176" w:lineRule="exact"/>
        <w:rPr>
          <w:rFonts w:ascii="Arial" w:cs="Arial" w:eastAsia="Arial" w:hAnsi="Arial"/>
          <w:sz w:val="19"/>
          <w:szCs w:val="19"/>
          <w:color w:val="auto"/>
        </w:rPr>
      </w:pPr>
    </w:p>
    <w:p>
      <w:pPr>
        <w:ind w:right="40" w:firstLine="637"/>
        <w:spacing w:after="0" w:line="278" w:lineRule="auto"/>
        <w:tabs>
          <w:tab w:leader="none" w:pos="1263"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Participant acknowledges that, regardless of any action taken by the Company or the Employer with respect to any or all income tax (including U.S. federal, state and local taxes and/or non-U.S. taxes), social insurance, payroll tax, fringe benefits tax, payment on account or other tax-related items related to the Participant’s participation in the Plan and legally applicable to the Participant (“</w:t>
      </w:r>
      <w:r>
        <w:rPr>
          <w:rFonts w:ascii="Arial" w:cs="Arial" w:eastAsia="Arial" w:hAnsi="Arial"/>
          <w:sz w:val="17"/>
          <w:szCs w:val="17"/>
          <w:u w:val="single" w:color="auto"/>
          <w:color w:val="auto"/>
        </w:rPr>
        <w:t>Tax-Related Items</w:t>
      </w:r>
      <w:r>
        <w:rPr>
          <w:rFonts w:ascii="Arial" w:cs="Arial" w:eastAsia="Arial" w:hAnsi="Arial"/>
          <w:sz w:val="17"/>
          <w:szCs w:val="17"/>
          <w:color w:val="auto"/>
        </w:rPr>
        <w:t>”), the ultimate liability for all Tax-Related Items is and remains the Participant’s personal responsibility and may exceed the amount, if any, actually withheld by the Company or the Employer. The Participant further acknowledges that the Company and/or the Employer</w:t>
      </w:r>
    </w:p>
    <w:p>
      <w:pPr>
        <w:spacing w:after="0" w:line="2" w:lineRule="exact"/>
        <w:rPr>
          <w:rFonts w:ascii="Arial" w:cs="Arial" w:eastAsia="Arial" w:hAnsi="Arial"/>
          <w:sz w:val="17"/>
          <w:szCs w:val="17"/>
          <w:color w:val="auto"/>
        </w:rPr>
      </w:pPr>
    </w:p>
    <w:p>
      <w:pPr>
        <w:ind w:right="120" w:firstLine="5"/>
        <w:spacing w:after="0" w:line="248" w:lineRule="auto"/>
        <w:tabs>
          <w:tab w:leader="none" w:pos="262" w:val="left"/>
        </w:tabs>
        <w:numPr>
          <w:ilvl w:val="0"/>
          <w:numId w:val="45"/>
        </w:numPr>
        <w:rPr>
          <w:rFonts w:ascii="Arial" w:cs="Arial" w:eastAsia="Arial" w:hAnsi="Arial"/>
          <w:sz w:val="19"/>
          <w:szCs w:val="19"/>
          <w:color w:val="auto"/>
        </w:rPr>
      </w:pPr>
      <w:r>
        <w:rPr>
          <w:rFonts w:ascii="Arial" w:cs="Arial" w:eastAsia="Arial" w:hAnsi="Arial"/>
          <w:sz w:val="19"/>
          <w:szCs w:val="19"/>
          <w:color w:val="auto"/>
        </w:rPr>
        <w:t>make no representations or undertakings regarding the treatment of any Tax-Related Items in connection with any aspect of the Participant’s participation in the Plan, including, but not limited to, the grant of Restricted Stock Units, the vesting of Restricted Stock Units, issuance or sale of shares of Company Common Stock, or the receipt of any dividends or Dividend Equivalents; and (b) do not commit to and are under no obligation to structure the terms of the Restricted Stock Units or any aspect of the Plan to reduce or eliminate the Participant’s liability for Tax-Related Items or achieve any particular</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57"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72" w:lineRule="exact"/>
        <w:rPr>
          <w:sz w:val="20"/>
          <w:szCs w:val="20"/>
          <w:color w:val="auto"/>
        </w:rPr>
      </w:pPr>
    </w:p>
    <w:p>
      <w:pPr>
        <w:ind w:right="120" w:firstLine="632"/>
        <w:spacing w:after="0" w:line="250" w:lineRule="auto"/>
        <w:rPr>
          <w:sz w:val="20"/>
          <w:szCs w:val="20"/>
          <w:color w:val="auto"/>
        </w:rPr>
      </w:pPr>
      <w:r>
        <w:rPr>
          <w:rFonts w:ascii="Arial" w:cs="Arial" w:eastAsia="Arial" w:hAnsi="Arial"/>
          <w:sz w:val="19"/>
          <w:szCs w:val="19"/>
          <w:color w:val="auto"/>
        </w:rPr>
        <w:t>Prior to any relevant taxable or tax withholding event, as applicable, the Participant agrees to make arrangements satisfactory to the Company and/or the Employer to satisfy all Tax-Related Items. In this regard, the Participant authorizes the Company and/or the Employer, or their respective agents, at their discretion, to satisfy their withholding obligations with regard to any Tax-Related Items by one or a combination of the following: (a) withholding from the Participant’s wages or other cash compensation payable to the Participant by the Company and/or the Employer, (b) withholding from proceeds of the sale of shares of Company Common Stock under the Plan, either through a voluntary sale or through a mandatory sale arranged by the Company (on the Participant’s behalf pursuant to this authorization without further consent) to cover the Tax-Related Items required to be withheld, and (c) withholding in shares of Company Common Stock to be issued upon vesting of the Restricted Stock Units.</w:t>
      </w:r>
    </w:p>
    <w:p>
      <w:pPr>
        <w:spacing w:after="0" w:line="179" w:lineRule="exact"/>
        <w:rPr>
          <w:sz w:val="20"/>
          <w:szCs w:val="20"/>
          <w:color w:val="auto"/>
        </w:rPr>
      </w:pPr>
    </w:p>
    <w:p>
      <w:pPr>
        <w:ind w:right="440" w:firstLine="632"/>
        <w:spacing w:after="0" w:line="260" w:lineRule="auto"/>
        <w:rPr>
          <w:sz w:val="20"/>
          <w:szCs w:val="20"/>
          <w:color w:val="auto"/>
        </w:rPr>
      </w:pPr>
      <w:r>
        <w:rPr>
          <w:rFonts w:ascii="Arial" w:cs="Arial" w:eastAsia="Arial" w:hAnsi="Arial"/>
          <w:sz w:val="19"/>
          <w:szCs w:val="19"/>
          <w:color w:val="auto"/>
        </w:rPr>
        <w:t>If the obligation for Tax-Related Items is satisfied by withholding in shares of Company Common Stock, for tax purposes, the Participant will be deemed to have been issued the full number of shares of Company Common Stock, notwithstanding that a number of the shares of Company Common Stock are held back solely for the purpose of paying the Tax-Related Items.</w:t>
      </w:r>
    </w:p>
    <w:p>
      <w:pPr>
        <w:spacing w:after="0" w:line="172" w:lineRule="exact"/>
        <w:rPr>
          <w:sz w:val="20"/>
          <w:szCs w:val="20"/>
          <w:color w:val="auto"/>
        </w:rPr>
      </w:pPr>
    </w:p>
    <w:p>
      <w:pPr>
        <w:ind w:right="200" w:firstLine="632"/>
        <w:spacing w:after="0" w:line="260" w:lineRule="auto"/>
        <w:rPr>
          <w:sz w:val="20"/>
          <w:szCs w:val="20"/>
          <w:color w:val="auto"/>
        </w:rPr>
      </w:pPr>
      <w:r>
        <w:rPr>
          <w:rFonts w:ascii="Arial" w:cs="Arial" w:eastAsia="Arial" w:hAnsi="Arial"/>
          <w:sz w:val="19"/>
          <w:szCs w:val="19"/>
          <w:color w:val="auto"/>
        </w:rPr>
        <w:t>The Company or the Employer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 Stock Units shall be forfeited.</w:t>
      </w:r>
    </w:p>
    <w:p>
      <w:pPr>
        <w:spacing w:after="0" w:line="172" w:lineRule="exact"/>
        <w:rPr>
          <w:sz w:val="20"/>
          <w:szCs w:val="20"/>
          <w:color w:val="auto"/>
        </w:rPr>
      </w:pPr>
    </w:p>
    <w:p>
      <w:pPr>
        <w:ind w:left="1260" w:hanging="623"/>
        <w:spacing w:after="0"/>
        <w:tabs>
          <w:tab w:leader="none" w:pos="126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By accepting the Restricted Stock Units, the Participant acknowledges, understands and agrees that:</w:t>
      </w:r>
    </w:p>
    <w:p>
      <w:pPr>
        <w:spacing w:after="0" w:line="216" w:lineRule="exact"/>
        <w:rPr>
          <w:sz w:val="20"/>
          <w:szCs w:val="20"/>
          <w:color w:val="auto"/>
        </w:rPr>
      </w:pPr>
    </w:p>
    <w:p>
      <w:pPr>
        <w:ind w:right="80" w:firstLine="637"/>
        <w:spacing w:after="0" w:line="275" w:lineRule="auto"/>
        <w:tabs>
          <w:tab w:leader="none" w:pos="1254"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terminated, suspended or amended by the Company at any time, to the extent permitted by the Plan;</w:t>
      </w:r>
    </w:p>
    <w:p>
      <w:pPr>
        <w:spacing w:after="0" w:line="157" w:lineRule="exact"/>
        <w:rPr>
          <w:rFonts w:ascii="Arial" w:cs="Arial" w:eastAsia="Arial" w:hAnsi="Arial"/>
          <w:sz w:val="19"/>
          <w:szCs w:val="19"/>
          <w:color w:val="auto"/>
        </w:rPr>
      </w:pPr>
    </w:p>
    <w:p>
      <w:pPr>
        <w:ind w:right="380" w:firstLine="637"/>
        <w:spacing w:after="0" w:line="275" w:lineRule="auto"/>
        <w:tabs>
          <w:tab w:leader="none" w:pos="1251"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grant of Restricted Stock Units is voluntary and does not create any contractual or other right to receive future Restricted Stock Units or benefits in lieu of Restricted Stock Units, even if Restricted Stock Units have been granted in the past;</w:t>
      </w:r>
    </w:p>
    <w:p>
      <w:pPr>
        <w:spacing w:after="0" w:line="157" w:lineRule="exact"/>
        <w:rPr>
          <w:rFonts w:ascii="Arial" w:cs="Arial" w:eastAsia="Arial" w:hAnsi="Arial"/>
          <w:sz w:val="19"/>
          <w:szCs w:val="19"/>
          <w:color w:val="auto"/>
        </w:rPr>
      </w:pPr>
    </w:p>
    <w:p>
      <w:pPr>
        <w:ind w:left="1260" w:hanging="623"/>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decisions with respect to future Restricted Stock Units or other grants, if any, will be at the sole discretion of the Company;</w:t>
      </w:r>
    </w:p>
    <w:p>
      <w:pPr>
        <w:spacing w:after="0" w:line="227" w:lineRule="exact"/>
        <w:rPr>
          <w:rFonts w:ascii="Arial" w:cs="Arial" w:eastAsia="Arial" w:hAnsi="Arial"/>
          <w:sz w:val="18"/>
          <w:szCs w:val="18"/>
          <w:color w:val="auto"/>
        </w:rPr>
      </w:pPr>
    </w:p>
    <w:p>
      <w:pPr>
        <w:ind w:right="220" w:firstLine="637"/>
        <w:spacing w:after="0" w:line="305" w:lineRule="auto"/>
        <w:tabs>
          <w:tab w:leader="none" w:pos="1251"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grant of Restricted Stock Units and the Participant’s participation in the Plan shall not create a right to employment or be interpreted as forming an employment or service contract with the Company, the Employer or any other Subsidiary and shall not interfere with the ability of the Company, the Employer or any other Subsidiary to terminate the Participant’s employment relationship (if any);</w:t>
      </w:r>
    </w:p>
    <w:p>
      <w:pPr>
        <w:spacing w:after="0" w:line="136" w:lineRule="exact"/>
        <w:rPr>
          <w:rFonts w:ascii="Arial" w:cs="Arial" w:eastAsia="Arial" w:hAnsi="Arial"/>
          <w:sz w:val="17"/>
          <w:szCs w:val="17"/>
          <w:color w:val="auto"/>
        </w:rPr>
      </w:pPr>
    </w:p>
    <w:p>
      <w:pPr>
        <w:ind w:left="1260" w:hanging="623"/>
        <w:spacing w:after="0"/>
        <w:tabs>
          <w:tab w:leader="none" w:pos="1260"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Participant is voluntarily participating in the Plan;</w:t>
      </w:r>
    </w:p>
    <w:p>
      <w:pPr>
        <w:spacing w:after="0" w:line="215" w:lineRule="exact"/>
        <w:rPr>
          <w:rFonts w:ascii="Arial" w:cs="Arial" w:eastAsia="Arial" w:hAnsi="Arial"/>
          <w:sz w:val="19"/>
          <w:szCs w:val="19"/>
          <w:color w:val="auto"/>
        </w:rPr>
      </w:pPr>
    </w:p>
    <w:p>
      <w:pPr>
        <w:ind w:right="140" w:firstLine="637"/>
        <w:spacing w:after="0" w:line="275" w:lineRule="auto"/>
        <w:tabs>
          <w:tab w:leader="none" w:pos="1259"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Restricted Stock Units and any shares of Company Common Stock acquired under the Plan, and the income from and value of the same, are not intended to replace any pension rights or compensation;</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57" w:lineRule="exact"/>
        <w:rPr>
          <w:sz w:val="20"/>
          <w:szCs w:val="20"/>
          <w:color w:val="auto"/>
        </w:rPr>
      </w:pPr>
    </w:p>
    <w:p>
      <w:pPr>
        <w:ind w:left="-637" w:right="160" w:firstLine="637"/>
        <w:spacing w:after="0" w:line="305" w:lineRule="auto"/>
        <w:tabs>
          <w:tab w:leader="none" w:pos="614"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Restricted Stock Units and any shares of Company Common Stock acquired under the Plan, and the income from and value of the same, are extraordinary items that do not constitute compensation of any kind for services of any kind rendered to the Company or the Employer, and which are outside the scope of the Participant’s employment and the Participant’s employment or service agreement, if any;</w:t>
      </w:r>
    </w:p>
    <w:p>
      <w:pPr>
        <w:spacing w:after="0" w:line="136" w:lineRule="exact"/>
        <w:rPr>
          <w:rFonts w:ascii="Arial" w:cs="Arial" w:eastAsia="Arial" w:hAnsi="Arial"/>
          <w:sz w:val="17"/>
          <w:szCs w:val="17"/>
          <w:color w:val="auto"/>
        </w:rPr>
      </w:pPr>
    </w:p>
    <w:p>
      <w:pPr>
        <w:jc w:val="both"/>
        <w:ind w:left="-637" w:right="100" w:firstLine="637"/>
        <w:spacing w:after="0" w:line="255" w:lineRule="auto"/>
        <w:tabs>
          <w:tab w:leader="none" w:pos="614"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Restricted Stock Units and any shares of Company Common Stock acquired under the Plan, and the income from and value of the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176" w:lineRule="exact"/>
        <w:rPr>
          <w:rFonts w:ascii="Arial" w:cs="Arial" w:eastAsia="Arial" w:hAnsi="Arial"/>
          <w:sz w:val="19"/>
          <w:szCs w:val="19"/>
          <w:color w:val="auto"/>
        </w:rPr>
      </w:pPr>
    </w:p>
    <w:p>
      <w:pPr>
        <w:ind w:left="-637" w:right="120" w:firstLine="637"/>
        <w:spacing w:after="0" w:line="275" w:lineRule="auto"/>
        <w:tabs>
          <w:tab w:leader="none" w:pos="624"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future value of the underlying shares of Company Common Stock is unknown, indeterminable and cannot be predicted with certainty and the value of such shares of Company Common Stock may increase or decrease in the future;</w:t>
      </w:r>
    </w:p>
    <w:p>
      <w:pPr>
        <w:spacing w:after="0" w:line="157" w:lineRule="exact"/>
        <w:rPr>
          <w:rFonts w:ascii="Arial" w:cs="Arial" w:eastAsia="Arial" w:hAnsi="Arial"/>
          <w:sz w:val="19"/>
          <w:szCs w:val="19"/>
          <w:color w:val="auto"/>
        </w:rPr>
      </w:pPr>
    </w:p>
    <w:p>
      <w:pPr>
        <w:ind w:left="-637" w:right="180" w:firstLine="637"/>
        <w:spacing w:after="0" w:line="255" w:lineRule="auto"/>
        <w:tabs>
          <w:tab w:leader="none" w:pos="624" w:val="left"/>
        </w:tabs>
        <w:numPr>
          <w:ilvl w:val="0"/>
          <w:numId w:val="48"/>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Restricted Stock Units resulting from termination of the Participant’s employment (regardless of the reason for the termination and whether or not the termination is later found to be invalid or in breach of employment laws in the jurisdiction where the Participant is employed or the terms of the Participant’s employment or service agreement, if any); and</w:t>
      </w:r>
    </w:p>
    <w:p>
      <w:pPr>
        <w:spacing w:after="0" w:line="176" w:lineRule="exact"/>
        <w:rPr>
          <w:rFonts w:ascii="Arial" w:cs="Arial" w:eastAsia="Arial" w:hAnsi="Arial"/>
          <w:sz w:val="19"/>
          <w:szCs w:val="19"/>
          <w:color w:val="auto"/>
        </w:rPr>
      </w:pPr>
    </w:p>
    <w:p>
      <w:pPr>
        <w:ind w:left="-637" w:right="140" w:firstLine="637"/>
        <w:spacing w:after="0" w:line="255" w:lineRule="auto"/>
        <w:tabs>
          <w:tab w:leader="none" w:pos="614" w:val="left"/>
        </w:tabs>
        <w:numPr>
          <w:ilvl w:val="0"/>
          <w:numId w:val="48"/>
        </w:numPr>
        <w:rPr>
          <w:rFonts w:ascii="Arial" w:cs="Arial" w:eastAsia="Arial" w:hAnsi="Arial"/>
          <w:sz w:val="19"/>
          <w:szCs w:val="19"/>
          <w:color w:val="auto"/>
        </w:rPr>
      </w:pPr>
      <w:r>
        <w:rPr>
          <w:rFonts w:ascii="Arial" w:cs="Arial" w:eastAsia="Arial" w:hAnsi="Arial"/>
          <w:sz w:val="19"/>
          <w:szCs w:val="19"/>
          <w:color w:val="auto"/>
        </w:rPr>
        <w:t>neither the Company, the Employer nor any other Subsidiary shall be liable for any foreign exchange rate fluctuation between the Participant’s local currency and the United States Dollar that may affect the value of the shares of Company Common Stock or any amounts due pursuant to the issuance of the shares of Company Common Stock, or the subsequent sale of any shares of Company Common Stock acquired under the Plan.</w:t>
      </w:r>
    </w:p>
    <w:p>
      <w:pPr>
        <w:spacing w:after="0" w:line="177" w:lineRule="exact"/>
        <w:rPr>
          <w:sz w:val="20"/>
          <w:szCs w:val="20"/>
          <w:color w:val="auto"/>
        </w:rPr>
      </w:pPr>
    </w:p>
    <w:p>
      <w:pPr>
        <w:ind w:left="-637" w:right="60" w:firstLine="637"/>
        <w:spacing w:after="0" w:line="250" w:lineRule="auto"/>
        <w:tabs>
          <w:tab w:leader="none" w:pos="617"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Employee Data Privacy</w:t>
      </w:r>
      <w:r>
        <w:rPr>
          <w:rFonts w:ascii="Arial" w:cs="Arial" w:eastAsia="Arial" w:hAnsi="Arial"/>
          <w:sz w:val="19"/>
          <w:szCs w:val="19"/>
          <w:color w:val="auto"/>
        </w:rPr>
        <w:t>. The collection, use, disclosure and transfer, in electronic or other form, of personally identifiable information to facilitate the grant of the Award and the administration of the Plan by and among, as applicable, the Company and the Participant’s employer, if different, any of the Company’s affiliates, any agent of the Company administering or providing Plan services is governed by the Employee Privacy Notice (the “</w:t>
      </w:r>
      <w:r>
        <w:rPr>
          <w:rFonts w:ascii="Arial" w:cs="Arial" w:eastAsia="Arial" w:hAnsi="Arial"/>
          <w:sz w:val="19"/>
          <w:szCs w:val="19"/>
          <w:u w:val="single" w:color="auto"/>
          <w:color w:val="auto"/>
        </w:rPr>
        <w:t>Privacy Notice</w:t>
      </w:r>
      <w:r>
        <w:rPr>
          <w:rFonts w:ascii="Arial" w:cs="Arial" w:eastAsia="Arial" w:hAnsi="Arial"/>
          <w:sz w:val="19"/>
          <w:szCs w:val="19"/>
          <w:color w:val="auto"/>
        </w:rPr>
        <w:t>”) that Participant received in the course of his or her relationship with Company. The Participant understands that he or she may review the Privacy Notice or contact his or her local human resources representative to request a copy of the Privacy Notice. Please contact ethics@bah.com if the Participant has any questions or concerns about how the Company or its subsidiaries and affiliates process personally identifiable information.</w:t>
      </w:r>
    </w:p>
    <w:p>
      <w:pPr>
        <w:spacing w:after="0" w:line="183" w:lineRule="exact"/>
        <w:rPr>
          <w:rFonts w:ascii="Arial" w:cs="Arial" w:eastAsia="Arial" w:hAnsi="Arial"/>
          <w:sz w:val="19"/>
          <w:szCs w:val="19"/>
          <w:color w:val="auto"/>
        </w:rPr>
      </w:pPr>
    </w:p>
    <w:p>
      <w:pPr>
        <w:ind w:left="623" w:hanging="623"/>
        <w:spacing w:after="0"/>
        <w:tabs>
          <w:tab w:leader="none" w:pos="623"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16" w:lineRule="exact"/>
        <w:rPr>
          <w:sz w:val="20"/>
          <w:szCs w:val="20"/>
          <w:color w:val="auto"/>
        </w:rPr>
      </w:pPr>
    </w:p>
    <w:p>
      <w:pPr>
        <w:ind w:left="-637" w:firstLine="637"/>
        <w:spacing w:after="0" w:line="255" w:lineRule="auto"/>
        <w:tabs>
          <w:tab w:leader="none" w:pos="617"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Binding Effect; Benefits</w:t>
      </w:r>
      <w:r>
        <w:rPr>
          <w:rFonts w:ascii="Arial" w:cs="Arial" w:eastAsia="Arial" w:hAnsi="Arial"/>
          <w:sz w:val="19"/>
          <w:szCs w:val="19"/>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76" w:lineRule="exact"/>
        <w:rPr>
          <w:rFonts w:ascii="Arial" w:cs="Arial" w:eastAsia="Arial" w:hAnsi="Arial"/>
          <w:sz w:val="19"/>
          <w:szCs w:val="19"/>
          <w:color w:val="auto"/>
        </w:rPr>
      </w:pPr>
    </w:p>
    <w:p>
      <w:pPr>
        <w:ind w:left="-637" w:right="60" w:firstLine="637"/>
        <w:spacing w:after="0" w:line="260" w:lineRule="auto"/>
        <w:tabs>
          <w:tab w:leader="none" w:pos="614"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Participant acknowledges that neither the Company nor the Employer are providing any tax, legal or financial advice, nor is the Company or the Employer making any recommendations regarding the Participant’s participation in the Plan. The Participant should</w:t>
      </w:r>
    </w:p>
    <w:p>
      <w:pPr>
        <w:sectPr>
          <w:pgSz w:w="11900" w:h="16838" w:orient="portrait"/>
          <w:cols w:equalWidth="0" w:num="1">
            <w:col w:w="10603"/>
          </w:cols>
          <w:pgMar w:left="957" w:top="1440" w:right="339" w:bottom="1440" w:gutter="0" w:footer="0" w:header="0"/>
        </w:sectPr>
      </w:pPr>
    </w:p>
    <w:bookmarkStart w:id="56" w:name="page57"/>
    <w:bookmarkEnd w:id="56"/>
    <w:p>
      <w:pPr>
        <w:spacing w:after="0" w:line="157" w:lineRule="exact"/>
        <w:rPr>
          <w:sz w:val="20"/>
          <w:szCs w:val="20"/>
          <w:color w:val="auto"/>
        </w:rPr>
      </w:pPr>
    </w:p>
    <w:p>
      <w:pPr>
        <w:ind w:right="380"/>
        <w:spacing w:after="0" w:line="275" w:lineRule="auto"/>
        <w:rPr>
          <w:sz w:val="20"/>
          <w:szCs w:val="20"/>
          <w:color w:val="auto"/>
        </w:rPr>
      </w:pPr>
      <w:r>
        <w:rPr>
          <w:rFonts w:ascii="Arial" w:cs="Arial" w:eastAsia="Arial" w:hAnsi="Arial"/>
          <w:sz w:val="19"/>
          <w:szCs w:val="19"/>
          <w:color w:val="auto"/>
        </w:rPr>
        <w:t>consult his or her own personal tax, legal and financial advisors regarding the Participant’s participation in the Plan before taking any action related to the Plan.</w:t>
      </w:r>
    </w:p>
    <w:p>
      <w:pPr>
        <w:spacing w:after="0" w:line="157" w:lineRule="exact"/>
        <w:rPr>
          <w:sz w:val="20"/>
          <w:szCs w:val="20"/>
          <w:color w:val="auto"/>
        </w:rPr>
      </w:pPr>
    </w:p>
    <w:p>
      <w:pPr>
        <w:ind w:firstLine="637"/>
        <w:spacing w:after="0" w:line="249" w:lineRule="auto"/>
        <w:tabs>
          <w:tab w:leader="none" w:pos="1254"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For purposes of this Agreement, if the Participant is not employed by the Company, “</w:t>
      </w:r>
      <w:r>
        <w:rPr>
          <w:rFonts w:ascii="Arial" w:cs="Arial" w:eastAsia="Arial" w:hAnsi="Arial"/>
          <w:sz w:val="19"/>
          <w:szCs w:val="19"/>
          <w:u w:val="single" w:color="auto"/>
          <w:color w:val="auto"/>
        </w:rPr>
        <w:t>Employer</w:t>
      </w:r>
      <w:r>
        <w:rPr>
          <w:rFonts w:ascii="Arial" w:cs="Arial" w:eastAsia="Arial" w:hAnsi="Arial"/>
          <w:sz w:val="19"/>
          <w:szCs w:val="19"/>
          <w:color w:val="auto"/>
        </w:rPr>
        <w:t>” means the Subsidiary that employs the Participant. This Agreement is subject to the terms and conditions of the Plan.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pacing w:after="0" w:line="180" w:lineRule="exact"/>
        <w:rPr>
          <w:rFonts w:ascii="Arial" w:cs="Arial" w:eastAsia="Arial" w:hAnsi="Arial"/>
          <w:sz w:val="19"/>
          <w:szCs w:val="19"/>
          <w:color w:val="auto"/>
        </w:rPr>
      </w:pPr>
    </w:p>
    <w:p>
      <w:pPr>
        <w:ind w:right="180" w:firstLine="637"/>
        <w:spacing w:after="0" w:line="253" w:lineRule="auto"/>
        <w:tabs>
          <w:tab w:leader="none" w:pos="1251"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Country-Specific Provisions</w:t>
      </w:r>
      <w:r>
        <w:rPr>
          <w:rFonts w:ascii="Arial" w:cs="Arial" w:eastAsia="Arial" w:hAnsi="Arial"/>
          <w:sz w:val="19"/>
          <w:szCs w:val="19"/>
          <w:color w:val="auto"/>
        </w:rPr>
        <w:t xml:space="preserve">. The Participant’s participation in the Plan shall be subject to any special terms and conditions set forth in </w:t>
      </w:r>
      <w:r>
        <w:rPr>
          <w:rFonts w:ascii="Arial" w:cs="Arial" w:eastAsia="Arial" w:hAnsi="Arial"/>
          <w:sz w:val="19"/>
          <w:szCs w:val="19"/>
          <w:u w:val="single" w:color="auto"/>
          <w:color w:val="auto"/>
        </w:rPr>
        <w:t>Appendix B</w:t>
      </w:r>
      <w:r>
        <w:rPr>
          <w:rFonts w:ascii="Arial" w:cs="Arial" w:eastAsia="Arial" w:hAnsi="Arial"/>
          <w:sz w:val="19"/>
          <w:szCs w:val="19"/>
          <w:color w:val="auto"/>
        </w:rPr>
        <w:t xml:space="preserve"> attached hereto for the Participant’s country. Moreover, if the Participant relocates to one of the countries included in </w:t>
      </w:r>
      <w:r>
        <w:rPr>
          <w:rFonts w:ascii="Arial" w:cs="Arial" w:eastAsia="Arial" w:hAnsi="Arial"/>
          <w:sz w:val="19"/>
          <w:szCs w:val="19"/>
          <w:u w:val="single" w:color="auto"/>
          <w:color w:val="auto"/>
        </w:rPr>
        <w:t>Appendix B</w:t>
      </w:r>
      <w:r>
        <w:rPr>
          <w:rFonts w:ascii="Arial" w:cs="Arial" w:eastAsia="Arial" w:hAnsi="Arial"/>
          <w:sz w:val="19"/>
          <w:szCs w:val="19"/>
          <w:color w:val="auto"/>
        </w:rPr>
        <w:t xml:space="preserve">, the special terms and conditions for such country will apply to the Participant, to the extent the Company determines that the application of such terms and conditions is necessary or advisable for legal or administrative reasons. </w:t>
      </w:r>
      <w:r>
        <w:rPr>
          <w:rFonts w:ascii="Arial" w:cs="Arial" w:eastAsia="Arial" w:hAnsi="Arial"/>
          <w:sz w:val="19"/>
          <w:szCs w:val="19"/>
          <w:u w:val="single" w:color="auto"/>
          <w:color w:val="auto"/>
        </w:rPr>
        <w:t>Appendix B</w:t>
      </w:r>
      <w:r>
        <w:rPr>
          <w:rFonts w:ascii="Arial" w:cs="Arial" w:eastAsia="Arial" w:hAnsi="Arial"/>
          <w:sz w:val="19"/>
          <w:szCs w:val="19"/>
          <w:color w:val="auto"/>
        </w:rPr>
        <w:t xml:space="preserve"> constitutes part of this Agreement.</w:t>
      </w:r>
    </w:p>
    <w:p>
      <w:pPr>
        <w:spacing w:after="0" w:line="177" w:lineRule="exact"/>
        <w:rPr>
          <w:rFonts w:ascii="Arial" w:cs="Arial" w:eastAsia="Arial" w:hAnsi="Arial"/>
          <w:sz w:val="19"/>
          <w:szCs w:val="19"/>
          <w:color w:val="auto"/>
        </w:rPr>
      </w:pPr>
    </w:p>
    <w:p>
      <w:pPr>
        <w:ind w:right="80" w:firstLine="637"/>
        <w:spacing w:after="0" w:line="255" w:lineRule="auto"/>
        <w:tabs>
          <w:tab w:leader="none" w:pos="1254"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Other Requirements</w:t>
      </w:r>
      <w:r>
        <w:rPr>
          <w:rFonts w:ascii="Arial" w:cs="Arial" w:eastAsia="Arial" w:hAnsi="Arial"/>
          <w:sz w:val="19"/>
          <w:szCs w:val="19"/>
          <w:color w:val="auto"/>
        </w:rPr>
        <w:t>. The Company reserves the right to impose other requirements on the Participant’s participation in the Plan and on any shares of Company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76" w:lineRule="exact"/>
        <w:rPr>
          <w:rFonts w:ascii="Arial" w:cs="Arial" w:eastAsia="Arial" w:hAnsi="Arial"/>
          <w:sz w:val="19"/>
          <w:szCs w:val="19"/>
          <w:color w:val="auto"/>
        </w:rPr>
      </w:pPr>
    </w:p>
    <w:p>
      <w:pPr>
        <w:ind w:right="160" w:firstLine="637"/>
        <w:spacing w:after="0" w:line="281" w:lineRule="auto"/>
        <w:tabs>
          <w:tab w:leader="none" w:pos="1259"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The Participant acknowledges that the Company is organized under the laws of the State of Delaware, U.S.A. The Participant and the Company agree that this Agreement shall be construed in accordance with and governed by the laws of the State of Delaware, U.S.A., without reference to principles of conflict of laws that would apply the laws of any other jurisdiction.</w:t>
      </w:r>
    </w:p>
    <w:p>
      <w:pPr>
        <w:spacing w:after="0" w:line="154" w:lineRule="exact"/>
        <w:rPr>
          <w:rFonts w:ascii="Arial" w:cs="Arial" w:eastAsia="Arial" w:hAnsi="Arial"/>
          <w:sz w:val="18"/>
          <w:szCs w:val="18"/>
          <w:color w:val="auto"/>
        </w:rPr>
      </w:pPr>
    </w:p>
    <w:p>
      <w:pPr>
        <w:ind w:right="20" w:firstLine="637"/>
        <w:spacing w:after="0" w:line="249" w:lineRule="auto"/>
        <w:tabs>
          <w:tab w:leader="none" w:pos="1251"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Forum Selection</w:t>
      </w:r>
      <w:r>
        <w:rPr>
          <w:rFonts w:ascii="Arial" w:cs="Arial" w:eastAsia="Arial" w:hAnsi="Arial"/>
          <w:sz w:val="19"/>
          <w:szCs w:val="19"/>
          <w:color w:val="auto"/>
        </w:rPr>
        <w:t>. The Participant acknowledges that the Company’s principal place of business is in, and a substantial portion of the Company’s business is based out of, the Commonwealth of Virginia, U.S.A. The Participant also acknowledges that, as such, during the course of the Participant’s service with the Company and its Subsidiaries, the Participant shall have substantial contacts with the Commonwealth of Virginia, U.S.A. Accordingly, the Participant and the Company agree that the exclusive forum for any action, demand, claim or counterclaim relating to the terms and provisions of this Agreement, or to their breach, shall be in the appropriate state or federal court located in the Commonwealth of Virginia, U.S.A. The Participant and the Company hereby consent to the personal jurisdiction of such courts over the parties to this Agreement. The Participant expressly waives any defense that such courts lack personal jurisdiction or are inconvenient. The Participant and the Company further agree that in any such action for breach or enforcement of this Agreement, no party will seek to challenge the validity or enforceability of any part of this Agreement.</w:t>
      </w:r>
    </w:p>
    <w:p>
      <w:pPr>
        <w:sectPr>
          <w:pgSz w:w="11900" w:h="16838" w:orient="portrait"/>
          <w:cols w:equalWidth="0" w:num="1">
            <w:col w:w="11200"/>
          </w:cols>
          <w:pgMar w:left="320" w:top="1440" w:right="379" w:bottom="1440" w:gutter="0" w:footer="0" w:header="0"/>
        </w:sectPr>
      </w:pPr>
    </w:p>
    <w:bookmarkStart w:id="57" w:name="page58"/>
    <w:bookmarkEnd w:id="57"/>
    <w:p>
      <w:pPr>
        <w:spacing w:after="0" w:line="157" w:lineRule="exact"/>
        <w:rPr>
          <w:sz w:val="20"/>
          <w:szCs w:val="20"/>
          <w:color w:val="auto"/>
        </w:rPr>
      </w:pPr>
    </w:p>
    <w:p>
      <w:pPr>
        <w:ind w:left="-637" w:right="120" w:firstLine="637"/>
        <w:spacing w:after="0" w:line="275" w:lineRule="auto"/>
        <w:tabs>
          <w:tab w:leader="none" w:pos="614"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This Agreement may not be amended, modified or supplemented orally, but only by a written instrument executed by the Participant and the Company.</w:t>
      </w:r>
    </w:p>
    <w:p>
      <w:pPr>
        <w:spacing w:after="0" w:line="157" w:lineRule="exact"/>
        <w:rPr>
          <w:rFonts w:ascii="Arial" w:cs="Arial" w:eastAsia="Arial" w:hAnsi="Arial"/>
          <w:sz w:val="19"/>
          <w:szCs w:val="19"/>
          <w:color w:val="auto"/>
        </w:rPr>
      </w:pPr>
    </w:p>
    <w:p>
      <w:pPr>
        <w:ind w:left="-637" w:right="20" w:firstLine="637"/>
        <w:spacing w:after="0" w:line="281" w:lineRule="auto"/>
        <w:tabs>
          <w:tab w:leader="none" w:pos="62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may assign all or any portion of its rights or obligations under this Agreement to one or more persons or other entities designated by it.</w:t>
      </w:r>
    </w:p>
    <w:p>
      <w:pPr>
        <w:spacing w:after="0" w:line="154" w:lineRule="exact"/>
        <w:rPr>
          <w:rFonts w:ascii="Arial" w:cs="Arial" w:eastAsia="Arial" w:hAnsi="Arial"/>
          <w:sz w:val="18"/>
          <w:szCs w:val="18"/>
          <w:color w:val="auto"/>
        </w:rPr>
      </w:pPr>
    </w:p>
    <w:p>
      <w:pPr>
        <w:ind w:left="-637" w:right="100" w:firstLine="637"/>
        <w:spacing w:after="0" w:line="260" w:lineRule="auto"/>
        <w:tabs>
          <w:tab w:leader="none" w:pos="624"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Severability; Blue Pencil</w:t>
      </w:r>
      <w:r>
        <w:rPr>
          <w:rFonts w:ascii="Arial" w:cs="Arial" w:eastAsia="Arial" w:hAnsi="Arial"/>
          <w:sz w:val="19"/>
          <w:szCs w:val="19"/>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171" w:lineRule="exact"/>
        <w:rPr>
          <w:rFonts w:ascii="Arial" w:cs="Arial" w:eastAsia="Arial" w:hAnsi="Arial"/>
          <w:sz w:val="19"/>
          <w:szCs w:val="19"/>
          <w:color w:val="auto"/>
        </w:rPr>
      </w:pPr>
    </w:p>
    <w:p>
      <w:pPr>
        <w:ind w:left="-637" w:right="140" w:firstLine="637"/>
        <w:spacing w:after="0" w:line="253" w:lineRule="auto"/>
        <w:tabs>
          <w:tab w:leader="none" w:pos="614"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Consent to Electronic Delivery</w:t>
      </w:r>
      <w:r>
        <w:rPr>
          <w:rFonts w:ascii="Arial" w:cs="Arial" w:eastAsia="Arial" w:hAnsi="Arial"/>
          <w:sz w:val="19"/>
          <w:szCs w:val="19"/>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Company website, the Fidelity NetBenefits website or any other online access system of the Company’s third party Plan administrator, email or other electronic delivery.</w:t>
      </w:r>
    </w:p>
    <w:p>
      <w:pPr>
        <w:spacing w:after="0" w:line="177" w:lineRule="exact"/>
        <w:rPr>
          <w:rFonts w:ascii="Arial" w:cs="Arial" w:eastAsia="Arial" w:hAnsi="Arial"/>
          <w:sz w:val="19"/>
          <w:szCs w:val="19"/>
          <w:color w:val="auto"/>
        </w:rPr>
      </w:pPr>
    </w:p>
    <w:p>
      <w:pPr>
        <w:ind w:left="-637" w:right="40" w:firstLine="637"/>
        <w:spacing w:after="0" w:line="250" w:lineRule="auto"/>
        <w:tabs>
          <w:tab w:leader="none" w:pos="624"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Section 409A of the Code</w:t>
      </w:r>
      <w:r>
        <w:rPr>
          <w:rFonts w:ascii="Arial" w:cs="Arial" w:eastAsia="Arial" w:hAnsi="Arial"/>
          <w:sz w:val="19"/>
          <w:szCs w:val="19"/>
          <w:color w:val="auto"/>
        </w:rPr>
        <w:t>. This Agreement is intended to be administered in a manner consistent with the requirements, where applicable, of Section 409A of the Code and the regulations promulgated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Where reasonably practicable, the Agreement shall be administered in a manner to avoid the imposition on the Participant of immediate tax recognition and additional taxes pursuant to Section 409A. In addition, to the extent permissible under Section 409A, any series of installment payments under this Agreement shall be treated as a right to a series of separate payments. Notwithstanding the foregoing, the Company shall not have any liability to any Person in the event Section 409A applies to any payment hereunder in a manner that results in adverse tax consequences to the Participant or any of the Participant’s beneficiaries.</w:t>
      </w:r>
    </w:p>
    <w:p>
      <w:pPr>
        <w:spacing w:after="0" w:line="183" w:lineRule="exact"/>
        <w:rPr>
          <w:rFonts w:ascii="Arial" w:cs="Arial" w:eastAsia="Arial" w:hAnsi="Arial"/>
          <w:sz w:val="19"/>
          <w:szCs w:val="19"/>
          <w:color w:val="auto"/>
        </w:rPr>
      </w:pPr>
    </w:p>
    <w:p>
      <w:pPr>
        <w:ind w:left="-637" w:firstLine="637"/>
        <w:spacing w:after="0" w:line="265" w:lineRule="auto"/>
        <w:tabs>
          <w:tab w:leader="none" w:pos="61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Specified Employee Delay</w:t>
      </w:r>
      <w:r>
        <w:rPr>
          <w:rFonts w:ascii="Arial" w:cs="Arial" w:eastAsia="Arial" w:hAnsi="Arial"/>
          <w:sz w:val="18"/>
          <w:szCs w:val="18"/>
          <w:color w:val="auto"/>
        </w:rPr>
        <w:t>. If the Participant is deemed a “specified employee” within the meaning of Section 409A, as determined by the Committee, at a time when the Participant becomes eligible for settlement of the Restricted Stock Units upon his or her “separation from service” within the meaning of Section 409A, then to the extent necessary to prevent any accelerated or additional tax under Section 409A, such settlement will be delayed until the earlier of: (</w:t>
      </w:r>
      <w:r>
        <w:rPr>
          <w:rFonts w:ascii="Arial" w:cs="Arial" w:eastAsia="Arial" w:hAnsi="Arial"/>
          <w:sz w:val="18"/>
          <w:szCs w:val="18"/>
          <w:u w:val="single" w:color="auto"/>
          <w:color w:val="auto"/>
        </w:rPr>
        <w:t>a</w:t>
      </w:r>
      <w:r>
        <w:rPr>
          <w:rFonts w:ascii="Arial" w:cs="Arial" w:eastAsia="Arial" w:hAnsi="Arial"/>
          <w:sz w:val="18"/>
          <w:szCs w:val="18"/>
          <w:color w:val="auto"/>
        </w:rPr>
        <w:t>) the date that is six months following the Participant’s termination of service and (</w:t>
      </w:r>
      <w:r>
        <w:rPr>
          <w:rFonts w:ascii="Arial" w:cs="Arial" w:eastAsia="Arial" w:hAnsi="Arial"/>
          <w:sz w:val="18"/>
          <w:szCs w:val="18"/>
          <w:u w:val="single" w:color="auto"/>
          <w:color w:val="auto"/>
        </w:rPr>
        <w:t>b</w:t>
      </w:r>
      <w:r>
        <w:rPr>
          <w:rFonts w:ascii="Arial" w:cs="Arial" w:eastAsia="Arial" w:hAnsi="Arial"/>
          <w:sz w:val="18"/>
          <w:szCs w:val="18"/>
          <w:color w:val="auto"/>
        </w:rPr>
        <w:t>) the Participant’s death. Notwithstanding anything to the contrary in this Agreement, if settlement is to occur upon a termination of service other than due to death or Disability and the Participant is a specified employee, to the extent necessary to comply with, and avoid imposition on the Participant of any additional tax or interest imposed under, Section 409A, settlement shall instead occur on the first business day following the six-month anniversary of the Participant’s termination of service (or, if earlier, upon the Participant’s death), or as soon thereafter as practicable (but no later than 90 days thereafter).</w:t>
      </w:r>
    </w:p>
    <w:p>
      <w:pPr>
        <w:spacing w:after="0" w:line="166" w:lineRule="exact"/>
        <w:rPr>
          <w:rFonts w:ascii="Arial" w:cs="Arial" w:eastAsia="Arial" w:hAnsi="Arial"/>
          <w:sz w:val="18"/>
          <w:szCs w:val="18"/>
          <w:color w:val="auto"/>
        </w:rPr>
      </w:pPr>
    </w:p>
    <w:p>
      <w:pPr>
        <w:ind w:left="-637" w:right="280" w:firstLine="637"/>
        <w:spacing w:after="0" w:line="275" w:lineRule="auto"/>
        <w:tabs>
          <w:tab w:leader="none" w:pos="614"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Headings and Captions</w:t>
      </w:r>
      <w:r>
        <w:rPr>
          <w:rFonts w:ascii="Arial" w:cs="Arial" w:eastAsia="Arial" w:hAnsi="Arial"/>
          <w:sz w:val="19"/>
          <w:szCs w:val="19"/>
          <w:color w:val="auto"/>
        </w:rPr>
        <w:t>. The section and other headings contained in this Agreement are for reference purposes only and shall not affect the meaning or interpretation of this Agreement.</w:t>
      </w:r>
    </w:p>
    <w:p>
      <w:pPr>
        <w:spacing w:after="0" w:line="157" w:lineRule="exact"/>
        <w:rPr>
          <w:rFonts w:ascii="Arial" w:cs="Arial" w:eastAsia="Arial" w:hAnsi="Arial"/>
          <w:sz w:val="19"/>
          <w:szCs w:val="19"/>
          <w:color w:val="auto"/>
        </w:rPr>
      </w:pPr>
    </w:p>
    <w:p>
      <w:pPr>
        <w:ind w:left="-637" w:right="180" w:firstLine="637"/>
        <w:spacing w:after="0" w:line="281" w:lineRule="auto"/>
        <w:tabs>
          <w:tab w:leader="none" w:pos="61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under this Agreement shall be (</w:t>
      </w:r>
      <w:r>
        <w:rPr>
          <w:rFonts w:ascii="Arial" w:cs="Arial" w:eastAsia="Arial" w:hAnsi="Arial"/>
          <w:sz w:val="18"/>
          <w:szCs w:val="18"/>
          <w:u w:val="single" w:color="auto"/>
          <w:color w:val="auto"/>
        </w:rPr>
        <w:t>i</w:t>
      </w:r>
      <w:r>
        <w:rPr>
          <w:rFonts w:ascii="Arial" w:cs="Arial" w:eastAsia="Arial" w:hAnsi="Arial"/>
          <w:sz w:val="18"/>
          <w:szCs w:val="18"/>
          <w:color w:val="auto"/>
        </w:rPr>
        <w:t>) delivered by hand, (</w:t>
      </w:r>
      <w:r>
        <w:rPr>
          <w:rFonts w:ascii="Arial" w:cs="Arial" w:eastAsia="Arial" w:hAnsi="Arial"/>
          <w:sz w:val="18"/>
          <w:szCs w:val="18"/>
          <w:u w:val="single" w:color="auto"/>
          <w:color w:val="auto"/>
        </w:rPr>
        <w:t>ii</w:t>
      </w:r>
      <w:r>
        <w:rPr>
          <w:rFonts w:ascii="Arial" w:cs="Arial" w:eastAsia="Arial" w:hAnsi="Arial"/>
          <w:sz w:val="18"/>
          <w:szCs w:val="18"/>
          <w:color w:val="auto"/>
        </w:rPr>
        <w:t>) sent by commercial overnight courier service, (</w:t>
      </w:r>
      <w:r>
        <w:rPr>
          <w:rFonts w:ascii="Arial" w:cs="Arial" w:eastAsia="Arial" w:hAnsi="Arial"/>
          <w:sz w:val="18"/>
          <w:szCs w:val="18"/>
          <w:u w:val="single" w:color="auto"/>
          <w:color w:val="auto"/>
        </w:rPr>
        <w:t>iii</w:t>
      </w:r>
      <w:r>
        <w:rPr>
          <w:rFonts w:ascii="Arial" w:cs="Arial" w:eastAsia="Arial" w:hAnsi="Arial"/>
          <w:sz w:val="18"/>
          <w:szCs w:val="18"/>
          <w:color w:val="auto"/>
        </w:rPr>
        <w:t>) sent by registered or certified mail, return receipt requested, and first-class postage prepaid, (</w:t>
      </w:r>
      <w:r>
        <w:rPr>
          <w:rFonts w:ascii="Arial" w:cs="Arial" w:eastAsia="Arial" w:hAnsi="Arial"/>
          <w:sz w:val="18"/>
          <w:szCs w:val="18"/>
          <w:u w:val="single" w:color="auto"/>
          <w:color w:val="auto"/>
        </w:rPr>
        <w:t>iv</w:t>
      </w:r>
      <w:r>
        <w:rPr>
          <w:rFonts w:ascii="Arial" w:cs="Arial" w:eastAsia="Arial" w:hAnsi="Arial"/>
          <w:sz w:val="18"/>
          <w:szCs w:val="18"/>
          <w:color w:val="auto"/>
        </w:rPr>
        <w:t>) sent by e-mail or any other form of electronic transfer or delivery approved by the Administrator, or (</w:t>
      </w:r>
      <w:r>
        <w:rPr>
          <w:rFonts w:ascii="Arial" w:cs="Arial" w:eastAsia="Arial" w:hAnsi="Arial"/>
          <w:sz w:val="18"/>
          <w:szCs w:val="18"/>
          <w:u w:val="single" w:color="auto"/>
          <w:color w:val="auto"/>
        </w:rPr>
        <w:t>v</w:t>
      </w:r>
      <w:r>
        <w:rPr>
          <w:rFonts w:ascii="Arial" w:cs="Arial" w:eastAsia="Arial" w:hAnsi="Arial"/>
          <w:sz w:val="18"/>
          <w:szCs w:val="18"/>
          <w:color w:val="auto"/>
        </w:rPr>
        <w:t>) faxed, in each case to the parties at their respective addresses and</w:t>
      </w:r>
    </w:p>
    <w:p>
      <w:pPr>
        <w:sectPr>
          <w:pgSz w:w="11900" w:h="16838" w:orient="portrait"/>
          <w:cols w:equalWidth="0" w:num="1">
            <w:col w:w="10603"/>
          </w:cols>
          <w:pgMar w:left="957" w:top="1440" w:right="339" w:bottom="1440" w:gutter="0" w:footer="0" w:header="0"/>
        </w:sectPr>
      </w:pPr>
    </w:p>
    <w:bookmarkStart w:id="58" w:name="page59"/>
    <w:bookmarkEnd w:id="58"/>
    <w:p>
      <w:pPr>
        <w:spacing w:after="0" w:line="157"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facsimile numbers set forth in the records of the Company or at such other address or facsimile number as may be designated in a notice by either party to the other.</w:t>
      </w:r>
    </w:p>
    <w:p>
      <w:pPr>
        <w:spacing w:after="0" w:line="157" w:lineRule="exact"/>
        <w:rPr>
          <w:sz w:val="20"/>
          <w:szCs w:val="20"/>
          <w:color w:val="auto"/>
        </w:rPr>
      </w:pPr>
    </w:p>
    <w:p>
      <w:pPr>
        <w:ind w:right="160" w:firstLine="637"/>
        <w:spacing w:after="0" w:line="275" w:lineRule="auto"/>
        <w:tabs>
          <w:tab w:leader="none" w:pos="1251"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each of which shall be deemed to be an original and all of which together shall constitute one and the same instrument.</w:t>
      </w:r>
    </w:p>
    <w:p>
      <w:pPr>
        <w:sectPr>
          <w:pgSz w:w="11900" w:h="16838" w:orient="portrait"/>
          <w:cols w:equalWidth="0" w:num="1">
            <w:col w:w="11240"/>
          </w:cols>
          <w:pgMar w:left="320" w:top="1440"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 Horacio D. Rozanski, certify that:</w:t>
      </w:r>
    </w:p>
    <w:p>
      <w:pPr>
        <w:spacing w:after="0" w:line="161" w:lineRule="exact"/>
        <w:rPr>
          <w:sz w:val="20"/>
          <w:szCs w:val="20"/>
          <w:color w:val="auto"/>
        </w:rPr>
      </w:pPr>
    </w:p>
    <w:p>
      <w:pPr>
        <w:ind w:left="180" w:hanging="175"/>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61" w:lineRule="exact"/>
        <w:rPr>
          <w:rFonts w:ascii="Arial" w:cs="Arial" w:eastAsia="Arial" w:hAnsi="Arial"/>
          <w:sz w:val="18"/>
          <w:szCs w:val="18"/>
          <w:color w:val="auto"/>
        </w:rPr>
      </w:pPr>
    </w:p>
    <w:p>
      <w:pPr>
        <w:ind w:right="80" w:firstLine="5"/>
        <w:spacing w:after="0" w:line="324" w:lineRule="auto"/>
        <w:tabs>
          <w:tab w:leader="none" w:pos="175"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right="160" w:firstLine="5"/>
        <w:spacing w:after="0" w:line="261" w:lineRule="auto"/>
        <w:tabs>
          <w:tab w:leader="none" w:pos="1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8"/>
          <w:szCs w:val="18"/>
          <w:color w:val="auto"/>
        </w:rPr>
      </w:pPr>
    </w:p>
    <w:p>
      <w:pPr>
        <w:ind w:right="20" w:firstLine="5"/>
        <w:spacing w:after="0" w:line="252" w:lineRule="auto"/>
        <w:tabs>
          <w:tab w:leader="none" w:pos="1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sz w:val="20"/>
          <w:szCs w:val="20"/>
          <w:color w:val="auto"/>
        </w:rPr>
      </w:pPr>
    </w:p>
    <w:p>
      <w:pPr>
        <w:jc w:val="both"/>
        <w:ind w:right="220" w:firstLine="5"/>
        <w:spacing w:after="0" w:line="252" w:lineRule="auto"/>
        <w:tabs>
          <w:tab w:leader="none" w:pos="239"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8"/>
          <w:szCs w:val="18"/>
          <w:color w:val="auto"/>
        </w:rPr>
      </w:pPr>
    </w:p>
    <w:p>
      <w:pPr>
        <w:ind w:right="20" w:firstLine="5"/>
        <w:spacing w:after="0" w:line="252" w:lineRule="auto"/>
        <w:tabs>
          <w:tab w:leader="none" w:pos="2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8"/>
          <w:szCs w:val="18"/>
          <w:color w:val="auto"/>
        </w:rPr>
      </w:pPr>
    </w:p>
    <w:p>
      <w:pPr>
        <w:ind w:right="160" w:firstLine="5"/>
        <w:spacing w:after="0" w:line="261" w:lineRule="auto"/>
        <w:tabs>
          <w:tab w:leader="none" w:pos="239"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8"/>
          <w:szCs w:val="18"/>
          <w:color w:val="auto"/>
        </w:rPr>
      </w:pPr>
    </w:p>
    <w:p>
      <w:pPr>
        <w:ind w:right="100" w:firstLine="5"/>
        <w:spacing w:after="0" w:line="252" w:lineRule="auto"/>
        <w:tabs>
          <w:tab w:leader="none" w:pos="2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8" w:lineRule="exact"/>
        <w:rPr>
          <w:sz w:val="20"/>
          <w:szCs w:val="20"/>
          <w:color w:val="auto"/>
        </w:rPr>
      </w:pPr>
    </w:p>
    <w:p>
      <w:pPr>
        <w:ind w:right="760" w:firstLine="5"/>
        <w:spacing w:after="0" w:line="324" w:lineRule="auto"/>
        <w:tabs>
          <w:tab w:leader="none" w:pos="17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82" w:lineRule="exact"/>
        <w:rPr>
          <w:sz w:val="20"/>
          <w:szCs w:val="20"/>
          <w:color w:val="auto"/>
        </w:rPr>
      </w:pPr>
    </w:p>
    <w:p>
      <w:pPr>
        <w:ind w:right="320" w:firstLine="5"/>
        <w:spacing w:after="0" w:line="261" w:lineRule="auto"/>
        <w:tabs>
          <w:tab w:leader="none" w:pos="23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8"/>
          <w:szCs w:val="18"/>
          <w:color w:val="auto"/>
        </w:rPr>
      </w:pPr>
    </w:p>
    <w:p>
      <w:pPr>
        <w:ind w:right="560" w:firstLine="5"/>
        <w:spacing w:after="0" w:line="261" w:lineRule="auto"/>
        <w:tabs>
          <w:tab w:leader="none" w:pos="2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7" w:lineRule="exact"/>
        <w:rPr>
          <w:sz w:val="20"/>
          <w:szCs w:val="20"/>
          <w:color w:val="auto"/>
        </w:rPr>
      </w:pPr>
    </w:p>
    <w:p>
      <w:pPr>
        <w:ind w:left="20"/>
        <w:spacing w:after="0"/>
        <w:tabs>
          <w:tab w:leader="none" w:pos="6960" w:val="left"/>
          <w:tab w:leader="none" w:pos="7420" w:val="left"/>
        </w:tabs>
        <w:rPr>
          <w:sz w:val="20"/>
          <w:szCs w:val="20"/>
          <w:color w:val="auto"/>
        </w:rPr>
      </w:pPr>
      <w:r>
        <w:rPr>
          <w:rFonts w:ascii="Arial" w:cs="Arial" w:eastAsia="Arial" w:hAnsi="Arial"/>
          <w:sz w:val="18"/>
          <w:szCs w:val="18"/>
          <w:color w:val="auto"/>
        </w:rPr>
        <w:t>Date: July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4716145</wp:posOffset>
            </wp:positionH>
            <wp:positionV relativeFrom="paragraph">
              <wp:posOffset>10160</wp:posOffset>
            </wp:positionV>
            <wp:extent cx="24066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2406650" cy="8255"/>
                    </a:xfrm>
                    <a:prstGeom prst="rect">
                      <a:avLst/>
                    </a:prstGeom>
                    <a:noFill/>
                  </pic:spPr>
                </pic:pic>
              </a:graphicData>
            </a:graphic>
          </wp:anchor>
        </w:drawing>
      </w:r>
    </w:p>
    <w:p>
      <w:pPr>
        <w:ind w:left="7440"/>
        <w:spacing w:after="0"/>
        <w:rPr>
          <w:sz w:val="20"/>
          <w:szCs w:val="20"/>
          <w:color w:val="auto"/>
        </w:rPr>
      </w:pPr>
      <w:r>
        <w:rPr>
          <w:rFonts w:ascii="Arial" w:cs="Arial" w:eastAsia="Arial" w:hAnsi="Arial"/>
          <w:sz w:val="18"/>
          <w:szCs w:val="18"/>
          <w:color w:val="auto"/>
        </w:rPr>
        <w:t>Horacio D. Rozanski</w:t>
      </w:r>
    </w:p>
    <w:p>
      <w:pPr>
        <w:ind w:left="7440"/>
        <w:spacing w:after="0" w:line="198" w:lineRule="auto"/>
        <w:rPr>
          <w:sz w:val="20"/>
          <w:szCs w:val="20"/>
          <w:color w:val="auto"/>
        </w:rPr>
      </w:pPr>
      <w:r>
        <w:rPr>
          <w:rFonts w:ascii="Arial" w:cs="Arial" w:eastAsia="Arial" w:hAnsi="Arial"/>
          <w:sz w:val="18"/>
          <w:szCs w:val="18"/>
          <w:color w:val="auto"/>
        </w:rPr>
        <w:t>President and Chief Executive Officer</w:t>
      </w:r>
    </w:p>
    <w:p>
      <w:pPr>
        <w:ind w:left="74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7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 Lloyd W. Howell, Jr., certify that:</w:t>
      </w:r>
    </w:p>
    <w:p>
      <w:pPr>
        <w:spacing w:after="0" w:line="161" w:lineRule="exact"/>
        <w:rPr>
          <w:sz w:val="20"/>
          <w:szCs w:val="20"/>
          <w:color w:val="auto"/>
        </w:rPr>
      </w:pPr>
    </w:p>
    <w:p>
      <w:pPr>
        <w:ind w:left="180" w:hanging="175"/>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61" w:lineRule="exact"/>
        <w:rPr>
          <w:rFonts w:ascii="Arial" w:cs="Arial" w:eastAsia="Arial" w:hAnsi="Arial"/>
          <w:sz w:val="18"/>
          <w:szCs w:val="18"/>
          <w:color w:val="auto"/>
        </w:rPr>
      </w:pPr>
    </w:p>
    <w:p>
      <w:pPr>
        <w:ind w:right="80" w:firstLine="5"/>
        <w:spacing w:after="0" w:line="324" w:lineRule="auto"/>
        <w:tabs>
          <w:tab w:leader="none" w:pos="175"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6"/>
          <w:szCs w:val="16"/>
          <w:color w:val="auto"/>
        </w:rPr>
      </w:pPr>
    </w:p>
    <w:p>
      <w:pPr>
        <w:ind w:right="160" w:firstLine="5"/>
        <w:spacing w:after="0" w:line="261" w:lineRule="auto"/>
        <w:tabs>
          <w:tab w:leader="none" w:pos="1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8"/>
          <w:szCs w:val="18"/>
          <w:color w:val="auto"/>
        </w:rPr>
      </w:pPr>
    </w:p>
    <w:p>
      <w:pPr>
        <w:ind w:right="20" w:firstLine="5"/>
        <w:spacing w:after="0" w:line="252" w:lineRule="auto"/>
        <w:tabs>
          <w:tab w:leader="none" w:pos="1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8" w:lineRule="exact"/>
        <w:rPr>
          <w:sz w:val="20"/>
          <w:szCs w:val="20"/>
          <w:color w:val="auto"/>
        </w:rPr>
      </w:pPr>
    </w:p>
    <w:p>
      <w:pPr>
        <w:jc w:val="both"/>
        <w:ind w:right="220" w:firstLine="5"/>
        <w:spacing w:after="0" w:line="252" w:lineRule="auto"/>
        <w:tabs>
          <w:tab w:leader="none" w:pos="239"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8"/>
          <w:szCs w:val="18"/>
          <w:color w:val="auto"/>
        </w:rPr>
      </w:pPr>
    </w:p>
    <w:p>
      <w:pPr>
        <w:ind w:right="20" w:firstLine="5"/>
        <w:spacing w:after="0" w:line="252" w:lineRule="auto"/>
        <w:tabs>
          <w:tab w:leader="none" w:pos="2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8"/>
          <w:szCs w:val="18"/>
          <w:color w:val="auto"/>
        </w:rPr>
      </w:pPr>
    </w:p>
    <w:p>
      <w:pPr>
        <w:ind w:right="160" w:firstLine="5"/>
        <w:spacing w:after="0" w:line="261" w:lineRule="auto"/>
        <w:tabs>
          <w:tab w:leader="none" w:pos="239"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8"/>
          <w:szCs w:val="18"/>
          <w:color w:val="auto"/>
        </w:rPr>
      </w:pPr>
    </w:p>
    <w:p>
      <w:pPr>
        <w:ind w:right="100" w:firstLine="5"/>
        <w:spacing w:after="0" w:line="252" w:lineRule="auto"/>
        <w:tabs>
          <w:tab w:leader="none" w:pos="2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8" w:lineRule="exact"/>
        <w:rPr>
          <w:sz w:val="20"/>
          <w:szCs w:val="20"/>
          <w:color w:val="auto"/>
        </w:rPr>
      </w:pPr>
    </w:p>
    <w:p>
      <w:pPr>
        <w:ind w:right="760" w:firstLine="5"/>
        <w:spacing w:after="0" w:line="324" w:lineRule="auto"/>
        <w:tabs>
          <w:tab w:leader="none" w:pos="175"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82" w:lineRule="exact"/>
        <w:rPr>
          <w:sz w:val="20"/>
          <w:szCs w:val="20"/>
          <w:color w:val="auto"/>
        </w:rPr>
      </w:pPr>
    </w:p>
    <w:p>
      <w:pPr>
        <w:ind w:right="320" w:firstLine="5"/>
        <w:spacing w:after="0" w:line="261" w:lineRule="auto"/>
        <w:tabs>
          <w:tab w:leader="none" w:pos="23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8"/>
          <w:szCs w:val="18"/>
          <w:color w:val="auto"/>
        </w:rPr>
      </w:pPr>
    </w:p>
    <w:p>
      <w:pPr>
        <w:ind w:right="560" w:firstLine="5"/>
        <w:spacing w:after="0" w:line="261" w:lineRule="auto"/>
        <w:tabs>
          <w:tab w:leader="none" w:pos="2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7" w:lineRule="exact"/>
        <w:rPr>
          <w:sz w:val="20"/>
          <w:szCs w:val="20"/>
          <w:color w:val="auto"/>
        </w:rPr>
      </w:pPr>
    </w:p>
    <w:p>
      <w:pPr>
        <w:ind w:left="20"/>
        <w:spacing w:after="0"/>
        <w:tabs>
          <w:tab w:leader="none" w:pos="5600" w:val="left"/>
          <w:tab w:leader="none" w:pos="6060" w:val="left"/>
        </w:tabs>
        <w:rPr>
          <w:sz w:val="20"/>
          <w:szCs w:val="20"/>
          <w:color w:val="auto"/>
        </w:rPr>
      </w:pPr>
      <w:r>
        <w:rPr>
          <w:rFonts w:ascii="Arial" w:cs="Arial" w:eastAsia="Arial" w:hAnsi="Arial"/>
          <w:sz w:val="18"/>
          <w:szCs w:val="18"/>
          <w:color w:val="auto"/>
        </w:rPr>
        <w:t>Date: July 30 ,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10160</wp:posOffset>
            </wp:positionV>
            <wp:extent cx="32670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3267075"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color w:val="auto"/>
        </w:rPr>
        <w:t>Lloyd W. Howell, Jr.</w:t>
      </w:r>
    </w:p>
    <w:p>
      <w:pPr>
        <w:ind w:left="6080"/>
        <w:spacing w:after="0" w:line="198" w:lineRule="auto"/>
        <w:rPr>
          <w:sz w:val="20"/>
          <w:szCs w:val="20"/>
          <w:color w:val="auto"/>
        </w:rPr>
      </w:pPr>
      <w:r>
        <w:rPr>
          <w:rFonts w:ascii="Arial" w:cs="Arial" w:eastAsia="Arial" w:hAnsi="Arial"/>
          <w:sz w:val="18"/>
          <w:szCs w:val="18"/>
          <w:color w:val="auto"/>
        </w:rPr>
        <w:t>Executive Vice President, Chief Financial Officer and Treasurer</w:t>
      </w: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7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0"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June 30, 2021,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8" w:lineRule="exact"/>
        <w:rPr>
          <w:sz w:val="20"/>
          <w:szCs w:val="20"/>
          <w:color w:val="auto"/>
        </w:rPr>
      </w:pPr>
    </w:p>
    <w:p>
      <w:pPr>
        <w:ind w:left="260" w:hanging="255"/>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61" w:lineRule="exact"/>
        <w:rPr>
          <w:rFonts w:ascii="Arial" w:cs="Arial" w:eastAsia="Arial" w:hAnsi="Arial"/>
          <w:sz w:val="18"/>
          <w:szCs w:val="18"/>
          <w:color w:val="auto"/>
        </w:rPr>
      </w:pPr>
    </w:p>
    <w:p>
      <w:pPr>
        <w:ind w:left="260" w:hanging="255"/>
        <w:spacing w:after="0"/>
        <w:tabs>
          <w:tab w:leader="none" w:pos="2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20"/>
        <w:spacing w:after="0"/>
        <w:tabs>
          <w:tab w:leader="none" w:pos="6400" w:val="left"/>
        </w:tabs>
        <w:rPr>
          <w:sz w:val="20"/>
          <w:szCs w:val="20"/>
          <w:color w:val="auto"/>
        </w:rPr>
      </w:pPr>
      <w:r>
        <w:rPr>
          <w:rFonts w:ascii="Arial" w:cs="Arial" w:eastAsia="Arial" w:hAnsi="Arial"/>
          <w:sz w:val="18"/>
          <w:szCs w:val="18"/>
          <w:color w:val="auto"/>
        </w:rPr>
        <w:t>Date: July 30, 2021</w:t>
      </w:r>
      <w:r>
        <w:rPr>
          <w:sz w:val="20"/>
          <w:szCs w:val="20"/>
          <w:color w:val="auto"/>
        </w:rPr>
        <w:tab/>
      </w:r>
      <w:r>
        <w:rPr>
          <w:rFonts w:ascii="Arial" w:cs="Arial" w:eastAsia="Arial" w:hAnsi="Arial"/>
          <w:sz w:val="16"/>
          <w:szCs w:val="16"/>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10160</wp:posOffset>
            </wp:positionV>
            <wp:extent cx="28746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2874645" cy="8255"/>
                    </a:xfrm>
                    <a:prstGeom prst="rect">
                      <a:avLst/>
                    </a:prstGeom>
                    <a:noFill/>
                  </pic:spPr>
                </pic:pic>
              </a:graphicData>
            </a:graphic>
          </wp:anchor>
        </w:drawing>
      </w:r>
    </w:p>
    <w:p>
      <w:pPr>
        <w:ind w:left="6700"/>
        <w:spacing w:after="0"/>
        <w:rPr>
          <w:sz w:val="20"/>
          <w:szCs w:val="20"/>
          <w:color w:val="auto"/>
        </w:rPr>
      </w:pPr>
      <w:r>
        <w:rPr>
          <w:rFonts w:ascii="Arial" w:cs="Arial" w:eastAsia="Arial" w:hAnsi="Arial"/>
          <w:sz w:val="18"/>
          <w:szCs w:val="18"/>
          <w:color w:val="auto"/>
        </w:rPr>
        <w:t>Horacio D. Rozanski</w:t>
      </w:r>
    </w:p>
    <w:p>
      <w:pPr>
        <w:ind w:left="6700"/>
        <w:spacing w:after="0" w:line="198" w:lineRule="auto"/>
        <w:rPr>
          <w:sz w:val="20"/>
          <w:szCs w:val="20"/>
          <w:color w:val="auto"/>
        </w:rPr>
      </w:pPr>
      <w:r>
        <w:rPr>
          <w:rFonts w:ascii="Arial" w:cs="Arial" w:eastAsia="Arial" w:hAnsi="Arial"/>
          <w:sz w:val="18"/>
          <w:szCs w:val="18"/>
          <w:color w:val="auto"/>
        </w:rPr>
        <w:t>President and Chief Executive Officer</w:t>
      </w:r>
    </w:p>
    <w:p>
      <w:pPr>
        <w:ind w:left="6700"/>
        <w:spacing w:after="0"/>
        <w:rPr>
          <w:sz w:val="20"/>
          <w:szCs w:val="20"/>
          <w:color w:val="auto"/>
        </w:rPr>
      </w:pPr>
      <w:r>
        <w:rPr>
          <w:rFonts w:ascii="Arial" w:cs="Arial" w:eastAsia="Arial" w:hAnsi="Arial"/>
          <w:sz w:val="18"/>
          <w:szCs w:val="18"/>
          <w:color w:val="auto"/>
        </w:rPr>
        <w:t>(Principal Executive Officer)</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40"/>
          </w:cols>
          <w:pgMar w:left="320" w:top="87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0"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June 30, 2021,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38" w:lineRule="exact"/>
        <w:rPr>
          <w:sz w:val="20"/>
          <w:szCs w:val="20"/>
          <w:color w:val="auto"/>
        </w:rPr>
      </w:pPr>
    </w:p>
    <w:p>
      <w:pPr>
        <w:ind w:left="260" w:hanging="255"/>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61" w:lineRule="exact"/>
        <w:rPr>
          <w:rFonts w:ascii="Arial" w:cs="Arial" w:eastAsia="Arial" w:hAnsi="Arial"/>
          <w:sz w:val="18"/>
          <w:szCs w:val="18"/>
          <w:color w:val="auto"/>
        </w:rPr>
      </w:pPr>
    </w:p>
    <w:p>
      <w:pPr>
        <w:ind w:left="260" w:hanging="255"/>
        <w:spacing w:after="0"/>
        <w:tabs>
          <w:tab w:leader="none" w:pos="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Date: July 30, 2021</w:t>
      </w:r>
      <w:r>
        <w:rPr>
          <w:sz w:val="20"/>
          <w:szCs w:val="20"/>
          <w:color w:val="auto"/>
        </w:rPr>
        <w:tab/>
      </w:r>
      <w:r>
        <w:rPr>
          <w:rFonts w:ascii="Arial" w:cs="Arial" w:eastAsia="Arial" w:hAnsi="Arial"/>
          <w:sz w:val="16"/>
          <w:szCs w:val="16"/>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3721735</wp:posOffset>
            </wp:positionH>
            <wp:positionV relativeFrom="paragraph">
              <wp:posOffset>10160</wp:posOffset>
            </wp:positionV>
            <wp:extent cx="33921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3392170" cy="8255"/>
                    </a:xfrm>
                    <a:prstGeom prst="rect">
                      <a:avLst/>
                    </a:prstGeom>
                    <a:noFill/>
                  </pic:spPr>
                </pic:pic>
              </a:graphicData>
            </a:graphic>
          </wp:anchor>
        </w:drawing>
      </w:r>
    </w:p>
    <w:p>
      <w:pPr>
        <w:ind w:left="5880"/>
        <w:spacing w:after="0"/>
        <w:rPr>
          <w:sz w:val="20"/>
          <w:szCs w:val="20"/>
          <w:color w:val="auto"/>
        </w:rPr>
      </w:pPr>
      <w:r>
        <w:rPr>
          <w:rFonts w:ascii="Arial" w:cs="Arial" w:eastAsia="Arial" w:hAnsi="Arial"/>
          <w:sz w:val="18"/>
          <w:szCs w:val="18"/>
          <w:color w:val="auto"/>
        </w:rPr>
        <w:t>Lloyd W. Howell, Jr.</w:t>
      </w:r>
    </w:p>
    <w:p>
      <w:pPr>
        <w:ind w:left="5880"/>
        <w:spacing w:after="0" w:line="223" w:lineRule="auto"/>
        <w:rPr>
          <w:sz w:val="20"/>
          <w:szCs w:val="20"/>
          <w:color w:val="auto"/>
        </w:rPr>
      </w:pPr>
      <w:r>
        <w:rPr>
          <w:rFonts w:ascii="Arial" w:cs="Arial" w:eastAsia="Arial" w:hAnsi="Arial"/>
          <w:sz w:val="16"/>
          <w:szCs w:val="16"/>
          <w:color w:val="auto"/>
        </w:rPr>
        <w:t>Executive Vice President, Chief Financial Officer and Treasurer (Principal</w:t>
      </w:r>
    </w:p>
    <w:p>
      <w:pPr>
        <w:ind w:left="5880"/>
        <w:spacing w:after="0"/>
        <w:rPr>
          <w:sz w:val="20"/>
          <w:szCs w:val="20"/>
          <w:color w:val="auto"/>
        </w:rPr>
      </w:pPr>
      <w:r>
        <w:rPr>
          <w:rFonts w:ascii="Arial" w:cs="Arial" w:eastAsia="Arial" w:hAnsi="Arial"/>
          <w:sz w:val="18"/>
          <w:szCs w:val="18"/>
          <w:color w:val="auto"/>
        </w:rPr>
        <w:t>Financial Officer)</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40"/>
      </w:cols>
      <w:pgMar w:left="320" w:top="8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decimal"/>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6"/>
    </w:lvl>
  </w:abstractNum>
  <w:abstractNum w:abstractNumId="6">
    <w:nsid w:val="5577F8E1"/>
    <w:multiLevelType w:val="hybridMultilevel"/>
    <w:lvl w:ilvl="0">
      <w:lvlJc w:val="left"/>
      <w:lvlText w:val="(%1)"/>
      <w:numFmt w:val="lowerLetter"/>
      <w:start w:val="25"/>
    </w:lvl>
  </w:abstractNum>
  <w:abstractNum w:abstractNumId="7">
    <w:nsid w:val="440BADFC"/>
    <w:multiLevelType w:val="hybridMultilevel"/>
    <w:lvl w:ilvl="0">
      <w:lvlJc w:val="left"/>
      <w:lvlText w:val="(%1)"/>
      <w:numFmt w:val="lowerRoman"/>
      <w:start w:val="6"/>
    </w:lvl>
  </w:abstractNum>
  <w:abstractNum w:abstractNumId="8">
    <w:nsid w:val="5072367"/>
    <w:multiLevelType w:val="hybridMultilevel"/>
    <w:lvl w:ilvl="0">
      <w:lvlJc w:val="left"/>
      <w:lvlText w:val="%1"/>
      <w:numFmt w:val="decimal"/>
      <w:start w:val="1"/>
    </w:lvl>
    <w:lvl w:ilvl="1">
      <w:lvlJc w:val="left"/>
      <w:lvlText w:val="(%2)"/>
      <w:numFmt w:val="decimal"/>
      <w:start w:val="1"/>
    </w:lvl>
  </w:abstractNum>
  <w:abstractNum w:abstractNumId="9">
    <w:nsid w:val="3804823E"/>
    <w:multiLevelType w:val="hybridMultilevel"/>
    <w:lvl w:ilvl="0">
      <w:lvlJc w:val="left"/>
      <w:lvlText w:val="%1."/>
      <w:numFmt w:val="decimal"/>
      <w:start w:val="9"/>
    </w:lvl>
    <w:lvl w:ilvl="1">
      <w:lvlJc w:val="left"/>
      <w:lvlText w:val="%2"/>
      <w:numFmt w:val="decimal"/>
      <w:start w:val="1"/>
    </w:lvl>
  </w:abstractNum>
  <w:abstractNum w:abstractNumId="10">
    <w:nsid w:val="77465F01"/>
    <w:multiLevelType w:val="hybridMultilevel"/>
    <w:lvl w:ilvl="0">
      <w:lvlJc w:val="left"/>
      <w:lvlText w:val="%1."/>
      <w:numFmt w:val="decimal"/>
      <w:start w:val="12"/>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1)"/>
      <w:numFmt w:val="lowerLetter"/>
      <w:start w:val="1"/>
    </w:lvl>
  </w:abstractNum>
  <w:abstractNum w:abstractNumId="16">
    <w:nsid w:val="2D517796"/>
    <w:multiLevelType w:val="hybridMultilevel"/>
    <w:lvl w:ilvl="0">
      <w:lvlJc w:val="left"/>
      <w:lvlText w:val="(%1)"/>
      <w:numFmt w:val="lowerLetter"/>
      <w:start w:val="2"/>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1)"/>
      <w:numFmt w:val="lowerLetter"/>
      <w:start w:val="25"/>
    </w:lvl>
  </w:abstractNum>
  <w:abstractNum w:abstractNumId="25">
    <w:nsid w:val="2CD89A32"/>
    <w:multiLevelType w:val="hybridMultilevel"/>
    <w:lvl w:ilvl="0">
      <w:lvlJc w:val="left"/>
      <w:lvlText w:val="(%1)"/>
      <w:numFmt w:val="lowerRoman"/>
      <w:start w:val="6"/>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101"/>
    </w:lvl>
  </w:abstractNum>
  <w:abstractNum w:abstractNumId="31">
    <w:nsid w:val="38437FDB"/>
    <w:multiLevelType w:val="hybridMultilevel"/>
    <w:lvl w:ilvl="0">
      <w:lvlJc w:val="left"/>
      <w:lvlText w:val="*"/>
      <w:numFmt w:val="bullet"/>
      <w:start w:val="1"/>
    </w:lvl>
    <w:lvl w:ilvl="1">
      <w:lvlJc w:val="left"/>
      <w:lvlText w:val="%2"/>
      <w:numFmt w:val="decimal"/>
      <w:start w:val="104"/>
    </w:lvl>
  </w:abstractNum>
  <w:abstractNum w:abstractNumId="32">
    <w:nsid w:val="7644A45C"/>
    <w:multiLevelType w:val="hybridMultilevel"/>
    <w:lvl w:ilvl="0">
      <w:lvlJc w:val="left"/>
      <w:lvlText w:val="%1."/>
      <w:numFmt w:val="decimal"/>
    </w:lvl>
    <w:lvl w:ilvl="1">
      <w:lvlJc w:val="left"/>
      <w:lvlText w:val="1"/>
      <w:numFmt w:val="bullet"/>
      <w:start w:val="1"/>
    </w:lvl>
  </w:abstractNum>
  <w:abstractNum w:abstractNumId="33">
    <w:nsid w:val="32FFF902"/>
    <w:multiLevelType w:val="hybridMultilevel"/>
    <w:lvl w:ilvl="0">
      <w:lvlJc w:val="left"/>
      <w:lvlText w:val="(%1)"/>
      <w:numFmt w:val="lowerLetter"/>
      <w:start w:val="1"/>
    </w:lvl>
    <w:lvl w:ilvl="1">
      <w:lvlJc w:val="left"/>
      <w:lvlText w:val="(%2)"/>
      <w:numFmt w:val="lowerRoman"/>
      <w:start w:val="1"/>
    </w:lvl>
  </w:abstractNum>
  <w:abstractNum w:abstractNumId="34">
    <w:nsid w:val="684A481A"/>
    <w:multiLevelType w:val="hybridMultilevel"/>
    <w:lvl w:ilvl="0">
      <w:lvlJc w:val="left"/>
      <w:lvlText w:val="%1"/>
      <w:numFmt w:val="lowerLetter"/>
      <w:start w:val="1"/>
    </w:lvl>
    <w:lvl w:ilvl="1">
      <w:lvlJc w:val="left"/>
      <w:lvlText w:val="(%2)"/>
      <w:numFmt w:val="lowerRoman"/>
      <w:start w:val="4"/>
    </w:lvl>
  </w:abstractNum>
  <w:abstractNum w:abstractNumId="35">
    <w:nsid w:val="579478FE"/>
    <w:multiLevelType w:val="hybridMultilevel"/>
    <w:lvl w:ilvl="0">
      <w:lvlJc w:val="left"/>
      <w:lvlText w:val="(%1)"/>
      <w:numFmt w:val="lowerLetter"/>
      <w:start w:val="3"/>
    </w:lvl>
    <w:lvl w:ilvl="1">
      <w:lvlJc w:val="left"/>
      <w:lvlText w:val="%2"/>
      <w:numFmt w:val="lowerRoman"/>
      <w:start w:val="1"/>
    </w:lvl>
  </w:abstractNum>
  <w:abstractNum w:abstractNumId="36">
    <w:nsid w:val="749ABB43"/>
    <w:multiLevelType w:val="hybridMultilevel"/>
    <w:lvl w:ilvl="0">
      <w:lvlJc w:val="left"/>
      <w:lvlText w:val="(%1)"/>
      <w:numFmt w:val="lowerLetter"/>
      <w:start w:val="4"/>
    </w:lvl>
  </w:abstractNum>
  <w:abstractNum w:abstractNumId="37">
    <w:nsid w:val="3DC240FB"/>
    <w:multiLevelType w:val="hybridMultilevel"/>
    <w:lvl w:ilvl="0">
      <w:lvlJc w:val="left"/>
      <w:lvlText w:val="%1."/>
      <w:numFmt w:val="decimal"/>
      <w:start w:val="3"/>
    </w:lvl>
  </w:abstractNum>
  <w:abstractNum w:abstractNumId="38">
    <w:nsid w:val="1BA026FA"/>
    <w:multiLevelType w:val="hybridMultilevel"/>
    <w:lvl w:ilvl="0">
      <w:lvlJc w:val="left"/>
      <w:lvlText w:val="(%1)"/>
      <w:numFmt w:val="lowerLetter"/>
      <w:start w:val="1"/>
    </w:lvl>
  </w:abstractNum>
  <w:abstractNum w:abstractNumId="39">
    <w:nsid w:val="79A1DEAA"/>
    <w:multiLevelType w:val="hybridMultilevel"/>
    <w:lvl w:ilvl="0">
      <w:lvlJc w:val="left"/>
      <w:lvlText w:val="%1."/>
      <w:numFmt w:val="decimal"/>
      <w:start w:val="4"/>
    </w:lvl>
  </w:abstractNum>
  <w:abstractNum w:abstractNumId="40">
    <w:nsid w:val="75C6C33A"/>
    <w:multiLevelType w:val="hybridMultilevel"/>
    <w:lvl w:ilvl="0">
      <w:lvlJc w:val="left"/>
      <w:lvlText w:val="(%1)"/>
      <w:numFmt w:val="lowerLetter"/>
      <w:start w:val="1"/>
    </w:lvl>
  </w:abstractNum>
  <w:abstractNum w:abstractNumId="41">
    <w:nsid w:val="12E685FB"/>
    <w:multiLevelType w:val="hybridMultilevel"/>
    <w:lvl w:ilvl="0">
      <w:lvlJc w:val="left"/>
      <w:lvlText w:val="%1."/>
      <w:numFmt w:val="decimal"/>
      <w:start w:val="6"/>
    </w:lvl>
  </w:abstractNum>
  <w:abstractNum w:abstractNumId="42">
    <w:nsid w:val="70C6A529"/>
    <w:multiLevelType w:val="hybridMultilevel"/>
    <w:lvl w:ilvl="0">
      <w:lvlJc w:val="left"/>
      <w:lvlText w:val="(%1)"/>
      <w:numFmt w:val="lowerLetter"/>
      <w:start w:val="1"/>
    </w:lvl>
  </w:abstractNum>
  <w:abstractNum w:abstractNumId="43">
    <w:nsid w:val="520EEDD1"/>
    <w:multiLevelType w:val="hybridMultilevel"/>
    <w:lvl w:ilvl="0">
      <w:lvlJc w:val="left"/>
      <w:lvlText w:val="%1"/>
      <w:numFmt w:val="lowerLetter"/>
      <w:start w:val="1"/>
    </w:lvl>
    <w:lvl w:ilvl="1">
      <w:lvlJc w:val="left"/>
      <w:lvlText w:val="%2."/>
      <w:numFmt w:val="decimal"/>
      <w:start w:val="7"/>
    </w:lvl>
  </w:abstractNum>
  <w:abstractNum w:abstractNumId="44">
    <w:nsid w:val="374A3FE6"/>
    <w:multiLevelType w:val="hybridMultilevel"/>
    <w:lvl w:ilvl="0">
      <w:lvlJc w:val="left"/>
      <w:lvlText w:val="(%1)"/>
      <w:numFmt w:val="lowerLetter"/>
      <w:start w:val="1"/>
    </w:lvl>
    <w:lvl w:ilvl="1">
      <w:lvlJc w:val="left"/>
      <w:lvlText w:val="%2"/>
      <w:numFmt w:val="decimal"/>
      <w:start w:val="1"/>
    </w:lvl>
  </w:abstractNum>
  <w:abstractNum w:abstractNumId="45">
    <w:nsid w:val="4F4EF005"/>
    <w:multiLevelType w:val="hybridMultilevel"/>
    <w:lvl w:ilvl="0">
      <w:lvlJc w:val="left"/>
      <w:lvlText w:val="%1."/>
      <w:numFmt w:val="decimal"/>
      <w:start w:val="9"/>
    </w:lvl>
  </w:abstractNum>
  <w:abstractNum w:abstractNumId="46">
    <w:nsid w:val="23F9C13C"/>
    <w:multiLevelType w:val="hybridMultilevel"/>
    <w:lvl w:ilvl="0">
      <w:lvlJc w:val="left"/>
      <w:lvlText w:val="(%1)"/>
      <w:numFmt w:val="lowerLetter"/>
      <w:start w:val="1"/>
    </w:lvl>
  </w:abstractNum>
  <w:abstractNum w:abstractNumId="47">
    <w:nsid w:val="649BB77C"/>
    <w:multiLevelType w:val="hybridMultilevel"/>
    <w:lvl w:ilvl="0">
      <w:lvlJc w:val="left"/>
      <w:lvlText w:val="(%1)"/>
      <w:numFmt w:val="lowerLetter"/>
      <w:start w:val="7"/>
    </w:lvl>
  </w:abstractNum>
  <w:abstractNum w:abstractNumId="48">
    <w:nsid w:val="275AC794"/>
    <w:multiLevelType w:val="hybridMultilevel"/>
    <w:lvl w:ilvl="0">
      <w:lvlJc w:val="left"/>
      <w:lvlText w:val="%1."/>
      <w:numFmt w:val="decimal"/>
      <w:start w:val="10"/>
    </w:lvl>
  </w:abstractNum>
  <w:abstractNum w:abstractNumId="49">
    <w:nsid w:val="39386575"/>
    <w:multiLevelType w:val="hybridMultilevel"/>
    <w:lvl w:ilvl="0">
      <w:lvlJc w:val="left"/>
      <w:lvlText w:val="(%1)"/>
      <w:numFmt w:val="lowerLetter"/>
      <w:start w:val="1"/>
    </w:lvl>
  </w:abstractNum>
  <w:abstractNum w:abstractNumId="50">
    <w:nsid w:val="1CF10FD8"/>
    <w:multiLevelType w:val="hybridMultilevel"/>
    <w:lvl w:ilvl="0">
      <w:lvlJc w:val="left"/>
      <w:lvlText w:val="(%1)"/>
      <w:numFmt w:val="lowerLetter"/>
      <w:start w:val="3"/>
    </w:lvl>
  </w:abstractNum>
  <w:abstractNum w:abstractNumId="51">
    <w:nsid w:val="180115BE"/>
    <w:multiLevelType w:val="hybridMultilevel"/>
    <w:lvl w:ilvl="0">
      <w:lvlJc w:val="left"/>
      <w:lvlText w:val="(%1)"/>
      <w:numFmt w:val="lowerLetter"/>
      <w:start w:val="8"/>
    </w:lvl>
  </w:abstractNum>
  <w:abstractNum w:abstractNumId="52">
    <w:nsid w:val="235BA861"/>
    <w:multiLevelType w:val="hybridMultilevel"/>
    <w:lvl w:ilvl="0">
      <w:lvlJc w:val="left"/>
      <w:lvlText w:val="(%1)"/>
      <w:numFmt w:val="lowerLetter"/>
      <w:start w:val="16"/>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decimal"/>
      <w:start w:val="5"/>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decimal"/>
      <w:start w:val="5"/>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63" Type="http://schemas.openxmlformats.org/officeDocument/2006/relationships/hyperlink" Target="https://www.sec.gov/Archives/edgar/data/1443646/000110465921060482/tm2114914d1_ex2-1.htm" TargetMode="External"/><Relationship Id="rId64" Type="http://schemas.openxmlformats.org/officeDocument/2006/relationships/hyperlink" Target="https://www.sec.gov/Archives/edgar/data/1443646/000110465921082639/tm2118942d2_ex4-1.htm" TargetMode="External"/><Relationship Id="rId65" Type="http://schemas.openxmlformats.org/officeDocument/2006/relationships/hyperlink" Target="https://www.sec.gov/Archives/edgar/data/1443646/000110465921082639/tm2118942d2_ex4-2.htm" TargetMode="External"/><Relationship Id="rId66" Type="http://schemas.openxmlformats.org/officeDocument/2006/relationships/hyperlink" Target="https://www.sec.gov/Archives/edgar/data/1443646/000110465921085389/tm212061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2021-07-30T06:46:36Z</dcterms:created>
  <dcterms:modified xsi:type="dcterms:W3CDTF">2021-07-30T06:46:36Z</dcterms:modified>
</cp:coreProperties>
</file>