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840" w:right="40" w:hanging="805"/>
        <w:spacing w:after="0" w:line="256" w:lineRule="auto"/>
        <w:tabs>
          <w:tab w:leader="none" w:pos="84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70" w:lineRule="exact"/>
        <w:rPr>
          <w:sz w:val="24"/>
          <w:szCs w:val="24"/>
          <w:color w:val="auto"/>
        </w:rPr>
      </w:pPr>
    </w:p>
    <w:p>
      <w:pPr>
        <w:ind w:left="840" w:right="38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351"/>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48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1480" w:type="dxa"/>
            <w:vAlign w:val="bottom"/>
          </w:tcPr>
          <w:p>
            <w:pPr>
              <w:spacing w:after="0"/>
              <w:rPr>
                <w:sz w:val="24"/>
                <w:szCs w:val="24"/>
                <w:color w:val="auto"/>
              </w:rPr>
            </w:pPr>
          </w:p>
        </w:tc>
        <w:tc>
          <w:tcPr>
            <w:tcW w:w="400" w:type="dxa"/>
            <w:vAlign w:val="bottom"/>
          </w:tcPr>
          <w:p>
            <w:pPr>
              <w:jc w:val="right"/>
              <w:ind w:righ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484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60" w:type="dxa"/>
            <w:vAlign w:val="bottom"/>
            <w:gridSpan w:val="2"/>
          </w:tcPr>
          <w:p>
            <w:pPr>
              <w:ind w:left="92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jc w:val="right"/>
              <w:ind w:righ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1"/>
        </w:trPr>
        <w:tc>
          <w:tcPr>
            <w:tcW w:w="9180" w:type="dxa"/>
            <w:vAlign w:val="bottom"/>
            <w:gridSpan w:val="3"/>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14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04"/>
        </w:trPr>
        <w:tc>
          <w:tcPr>
            <w:tcW w:w="9180" w:type="dxa"/>
            <w:vAlign w:val="bottom"/>
            <w:gridSpan w:val="3"/>
          </w:tcPr>
          <w:p>
            <w:pPr>
              <w:spacing w:after="0"/>
              <w:rPr>
                <w:sz w:val="20"/>
                <w:szCs w:val="20"/>
                <w:color w:val="auto"/>
              </w:rPr>
            </w:pPr>
            <w:r>
              <w:rPr>
                <w:rFonts w:ascii="Arial" w:cs="Arial" w:eastAsia="Arial" w:hAnsi="Arial"/>
                <w:sz w:val="18"/>
                <w:szCs w:val="18"/>
                <w:color w:val="auto"/>
                <w:w w:val="92"/>
              </w:rPr>
              <w:t>Indicate the number of shares outstanding of each of the issuer’s classes of common stock, as of the latest practicable date.</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8"/>
        </w:trPr>
        <w:tc>
          <w:tcPr>
            <w:tcW w:w="20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Outstanding</w:t>
            </w:r>
          </w:p>
        </w:tc>
        <w:tc>
          <w:tcPr>
            <w:tcW w:w="400" w:type="dxa"/>
            <w:vAlign w:val="bottom"/>
          </w:tcPr>
          <w:p>
            <w:pPr>
              <w:spacing w:after="0"/>
              <w:rPr>
                <w:sz w:val="24"/>
                <w:szCs w:val="24"/>
                <w:color w:val="auto"/>
              </w:rPr>
            </w:pPr>
          </w:p>
        </w:tc>
      </w:tr>
      <w:tr>
        <w:trPr>
          <w:trHeight w:val="192"/>
        </w:trPr>
        <w:tc>
          <w:tcPr>
            <w:tcW w:w="20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as of January 25, 2017</w:t>
            </w:r>
          </w:p>
        </w:tc>
        <w:tc>
          <w:tcPr>
            <w:tcW w:w="400" w:type="dxa"/>
            <w:vAlign w:val="bottom"/>
          </w:tcPr>
          <w:p>
            <w:pPr>
              <w:spacing w:after="0"/>
              <w:rPr>
                <w:sz w:val="16"/>
                <w:szCs w:val="16"/>
                <w:color w:val="auto"/>
              </w:rPr>
            </w:pPr>
          </w:p>
        </w:tc>
      </w:tr>
      <w:tr>
        <w:trPr>
          <w:trHeight w:val="256"/>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8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149,953,487</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Class B Non-Voting Common Stock</w:t>
            </w:r>
          </w:p>
        </w:tc>
        <w:tc>
          <w:tcPr>
            <w:tcW w:w="2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2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Class E Special Voting Common Stock</w:t>
            </w:r>
          </w:p>
        </w:tc>
        <w:tc>
          <w:tcPr>
            <w:tcW w:w="2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922"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29</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29</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32">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Defaults Upon Senior Securities</w:t>
              </w:r>
            </w:hyperlink>
          </w:p>
        </w:tc>
        <w:tc>
          <w:tcPr>
            <w:tcW w:w="496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32">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769"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187,529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902,493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892,289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109,953</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1,358,783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1,189,771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211,327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220,658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1,361,913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100,724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107,660</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3,166,535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3,010,171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78,938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112,813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484,769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258,054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241,367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100,964</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921,022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939,913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1,484,448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190,748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177,322</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2,601,683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155,581,361 shares at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7"/>
              </w:rPr>
              <w:t>December 31, 2016 and 153,391,058 shares at March 31, 2016; outstanding, 149,953,487 shares at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December 31, 2016 and 147,992,462 shares at March 31, 2016</w:t>
            </w:r>
          </w:p>
        </w:tc>
        <w:tc>
          <w:tcPr>
            <w:tcW w:w="1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2"/>
              </w:rPr>
              <w:t>Treasury stock, at cost — 5,627,874 shares at December 31, 2016 and 5,398,596 shares at March 31, 2016</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291,213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243,475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437,463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318,537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(19,613)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569,713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408,488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3,166,535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3,010,171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2015</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70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1,404,638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1,307,663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4,222,213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3,981,421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652,236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1,967,258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1,899,376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428,685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355,401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1,270,941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1,097,741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201,183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585,340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597,611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14,410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43,588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46,617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1,296,514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1,202,547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3,867,127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3,641,345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108,124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105,116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355,086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340,076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92,615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303,726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287,448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37,025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117,489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58,871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55,590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186,237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228,577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69" w:right="239" w:bottom="1440" w:gutter="0" w:footer="0" w:header="0"/>
        </w:sectPr>
      </w:pPr>
    </w:p>
    <w:bookmarkStart w:id="4" w:name="page5"/>
    <w:bookmarkEnd w:id="4"/>
    <w:p>
      <w:pPr>
        <w:jc w:val="center"/>
        <w:ind w:left="260" w:right="1960"/>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gridSpan w:val="3"/>
          </w:tcPr>
          <w:p>
            <w:pPr>
              <w:jc w:val="center"/>
              <w:ind w:right="56"/>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80"/>
              <w:spacing w:after="0" w:line="151" w:lineRule="exact"/>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3"/>
                <w:szCs w:val="13"/>
                <w:color w:val="auto"/>
              </w:rPr>
            </w:pPr>
          </w:p>
        </w:tc>
      </w:tr>
      <w:tr>
        <w:trPr>
          <w:trHeight w:val="192"/>
        </w:trPr>
        <w:tc>
          <w:tcPr>
            <w:tcW w:w="4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56"/>
              <w:spacing w:after="0"/>
              <w:rPr>
                <w:sz w:val="20"/>
                <w:szCs w:val="20"/>
                <w:color w:val="auto"/>
              </w:rPr>
            </w:pPr>
            <w:r>
              <w:rPr>
                <w:rFonts w:ascii="Arial" w:cs="Arial" w:eastAsia="Arial" w:hAnsi="Arial"/>
                <w:sz w:val="14"/>
                <w:szCs w:val="14"/>
                <w:b w:val="1"/>
                <w:bCs w:val="1"/>
                <w:color w:val="auto"/>
                <w:w w:val="90"/>
              </w:rPr>
              <w:t>December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4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4340" w:type="dxa"/>
            <w:vAlign w:val="bottom"/>
          </w:tcPr>
          <w:p>
            <w:pPr>
              <w:spacing w:after="0"/>
              <w:rPr>
                <w:sz w:val="21"/>
                <w:szCs w:val="21"/>
                <w:color w:val="auto"/>
              </w:rPr>
            </w:pPr>
          </w:p>
        </w:tc>
        <w:tc>
          <w:tcPr>
            <w:tcW w:w="2340" w:type="dxa"/>
            <w:vAlign w:val="bottom"/>
            <w:gridSpan w:val="4"/>
          </w:tcPr>
          <w:p>
            <w:pPr>
              <w:jc w:val="center"/>
              <w:ind w:left="679"/>
              <w:spacing w:after="0"/>
              <w:rPr>
                <w:sz w:val="20"/>
                <w:szCs w:val="20"/>
                <w:color w:val="auto"/>
              </w:rPr>
            </w:pPr>
            <w:r>
              <w:rPr>
                <w:rFonts w:ascii="Arial" w:cs="Arial" w:eastAsia="Arial" w:hAnsi="Arial"/>
                <w:sz w:val="14"/>
                <w:szCs w:val="14"/>
                <w:b w:val="1"/>
                <w:bCs w:val="1"/>
                <w:color w:val="auto"/>
                <w:w w:val="90"/>
              </w:rPr>
              <w:t>(Amounts in thousands)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1"/>
              </w:rPr>
              <w:t>(Amounts in thousands)</w:t>
            </w:r>
          </w:p>
        </w:tc>
      </w:tr>
      <w:tr>
        <w:trPr>
          <w:trHeight w:val="25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55,590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108,055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186,237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228,577</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7"/>
        </w:trPr>
        <w:tc>
          <w:tcPr>
            <w:tcW w:w="4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56,071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108,589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187,632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230,159</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240" w:top="985" w:right="10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186,237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228,577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46,617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(30,055)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(50,765)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18,082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(14,283)</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283,042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180,997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(45,829)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Insurance proceeds received for damage to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(57,678)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(189,500)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630,273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148,000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162,095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(40,113)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207,217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349,624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167,104</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66,536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113,422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Assets acquired under capital lease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6,800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69" w:right="23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280" w:right="214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December 31, 2016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Booz Allen Hamilton Holding Corporation, including its wholly owned subsidiaries, or Holding, the Company or we, us, and our, was incorporated in Delaware in May 2008. The Company provides management and technology, consulting, and engineering services to the U.S. and international governments, major corporations, and not-for-profit organizations. The Company reports operating results and financial data in one operating segment. The Company is headquartered in McLean, Virginia, with approximately 23,000 employees as of December 31,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U.S. GAAP, for interim financial information and with the instructions to Form 10-Q and Article 10 of Regulation S-X. As a result, certain information and footnote disclosures normally included in financial statements prepared in accordance with U.S. GAAP have been condensed or omitted. The Company followed the accounting policies used and disclosed in the consolidated financial statements included in the Annual Report on Form 10-K for the fiscal year ended March 31, 2016 filed with the Securities and Exchange Commission on May 19, 2016, or Annual Report, and policies stated within this Quarterly Report. The Company’s fiscal year ends on March 31 and unless otherwise noted, references to fiscal year or fiscal are for fiscal years ended March 31.</w:t>
      </w:r>
    </w:p>
    <w:p>
      <w:pPr>
        <w:spacing w:after="0" w:line="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nine months ended December 31, 2016 are not necessarily indicative of results to be expected for the full fiscal year.</w:t>
      </w:r>
    </w:p>
    <w:p>
      <w:pPr>
        <w:spacing w:after="0" w:line="7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May 2014, the Financial Accounting Standards Board, or FASB, issued a new standard that will replace existing revenue recognition standards and significantly expand the disclosure requirements for revenue arrangements. In July 2015, the FASB approved a one-year delay in the effective date of the standard, which will now be effective for the Company beginning on April 1, 2018 (i.e., beginning with the first quarter fiscal 2019 interim financial statements) with early adoption permitted. The new standard may be adopted retrospectively for all periods presented, or adopted using a modified retrospective approach. Management anticipates adopting the new standard beginning April 1, 2018 using the full retrospective transition method. We are still assessing what effect the adoption of this standard may have on the timing of our revenue recognition and our consolidated financial statements.</w:t>
      </w:r>
    </w:p>
    <w:p>
      <w:pPr>
        <w:spacing w:after="0" w:line="57"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Other recent accounting pronouncements issued by the FASB during the nine months ended December 31, 2016 and through the filing date did not or are not believed by management to have a material impact on the Company's present or historical condensed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26" w:right="279" w:bottom="1440" w:gutter="0" w:footer="0" w:header="0"/>
        </w:sectPr>
      </w:pPr>
    </w:p>
    <w:bookmarkStart w:id="7" w:name="page8"/>
    <w:bookmarkEnd w:id="7"/>
    <w:p>
      <w:pPr>
        <w:ind w:right="40" w:firstLine="405"/>
        <w:spacing w:after="0" w:line="271" w:lineRule="auto"/>
        <w:rPr>
          <w:sz w:val="20"/>
          <w:szCs w:val="20"/>
          <w:color w:val="auto"/>
        </w:rPr>
      </w:pPr>
      <w:r>
        <w:rPr>
          <w:rFonts w:ascii="Arial" w:cs="Arial" w:eastAsia="Arial" w:hAnsi="Arial"/>
          <w:sz w:val="17"/>
          <w:szCs w:val="17"/>
          <w:color w:val="auto"/>
        </w:rPr>
        <w:t>The Company currently has outstanding shares of Class A Common Stock. The Company purchased, at par value, all issued and outstanding shares of Class E special voting common stock in connection with the exercise of the final tranche of rollover options during the second quarter of fiscal 2016. Class E Special Voting Common Stock shares are not included in the calculation of EPS as these shares represent voting rights only and are not entitled to participate in dividends or other distributions. Unvested Class A Restricted Common Stock holders are entitled to participate in non-forfeitable dividends or other distributions. These unvested restricted shares participated in the Company's dividends declared and were paid in the first, second, and third quarters of fiscal 2017 and 2016.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5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252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225,430</w:t>
            </w:r>
          </w:p>
        </w:tc>
        <w:tc>
          <w:tcPr>
            <w:tcW w:w="0" w:type="dxa"/>
            <w:vAlign w:val="bottom"/>
          </w:tcPr>
          <w:p>
            <w:pPr>
              <w:spacing w:after="0"/>
              <w:rPr>
                <w:sz w:val="1"/>
                <w:szCs w:val="1"/>
                <w:color w:val="auto"/>
              </w:rPr>
            </w:pPr>
          </w:p>
        </w:tc>
      </w:tr>
      <w:tr>
        <w:trPr>
          <w:trHeight w:val="229"/>
        </w:trPr>
        <w:tc>
          <w:tcPr>
            <w:tcW w:w="534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for basic</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2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w w:val="95"/>
              </w:rPr>
              <w:t>148,679,393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w w:val="95"/>
              </w:rPr>
              <w:t>147,428,588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w w:val="97"/>
              </w:rPr>
              <w:t>147,973,044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146,291,184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diluted computations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225,481</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1,927,866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2,472,337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2,170,807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3,210,274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for diluted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5"/>
              </w:rPr>
              <w:t>150,607,259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149,900,925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150,143,851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149,501,458</w:t>
            </w:r>
          </w:p>
        </w:tc>
        <w:tc>
          <w:tcPr>
            <w:tcW w:w="0" w:type="dxa"/>
            <w:vAlign w:val="bottom"/>
          </w:tcPr>
          <w:p>
            <w:pPr>
              <w:spacing w:after="0"/>
              <w:rPr>
                <w:sz w:val="1"/>
                <w:szCs w:val="1"/>
                <w:color w:val="auto"/>
              </w:rPr>
            </w:pPr>
          </w:p>
        </w:tc>
      </w:tr>
      <w:tr>
        <w:trPr>
          <w:trHeight w:val="223"/>
        </w:trPr>
        <w:tc>
          <w:tcPr>
            <w:tcW w:w="53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three months ended December 31, 2016 and 2015, approximately 1.7 million and 2.1 million participating securities were paid dividends</w:t>
      </w:r>
    </w:p>
    <w:p>
      <w:pPr>
        <w:spacing w:after="0" w:line="34" w:lineRule="exact"/>
        <w:rPr>
          <w:rFonts w:ascii="Arial" w:cs="Arial" w:eastAsia="Arial" w:hAnsi="Arial"/>
          <w:sz w:val="17"/>
          <w:szCs w:val="17"/>
          <w:color w:val="auto"/>
        </w:rPr>
      </w:pPr>
    </w:p>
    <w:p>
      <w:pPr>
        <w:ind w:right="80"/>
        <w:spacing w:after="0" w:line="288" w:lineRule="auto"/>
        <w:rPr>
          <w:rFonts w:ascii="Arial" w:cs="Arial" w:eastAsia="Arial" w:hAnsi="Arial"/>
          <w:sz w:val="17"/>
          <w:szCs w:val="17"/>
          <w:color w:val="auto"/>
        </w:rPr>
      </w:pPr>
      <w:r>
        <w:rPr>
          <w:rFonts w:ascii="Arial" w:cs="Arial" w:eastAsia="Arial" w:hAnsi="Arial"/>
          <w:sz w:val="16"/>
          <w:szCs w:val="16"/>
          <w:color w:val="auto"/>
        </w:rPr>
        <w:t>totaling $0.2 million and $0.3 million, respectively. During the nine months ended December 31, 2016 and 2015, approximately 1.7 million and 2.1 million participating securities were paid dividends totaling $0.7 million and $0.7 million, respectively. For the three and nine months ended December 31, 2016, there were undistributed earnings of $0.4 million and $1.3 million, respectively, allocated to the participating class of securities in both basic and diluted earnings per share. For the three and nine months ended December 31, 2015, there were undistributed earnings of $1.3 million and $2.4 million, respectively, allocated to the participating class of securities in basic earnings per share, and $1.2 million and $2.3 million, respectively, to diluted earnings per share. The allocated undistributed earnings and the dividends paid comprise the difference between net income presented on the condensed consolidated statements of operations and earnings for basic and diluted computations for the three and nine months ended December 31, 2016 and 2015.</w:t>
      </w:r>
    </w:p>
    <w:p>
      <w:pPr>
        <w:spacing w:after="0" w:line="27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EPS calculation for the three and nine months ended December 31, 2016 excludes 0.04 million options as their impact was anti-dilutive. The EPS calculation for the three and nine months ended December 31, 2015 excludes 0.5 million and 0.6 million options, respectively, as their impact was anti-dilutive.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4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364,528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308,670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4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584,275</w:t>
            </w: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4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902,493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892,289</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Long-term</w:t>
            </w:r>
          </w:p>
        </w:tc>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40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51,145</w:t>
            </w:r>
          </w:p>
        </w:tc>
        <w:tc>
          <w:tcPr>
            <w:tcW w:w="0" w:type="dxa"/>
            <w:vAlign w:val="bottom"/>
          </w:tcPr>
          <w:p>
            <w:pPr>
              <w:spacing w:after="0"/>
              <w:rPr>
                <w:sz w:val="1"/>
                <w:szCs w:val="1"/>
                <w:color w:val="auto"/>
              </w:rPr>
            </w:pPr>
          </w:p>
        </w:tc>
      </w:tr>
      <w:tr>
        <w:trPr>
          <w:trHeight w:val="237"/>
        </w:trPr>
        <w:tc>
          <w:tcPr>
            <w:tcW w:w="4260" w:type="dxa"/>
            <w:vAlign w:val="bottom"/>
          </w:tcPr>
          <w:p>
            <w:pPr>
              <w:ind w:left="720"/>
              <w:spacing w:after="0"/>
              <w:rPr>
                <w:sz w:val="20"/>
                <w:szCs w:val="20"/>
                <w:color w:val="auto"/>
              </w:rPr>
            </w:pPr>
            <w:r>
              <w:rPr>
                <w:rFonts w:ascii="Arial" w:cs="Arial" w:eastAsia="Arial" w:hAnsi="Arial"/>
                <w:sz w:val="18"/>
                <w:szCs w:val="18"/>
                <w:color w:val="auto"/>
              </w:rPr>
              <w:t>Total accounts receivable, net</w:t>
            </w:r>
          </w:p>
        </w:tc>
        <w:tc>
          <w:tcPr>
            <w:tcW w:w="4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970,853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943,434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vMerge w:val="restart"/>
          </w:tcPr>
          <w:p>
            <w:pPr>
              <w:jc w:val="right"/>
              <w:ind w:right="249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8" w:right="239" w:bottom="1440" w:gutter="0" w:footer="0" w:header="0"/>
        </w:sectPr>
      </w:pPr>
    </w:p>
    <w:bookmarkStart w:id="8" w:name="page9"/>
    <w:bookmarkEnd w:id="8"/>
    <w:p>
      <w:pPr>
        <w:ind w:left="420"/>
        <w:spacing w:after="0"/>
        <w:rPr>
          <w:sz w:val="20"/>
          <w:szCs w:val="20"/>
          <w:color w:val="auto"/>
        </w:rPr>
      </w:pPr>
      <w:r>
        <w:rPr>
          <w:rFonts w:ascii="Arial" w:cs="Arial" w:eastAsia="Arial" w:hAnsi="Arial"/>
          <w:sz w:val="16"/>
          <w:szCs w:val="16"/>
          <w:color w:val="auto"/>
        </w:rPr>
        <w:t>Unbilled amounts represent revenues for which billings have not been presented to customers at quarter-end or year-end. These amounts are usually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billed and collected within one year. Long-term unbilled receivables not anticipated to be billed and collected within one year, which are primarily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retainage, holdbacks, and long-term rate settlements to be billed at contract closeout, are included in other long-term assets in the accompanying condensed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The Company recognized a provision (benefit) for doubtful accounts (including certain unbilled reserves) of $(0.1)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 million for the three months ended December 31, 2016 and 2015, respectively, and $0.7 million and $0.3 million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2015, respectively. The Company does not have material exposure to accounts receivable credit risk, because the Company's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 are primarily with the U.S. Government and its agencies.</w:t>
      </w:r>
    </w:p>
    <w:p>
      <w:pPr>
        <w:spacing w:after="0" w:line="315" w:lineRule="exact"/>
        <w:rPr>
          <w:sz w:val="20"/>
          <w:szCs w:val="20"/>
          <w:color w:val="auto"/>
        </w:rPr>
      </w:pPr>
    </w:p>
    <w:p>
      <w:pPr>
        <w:ind w:left="440" w:right="5700" w:hanging="432"/>
        <w:spacing w:after="0" w:line="428" w:lineRule="auto"/>
        <w:tabs>
          <w:tab w:leader="none" w:pos="18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223,861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246,670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230,527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238,099</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454,388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484,769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73,040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Retirement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70,422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102,462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114,599</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24,942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23,340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258,054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241,367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DEBT</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tcPr>
          <w:p>
            <w:pPr>
              <w:ind w:left="420"/>
              <w:spacing w:after="0"/>
              <w:rPr>
                <w:sz w:val="20"/>
                <w:szCs w:val="20"/>
                <w:color w:val="auto"/>
              </w:rPr>
            </w:pPr>
            <w:r>
              <w:rPr>
                <w:rFonts w:ascii="Arial" w:cs="Arial" w:eastAsia="Arial" w:hAnsi="Arial"/>
                <w:sz w:val="18"/>
                <w:szCs w:val="18"/>
                <w:color w:val="auto"/>
              </w:rPr>
              <w:t>Debt consisted of the following:</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540" w:type="dxa"/>
            <w:vAlign w:val="bottom"/>
          </w:tcPr>
          <w:p>
            <w:pPr>
              <w:spacing w:after="0"/>
              <w:rPr>
                <w:sz w:val="24"/>
                <w:szCs w:val="24"/>
                <w:color w:val="auto"/>
              </w:rPr>
            </w:pPr>
          </w:p>
        </w:tc>
        <w:tc>
          <w:tcPr>
            <w:tcW w:w="28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24"/>
                <w:szCs w:val="24"/>
                <w:color w:val="auto"/>
              </w:rPr>
            </w:pPr>
          </w:p>
        </w:tc>
        <w:tc>
          <w:tcPr>
            <w:tcW w:w="2900" w:type="dxa"/>
            <w:vAlign w:val="bottom"/>
            <w:tcBorders>
              <w:bottom w:val="single" w:sz="8" w:color="auto"/>
            </w:tcBorders>
            <w:gridSpan w:val="6"/>
          </w:tcPr>
          <w:p>
            <w:pPr>
              <w:jc w:val="right"/>
              <w:ind w:right="874"/>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15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1260" w:type="dxa"/>
            <w:vAlign w:val="bottom"/>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rPr>
              <w:t>Outstanding</w:t>
            </w:r>
          </w:p>
        </w:tc>
        <w:tc>
          <w:tcPr>
            <w:tcW w:w="142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6"/>
                <w:szCs w:val="16"/>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Balance</w:t>
            </w: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1,183,001</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741,813</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Term Loan B</w:t>
            </w:r>
          </w:p>
        </w:tc>
        <w:tc>
          <w:tcPr>
            <w:tcW w:w="14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841,188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Less: Unamortized debt issuance costs and discount on debt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(19,011)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(20,740)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1,563,990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1,597,261</w:t>
            </w:r>
          </w:p>
        </w:tc>
        <w:tc>
          <w:tcPr>
            <w:tcW w:w="0" w:type="dxa"/>
            <w:vAlign w:val="bottom"/>
          </w:tcPr>
          <w:p>
            <w:pPr>
              <w:spacing w:after="0"/>
              <w:rPr>
                <w:sz w:val="1"/>
                <w:szCs w:val="1"/>
                <w:color w:val="auto"/>
              </w:rPr>
            </w:pPr>
          </w:p>
        </w:tc>
      </w:tr>
      <w:tr>
        <w:trPr>
          <w:trHeight w:val="243"/>
        </w:trPr>
        <w:tc>
          <w:tcPr>
            <w:tcW w:w="5540" w:type="dxa"/>
            <w:vAlign w:val="bottom"/>
          </w:tcPr>
          <w:p>
            <w:pPr>
              <w:ind w:left="720"/>
              <w:spacing w:after="0"/>
              <w:rPr>
                <w:sz w:val="20"/>
                <w:szCs w:val="20"/>
                <w:color w:val="auto"/>
              </w:rPr>
            </w:pPr>
            <w:r>
              <w:rPr>
                <w:rFonts w:ascii="Arial" w:cs="Arial" w:eastAsia="Arial" w:hAnsi="Arial"/>
                <w:sz w:val="18"/>
                <w:szCs w:val="18"/>
                <w:color w:val="auto"/>
              </w:rPr>
              <w:t>Less: Current portion of long-term debt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(78,938)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(112,813)</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1,485,052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1,484,448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July 13, 2016, Booz Allen Hamilton Inc. ("Booz Allen Hamilton"), Booz Allen Hamilton Investor Corporation ("Investor") and certain wholly-owned subsidiaries of Booz Allen Hamilton entered into the Third Amendment (the “Third Amendment”) to the Credit Agreement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and the Second Amendment to the Credit Agreement, dated as of May 7, 2014). Pursuant to the Third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8" w:right="239" w:bottom="1440" w:gutter="0" w:footer="0" w:header="0"/>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t>Amendment, Booz Allen Hamilton borrowed approximately $441 million of additional Term Loan A, with such funds used to pay off a portion of the Term Loan B facility.</w:t>
      </w:r>
    </w:p>
    <w:p>
      <w:pPr>
        <w:spacing w:after="0" w:line="6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As of December 31, 2016, the Credit Agreement, as amended, provided the Company with a $1,183 million Term Loan A, a $400 million Term Loan B, and a $500.0 million revolving credit facility, with a sublimit for letters of credit of $100 million. The outstanding obligations under the Credit Agreement, as amended, are secured by a security interest in substantially all of the assets of the Company, subject to certain exceptions set forth in the Credit Agreement, as amended, and related documentation.</w:t>
      </w:r>
    </w:p>
    <w:p>
      <w:pPr>
        <w:spacing w:after="0" w:line="7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Under the Third Amendment, the interest rate on borrowings under Term Loan A is LIBOR plus a spread that ranges from 1.50% to 2.25% based on Booz Allen Hamilton's total leverage ratio. The revolving credit facility margin is LIBOR plus a spread that ranges from 1.50% to 2.25% based on Booz Allen Hamilton's total leverage ratio and the revolving credit facility commitment fee is a spread ranging from 0.300% to 0.400%. The interest rate for borrowings under Term Loan B is LIBOR plus 2.75% with no LIBOR floor, with a spread that ranges from 1.75% to 2.75% based upon either an ABR or LIBOR borrowing. Under the Third Amendment, the maturity date of Term Loan A and the termination date for the revolving credit facility is June 30, 2021 and the maturity date of Term Loan B is June 30, 2023. The Third Amendment also amended certain existing debt covenants to provide the Company with greater operational and financial flexibility.</w:t>
      </w:r>
    </w:p>
    <w:p>
      <w:pPr>
        <w:spacing w:after="0" w:line="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Booz Allen Hamilton occasionally borrows under our revolving credit facility in anticipation of cash demands. During fiscal 2017, Booz Allen Hamilton accessed a total of $185.0 million of its $500.0 million revolving credit facility. As of December 31, 2016 there were no amounts outstanding on the revolving credit facility. As of March 31, 2016, there was $35.0 million outstanding on the revolving credit facility.</w:t>
      </w:r>
    </w:p>
    <w:p>
      <w:pPr>
        <w:spacing w:after="0" w:line="73"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The Credit Agreement, as amended by the Third Amendment, requires quarterly principal payments of 1.25% of the stated principal amount of Term Loan A until maturity, and quarterly principal payments of 0.25% of the stated principal amount of Term Loan B until maturity.</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60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37"/>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48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r>
      <w:tr>
        <w:trPr>
          <w:trHeight w:val="250"/>
        </w:trPr>
        <w:tc>
          <w:tcPr>
            <w:tcW w:w="4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jc w:val="center"/>
              <w:ind w:left="537"/>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1"/>
                <w:szCs w:val="21"/>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 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20,344</w:t>
            </w:r>
          </w:p>
        </w:tc>
        <w:tc>
          <w:tcPr>
            <w:tcW w:w="5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Term Loan B Interest Expense</w:t>
            </w:r>
          </w:p>
        </w:tc>
        <w:tc>
          <w:tcPr>
            <w:tcW w:w="3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3,386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8,062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15,349</w:t>
            </w:r>
          </w:p>
        </w:tc>
        <w:tc>
          <w:tcPr>
            <w:tcW w:w="5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24,097</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303</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r>
      <w:tr>
        <w:trPr>
          <w:trHeight w:val="270"/>
        </w:trPr>
        <w:tc>
          <w:tcPr>
            <w:tcW w:w="48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6,007</w:t>
            </w:r>
          </w:p>
        </w:tc>
        <w:tc>
          <w:tcPr>
            <w:tcW w:w="5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6,022</w:t>
            </w:r>
          </w:p>
        </w:tc>
      </w:tr>
      <w:tr>
        <w:trPr>
          <w:trHeight w:val="270"/>
        </w:trPr>
        <w:tc>
          <w:tcPr>
            <w:tcW w:w="4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DIC and OID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4,584</w:t>
            </w: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6,276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170</w:t>
            </w:r>
          </w:p>
        </w:tc>
        <w:tc>
          <w:tcPr>
            <w:tcW w:w="5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14,176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46,757</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52,937</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Interest payments on the deferred payment obligation are made twice a year in January and July.</w:t>
      </w:r>
    </w:p>
    <w:p>
      <w:pPr>
        <w:spacing w:after="0" w:line="98" w:lineRule="exact"/>
        <w:rPr>
          <w:sz w:val="20"/>
          <w:szCs w:val="20"/>
          <w:color w:val="auto"/>
        </w:rPr>
      </w:pPr>
    </w:p>
    <w:p>
      <w:pPr>
        <w:ind w:right="100" w:firstLine="8"/>
        <w:spacing w:after="0" w:line="225" w:lineRule="auto"/>
        <w:tabs>
          <w:tab w:leader="none" w:pos="108"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DIC and OID on the Company's term loans are recorded as a reduction of long term debt in the consolidated balance sheet and are amortized ratably over the life of the related debt using the effective rate method. DIC on the Company's revolving line of credit is recorded as a long term asset on the consolidated balance sheet and amortized ratably over the term of the revolving credit facility.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Company’s effective income tax rate was 40.0% and (22.9)% for the three months ended December 31, 2016 and 2015, respectively, and 38.7% and 20.5% for the nine months ended December 31, 2016 and 2015, respectively. The increases in the effective tax rate for the three and nine months ended December 31, 2016 as compared to the same periods last fiscal year was primarily due to the release of uncertain tax position reserves in the prior year. The three and nine months effective tax rates of 40.0% and 38.7% differ from the statutory rate of 35.0% primarily due to state income taxes and the effect of permanent rate differences, which primarily relate to meals and entertainment.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3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53,170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Postretirement benefit obligations</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122,754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118,554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5,598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190,748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177,322</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right="8640" w:hanging="332"/>
        <w:spacing w:after="0" w:line="378" w:lineRule="auto"/>
        <w:tabs>
          <w:tab w:leader="none" w:pos="28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180" w:firstLine="405"/>
        <w:spacing w:after="0" w:line="286"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was $28.1 million and $27.0 million for the three months ended December 31, 2016 and 2015, respectively, and $84.8 million and $81.4 million for the nine months ended December 31, 2016 and 2015, respectively. The Company-paid contributions were $13.7 million and $14.6 million for the three months ended December 31, 2016 and 2015, respectively, and $44.5 million and $46.6 million for the nine months ended December 31, 2016 and 2015, respectively.</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3,379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2,652</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9,512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10,308</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color w:val="auto"/>
        </w:rPr>
        <w:t>As of December 31, 2016 and March 31, 2016, the unfunded status of the post-retirement medical plan was $118.6 million and $114.0 million, respectively, which is included in other long-term liabilities in the accompanying condensed consolidated balance sheets.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12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The following table represents a rollforward of amounts recognized in accumulated other comprehensive loss, net of tax: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0" w:type="dxa"/>
            <w:vAlign w:val="bottom"/>
          </w:tcPr>
          <w:p>
            <w:pPr>
              <w:spacing w:after="0"/>
              <w:rPr>
                <w:sz w:val="1"/>
                <w:szCs w:val="1"/>
                <w:color w:val="auto"/>
              </w:rPr>
            </w:pPr>
          </w:p>
        </w:tc>
      </w:tr>
      <w:tr>
        <w:trPr>
          <w:trHeight w:val="243"/>
        </w:trPr>
        <w:tc>
          <w:tcPr>
            <w:tcW w:w="5320" w:type="dxa"/>
            <w:vAlign w:val="bottom"/>
          </w:tcPr>
          <w:p>
            <w:pPr>
              <w:ind w:left="200"/>
              <w:spacing w:after="0"/>
              <w:rPr>
                <w:sz w:val="20"/>
                <w:szCs w:val="20"/>
                <w:color w:val="auto"/>
              </w:rPr>
            </w:pPr>
            <w:r>
              <w:rPr>
                <w:rFonts w:ascii="Arial" w:cs="Arial" w:eastAsia="Arial" w:hAnsi="Arial"/>
                <w:sz w:val="18"/>
                <w:szCs w:val="18"/>
                <w:color w:val="auto"/>
                <w:w w:val="97"/>
              </w:rPr>
              <w:t>Amounts reclassified from accumulated other comprehensive loss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current-period other comprehensive loss</w:t>
            </w:r>
          </w:p>
        </w:tc>
        <w:tc>
          <w:tcPr>
            <w:tcW w:w="1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57"/>
        </w:trPr>
        <w:tc>
          <w:tcPr>
            <w:tcW w:w="53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1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(20,577)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0" w:type="dxa"/>
            <w:vAlign w:val="bottom"/>
            <w:vMerge w:val="restart"/>
          </w:tcPr>
          <w:p>
            <w:pPr>
              <w:jc w:val="right"/>
              <w:ind w:right="67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3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w w:val="95"/>
              </w:rPr>
              <w:t>Amortization of net actuarial loss included in net periodic benefit cost (See Note 10)</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2,652</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Tax benefit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1,582</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78" w:lineRule="auto"/>
        <w:tabs>
          <w:tab w:leader="none" w:pos="28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150,237,675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1,851,589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2,999,393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443,813</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 (1)</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2,709,570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(1,851,589)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2,399,203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153,391,058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5,398,596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475,959</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1,714,344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Repurchase of common stock (3)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229,278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155,581,361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5,627,874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72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30, 2015, the Company purchased, at par value, all issued and outstanding shares of Class E special voting common stock in connection with the exercise of the final tranche of rollover options during the second quarter of fiscal 2016.</w:t>
      </w:r>
    </w:p>
    <w:p>
      <w:pPr>
        <w:spacing w:after="0" w:line="62" w:lineRule="exact"/>
        <w:rPr>
          <w:rFonts w:ascii="Arial" w:cs="Arial" w:eastAsia="Arial" w:hAnsi="Arial"/>
          <w:sz w:val="18"/>
          <w:szCs w:val="18"/>
          <w:color w:val="auto"/>
        </w:rPr>
      </w:pPr>
    </w:p>
    <w:p>
      <w:pPr>
        <w:ind w:left="660" w:right="100" w:hanging="652"/>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fiscal 2016, the Company purchased 2.1 million shares of the Company’s Class A Common Stock in a series of open market transactions for $54.9 million. Additionally, the Company repurchased shares on June 30, 2015 and March 31, 2016 to cover the minimum statutory withholding taxes on restricted stock awards and restricted stock units that vested on June 30, 2015 and March 31, 2016, respectively. The Company also repurchased shares to cover the minimum statutory withholding taxes on restricted stock for departing officers, as they are no longer subject to a substantial risk of forfeiture.</w:t>
      </w:r>
    </w:p>
    <w:p>
      <w:pPr>
        <w:spacing w:after="0" w:line="80" w:lineRule="exact"/>
        <w:rPr>
          <w:rFonts w:ascii="Arial" w:cs="Arial" w:eastAsia="Arial" w:hAnsi="Arial"/>
          <w:sz w:val="18"/>
          <w:szCs w:val="18"/>
          <w:color w:val="auto"/>
        </w:rPr>
      </w:pPr>
    </w:p>
    <w:p>
      <w:pPr>
        <w:ind w:left="660" w:right="100" w:hanging="652"/>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fiscal 2017, the Company purchased 0.1 million shares of the Company’s Class A Common Stock in a series of open market transactions for $2.3 million. Additionally, the Company repurchased shares on June 30, 2016 to cover the minimum statutory withholding taxes on restricted stock awards and restricted stock units that vested on June 30, 2016. The Company also repurchased shares to cover the minimum statutory withholding taxes on restricted stock for departing officers, as they are no longer subject to a substantial risk of forfeiture.</w:t>
      </w:r>
    </w:p>
    <w:p>
      <w:pPr>
        <w:spacing w:after="0" w:line="63"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For the quarterly offering period that closed on December 31, 2016, 43,120 Class A Common Stock shares were purchased by employees under the Company's Employee Stock Purchase Plan, or ESPP. Since the program's inception, 1,882,982 shares have been purchased by employees.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11,801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14,572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5,453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16,034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left="260" w:right="2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14,003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15,774</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5,453</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16,034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As of December 31, 2016, there was $17.9 million of total unrecognized compensation cost related to unvested stock-based compensation agreements. The unrecognized compensation cost as of December 31, 2016 is expected to be fully amortized over the next 4.25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7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Weighted Average Remaining</w:t>
            </w:r>
          </w:p>
        </w:tc>
      </w:tr>
      <w:tr>
        <w:trPr>
          <w:trHeight w:val="192"/>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to be Recognized (in years)</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2,207</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15,659</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1.93</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17,866</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October 26, 2016, 43,086 options were granted under the Amended and Restated Equity Incentive Plan, or EIP. The estimated fair value of the per-option grant was $6.96, resulting in a total fair value of $0.3 million.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2016, there were 4,041,616 EIP options outstanding, of which 1,003,871 were unvested.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On October 26, 2016, the Board of Directors granted 34,196 Restricted Stock Units to certain newly hired vice presidents and current partners. The aggregate value of this award was estimated at $1.1 million based on the stock price of $30.99 on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58" w:right="2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117" w:lineRule="exact"/>
        <w:rPr>
          <w:sz w:val="20"/>
          <w:szCs w:val="20"/>
          <w:color w:val="auto"/>
        </w:rPr>
      </w:pPr>
    </w:p>
    <w:p>
      <w:pPr>
        <w:ind w:right="20" w:firstLine="243"/>
        <w:spacing w:after="0" w:line="297" w:lineRule="auto"/>
        <w:rPr>
          <w:sz w:val="20"/>
          <w:szCs w:val="20"/>
          <w:color w:val="auto"/>
        </w:rPr>
      </w:pPr>
      <w:r>
        <w:rPr>
          <w:rFonts w:ascii="Arial" w:cs="Arial" w:eastAsia="Arial" w:hAnsi="Arial"/>
          <w:sz w:val="16"/>
          <w:szCs w:val="16"/>
          <w:color w:val="auto"/>
        </w:rPr>
        <w:t>The Compensation Committee, acting as the Administrator of the EIP, has discretion in how to effect the required adjustment to keep option holders whole in the event of a distribution of dividends that triggers certain anti-dilution clauses within the respective plans. In the event the Compensation Committee elects to grant option holders a cash payment equal to the amount of the special dividend, the Company accrues a stock-based compensation liability as the EIP options are scheduled to be vested. The obligation will be settled on the later of the date the dividend is paid or the vesting date of the EIP options. The stock-based compensation liability includes all special dividends declared for which eligible EIP option holders have not yet received a distribution.</w:t>
      </w:r>
    </w:p>
    <w:p>
      <w:pPr>
        <w:spacing w:after="0" w:line="5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of December 31, 2016 and March 31, 2016, the Company calculated a total recorded and unrecorded stock-based compensation liability of $1.5 million and $3.8 million, respectively, related to the special dividends paid in June 2012, November 2013, and February and August 2014. As of December 31, 2016, $1.0 million was recorded as a current liability and included in accrued compensation and benefits within the condensed consolidated balance sheet while $0.5 million will be recorded as liability as the options vest over the next 2.25 years. As of March 31, 2016, $2.3 million was recorded as a current liability and $1.5 million represented the unrecorded liability.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as of December 31, 2016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61,385</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61,385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288,239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288,239</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61,385</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349,624</w:t>
            </w:r>
          </w:p>
        </w:tc>
      </w:tr>
      <w:tr>
        <w:trPr>
          <w:trHeight w:val="20"/>
        </w:trPr>
        <w:tc>
          <w:tcPr>
            <w:tcW w:w="6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as of March 31, 2016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42,102</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42,102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145,427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145,427</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42,102</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187,529</w:t>
            </w:r>
          </w:p>
        </w:tc>
      </w:tr>
      <w:tr>
        <w:trPr>
          <w:trHeight w:val="20"/>
        </w:trPr>
        <w:tc>
          <w:tcPr>
            <w:tcW w:w="6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9"/>
          <w:szCs w:val="19"/>
          <w:color w:val="auto"/>
        </w:rPr>
      </w:pPr>
      <w:r>
        <w:rPr>
          <w:rFonts w:ascii="Arial" w:cs="Arial" w:eastAsia="Arial" w:hAnsi="Arial"/>
          <w:sz w:val="17"/>
          <w:szCs w:val="17"/>
          <w:color w:val="auto"/>
        </w:rPr>
        <w:t>Level 2 cash and cash equivalents are invested in money market funds that are intended to maintain a stable net asset value of $1.00 per share by</w:t>
      </w:r>
    </w:p>
    <w:p>
      <w:pPr>
        <w:spacing w:after="0" w:line="38" w:lineRule="exact"/>
        <w:rPr>
          <w:rFonts w:ascii="Arial" w:cs="Arial" w:eastAsia="Arial" w:hAnsi="Arial"/>
          <w:sz w:val="19"/>
          <w:szCs w:val="19"/>
          <w:color w:val="auto"/>
        </w:rPr>
      </w:pPr>
    </w:p>
    <w:p>
      <w:pPr>
        <w:ind w:right="60"/>
        <w:spacing w:after="0" w:line="293" w:lineRule="auto"/>
        <w:rPr>
          <w:rFonts w:ascii="Arial" w:cs="Arial" w:eastAsia="Arial" w:hAnsi="Arial"/>
          <w:sz w:val="19"/>
          <w:szCs w:val="19"/>
          <w:color w:val="auto"/>
        </w:rPr>
      </w:pPr>
      <w:r>
        <w:rPr>
          <w:rFonts w:ascii="Arial" w:cs="Arial" w:eastAsia="Arial" w:hAnsi="Arial"/>
          <w:sz w:val="18"/>
          <w:szCs w:val="18"/>
          <w:color w:val="auto"/>
        </w:rPr>
        <w:t>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4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fair value of the Company's debt instruments approximates its carrying value at December 31, 2016 and March 31, 2016.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3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15. RELATED-PARTY TRANSACTIONS</w:t>
      </w:r>
    </w:p>
    <w:p>
      <w:pPr>
        <w:spacing w:after="0" w:line="33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During the third quarter of fiscal 2017, The Carlyle Group, or Carlyle, sold its remaining shares of Class A common stock of the Company in an underwritten transaction. As of December 31, 2016, Carlyle does not beneficially own any shares of Class A common stock of the Company. Prior to this transaction, Carlyle was the largest shareholder of the Company. From time to time, and in the ordinary course of business: (1) other Carlyle portfolio companies engaged the Company as a subcontractor or service provider, and (2) the Company engaged other Carlyle portfolio companies as subcontractors or service providers. Revenue and cost associated with these related parties for the three and nine months ended December 31, 2016 were not material.</w:t>
      </w:r>
    </w:p>
    <w:p>
      <w:pPr>
        <w:spacing w:after="0" w:line="5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provides the Company with advisory, consulting, and other services and the Company pays Carlyle Investment Management an aggregate annual fee of $1.0 million, plus expenses. For the three months ended December 31, 2016 and 2015, the Company incurred $250,000 in advisory fees in each period. For the nine months ended December 31, 2016 and 2015, the Company incurred $750,000 in advisory fees in each period. The Management Agreement terminated on December 6, 2016, upon the closing of the sale by Carlyle of their remaining shares of Class A common stock of the Company.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As of December 31, 2016 and March 31, 2016, the Company was contingently liable under open standby letters of credit and bank guarantees issued by our banks in favor of third parties that totaled $9.6 million and $6.6 million, respectively. These letters of credit and bank guarantees primarily support insurance and bid and performance obligations. At December 31, 2016 and March 31, 2016, approximately $1.7 million and $1.8 million, respectively, of these instruments reduce the available borrowings under the revolving credit facility. The remainder are guaranteed under a separate $10.0 million facility established in fiscal 2016 of which $2.1 million and $5.2 million, respectively, was available to the Company at December 31, 2016 and March 31, 2016.</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For each of the three and nine months ended December 31, 2016 and 2015, approximately 97% of the Company’s revenue was generated from contracts where the end client was an agency or department of the U.S. government, including contracts where the Company performed in either a prime or subcontract position, and regardless of the geographic location in which the work was performed. Contracts with the U.S. government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U.S. government audits, inquiries, or investigations of the Company, whether related to the Company’s U.S. government 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The Defense Contract Management Agency Administrative Contracting Officer has negotiated annual final indirect cost rates through fiscal year 2009. The audit of fiscal years 2010 and 2011 is currently under active review by the Defense Contract Management Agency. Audits of subsequent years may result in future cost disallowances including cost reductions and/or penalties. Management believes it has recorded the appropriate provision for the estimated losses that may be experienced from any such reductions and/or penalties. As of December 31, 2016 and March 31, 2016, the Company has recorded a liability of approximately $197.7 million and $189.9 million, respectively, for its current best estimate of amounts to be refunded to customers for potential adjustments from such audits or reviews of contract costs incurred subsequent to fiscal year 2009, and for contracts not yet closed that are impacted by settlement of audits or reviews of contract costs incurred in prior fiscal years.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2" w:right="25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December 31, 2016, there are no material amounts accrued in the condensed consolidated financial statements related to these proceedings.</w:t>
      </w:r>
    </w:p>
    <w:p>
      <w:pPr>
        <w:spacing w:after="0" w:line="5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Six former officers and stockholders who had departed the company prior to the July 2008 acquisition of the Company by Carlyle, or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are on appeal before the United States Court of Appeals for the Second Circuit. On December 15, 2016, hearings relating to the appeal were held before the United States Court of Appeals for the Second Circuit. As of December 31, 2016, the United States Court of Appeals for the Second Circuit has not ruled on this appeal. As of December 31, 2016 and March 31, 2016, the aggregate alleged damages sought in these three remaining suits was approximately $241.5 million (which is sought to be trebled pursuant to RICO), plus punitive damages, costs, and fees.</w:t>
      </w:r>
    </w:p>
    <w:p>
      <w:pPr>
        <w:spacing w:after="0" w:line="8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638"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January 23, 2017, the Company announced that our management is exploring, subject to continuing management review and to further consideration and ultimate approval by the Board of Directors, a possible repricing for our existing Term Loan B facility. The repricing amendment is not intended to increase our total amount of outstanding indebtedness.</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January 24, 2017, the Company acquired eGov Holdings, Inc. (d/b/a Aquilent). As a result of the transaction, eGov Holdings, Inc. became a wholly-owned subsidiary of Booz Allen Hamilton Inc. The Company paid a purchase price of approximately $250 million in connection with the transaction, which remains subject to customary post-closing purchase price adjustments and customary escrows. The acquisition of Aquilent will be accounted for under the purchase method of accounting which requires the total purchase consideration to be allocated to the assets acquired and liabilities assumed based on estimates of fair value. The excess of the purchase consideration over the amounts assigned to tangible and intangible assets acquired and liabilities assumed will be recognized as goodwill. Transaction costs of $2.0 million have been accrued and recognized as a component of general and administrative expenses as of December 31, 2016.</w:t>
      </w:r>
    </w:p>
    <w:p>
      <w:pPr>
        <w:spacing w:after="0" w:line="8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January 25, 2017, the Board of Directors approved an increase to our share repurchase authorization from $180.0 million to up to $410.0 million. As of January 25, 2017, taking into effect the increase in the share repurchase authorization, the Company may repurchase up to approximately $300 million of additional shares of common stock under its share repurchase program.</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2016 filed with the Securities and Exchange Commission on May 19, 2016,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are a leading provider of management and technology, consulting, and engineering services to the U.S. and international governments, major corporations, and not-for-profit organizations. Our ability to deliver value to our clients has always been, and continues to be, a product of the character and expertise of our people. Our talent base of approximately 23,000 people deliver value and results to our clients by combining core consulting skills and domain expertise with functional expertise in areas such as engineering and science, systems delivery, cyber, and analytics, all fostered by a culture of innovation that extends to all reaches of the company.</w:t>
      </w:r>
    </w:p>
    <w:p>
      <w:pPr>
        <w:spacing w:after="0" w:line="18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Through our dedication to our clients' missions, and a commitment to evolving our business to address clients' needs, we have longstanding and deep relationships with our clients -- some more than 75 years. We support critical missions for a diverse base of federal government clients, including nearly all of the U.S. government's cabinet-level departments, and federal contract vehicles, as well as increasingly for top-tier commercial and international clients. We support these clients by addressing complex and pressing challenges such as combating global terrorism, improving cyber capabilities, transforming the healthcare system, improving efficiency and managing change within the government. Our U.S. commercial clients are primarily in the financial services, healthcare and life sciences, energy, high-tech manufacturing, retail, and automotive industries. Our international clients are primarily in the Middle East, along with a new and growing presence in Southeast Asia.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third quarter of fiscal 2017, the Company continued to generate year over year revenue growth, increased headcount, and growth in backlog.</w:t>
      </w:r>
    </w:p>
    <w:p>
      <w:pPr>
        <w:spacing w:after="0" w:line="14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Revenue increased 7.4% from the three months ended December 31, 2015 to the three months ended December 31, 2016 and increased 6.0% from the nine months ended December 31, 2015 to the nine months ended December 31, 2016 primarily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26" w:right="259" w:bottom="1440" w:gutter="0" w:footer="0" w:header="0"/>
        </w:sectPr>
      </w:pPr>
    </w:p>
    <w:bookmarkStart w:id="17" w:name="page18"/>
    <w:bookmarkEnd w:id="17"/>
    <w:p>
      <w:pPr>
        <w:ind w:right="340"/>
        <w:spacing w:after="0" w:line="308" w:lineRule="auto"/>
        <w:rPr>
          <w:sz w:val="20"/>
          <w:szCs w:val="20"/>
          <w:color w:val="auto"/>
        </w:rPr>
      </w:pPr>
      <w:r>
        <w:rPr>
          <w:rFonts w:ascii="Arial" w:cs="Arial" w:eastAsia="Arial" w:hAnsi="Arial"/>
          <w:sz w:val="17"/>
          <w:szCs w:val="17"/>
          <w:color w:val="auto"/>
        </w:rPr>
        <w:t>driven by stronger client demand, which led to increases in client staff headcount and staff billability, and therefore direct labor. Revenue growth was also driven by an increase in billable expenses, including subcontractors and equipment purchased for clients on certain contracts.</w:t>
      </w:r>
    </w:p>
    <w:p>
      <w:pPr>
        <w:spacing w:after="0" w:line="3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Operating income increased 2.9% to $108.1 million in the three months ended December 31, 2016 from $105.1 million in the three months ended December 31, 2015, while operating margin reflected a 30 basis point decrease to 7.7% from 8.0% in the comparable period. Operating income increased 4.4% to $355.1 million in the nine months ended December 31, 2016 from $340.1 million in the nine months ended December 31, 2015, while operating margin decreased 10 basis points to 8.4% from 8.5% in the comparable period. The increase in operating income was attributable to the same factors driving gross revenue.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EBITDA Margin,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EBITDA Margin,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Adjusted EBITDA Margin, and Adjusted Net Income, and net cash provided by operating activities to Free Cash Flows, and the explanatory footnotes regarding those adjustments, each as defined under GAAP, (ii) use Adjusted Operating Income, Adjusted EBITDA, Adjusted EBITDA Margin, Adjusted Net Income, and Adjusted Diluted EPS in addition to, and not as an alternative to, operating income, net income or diluted EPS, as measures of operating results, each as defined under GAAP, and (iii) use Free Cash Flows in addition to, and not as an alternative to, net cash provided by operating activities as a measure of liquidity, each as defined under GAAP. We have defined the aforementioned non-GAAP measures as follows:</w:t>
      </w:r>
    </w:p>
    <w:p>
      <w:pPr>
        <w:spacing w:after="0" w:line="281" w:lineRule="exact"/>
        <w:rPr>
          <w:sz w:val="20"/>
          <w:szCs w:val="20"/>
          <w:color w:val="auto"/>
        </w:rPr>
      </w:pPr>
    </w:p>
    <w:p>
      <w:pPr>
        <w:ind w:left="1300" w:right="140" w:hanging="644"/>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and (ii)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8" w:lineRule="exact"/>
        <w:rPr>
          <w:rFonts w:ascii="Arial" w:cs="Arial" w:eastAsia="Arial" w:hAnsi="Arial"/>
          <w:sz w:val="18"/>
          <w:szCs w:val="18"/>
          <w:color w:val="auto"/>
        </w:rPr>
      </w:pPr>
    </w:p>
    <w:p>
      <w:pPr>
        <w:ind w:left="1300" w:right="280" w:hanging="644"/>
        <w:spacing w:after="0" w:line="297"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transaction costs, fees, losses, and expenses, including fees associated with debt prepayments. “Adjusted EBITDA Margin” is calculated as Adjusted EBITDA divided by revenue. The Company prepares Adjusted EBITDA and Adjusted EBITDA Margin to eliminate the impact of items it does not consider indicative of ongoing operating performance due to their inherent unusual, extraordinary or non-recurring nature or because they result from an event of a similar nature.</w:t>
      </w:r>
    </w:p>
    <w:p>
      <w:pPr>
        <w:spacing w:after="0" w:line="50" w:lineRule="exact"/>
        <w:rPr>
          <w:rFonts w:ascii="Arial" w:cs="Arial" w:eastAsia="Arial" w:hAnsi="Arial"/>
          <w:sz w:val="16"/>
          <w:szCs w:val="16"/>
          <w:color w:val="auto"/>
        </w:rPr>
      </w:pPr>
    </w:p>
    <w:p>
      <w:pPr>
        <w:ind w:left="1300" w:hanging="644"/>
        <w:spacing w:after="0" w:line="25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adjustments related to the amortization of intangible assets, (ii) transaction costs, fees, losses, and expenses, including fees associated with debt prepayments, (iii) amortization or write-off of debt issuance costs and write-off of original issue discount, and (iv) release of income tax reserves,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85"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38" w:right="239" w:bottom="1440" w:gutter="0" w:footer="0" w:header="0"/>
        </w:sectPr>
      </w:pPr>
    </w:p>
    <w:bookmarkStart w:id="18" w:name="page19"/>
    <w:bookmarkEnd w:id="18"/>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1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EBITDA Margin, Adjusted Net Income, Adjusted Diluted EPS, and Free Cash Flow to the most directly comparable financial measure calculated and presented in accordance with GAAP.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9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5"/>
              </w:rPr>
              <w:t>(Unaudited)</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97"/>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108,124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105,116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355,086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340,076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109,180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106,172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361,609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343,245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Adjusted EBITDA &amp; Adjusted EBITDA Margin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55,590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108,055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186,237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228,577</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37,025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(20,146)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117,489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58,871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15,509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51,360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52,628</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14,410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16,148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43,588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46,617</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122,534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121,264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398,674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386,693</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122,534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121,264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402,028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386,693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1,404,638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1,307,663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4,222,213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3,981,421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 Margin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55,590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108,055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186,237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228,577</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Amortization of intangible assets (a)</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Release of income tax reserves (c)</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(47,667)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(47,667)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Amortization or write-off of debt issuance costs and write-off</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 original issue discount</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8,236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Adjustments for tax effect (d)</w:t>
            </w: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56,625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61,806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195,092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185,157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150,607,259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1"/>
              </w:rPr>
              <w:t>149,900,925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150,143,851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1"/>
              </w:rPr>
              <w:t>149,501,458</w:t>
            </w:r>
          </w:p>
        </w:tc>
        <w:tc>
          <w:tcPr>
            <w:tcW w:w="0" w:type="dxa"/>
            <w:vAlign w:val="bottom"/>
          </w:tcPr>
          <w:p>
            <w:pPr>
              <w:spacing w:after="0"/>
              <w:rPr>
                <w:sz w:val="1"/>
                <w:szCs w:val="1"/>
                <w:color w:val="auto"/>
              </w:rPr>
            </w:pPr>
          </w:p>
        </w:tc>
      </w:tr>
      <w:tr>
        <w:trPr>
          <w:trHeight w:val="237"/>
        </w:trPr>
        <w:tc>
          <w:tcPr>
            <w:tcW w:w="4940" w:type="dxa"/>
            <w:vAlign w:val="bottom"/>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65,959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92,310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283,042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180,997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(30,554)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(45,829)</w:t>
            </w:r>
          </w:p>
        </w:tc>
        <w:tc>
          <w:tcPr>
            <w:tcW w:w="0" w:type="dxa"/>
            <w:vAlign w:val="bottom"/>
          </w:tcPr>
          <w:p>
            <w:pPr>
              <w:spacing w:after="0"/>
              <w:rPr>
                <w:sz w:val="1"/>
                <w:szCs w:val="1"/>
                <w:color w:val="auto"/>
              </w:rPr>
            </w:pPr>
          </w:p>
        </w:tc>
      </w:tr>
      <w:tr>
        <w:trPr>
          <w:trHeight w:val="237"/>
        </w:trPr>
        <w:tc>
          <w:tcPr>
            <w:tcW w:w="494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50,548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76,043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252,488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135,168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of our Company by The Carlyle Group.</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July 13, 2016.</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Release of pre-acquisition income tax reserves assumed by the Company in connection with the acquisition of our Company by The Carlyle Group.</w:t>
      </w:r>
    </w:p>
    <w:p>
      <w:pPr>
        <w:spacing w:after="0" w:line="140"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117" w:lineRule="exact"/>
        <w:rPr>
          <w:rFonts w:ascii="Arial" w:cs="Arial" w:eastAsia="Arial" w:hAnsi="Arial"/>
          <w:sz w:val="18"/>
          <w:szCs w:val="18"/>
          <w:color w:val="auto"/>
        </w:rPr>
      </w:pPr>
    </w:p>
    <w:p>
      <w:pPr>
        <w:ind w:left="660" w:right="360" w:hanging="652"/>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an adjustment of approximately $0.6 million and $2.0 million of net earnings for the three and nine months ended December 31, 2016, respectively, and excludes an adjustment of approximately $1.5 million and $3.0 million of net earnings for the three and nine months ended December 31, 2015, respectively, associated with the application of the two-class method for computing diluted earnings per share.</w:t>
      </w:r>
    </w:p>
    <w:p>
      <w:pPr>
        <w:sectPr>
          <w:pgSz w:w="11900" w:h="16838" w:orient="portrait"/>
          <w:cols w:equalWidth="0" w:num="1">
            <w:col w:w="11420"/>
          </w:cols>
          <w:pgMar w:left="240" w:top="63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638"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January 24, 2017, the Company acquired eGov Holdings, Inc. (d/b/a Aquilent). As a result of the transaction, eGov Holdings, Inc. became a wholly-owned subsidiary of Booz Allen Hamilton Inc. The Company paid a purchase price of approximately $250 million in connection with the transaction, which remains subject to customary post-closing purchase price adjustments and customary escrows. The acquisition of Aquilent will be accounted for under the purchase method of accounting which requires the total purchase consideration to be allocated to the assets acquired and liabilities assumed based on estimates of fair value. The excess of the purchase consideration over the amounts assigned to tangible and intangible assets acquired and liabilities assumed will be recognized as goodwill. Transaction costs of $2.0 million have been accrued and recognized as a component of general and administrative expenses as of December 31, 2016.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20" w:hanging="644"/>
        <w:spacing w:after="0" w:line="29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address budgetary constraints, caps on the discretionary budget for defense and non-defense departments and agencies, as established by the Bipartisan Budget Control Act of 2011 and subsequently adjusted by the American Tax Payer Relief Act of 2012, the Bipartisan Budget Act of 2013 and the Bipartisan Budget Act of 2015, and the ability of Congress to determine how to allocate the available budget authority and pass appropriations bills to fund both U.S. government departments and agencies that are, and those that are not, subject to the caps. It is unclear whether the U.S. government's fiscal year 2017, which began on October 1, 2016, will have a complete set of appropriations bills to fund the U.S. government, which is currently operating under a continuing resolution that is set to expire on April 28, 2017;</w:t>
      </w:r>
    </w:p>
    <w:p>
      <w:pPr>
        <w:spacing w:after="0" w:line="59"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80" w:hanging="644"/>
        <w:spacing w:after="0" w:line="289"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approve funding of the U.S. government beyond April 28, 2017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6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34" w:right="239" w:bottom="1440" w:gutter="0" w:footer="0" w:header="0"/>
        </w:sectPr>
      </w:pPr>
    </w:p>
    <w:bookmarkStart w:id="20" w:name="page21"/>
    <w:bookmarkEnd w:id="20"/>
    <w:p>
      <w:pPr>
        <w:ind w:left="1300" w:right="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3"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15" w:lineRule="exact"/>
        <w:rPr>
          <w:rFonts w:ascii="Arial" w:cs="Arial" w:eastAsia="Arial" w:hAnsi="Arial"/>
          <w:sz w:val="16"/>
          <w:szCs w:val="16"/>
          <w:color w:val="auto"/>
        </w:rPr>
      </w:pPr>
    </w:p>
    <w:p>
      <w:pPr>
        <w:ind w:left="1300" w:right="200" w:hanging="644"/>
        <w:spacing w:after="0" w:line="31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2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73" w:lineRule="exact"/>
        <w:rPr>
          <w:rFonts w:ascii="Arial" w:cs="Arial" w:eastAsia="Arial" w:hAnsi="Arial"/>
          <w:sz w:val="18"/>
          <w:szCs w:val="18"/>
          <w:color w:val="auto"/>
        </w:rPr>
      </w:pPr>
    </w:p>
    <w:p>
      <w:pPr>
        <w:jc w:val="both"/>
        <w:ind w:left="1300" w:right="200" w:hanging="644"/>
        <w:spacing w:after="0" w:line="286"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traction-agencies are required to meet high small business set aside targets, and large business prime contractors are required to subcontract in accordance with considerable small business participation goals necessary for contract award; and</w:t>
      </w:r>
    </w:p>
    <w:p>
      <w:pPr>
        <w:spacing w:after="0" w:line="57" w:lineRule="exact"/>
        <w:rPr>
          <w:rFonts w:ascii="Arial" w:cs="Arial" w:eastAsia="Arial" w:hAnsi="Arial"/>
          <w:sz w:val="17"/>
          <w:szCs w:val="17"/>
          <w:color w:val="auto"/>
        </w:rPr>
      </w:pPr>
    </w:p>
    <w:p>
      <w:pPr>
        <w:ind w:left="1300" w:right="1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agency and mission priorities anticipated in the Department of Defense and Civilian agency landscape with the presidential and administration transition; in addition, shifting defense priorities anticipated driven by the National Defense Authorization Act for Fiscal Year 2017 authorizing the necessary funding for the military to defend our nation.</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the Bipartisan Budget Act of 2013 and the Bipartisan Budget Act of 2015), provides for automatic spending cuts totaling approximately $1.2 trillion between 2013 and 2021, and requires an estimated $500 billion in federal defense spending cuts over this time period. The Bipartisan Budget Act of 2015 raised existing spending caps on defense spending by $25 billion and $15 billion for government fiscal years 2016 and 2017, respectively, but did not address spending caps beyond fiscal 2017.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38" w:right="259" w:bottom="1440" w:gutter="0" w:footer="0" w:header="0"/>
        </w:sectPr>
      </w:pPr>
    </w:p>
    <w:bookmarkStart w:id="21" w:name="page22"/>
    <w:bookmarkEnd w:id="21"/>
    <w:p>
      <w:pPr>
        <w:ind w:left="1960" w:right="20" w:hanging="655"/>
        <w:spacing w:after="0" w:line="270" w:lineRule="auto"/>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100" w:hanging="655"/>
        <w:spacing w:after="0" w:line="257" w:lineRule="auto"/>
        <w:tabs>
          <w:tab w:leader="none" w:pos="19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120" w:hanging="655"/>
        <w:spacing w:after="0" w:line="255" w:lineRule="auto"/>
        <w:tabs>
          <w:tab w:leader="none" w:pos="19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21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c>
          <w:tcPr>
            <w:tcW w:w="21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434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ind w:left="397"/>
              <w:spacing w:after="0"/>
              <w:rPr>
                <w:sz w:val="20"/>
                <w:szCs w:val="20"/>
                <w:color w:val="auto"/>
              </w:rPr>
            </w:pPr>
            <w:r>
              <w:rPr>
                <w:rFonts w:ascii="Arial" w:cs="Arial" w:eastAsia="Arial" w:hAnsi="Arial"/>
                <w:sz w:val="14"/>
                <w:szCs w:val="14"/>
                <w:b w:val="1"/>
                <w:bCs w:val="1"/>
                <w:color w:val="auto"/>
                <w:w w:val="89"/>
              </w:rPr>
              <w:t>2016</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center"/>
              <w:ind w:left="474"/>
              <w:spacing w:after="0"/>
              <w:rPr>
                <w:sz w:val="20"/>
                <w:szCs w:val="20"/>
                <w:color w:val="auto"/>
              </w:rPr>
            </w:pPr>
            <w:r>
              <w:rPr>
                <w:rFonts w:ascii="Arial" w:cs="Arial" w:eastAsia="Arial" w:hAnsi="Arial"/>
                <w:sz w:val="14"/>
                <w:szCs w:val="14"/>
                <w:b w:val="1"/>
                <w:bCs w:val="1"/>
                <w:color w:val="auto"/>
                <w:w w:val="89"/>
              </w:rPr>
              <w:t>2016</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000" w:type="dxa"/>
            <w:vAlign w:val="bottom"/>
            <w:tcBorders>
              <w:bottom w:val="single" w:sz="8" w:color="CCEEFF"/>
            </w:tcBorders>
            <w:shd w:val="clear" w:color="auto" w:fill="CCEEFF"/>
          </w:tcPr>
          <w:p>
            <w:pPr>
              <w:jc w:val="center"/>
              <w:ind w:left="397"/>
              <w:spacing w:after="0"/>
              <w:rPr>
                <w:sz w:val="20"/>
                <w:szCs w:val="20"/>
                <w:color w:val="auto"/>
              </w:rPr>
            </w:pPr>
            <w:r>
              <w:rPr>
                <w:rFonts w:ascii="Arial" w:cs="Arial" w:eastAsia="Arial" w:hAnsi="Arial"/>
                <w:sz w:val="18"/>
                <w:szCs w:val="18"/>
                <w:color w:val="auto"/>
                <w:w w:val="88"/>
              </w:rPr>
              <w:t>49%</w:t>
            </w:r>
          </w:p>
        </w:tc>
        <w:tc>
          <w:tcPr>
            <w:tcW w:w="2080" w:type="dxa"/>
            <w:vAlign w:val="bottom"/>
            <w:tcBorders>
              <w:bottom w:val="single" w:sz="8" w:color="CCEEFF"/>
            </w:tcBorders>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49%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94"/>
              </w:rPr>
              <w:t>49%</w:t>
            </w:r>
          </w:p>
        </w:tc>
        <w:tc>
          <w:tcPr>
            <w:tcW w:w="2160" w:type="dxa"/>
            <w:vAlign w:val="bottom"/>
            <w:tcBorders>
              <w:bottom w:val="single" w:sz="8" w:color="CCEEFF"/>
            </w:tcBorders>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51%</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00" w:type="dxa"/>
            <w:vAlign w:val="bottom"/>
          </w:tcPr>
          <w:p>
            <w:pPr>
              <w:jc w:val="center"/>
              <w:ind w:left="397"/>
              <w:spacing w:after="0"/>
              <w:rPr>
                <w:sz w:val="20"/>
                <w:szCs w:val="20"/>
                <w:color w:val="auto"/>
              </w:rPr>
            </w:pPr>
            <w:r>
              <w:rPr>
                <w:rFonts w:ascii="Arial" w:cs="Arial" w:eastAsia="Arial" w:hAnsi="Arial"/>
                <w:sz w:val="18"/>
                <w:szCs w:val="18"/>
                <w:color w:val="auto"/>
                <w:w w:val="88"/>
              </w:rPr>
              <w:t>26%</w:t>
            </w:r>
          </w:p>
        </w:tc>
        <w:tc>
          <w:tcPr>
            <w:tcW w:w="2080" w:type="dxa"/>
            <w:vAlign w:val="bottom"/>
            <w:gridSpan w:val="3"/>
          </w:tcPr>
          <w:p>
            <w:pPr>
              <w:jc w:val="center"/>
              <w:ind w:left="494"/>
              <w:spacing w:after="0"/>
              <w:rPr>
                <w:sz w:val="20"/>
                <w:szCs w:val="20"/>
                <w:color w:val="auto"/>
              </w:rPr>
            </w:pPr>
            <w:r>
              <w:rPr>
                <w:rFonts w:ascii="Arial" w:cs="Arial" w:eastAsia="Arial" w:hAnsi="Arial"/>
                <w:sz w:val="18"/>
                <w:szCs w:val="18"/>
                <w:color w:val="auto"/>
                <w:w w:val="94"/>
              </w:rPr>
              <w:t>27%</w:t>
            </w:r>
          </w:p>
        </w:tc>
        <w:tc>
          <w:tcPr>
            <w:tcW w:w="100" w:type="dxa"/>
            <w:vAlign w:val="bottom"/>
          </w:tcPr>
          <w:p>
            <w:pPr>
              <w:spacing w:after="0"/>
              <w:rPr>
                <w:sz w:val="21"/>
                <w:szCs w:val="21"/>
                <w:color w:val="auto"/>
              </w:rPr>
            </w:pP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94"/>
              </w:rPr>
              <w:t>26%</w:t>
            </w:r>
          </w:p>
        </w:tc>
        <w:tc>
          <w:tcPr>
            <w:tcW w:w="2160" w:type="dxa"/>
            <w:vAlign w:val="bottom"/>
            <w:gridSpan w:val="3"/>
          </w:tcPr>
          <w:p>
            <w:pPr>
              <w:jc w:val="center"/>
              <w:ind w:left="597"/>
              <w:spacing w:after="0"/>
              <w:rPr>
                <w:sz w:val="20"/>
                <w:szCs w:val="20"/>
                <w:color w:val="auto"/>
              </w:rPr>
            </w:pPr>
            <w:r>
              <w:rPr>
                <w:rFonts w:ascii="Arial" w:cs="Arial" w:eastAsia="Arial" w:hAnsi="Arial"/>
                <w:sz w:val="18"/>
                <w:szCs w:val="18"/>
                <w:color w:val="auto"/>
                <w:w w:val="88"/>
              </w:rPr>
              <w:t>26%</w:t>
            </w:r>
          </w:p>
        </w:tc>
      </w:tr>
      <w:tr>
        <w:trPr>
          <w:trHeight w:val="27"/>
        </w:trPr>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00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88"/>
              </w:rPr>
              <w:t>25%</w:t>
            </w:r>
          </w:p>
        </w:tc>
        <w:tc>
          <w:tcPr>
            <w:tcW w:w="208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24%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4"/>
              </w:rPr>
              <w:t>25%</w:t>
            </w:r>
          </w:p>
        </w:tc>
        <w:tc>
          <w:tcPr>
            <w:tcW w:w="2160" w:type="dxa"/>
            <w:vAlign w:val="bottom"/>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23%</w:t>
            </w:r>
          </w:p>
        </w:tc>
      </w:tr>
      <w:tr>
        <w:trPr>
          <w:trHeight w:val="27"/>
        </w:trPr>
        <w:tc>
          <w:tcPr>
            <w:tcW w:w="4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38" w:right="25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both December 31, 2016 and 2015, we employed approximately 23,000 and 22,600 people, respectively, of which approximately 20,800 and 20,300,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13335</wp:posOffset>
            </wp:positionV>
            <wp:extent cx="2058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540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401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Funded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2,693</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6,556</w:t>
            </w:r>
          </w:p>
        </w:tc>
      </w:tr>
      <w:tr>
        <w:trPr>
          <w:trHeight w:val="27"/>
        </w:trPr>
        <w:tc>
          <w:tcPr>
            <w:tcW w:w="5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8" w:right="239" w:bottom="1440" w:gutter="0" w:footer="0" w:header="0"/>
        </w:sectPr>
      </w:pPr>
    </w:p>
    <w:bookmarkStart w:id="23" w:name="page24"/>
    <w:bookmarkEnd w:id="23"/>
    <w:p>
      <w:pPr>
        <w:ind w:right="100"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12.0% from December 31, 2015 to December 31, 2016. Additions to funded backlog during the twelve months ended December 31, 2016 totaled $5.7 billion in comparison to $5.3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7.9% of funded backlog as of the end of any of the four fiscal quarters preceding the fiscal quarter ended December 31, 2016.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6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3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which will now be effective for the Company beginning on April 1, 2018 (i.e., beginning with the first quarter fiscal 2019 interim financial statements) with early adoption permitted. The new standard may be adopted retrospectively for all periods presented, or adopted using a modified retrospective approach. Management anticipates adopting the new standard beginning April 1, 2018 using the full retrospective transition method. We are still assessing what effect the adoption of this standard may have on the timing of our revenue recognition and our financial statements.</w:t>
      </w:r>
    </w:p>
    <w:p>
      <w:pPr>
        <w:spacing w:after="0" w:line="70"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Other recent accounting pronouncements issued by the FASB during the nine months ended December 31, 2016 and through the filing date did not or are not believed by management to have a material impact on the Company's present or historical condensed consolidated financial statements.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4"/>
                <w:szCs w:val="14"/>
                <w:color w:val="auto"/>
              </w:rPr>
            </w:pPr>
          </w:p>
        </w:tc>
        <w:tc>
          <w:tcPr>
            <w:tcW w:w="218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13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96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1,404,638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1,307,663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4,222,213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3,981,421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652,236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630,189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1,967,258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1,899,376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428,685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355,401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1,270,941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1,097,741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200,809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585,340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597,611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14,410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16,148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43,588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46,617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1,296,514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1,202,547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3,867,127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3,641,345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108,124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105,116</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355,086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340,076</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(1,589.6)%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87,909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287,448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37,025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(20,146)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117,489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58,871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99.6 %</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108,055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186,237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228,577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right="398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December 31, 2016 Compared to Three Months Ended December 31, 2015 </w:t>
      </w:r>
      <w:r>
        <w:rPr>
          <w:rFonts w:ascii="Arial" w:cs="Arial" w:eastAsia="Arial" w:hAnsi="Arial"/>
          <w:sz w:val="18"/>
          <w:szCs w:val="18"/>
          <w:i w:val="1"/>
          <w:iCs w:val="1"/>
          <w:color w:val="auto"/>
        </w:rPr>
        <w:t>Revenue</w:t>
      </w:r>
    </w:p>
    <w:p>
      <w:pPr>
        <w:spacing w:after="0" w:line="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Revenue increased to $1,404.6 million from $1,307.7 million, or a 7.4% increase, primarily driven by stronger client demand, which led to increases in client staff headcount and staff billability, and therefore direct labor. Revenue growth was also driven by an increase in billable expenses, including subcontractors and equipment purchased for clients on certain contracts.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Cost of revenue increased to $652.2 million from $630.2 million, or a 3.5% increase. The increase was primarily due to an increase in salaries and salary-related benefits of $26.7 million. The increase was primarily due to an increase in consulting staff headcount and consulting staff spending more time on direct contract activities. Cost of revenue as a percentage of revenue was 46.4% and 48.2% for the three months ended December 31, 2016 and 2015, respectively.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634" w:right="27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Billable expenses increased to $428.7 million from $355.4 million, or a 20.6% increase. The overall increase was primarily attributable to an increase in use of subcontractors in the current year driven by client demand. In addition, contracts which require the Company to incur direct expenses on behalf of our clients has increased over the prior year period. Billable expenses as a percentage of revenue were 30.5% and 27.2% for the three months ended December 31, 2016 and 2015,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General and administrative expenses increased to $201.2 million from $200.8 million, or a 0.2% increase. General and administrative expenses as a percentage of revenue were 14.3% and 15.4% for the three months ended December 31, 2016 and 2015, respectively.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Depreciation and amortization decreased to $14.4 million from $16.1 million, or a 10.8% decrease, primarily due to a decrease in depreciation expense resulting from the effect of lower capital expenditures in recent years.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expense decreased to $14.2 million from $17.8 million, or a 20.2% decrease, primarily as a result of the Third Amendment to the Credit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consummated in July 2016, which reduced interest expense for the three months ended December 31, 2016 as compared to December 31, 2015.</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Income tax expense increased to $37.0 million from a $20.1 million benefit in the prior year, or a 283.8% increase. The effective tax rate increased from (22.9)% to 40.0% respectively, primarily due to the release of uncertain tax position reserves during the three months ended December 31, 2015.</w:t>
      </w:r>
    </w:p>
    <w:p>
      <w:pPr>
        <w:spacing w:after="0" w:line="16" w:lineRule="exact"/>
        <w:rPr>
          <w:sz w:val="20"/>
          <w:szCs w:val="20"/>
          <w:color w:val="auto"/>
        </w:rPr>
      </w:pPr>
    </w:p>
    <w:p>
      <w:pPr>
        <w:ind w:left="260" w:right="4140"/>
        <w:spacing w:after="0" w:line="375" w:lineRule="auto"/>
        <w:rPr>
          <w:sz w:val="20"/>
          <w:szCs w:val="20"/>
          <w:color w:val="auto"/>
        </w:rPr>
      </w:pPr>
      <w:r>
        <w:rPr>
          <w:rFonts w:ascii="Arial" w:cs="Arial" w:eastAsia="Arial" w:hAnsi="Arial"/>
          <w:sz w:val="18"/>
          <w:szCs w:val="18"/>
          <w:b w:val="1"/>
          <w:bCs w:val="1"/>
          <w:i w:val="1"/>
          <w:iCs w:val="1"/>
          <w:color w:val="auto"/>
        </w:rPr>
        <w:t xml:space="preserve">Nine Months Ended December 31, 2016 Compared to Nine Months Ended December 31, 2015 </w:t>
      </w:r>
      <w:r>
        <w:rPr>
          <w:rFonts w:ascii="Arial" w:cs="Arial" w:eastAsia="Arial" w:hAnsi="Arial"/>
          <w:sz w:val="18"/>
          <w:szCs w:val="18"/>
          <w:i w:val="1"/>
          <w:iCs w:val="1"/>
          <w:color w:val="auto"/>
        </w:rPr>
        <w:t>Revenue</w:t>
      </w:r>
    </w:p>
    <w:p>
      <w:pPr>
        <w:spacing w:after="0" w:line="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Revenue increased to $4,222.2 million from $3,981.4 million, or a 6.0% increase, primarily driven by stronger client demand, which led to increases in client staff headcount and staff billability, and therefore direct labor. Revenue growth was also driven by an increase in billable expenses, including subcontractors and equipment purchased for clients on certain contracts.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Cost of revenue increased to $1,967.3 million from $1,899.4 million, or a 3.6% increase. The increase was primarily due to an increase in salaries and salary-related benefits of $62.6 million, primarily driven by an increase in consulting staff headcount and consulting staff spending more time on direct contract activities. Cost of revenue as a percentage of revenue was 46.6% and 47.7% for the nine months ended December 31, 2016 and 2015, respectively.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Billable expenses increased to $1,270.9 million from $1,097.7 million, or a 15.8% increase, primarily attributable to an increase in use of subcontractors in the current year driven by client demand. In addition, contracts which require the Company to incur direct expenses on behalf of our clients has increased over the prior year period. Billable expenses as a percentage of revenue were 30.1% and 27.6% for the nine months ended December 31, 2016 and 2015,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right="220" w:firstLine="405"/>
        <w:spacing w:after="0" w:line="311" w:lineRule="auto"/>
        <w:rPr>
          <w:sz w:val="20"/>
          <w:szCs w:val="20"/>
          <w:color w:val="auto"/>
        </w:rPr>
      </w:pPr>
      <w:r>
        <w:rPr>
          <w:rFonts w:ascii="Arial" w:cs="Arial" w:eastAsia="Arial" w:hAnsi="Arial"/>
          <w:sz w:val="18"/>
          <w:szCs w:val="18"/>
          <w:color w:val="auto"/>
        </w:rPr>
        <w:t>General and administrative expenses decreased to $585.3 million from $597.6 million, or a 2.1% decrease, primarily due to a decrease in salary and salary related benefits of $6.0 million, and a decrease in other indirect business related expenses of $3.1 million, due primarily to consulting staff spending more time on direct contract activities, and the Company's efforts to limit spending. General and administrative expenses as a percentage of revenue were 13.9% and 15.0% for the nine months ended December 31, 2016 and 2015, respectively.</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Depreciation and amortization decreased to $43.6 million from $46.6 million, or a 6.5% decrease, primarily due to a decrease in depreciation expense resulting from the effect of lower capital expenditures in recent years.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638" w:right="279" w:bottom="1440" w:gutter="0" w:footer="0" w:header="0"/>
        </w:sectPr>
      </w:pPr>
    </w:p>
    <w:bookmarkStart w:id="26" w:name="page27"/>
    <w:bookmarkEnd w:id="26"/>
    <w:p>
      <w:pPr>
        <w:ind w:right="320" w:firstLine="405"/>
        <w:spacing w:after="0" w:line="342" w:lineRule="auto"/>
        <w:rPr>
          <w:sz w:val="20"/>
          <w:szCs w:val="20"/>
          <w:color w:val="auto"/>
        </w:rPr>
      </w:pPr>
      <w:r>
        <w:rPr>
          <w:rFonts w:ascii="Arial" w:cs="Arial" w:eastAsia="Arial" w:hAnsi="Arial"/>
          <w:sz w:val="16"/>
          <w:szCs w:val="16"/>
          <w:color w:val="auto"/>
        </w:rPr>
        <w:t>Interest expense decreased to $46.8 million from $52.9 million, or a 11.7% decrease, primarily as a result of the Third Amendment to the Credit Agreement consummated in July 2016 which reduced interest expense for the nine months ended December 31, 2016 as compared to December 31, 2015.</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Income tax expense increased to $117.5 million from $58.9 million, or a 99.6% increase. The effective tax rate increased from 20.5% to 38.7% primarily due to the release of uncertain tax position reserves in the prior year.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selected financial information as of December 31, 2016 and March 31, 2016 and for the first nine months of fiscal 2017 and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Pr>
          <w:p>
            <w:pPr>
              <w:spacing w:after="0"/>
              <w:rPr>
                <w:sz w:val="14"/>
                <w:szCs w:val="14"/>
                <w:color w:val="auto"/>
              </w:rPr>
            </w:pPr>
          </w:p>
        </w:tc>
        <w:tc>
          <w:tcPr>
            <w:tcW w:w="1400" w:type="dxa"/>
            <w:vAlign w:val="bottom"/>
          </w:tcPr>
          <w:p>
            <w:pPr>
              <w:jc w:val="center"/>
              <w:ind w:right="47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2016</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3"/>
          </w:tcPr>
          <w:p>
            <w:pPr>
              <w:jc w:val="center"/>
              <w:ind w:left="104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349,624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187,529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1,563,990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1,597,261</w:t>
            </w:r>
          </w:p>
        </w:tc>
      </w:tr>
      <w:tr>
        <w:trPr>
          <w:trHeight w:val="477"/>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4"/>
          </w:tcPr>
          <w:p>
            <w:pPr>
              <w:jc w:val="center"/>
              <w:ind w:right="177"/>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1061"/>
              <w:spacing w:after="0"/>
              <w:rPr>
                <w:sz w:val="20"/>
                <w:szCs w:val="20"/>
                <w:color w:val="auto"/>
              </w:rPr>
            </w:pPr>
            <w:r>
              <w:rPr>
                <w:rFonts w:ascii="Arial" w:cs="Arial" w:eastAsia="Arial" w:hAnsi="Arial"/>
                <w:sz w:val="14"/>
                <w:szCs w:val="14"/>
                <w:b w:val="1"/>
                <w:bCs w:val="1"/>
                <w:color w:val="auto"/>
                <w:w w:val="92"/>
              </w:rPr>
              <w:t>December 31,</w:t>
            </w:r>
          </w:p>
        </w:tc>
        <w:tc>
          <w:tcPr>
            <w:tcW w:w="14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2015</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jc w:val="center"/>
              <w:ind w:right="45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jc w:val="center"/>
              <w:ind w:left="104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283,042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180,997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(30,755)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(96,447)</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(90,192)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(124,663)</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162,095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(40,113)</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shareholders in the form of payment of recurring and special dividends and share repurchases.</w:t>
      </w:r>
    </w:p>
    <w:p>
      <w:pPr>
        <w:spacing w:after="0" w:line="18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7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w:t>
      </w:r>
    </w:p>
    <w:p>
      <w:pPr>
        <w:sectPr>
          <w:pgSz w:w="11900" w:h="16838" w:orient="portrait"/>
          <w:cols w:equalWidth="0" w:num="1">
            <w:col w:w="11420"/>
          </w:cols>
          <w:pgMar w:left="240" w:top="63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38" w:right="239" w:bottom="1440" w:gutter="0" w:footer="0" w:header="0"/>
          <w:type w:val="continuous"/>
        </w:sectPr>
      </w:pPr>
    </w:p>
    <w:bookmarkStart w:id="27" w:name="page28"/>
    <w:bookmarkEnd w:id="27"/>
    <w:p>
      <w:pPr>
        <w:jc w:val="both"/>
        <w:ind w:right="220"/>
        <w:spacing w:after="0" w:line="264" w:lineRule="auto"/>
        <w:rPr>
          <w:sz w:val="20"/>
          <w:szCs w:val="20"/>
          <w:color w:val="auto"/>
        </w:rPr>
      </w:pPr>
      <w:r>
        <w:rPr>
          <w:rFonts w:ascii="Arial" w:cs="Arial" w:eastAsia="Arial" w:hAnsi="Arial"/>
          <w:sz w:val="18"/>
          <w:szCs w:val="18"/>
          <w:color w:val="auto"/>
        </w:rPr>
        <w: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7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with other short-term fluctuations such as the payment practices of our clients, and the government's authorization to bill for indirect rates that have not yet been settled.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64 as of December 31, 2016 and 60 as of March 31, 2016.</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from clients in a timely manner, and our ability to manage our vendor payments. Net cash provided by operations was $283.0 million in the nine months ended December 31, 2016 compared to $181.0 million in the prior year period, or a 56.4% increase. This was primarily due to revenue growth which drove increased receivables which in turn were collected in a timely manner as well as a decline in indirect spending which resulted in a reduction in working capital needs. In addition the Company benefited from a reduction in the required tax payments in the nine months ended December 31, 2016 as compared to the prior year period.</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Net cash used in investing activities was $30.8 million in the nine months ended December 31, 2016 compared to $96.4 million in the prior year period, or a 68.1% decrease. The decrease in net cash used in investing activities was due to the Company's acquisition of the software services unit of SPARC, LLC during fiscal 2016 with no similar transaction occurring in fiscal 2017, and a decrease in capital expenditures over the prior year primarily related to the timing of the leasehold improvements related to the reconfiguration of our facilities footprint.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Net cash used in financing activities was $90.2 million in the nine months ended December 31, 2016 compared to $124.7 million in the prior year period, or a 27.7% decrease. In the first quarter of fiscal 2016 the Company repurchased 1.2 million shares of our Class A Common Stock for $30.5 million on the open market as compared to the first and second quarters of fiscal 2017 where the Company repurchased 75,221 shares of our Class A Common Stock for $2.3 million on the open market. Though cash dividends paid as compared to the prior year period increased $9.4 million, payments of dividend equivalents to option holders decreased $30 million primarily as a result of the final exercise or termination of all remaining rollover options.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dividends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22,522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67,311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28,113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31,707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22,522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47,521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69,468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89,385</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recurring dividends of $0.15 per share and $0.13 per share that were declared and paid during fiscal 2017 and fiscal 2016, respectively.</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11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On January 30, 2017, the Company announced a regular quarterly cash dividend in the amount of $0.17 per share, payable on February 28, 2017 to stockholders of record on February 10, 2017.</w:t>
      </w:r>
    </w:p>
    <w:p>
      <w:pPr>
        <w:spacing w:after="0" w:line="143"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On December 12, 2011, the Board of Directors authorized the repurchase of up to $30.0 million of our shares. On January 27, 2015, the share repurchase authorization was increased to $180.0 million. As of December 31, 2016, the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38" w:right="239" w:bottom="1440" w:gutter="0" w:footer="0" w:header="0"/>
        </w:sectPr>
      </w:pPr>
    </w:p>
    <w:bookmarkStart w:id="28" w:name="page29"/>
    <w:bookmarkEnd w:id="28"/>
    <w:p>
      <w:pPr>
        <w:ind w:right="260"/>
        <w:spacing w:after="0" w:line="312" w:lineRule="auto"/>
        <w:rPr>
          <w:sz w:val="20"/>
          <w:szCs w:val="20"/>
          <w:color w:val="auto"/>
        </w:rPr>
      </w:pPr>
      <w:r>
        <w:rPr>
          <w:rFonts w:ascii="Arial" w:cs="Arial" w:eastAsia="Arial" w:hAnsi="Arial"/>
          <w:sz w:val="16"/>
          <w:szCs w:val="16"/>
          <w:color w:val="auto"/>
        </w:rPr>
        <w:t>had $69.4 million remaining under the repurchase program. On January 25, 2017, the Board of Directors approved an increase to our share repurchase authorization from $180.0 million to up to $410.0 million. As of January 25, 2017, taking into effect the increase in the share repurchase authorization, the Company may repurchase up to approximately $300 million of additional shares of common stock under its share repurchase program.</w:t>
      </w:r>
    </w:p>
    <w:p>
      <w:pPr>
        <w:spacing w:after="0" w:line="120"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On July 13, 2016, Booz Allen Hamilton, Booz Allen Hamilton Investor Corporation, and certain wholly-owned subsidiaries of Booz Allen Hamilton entered into the Third Amendment, or the "Third Amendment", to the Credit Agreement, or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and the Second Amendment to the Credit Agreement, dated as of May 7, 2014). As of December 31, 2016, the Credit Agreement, as amended, provided the Company with a $1,183</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million Term Loan A, a $400 million Term Loan B, and a $500.0 million revolving credit facility, with a sublimit for letters of credit of $100.0 million. As of December 31, 2016, the maturity date of Term Loan A and the termination date for the revolving credit facility was June 30, 2021 and the maturity date of Term Loan B was June 30, 2023.</w:t>
      </w:r>
    </w:p>
    <w:p>
      <w:pPr>
        <w:spacing w:after="0" w:line="163"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Under the Third Amendment, the interest rate on borrowings under Term Loan A is LIBOR plus a spread that ranges from 1.50% to 2.25% based on Booz Allen Hamilton's total leverage ratio. The revolving credit facility margin is LIBOR plus a spread that ranges from 1.50% to 2.25% based on Booz Allen Hamilton's total leverage ratio, and the revolving credit facility commitment fee is a spread ranging from 0.300% to 0.400%. The interest rate for borrowings under Term Loan B is LIBOR plus 2.75% with no LIBOR floor, with a spread that ranged from 1.75% to 2.75% based upon either an ABR or LIBOR borrowing.</w:t>
      </w:r>
    </w:p>
    <w:p>
      <w:pPr>
        <w:spacing w:after="0" w:line="161"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The Credit Agreement, as amended by the Third Amendment, requires quarterly principal payments of 1.25% of the stated principal amount of Term Loan A until maturity and quarterly principal payments of 0.25% of the stated principal amount of Term Loan B until maturity.</w:t>
      </w:r>
    </w:p>
    <w:p>
      <w:pPr>
        <w:spacing w:after="0" w:line="12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January 23, 2017, the Company announced that our management is exploring, subject to continuing management review and to further consideration and ultimate approval by the Board of Directors, a possible repricing for our existing Term Loan B facility. The repricing amendment is not intended to increase our total amount of outstanding indebtedness.</w:t>
      </w:r>
    </w:p>
    <w:p>
      <w:pPr>
        <w:spacing w:after="0" w:line="7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Booz Allen Hamilton occasionally borrows under our revolving credit facility in anticipation of cash demands. During fiscal 2017, Booz Allen Hamilton accessed a total of $185.0 million of its $500.0 million revolving credit facility. As of December 31, 2016 there were no amounts outstanding on the revolving credit facility. As of March 31, 2016, there was $35.0 million outstanding on the revolving credit facility.</w:t>
      </w:r>
    </w:p>
    <w:p>
      <w:pPr>
        <w:spacing w:after="0" w:line="73"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As of December 31, 2016 and March 31, 2016, we were contingently liable under open standby letters of credit and bank guarantees issued by our banks in favor of third parties that totaled $9.6 million and $6.6 million, respectively. These letters of credit and bank guarantees primarily support insurance and bid and performance obligations. At December 31, 2016 and March 31, 2016, approximately $1.7 million and $1.8 million, respectively, of these instruments reduce the available borrowings under the revolving credit facility. The remainder was guaranteed under a separate $10.0 million facility established in fiscal 2016 of which $2.1 million and $5.2 million, respectively, was available to us at December 31, 2016 and March 31, 2016. As of December 31, 2016, we had $498.3 million of capacity available for additional borrowings under the revolving credit facility.</w:t>
      </w:r>
    </w:p>
    <w:p>
      <w:pPr>
        <w:spacing w:after="0" w:line="7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Third Amendment increased the amount of additional secured indebtedness that we may incur under incremental credit facilities from $300 million to $400 million and amended our financial maintenance covenants by changing the maximum consolidated net total leverage ratio to (i) 4.50:1.00 through December 31, 2016 and (ii) 4.00:1:00 thereafter. Mandatory prepayments of Term Loan A were also reduced to 5.00% per annum. The Third Amendment also amended certain existing debt covenants to provide us with greater operational and financial flexibility.</w:t>
      </w:r>
    </w:p>
    <w:p>
      <w:pPr>
        <w:spacing w:after="0" w:line="6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38" w:right="259" w:bottom="1440" w:gutter="0" w:footer="0" w:header="0"/>
        </w:sectPr>
      </w:pPr>
    </w:p>
    <w:bookmarkStart w:id="29" w:name="page30"/>
    <w:bookmarkEnd w:id="29"/>
    <w:p>
      <w:pPr>
        <w:ind w:right="320"/>
        <w:spacing w:after="0" w:line="264" w:lineRule="auto"/>
        <w:rPr>
          <w:sz w:val="20"/>
          <w:szCs w:val="20"/>
          <w:color w:val="auto"/>
        </w:rPr>
      </w:pPr>
      <w:r>
        <w:rPr>
          <w:rFonts w:ascii="Arial" w:cs="Arial" w:eastAsia="Arial" w:hAnsi="Arial"/>
          <w:sz w:val="18"/>
          <w:szCs w:val="18"/>
          <w:color w:val="auto"/>
        </w:rPr>
        <w:t>speculative hedging and limitations on changes of names and jurisdictions. In addition, we are required to meet certain financial covenants at each quarter end, namely Consolidated Net Total Leverage and Consolidated Net Interest Coverage Ratios. As of December 31, 2016, we were compliant with these covenants.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stockholders’ equity amounted to $569.7 million as of December 31, 2016, an increase of $161.2 million compared to stockholders’ equity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$408.5 million as of March 31, 2016. The increase is primarily due to net income of $186.2 million in the nine months ended December 31, 2016,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$16.0 million, and stock option exercises of $12.5 million, partially offset by $67.3 million in recurring dividend payments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$6.9 million increase in treasury stock resulting from the repurchase of shares of our Class A Common Stock during the nine months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2016,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nine months ended December 31, 2016 and 2015 were $30.6 million and $45.8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This Quarterly Report on Form 10-Q, or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70" w:lineRule="exact"/>
        <w:rPr>
          <w:sz w:val="20"/>
          <w:szCs w:val="20"/>
          <w:color w:val="auto"/>
        </w:rPr>
      </w:pPr>
    </w:p>
    <w:p>
      <w:pPr>
        <w:ind w:right="60" w:firstLine="405"/>
        <w:spacing w:after="0" w:line="267" w:lineRule="auto"/>
        <w:rPr>
          <w:sz w:val="20"/>
          <w:szCs w:val="20"/>
          <w:color w:val="auto"/>
        </w:rPr>
      </w:pPr>
      <w:r>
        <w:rPr>
          <w:rFonts w:ascii="Arial" w:cs="Arial" w:eastAsia="Arial" w:hAnsi="Arial"/>
          <w:sz w:val="17"/>
          <w:szCs w:val="17"/>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Bipartisan Budget Act of 2013 and the Bipartisan Budget Act of 2015)),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uncertainty relating to and a possible failure of Congressional efforts to approve funding of the U.S. government beyond April 28, 2017 and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38" w:right="239" w:bottom="1440" w:gutter="0" w:footer="0" w:header="0"/>
        </w:sectPr>
      </w:pPr>
    </w:p>
    <w:bookmarkStart w:id="30" w:name="page31"/>
    <w:bookmarkEnd w:id="30"/>
    <w:p>
      <w:pPr>
        <w:spacing w:after="0" w:line="284" w:lineRule="auto"/>
        <w:rPr>
          <w:sz w:val="20"/>
          <w:szCs w:val="20"/>
          <w:color w:val="auto"/>
        </w:rPr>
      </w:pPr>
      <w:r>
        <w:rPr>
          <w:rFonts w:ascii="Arial" w:cs="Arial" w:eastAsia="Arial" w:hAnsi="Arial"/>
          <w:sz w:val="16"/>
          <w:szCs w:val="16"/>
          <w:color w:val="auto"/>
        </w:rPr>
        <w:t>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285"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2016 filed with the Securities and Exchange Commission on May 19, 2016.</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38"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2016 and March 31, 2016, there were no material amounts accrued in the condensed consolidated financial statements related to these proceedings.</w:t>
      </w:r>
    </w:p>
    <w:p>
      <w:pPr>
        <w:spacing w:after="0" w:line="153"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On September 29, 2016, we received notice that the plaintiff in this suit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are on appeal before the United States Court of Appeals for the Second Circuit. On December 15, 2016, hearings relating to the appeal were held before the United States Court of Appeals for the Second Circuit. As of December 31, 2016, the United States Court of Appeals for the Second Circuit has not ruled on this appeal. The aggregate alleged damages sought in these three remaining suits is approximately $241.5 million (which is sought to be trebled pursuant to RICO), plus punitive damages, costs, and fees.</w:t>
      </w:r>
    </w:p>
    <w:p>
      <w:pPr>
        <w:spacing w:after="0" w:line="15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Although the outcome of any of these cases is inherently uncertain and may be materially adverse, based on current information, we do not expect them to have a material adverse effect on our financial condition and results of operations.</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2016 filed with the Securities and Exchange Commission on May 19, 2016.</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6" w:right="2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634"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Third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Equity Incentive Plan of Booz Allen Hamilton Holding Corporation (Incorporated by reference to Exhibit 10.2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10.2†</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10.3†</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10.4†</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10.5†</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10.6†</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10.7†</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Booz Allen Hamilton Holding Corporation Annual Incentive Plan (Incorporated by reference to Exhibit 10.10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10.8†</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10.9†</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10.10†</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10.11†</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Group Variable Universal Life Insurance (Incorporated by reference to Exhibit 10.14 to the Company’s Annual Report for the year ended March</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2015 on Form 10-K (File No. 001-34972))</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360"/>
          </w:cols>
          <w:pgMar w:left="240" w:top="526" w:right="29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22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vMerge w:val="restart"/>
          </w:tcPr>
          <w:p>
            <w:pPr>
              <w:ind w:left="220"/>
              <w:spacing w:after="0"/>
              <w:rPr>
                <w:sz w:val="20"/>
                <w:szCs w:val="20"/>
                <w:color w:val="auto"/>
              </w:rPr>
            </w:pPr>
            <w:r>
              <w:rPr>
                <w:rFonts w:ascii="Arial" w:cs="Arial" w:eastAsia="Arial" w:hAnsi="Arial"/>
                <w:sz w:val="18"/>
                <w:szCs w:val="18"/>
                <w:color w:val="auto"/>
                <w:w w:val="97"/>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Technology Corporation, ASE, Inc. and,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458"/>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2014 on Form 10-K (File No. 001-34972))</w:t>
            </w:r>
          </w:p>
        </w:tc>
        <w:tc>
          <w:tcPr>
            <w:tcW w:w="0" w:type="dxa"/>
            <w:vAlign w:val="bottom"/>
          </w:tcPr>
          <w:p>
            <w:pPr>
              <w:spacing w:after="0"/>
              <w:rPr>
                <w:sz w:val="1"/>
                <w:szCs w:val="1"/>
                <w:color w:val="auto"/>
              </w:rPr>
            </w:pPr>
          </w:p>
        </w:tc>
      </w:tr>
      <w:tr>
        <w:trPr>
          <w:trHeight w:val="593"/>
        </w:trPr>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10.28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Form of Restricted Stock Unit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10.29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0640" w:type="dxa"/>
            <w:vAlign w:val="bottom"/>
          </w:tcPr>
          <w:p>
            <w:pPr>
              <w:ind w:left="22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Form of Restricted Stock Unit Agreement under the Second Amended and Restated Equity Incentive Plan of Booz Allen Hamilton Holding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Corporation (Incorporated by reference to Exhibit 10.29 to the Company’s Quarterly Report for the period ended June 30, 2015 on Form 10-Q</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(File No. 001-34972))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692"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40"/>
          </w:cols>
          <w:pgMar w:left="280" w:top="692" w:right="279" w:bottom="1440" w:gutter="0" w:footer="0" w:header="0"/>
          <w:type w:val="continuous"/>
        </w:sectPr>
      </w:pPr>
    </w:p>
    <w:bookmarkStart w:id="35" w:name="page36"/>
    <w:bookmarkEnd w:id="35"/>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10640" w:type="dxa"/>
            <w:vAlign w:val="bottom"/>
          </w:tcPr>
          <w:p>
            <w:pPr>
              <w:ind w:left="260"/>
              <w:spacing w:after="0"/>
              <w:rPr>
                <w:sz w:val="20"/>
                <w:szCs w:val="20"/>
                <w:color w:val="auto"/>
              </w:rPr>
            </w:pPr>
            <w:r>
              <w:rPr>
                <w:rFonts w:ascii="Arial" w:cs="Arial" w:eastAsia="Arial" w:hAnsi="Arial"/>
                <w:sz w:val="18"/>
                <w:szCs w:val="18"/>
                <w:color w:val="auto"/>
                <w:w w:val="97"/>
              </w:rPr>
              <w:t>Third Amendment to Credit Agreement, dated as of July 13, 2016, among Booz Allen Hamilton Inc., as Borrower, Booz Allen Hamilton</w:t>
            </w:r>
          </w:p>
        </w:tc>
      </w:tr>
      <w:tr>
        <w:trPr>
          <w:trHeight w:val="216"/>
        </w:trPr>
        <w:tc>
          <w:tcPr>
            <w:tcW w:w="66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66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2"/>
              </w:rPr>
              <w:t>Corporation and Booz Allen Hamilton International, Inc., as Guarantors, Bank of America, N.A., as Administrative Agent, Collateral Agent and</w:t>
            </w:r>
          </w:p>
        </w:tc>
      </w:tr>
      <w:tr>
        <w:trPr>
          <w:trHeight w:val="216"/>
        </w:trPr>
        <w:tc>
          <w:tcPr>
            <w:tcW w:w="66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w w:val="91"/>
              </w:rPr>
              <w:t>Issuing Lender, and the other Lenders and financial institutions from time to time party thereto (Incorporated by reference to Exhibit 10.1 to the</w:t>
            </w:r>
          </w:p>
        </w:tc>
      </w:tr>
      <w:tr>
        <w:trPr>
          <w:trHeight w:val="230"/>
        </w:trPr>
        <w:tc>
          <w:tcPr>
            <w:tcW w:w="660" w:type="dxa"/>
            <w:vAlign w:val="bottom"/>
          </w:tcPr>
          <w:p>
            <w:pPr>
              <w:spacing w:after="0"/>
              <w:rPr>
                <w:sz w:val="20"/>
                <w:szCs w:val="20"/>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Company’s Periodic Report on Form 8-K filed on July 18, 2016 (File No. 001-34972))</w:t>
            </w:r>
          </w:p>
        </w:tc>
      </w:tr>
      <w:tr>
        <w:trPr>
          <w:trHeight w:val="608"/>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tcPr>
          <w:p>
            <w:pPr>
              <w:ind w:left="260"/>
              <w:spacing w:after="0"/>
              <w:rPr>
                <w:sz w:val="20"/>
                <w:szCs w:val="20"/>
                <w:color w:val="auto"/>
              </w:rPr>
            </w:pPr>
            <w:r>
              <w:rPr>
                <w:rFonts w:ascii="Arial" w:cs="Arial" w:eastAsia="Arial" w:hAnsi="Arial"/>
                <w:sz w:val="18"/>
                <w:szCs w:val="18"/>
                <w:color w:val="auto"/>
                <w:w w:val="94"/>
              </w:rPr>
              <w:t>Certification of the Chief Executive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4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140" w:hanging="925"/>
        <w:spacing w:after="0" w:line="255"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months ended December 31, 2016 formatted in XBRL (eXtensible Business Reporting Language): (i) Condensed Consolidated Balance Sheets at December 31, 2016 and March 31, 2016; (ii) Condensed Consolidated Statements of Operations for the three and nine months ended December 31, 2016 and 2015; (iii) Condensed Consolidated Statements of Comprehensive Income for the three and nine months ended December 31, 2016 and 2015; (iv) Condensed Consolidated Statements of Cash Flows for the nine months ended December 31, 2016 and 2015;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arrangement.</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692" w:right="319" w:bottom="1440" w:gutter="0" w:footer="0" w:header="0"/>
        </w:sectPr>
      </w:pPr>
    </w:p>
    <w:bookmarkStart w:id="36" w:name="page37"/>
    <w:bookmarkEnd w:id="36"/>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January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240" w:top="526" w:right="5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January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January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2016,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January 30, 2017</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2016,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January 30, 2017</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5"/>
    </w:lvl>
  </w:abstractNum>
  <w:abstractNum w:abstractNumId="4">
    <w:nsid w:val="7C83E458"/>
    <w:multiLevelType w:val="hybridMultilevel"/>
    <w:lvl w:ilvl="0">
      <w:lvlJc w:val="left"/>
      <w:lvlText w:val="1"/>
      <w:numFmt w:val="bullet"/>
      <w:start w:val="1"/>
    </w:lvl>
  </w:abstractNum>
  <w:abstractNum w:abstractNumId="5">
    <w:nsid w:val="257130A3"/>
    <w:multiLevelType w:val="hybridMultilevel"/>
    <w:lvl w:ilvl="0">
      <w:lvlJc w:val="left"/>
      <w:lvlText w:val="2"/>
      <w:numFmt w:val="bullet"/>
      <w:start w:val="1"/>
    </w:lvl>
  </w:abstractNum>
  <w:abstractNum w:abstractNumId="6">
    <w:nsid w:val="62BBD95A"/>
    <w:multiLevelType w:val="hybridMultilevel"/>
    <w:lvl w:ilvl="0">
      <w:lvlJc w:val="left"/>
      <w:lvlText w:val="%1."/>
      <w:numFmt w:val="decimal"/>
      <w:start w:val="10"/>
    </w:lvl>
  </w:abstractNum>
  <w:abstractNum w:abstractNumId="7">
    <w:nsid w:val="436C6125"/>
    <w:multiLevelType w:val="hybridMultilevel"/>
    <w:lvl w:ilvl="0">
      <w:lvlJc w:val="left"/>
      <w:lvlText w:val="%1."/>
      <w:numFmt w:val="decimal"/>
      <w:start w:val="12"/>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0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2019-12-29T08:36:23Z</dcterms:created>
  <dcterms:modified xsi:type="dcterms:W3CDTF">2019-12-29T08:36:23Z</dcterms:modified>
</cp:coreProperties>
</file>