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1084"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720"/>
            <w:col w:w="4720" w:space="720"/>
            <w:col w:w="2140" w:space="720"/>
            <w:col w:w="740"/>
          </w:cols>
          <w:pgMar w:left="240" w:top="108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60" w:space="720"/>
            <w:col w:w="160" w:space="80"/>
            <w:col w:w="4480" w:space="720"/>
            <w:col w:w="2140" w:space="720"/>
            <w:col w:w="740"/>
          </w:cols>
          <w:pgMar w:left="240" w:top="108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108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0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60" w:type="dxa"/>
            <w:vAlign w:val="bottom"/>
          </w:tcPr>
          <w:p>
            <w:pPr>
              <w:spacing w:after="0"/>
              <w:rPr>
                <w:sz w:val="16"/>
                <w:szCs w:val="16"/>
                <w:color w:val="auto"/>
              </w:rPr>
            </w:pPr>
          </w:p>
        </w:tc>
        <w:tc>
          <w:tcPr>
            <w:tcW w:w="420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July 24, 2015</w:t>
            </w: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146,479,086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1,851,590</w:t>
            </w:r>
          </w:p>
        </w:tc>
      </w:tr>
    </w:tbl>
    <w:p>
      <w:pPr>
        <w:sectPr>
          <w:pgSz w:w="11900" w:h="16838" w:orient="portrait"/>
          <w:cols w:equalWidth="0" w:num="1">
            <w:col w:w="11420"/>
          </w:cols>
          <w:pgMar w:left="240" w:top="1084"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7">
              <w:r>
                <w:rPr>
                  <w:rFonts w:ascii="Arial" w:cs="Arial" w:eastAsia="Arial" w:hAnsi="Arial"/>
                  <w:sz w:val="18"/>
                  <w:szCs w:val="18"/>
                  <w:b w:val="1"/>
                  <w:bCs w:val="1"/>
                  <w:color w:val="0000EE"/>
                  <w:w w:val="79"/>
                </w:rPr>
                <w:t>15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0">
              <w:r>
                <w:rPr>
                  <w:rFonts w:ascii="Arial" w:cs="Arial" w:eastAsia="Arial" w:hAnsi="Arial"/>
                  <w:sz w:val="18"/>
                  <w:szCs w:val="18"/>
                  <w:b w:val="1"/>
                  <w:bCs w:val="1"/>
                  <w:color w:val="0000EE"/>
                  <w:w w:val="79"/>
                </w:rPr>
                <w:t>29</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29</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30</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31"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867,441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857,310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98,681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1,128,913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1,163,208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216,701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219,382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91,853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79,305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62,250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57,063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279,239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816,375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848,994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274,662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2,645,525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2,690,995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150,612,184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2015 and 150,237,675 shares at March 31, 2015; outstanding, 146,252,228 shares at June 30, 2015</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147,238,282 shares at March 31, 2015</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1,844,504 shares at June 30, 2015 and 1,851,589 shares at March 31,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7"/>
              </w:rPr>
              <w:t>Treasury stock, at cost — 4,359,956 shares at June 30, 2015 and 2,999,393 shares at March 31, 2015</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(72,293)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174,985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149,711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104,457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207,654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186,498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right"/>
              <w:ind w:right="71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1,351,604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1,322,297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378,650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350,972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171,069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1,225,460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1,183,274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47,934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31"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714"/>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64,306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64,830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(168,438)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168,438</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3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31"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June 30, 2015</w:t>
      </w:r>
    </w:p>
    <w:p>
      <w:pPr>
        <w:spacing w:after="0" w:line="68" w:lineRule="exact"/>
        <w:rPr>
          <w:sz w:val="20"/>
          <w:szCs w:val="20"/>
          <w:color w:val="auto"/>
        </w:rPr>
      </w:pPr>
    </w:p>
    <w:p>
      <w:pPr>
        <w:ind w:left="260" w:right="9280" w:hanging="252"/>
        <w:spacing w:after="0" w:line="400"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not-for-profit organizations, and international clients. The Company reports operating results and financial data in one operating segment. The Company is headquartered in McLean, Virginia, with approximately 22,500 employees as of June 30,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2015 filed with the Securities and Exchange Commission on May 21, 2015,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2015 are not necessarily indicative of results to be expected for the full fiscal year.</w:t>
      </w:r>
    </w:p>
    <w:p>
      <w:pPr>
        <w:spacing w:after="0" w:line="7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for annual reporting periods beginning after December 15, 2017, with an option that would permit companies to adopt the standard as early as the original effective date. Early adoption prior to the effective date is not permitted. A final accounting standards update is pending.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6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three months ended June 30, 2015 and through the filing date did not or are not believed by management to have a material impact on the Company's present or historical condensed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8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currently has outstanding shares of Class A Common Stock and Class E Special Voting Common Stock. During fiscal 2015, the Company converted all issued and outstanding shares of Class B Non-Voting Common Stock and Class C Restricted Common Stock into shares of Class A Common Stock on a one-for-one basis.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were paid in the first quarter of fiscal 2016 and 2015.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30"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145,251,780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142,188,210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918,939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 computations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145,251,780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143,645,419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63,608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70,292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4,019,541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5,981,749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 computations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149,271,321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149,627,168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0.49</w:t>
            </w:r>
          </w:p>
        </w:tc>
      </w:tr>
      <w:tr>
        <w:trPr>
          <w:trHeight w:val="67"/>
        </w:trPr>
        <w:tc>
          <w:tcPr>
            <w:tcW w:w="83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8"/>
        <w:spacing w:after="0" w:line="293"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June 30, 2015 and 2014, approximately 1.6 million and 1.7 million participating securities were paid dividends totaling $211,000 and $191,000, respectively. Additionally, for the three months ended June 30, 2015 there were undistributed earnings of $500,000 and $487,000 allocated to the participating class of securities in basic and diluted earnings per share, respectively. For the three months ended June 30, 2014 there were undistributed earnings of $659,000 and $632,000 allocated to the participating class of securities in basic and diluted earnings per share, respectively. The allocated undistributed earnings and the dividends paid comprise the difference between net income presented on the condensed consolidated statements of operations for the three months ended June 30, 2015 and 2014 and earnings for basic and diluted computations.</w:t>
      </w:r>
    </w:p>
    <w:p>
      <w:pPr>
        <w:spacing w:after="0" w:line="27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EPS calculation for the three months ended June 30, 2015 and 2014 excludes 562,000 and 212,000 options, respectively, as their impact was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365,289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318,464</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539,203</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857,310</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18,496</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899,003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875,806</w:t>
            </w: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and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$2.9 million and $(452,000) for the three months ended June 30, 2015 and 2014, respectively. Because the Company's accounts receivable are primarily with the U.S. Government and its agencies, the Company does not have material exposure to accounts receivable credit risk.</w:t>
      </w:r>
    </w:p>
    <w:p>
      <w:pPr>
        <w:spacing w:after="0" w:line="391" w:lineRule="exact"/>
        <w:rPr>
          <w:sz w:val="20"/>
          <w:szCs w:val="20"/>
          <w:color w:val="auto"/>
        </w:rPr>
      </w:pPr>
    </w:p>
    <w:p>
      <w:pPr>
        <w:ind w:left="440" w:right="5660" w:hanging="432"/>
        <w:spacing w:after="0" w:line="445"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69"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377"/>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215,995</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249,275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265,820</w:t>
            </w: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481,815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82,237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29,285</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115,657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31,732</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20,328</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236,326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279,239</w:t>
            </w:r>
          </w:p>
        </w:tc>
      </w:tr>
      <w:tr>
        <w:trPr>
          <w:trHeight w:val="27"/>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As of June 30, 2015 and March 31, 2015, the Company recorded a stock-based compensation liability of $30.4 million and $31.7 million, respectively, expected to be paid within one year, related to special dividends paid in July and December 2009, June and August 2012, November 2013, and February and August 2014. Rollover options vested and not yet exercised that would have had an exercise price below zero as a result of the dividends were reduced to one cent, with the remaining reduction to be paid in cash upon exercise of the options. Payments of the special dividends to the Company's Second Amended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96"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and Restated Equity Incentive Plan, or EIP, option holders is linked to vesting. Refer to Note 13 for further discussion of the special dividends.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2015</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785,856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796,024</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830,882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830,311</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1,616,738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1,626,335</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(62,250)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(57,063)</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1,554,488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1,569,272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May 7, 2014, the Company entered into the Second Amendment to the Credit Agreement, dated as of July 31, 2012 (as previously amended by the First Amendment to the Credit Agreement, dated as of August 16, 2013). As of June 30, 2015,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 The rates for Term Loan A and Term Loan B, as amended, remain unchanged. The Second Amendment also extended the maturity date of Term Loan A and the revolving credit facility to May 31, 2019. The maturity date for Term Loan B remained unchanged at July 31, 2019. The Company also amended its existing debt covenants to provide for greater operational and financial flexibility.</w:t>
      </w:r>
    </w:p>
    <w:p>
      <w:pPr>
        <w:spacing w:after="0" w:line="71"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June 30, 2015 and March 31, 2015, there were no amounts outstanding on the revolving credit facility.</w:t>
      </w:r>
    </w:p>
    <w:p>
      <w:pPr>
        <w:spacing w:after="0" w:line="50"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$12.9 million and $13.7 million as of June 30, 2015 and March 31, 2015, respectively. As of June 30, 2015 and March 31, 2015, the Company was in compliance with all of the Credit Agreement's debt covenants.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Company’s effective income tax rate was 40.8% and 40.3% for the three months ended June 30, 2015 and 2014, respectively. The effective tax rate of 40.8% differs from the statutory rate of 35.0% primarily due to state income taxes and the effect of permanent rate differences, which primarily relate to meals and entertainment.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reserve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58,444</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34,732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payment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59,414</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111,624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8,515</w:t>
            </w:r>
          </w:p>
        </w:tc>
      </w:tr>
      <w:tr>
        <w:trPr>
          <w:trHeight w:val="237"/>
        </w:trPr>
        <w:tc>
          <w:tcPr>
            <w:tcW w:w="766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274,662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272,729</w:t>
            </w: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 Balance at June 30, 2015 includes a contingent earnout liability of $4.5 million related to business acquisitions. Refer to Note 14 for further discussion.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$28.3 million and $27.3 million for the three months ended June 30, 2015 and 2014, respectively. The Company-paid contributions were $16.2 million and $21.6 million for the three months ended June 30, 2015 and 2014,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7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2,057</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June 30, 2015 and March 31, 2015, the unfunded status of the post-retirement medical plan was $109.1 million and $107.3 million, respectively, which is included in other long-term liabilities in the accompanying condensed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216"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43"/>
        </w:trPr>
        <w:tc>
          <w:tcPr>
            <w:tcW w:w="5320" w:type="dxa"/>
            <w:vAlign w:val="bottom"/>
          </w:tcPr>
          <w:p>
            <w:pPr>
              <w:ind w:left="200"/>
              <w:spacing w:after="0"/>
              <w:rPr>
                <w:sz w:val="20"/>
                <w:szCs w:val="20"/>
                <w:color w:val="auto"/>
              </w:rPr>
            </w:pPr>
            <w:r>
              <w:rPr>
                <w:rFonts w:ascii="Arial" w:cs="Arial" w:eastAsia="Arial" w:hAnsi="Arial"/>
                <w:sz w:val="18"/>
                <w:szCs w:val="18"/>
                <w:color w:val="auto"/>
                <w:w w:val="97"/>
              </w:rPr>
              <w:t>Amounts reclassified from accumulated other comprehensive loss</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3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7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700" w:type="dxa"/>
            <w:vAlign w:val="bottom"/>
            <w:vMerge w:val="restart"/>
          </w:tcPr>
          <w:p>
            <w:pPr>
              <w:jc w:val="right"/>
              <w:ind w:right="317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1" w:name="page12"/>
    <w:bookmarkEnd w:id="11"/>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Amortization of net actuarial loss included in net periodic benefit cost (See Note 10)</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r>
      <w:tr>
        <w:trPr>
          <w:trHeight w:val="243"/>
        </w:trPr>
        <w:tc>
          <w:tcPr>
            <w:tcW w:w="90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143,962,073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1,365,008</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3,392,643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 (1)</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1,517,951</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2,389,768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212,078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162,431</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(3)</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1,360,563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150,612,184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1,844,504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4,359,956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40" w:hanging="652"/>
        <w:spacing w:after="0" w:line="29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50" w:lineRule="exact"/>
        <w:rPr>
          <w:rFonts w:ascii="Arial" w:cs="Arial" w:eastAsia="Arial" w:hAnsi="Arial"/>
          <w:sz w:val="16"/>
          <w:szCs w:val="16"/>
          <w:color w:val="auto"/>
        </w:rPr>
      </w:pPr>
    </w:p>
    <w:p>
      <w:pPr>
        <w:ind w:left="660" w:right="80" w:hanging="652"/>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5, 2014, the Company entered into an agreement with an affiliate of The Carlyle Group to repurchase 1.0 million shares of the Company's Class A Common Stock. The shares were repurchased at a price of $25.10 per share in a private non-underwritten transaction. On February 2, 2015, the Company entered into a similar agreement with an affiliate of the Carlyle Group to repurchase an additional 1.0 million shares of our Class A common stock pursuant to the repurchase program. The shares were repurchased from the Underwriter at a price of $28.36 per share. The repurchase of common stock above also reflects shares repurchased on June 30, 2014 to cover the minimum statutory withholding taxes on restricted stock awards that vested on June 30, 2014, shares repurchased on September 12, 2014 to cover the minimum statutory withholding taxes on rollover stock options exercised on September 12, 2014 and shares repurchased on multiple dates to cover the minimum statutory withholding taxes on accelerated restricted stock vesting for departing officers.</w:t>
      </w:r>
    </w:p>
    <w:p>
      <w:pPr>
        <w:spacing w:after="0" w:line="70"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2016, the Company purchased 1.2 million shares of the Company’s Class A Common Stock in a series of open market transactions for $30.5 million. In addition, the repurchase of common stock above reflects shares repurchased on June 30, 2015 to cover the minimum statutory withholding taxes on restricted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40" w:right="239" w:bottom="1440" w:gutter="0" w:footer="0" w:header="0"/>
        </w:sectPr>
      </w:pPr>
    </w:p>
    <w:bookmarkStart w:id="12" w:name="page13"/>
    <w:bookmarkEnd w:id="12"/>
    <w:p>
      <w:pPr>
        <w:ind w:left="660" w:right="620"/>
        <w:spacing w:after="0" w:line="324" w:lineRule="auto"/>
        <w:rPr>
          <w:sz w:val="20"/>
          <w:szCs w:val="20"/>
          <w:color w:val="auto"/>
        </w:rPr>
      </w:pPr>
      <w:r>
        <w:rPr>
          <w:rFonts w:ascii="Arial" w:cs="Arial" w:eastAsia="Arial" w:hAnsi="Arial"/>
          <w:sz w:val="18"/>
          <w:szCs w:val="18"/>
          <w:color w:val="auto"/>
        </w:rPr>
        <w:t>awards and restricted stock units that vested on June 30, 2015, and shares repurchased to cover the minimum statutory withholding taxes on accelerated restricted stock vesting for departing officers.</w:t>
      </w:r>
    </w:p>
    <w:p>
      <w:pPr>
        <w:spacing w:after="0" w:line="35" w:lineRule="exact"/>
        <w:rPr>
          <w:sz w:val="20"/>
          <w:szCs w:val="20"/>
          <w:color w:val="auto"/>
        </w:rPr>
      </w:pPr>
    </w:p>
    <w:p>
      <w:pPr>
        <w:ind w:right="72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2015, 57,476 Class A Common Stock shares were purchased by employees under the Company's Employee Stock Purchase Plan, or ESPP. Since the program's inception, 1,566,433 shares have been purchased by employees.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28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4,025</w:t>
            </w:r>
          </w:p>
        </w:tc>
      </w:tr>
      <w:tr>
        <w:trPr>
          <w:trHeight w:val="27"/>
        </w:trPr>
        <w:tc>
          <w:tcPr>
            <w:tcW w:w="7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0" w:hanging="392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5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Incentive Plan Options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43"/>
        </w:trPr>
        <w:tc>
          <w:tcPr>
            <w:tcW w:w="7420" w:type="dxa"/>
            <w:vAlign w:val="bottom"/>
          </w:tcPr>
          <w:p>
            <w:pPr>
              <w:ind w:left="160"/>
              <w:spacing w:after="0"/>
              <w:rPr>
                <w:sz w:val="20"/>
                <w:szCs w:val="20"/>
                <w:color w:val="auto"/>
              </w:rPr>
            </w:pPr>
            <w:r>
              <w:rPr>
                <w:rFonts w:ascii="Arial" w:cs="Arial" w:eastAsia="Arial" w:hAnsi="Arial"/>
                <w:sz w:val="18"/>
                <w:szCs w:val="18"/>
                <w:color w:val="auto"/>
              </w:rPr>
              <w:t>Class A Restricted Common Stock</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5,208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27"/>
        </w:trPr>
        <w:tc>
          <w:tcPr>
            <w:tcW w:w="7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6,265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of June 30, 2015, there was $25.0 million of total unrecognized compensation cost related to unvested stock-based compensation agreements. The unrecognized compensation cost as of June 30, 2015 is expected to be fully amortized over the next 4.75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300"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2015</w:t>
            </w:r>
          </w:p>
        </w:tc>
      </w:tr>
      <w:tr>
        <w:trPr>
          <w:trHeight w:val="152"/>
        </w:trPr>
        <w:tc>
          <w:tcPr>
            <w:tcW w:w="6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6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6,080</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3.73</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18,954</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2.55</w:t>
            </w:r>
          </w:p>
        </w:tc>
      </w:tr>
      <w:tr>
        <w:trPr>
          <w:trHeight w:val="27"/>
        </w:trPr>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25,034</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April 1, 2015, 457,320 options were granted under the Second Amended and Restated Equity Incentive Plan, or EIP. The estimated fair value of the per-option grant was $6.71, resulting in a total fair value of $3.1 million. The fair value of our Class A Common Stock on April 1, 2015 at the time of the option grant was $29.08.</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there were 6,497,085 EIP options outstanding, of which 1,741,851 were unvested.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On April 1, 2015, the Board of Directors granted 23,719 Restricted Stock Units to certain newly hired officers. The aggregate value was estimated at $0.7 million based on the stock price of $29.08 on the grant date.</w:t>
      </w:r>
    </w:p>
    <w:p>
      <w:pPr>
        <w:spacing w:after="0" w:line="6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May 19, 2015, the Board of Directors granted 2,094 Restricted Stock Units to certain newly hired officers. The aggregate value was estimated at $60,000 based on the stock price of $28.65 on the grant date.</w:t>
      </w:r>
    </w:p>
    <w:p>
      <w:pPr>
        <w:spacing w:after="0" w:line="6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For those holders who elected to</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827" w:right="319" w:bottom="1440" w:gutter="0" w:footer="0" w:header="0"/>
        </w:sectPr>
      </w:pPr>
    </w:p>
    <w:bookmarkStart w:id="13" w:name="page14"/>
    <w:bookmarkEnd w:id="13"/>
    <w:p>
      <w:pPr>
        <w:ind w:right="180"/>
        <w:spacing w:after="0" w:line="277" w:lineRule="auto"/>
        <w:rPr>
          <w:sz w:val="20"/>
          <w:szCs w:val="20"/>
          <w:color w:val="auto"/>
        </w:rPr>
      </w:pPr>
      <w:r>
        <w:rPr>
          <w:rFonts w:ascii="Arial" w:cs="Arial" w:eastAsia="Arial" w:hAnsi="Arial"/>
          <w:sz w:val="18"/>
          <w:szCs w:val="18"/>
          <w:color w:val="auto"/>
        </w:rPr>
        <w:t>participate, the Company repurchased a total of 160,563 shares and recorded them as treasury shares at a cost of $4.1 million during the three months ended June 30,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Compensation Committee, acting as the Administrator of the Officers' Rollover Stock Plan and the EIP have discretion in how to effect the required adjustment to keep option holders whole in the event of a distribution of dividends that trigger certain anti-dilution clauses within the respective plans. In the event the Board of Directors elects to grant option holders a cash payment equal to the amount of the special dividend, the Company accrues a stock-based compensation liability as the EIP options are scheduled to be vested. Rollover Options are fully vested, therefore the liability associated with these options is fully recorded on the condensed consolidated balance sheet. The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Total compensation expense recorded in conjunction with the payment of the dividend equivalents to EIP option holders for the three months ended June 30, 2015 was $0.1 million. Future compensation expense related to the payment of the dividend equivalents to EIP option holders not yet recognized in the statement of operations is $0.4 million and is expected to be recognized over two years.</w:t>
      </w:r>
    </w:p>
    <w:p>
      <w:pPr>
        <w:spacing w:after="0" w:line="28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As of June 30, 2015 and March 31, 2015, the Company calculated a total recorded and unrecorded stock-based compensation liability of $32.0 million and $35.8 million, respectively, related to the special dividends paid in July and December 2009, June and August 2012, November 2013 and February and August 2014,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June 30, 2015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EIP Options</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liability (1)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r>
      <w:tr>
        <w:trPr>
          <w:trHeight w:val="27"/>
        </w:trPr>
        <w:tc>
          <w:tcPr>
            <w:tcW w:w="3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June 30, 2015, $1.6 million related to EIP options will be recorded as liabilities as the options vest over the next 3.75 years. As of March 31, 2015, there was an unrecorded liability of $4.1 million related to EIP options. There is no unrecorded liability related to Rollover options as of June 30, 2015 or March 31, 2015, as the Rollover options are fully vested.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as of June 30,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24,309</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127,167</w:t>
            </w:r>
          </w:p>
        </w:tc>
      </w:tr>
      <w:tr>
        <w:trPr>
          <w:trHeight w:val="27"/>
        </w:trPr>
        <w:tc>
          <w:tcPr>
            <w:tcW w:w="40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151,476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5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r>
        <w:trPr>
          <w:trHeight w:val="351"/>
        </w:trPr>
        <w:tc>
          <w:tcPr>
            <w:tcW w:w="10280" w:type="dxa"/>
            <w:vAlign w:val="bottom"/>
            <w:gridSpan w:val="12"/>
          </w:tcPr>
          <w:p>
            <w:pPr>
              <w:ind w:left="420"/>
              <w:spacing w:after="0"/>
              <w:rPr>
                <w:sz w:val="20"/>
                <w:szCs w:val="20"/>
                <w:color w:val="auto"/>
              </w:rPr>
            </w:pPr>
            <w:r>
              <w:rPr>
                <w:rFonts w:ascii="Arial" w:cs="Arial" w:eastAsia="Arial" w:hAnsi="Arial"/>
                <w:sz w:val="18"/>
                <w:szCs w:val="18"/>
                <w:color w:val="auto"/>
                <w:w w:val="95"/>
              </w:rPr>
              <w:t>The following table set forth by levels represents the fair value of the Company's cash and cash equivalents as of March 31, 2015.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4020" w:type="dxa"/>
            <w:vAlign w:val="bottom"/>
          </w:tcPr>
          <w:p>
            <w:pPr>
              <w:spacing w:after="0"/>
              <w:rPr>
                <w:sz w:val="24"/>
                <w:szCs w:val="24"/>
                <w:color w:val="auto"/>
              </w:rPr>
            </w:pPr>
          </w:p>
        </w:tc>
        <w:tc>
          <w:tcPr>
            <w:tcW w:w="2500" w:type="dxa"/>
            <w:vAlign w:val="bottom"/>
          </w:tcPr>
          <w:p>
            <w:pPr>
              <w:jc w:val="right"/>
              <w:ind w:right="6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158,275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134"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rFonts w:ascii="Arial" w:cs="Arial" w:eastAsia="Arial" w:hAnsi="Arial"/>
          <w:sz w:val="18"/>
          <w:szCs w:val="18"/>
          <w:color w:val="auto"/>
        </w:rPr>
      </w:pPr>
    </w:p>
    <w:p>
      <w:pPr>
        <w:ind w:right="4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March 31, 2015 and June 30, 2015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Since the initial recording of this liability as a part of the purchase accounting, there have been no subsequent changes in fair value recorded to-date. Any future changes in the fair value of this contingent consideration liability will be recognized in earnings during the applicable period.</w:t>
      </w:r>
    </w:p>
    <w:p>
      <w:pPr>
        <w:spacing w:after="0" w:line="84"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June 30, 2015 and March 31, 2015. The fair value of debt is determined based on interest rates available for debt with terms and maturities similar to the Company's existing debt arrangements (Level 2 inputs).</w:t>
      </w:r>
    </w:p>
    <w:p>
      <w:pPr>
        <w:spacing w:after="0" w:line="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contingent earnout liability categorized as Level 3 for the fiscal year ended June 30,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Contingent Earnout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2015</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00" w:type="dxa"/>
            <w:vAlign w:val="bottom"/>
          </w:tcPr>
          <w:p>
            <w:pPr>
              <w:ind w:left="26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RELATED-PARTY TRANSACTIONS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Carlyle Group is the largest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2015 were $64,000 and $49,000, respectively. Revenue and cost associated with these related parties for the three months ended June 30, 2014 were $212,000 and $163,000, respectively.</w:t>
      </w:r>
    </w:p>
    <w:p>
      <w:pPr>
        <w:spacing w:after="0" w:line="4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 of $47.0 million at June 30, 2015 and March 31, 2015, respectively. The participation by such investment vehicles in the syndication of the Company's debt was done on an arm’s length basis.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June 30, 2015 and 2014, the Company incurred $250,000 in advisory fees in each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which has subsequently changed its name to Strategy&amp;. The Company remains liable for two leases for facilities located in Chicago and London under the terms of the original leases should Strategy&amp; default on its obligations. The Chicago lease expires in November 2015 and the London lease expires in March 2017. All other leases assigned to Strategy&amp; have expired. There were no events of default under these leases as of June 30, 2015 or March 31, 2015. The maximum potential amount of undiscounted future payments is $9.3 million. Based on the Company’s assessment of the likelihood of future payment, no amounts have been recorded related to the Company’s contingent liability on such leases.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As of June 30, 2015 and March 31, 2015, the Company was contingently liable under open standby letters of credit and bank guarantees issued by our banks in favor of third parties that totaled $4.1 million and $5.3 million, respectively. These letters of credit and bank guarantees primarily support insurance and bid and performance obligations. At June 30, 2015 and March 31, 2015, approximately $3.0 million and $5.2 million of these instruments reduce the available borrowings under the revolving credit facility. The remainder are guaranteed under a separate $5.0 million facility established in fiscal 2015 of which $3.9 million and $4.9 million, respectively, was available to the Company at June 30, 2015 and March 31, 2015.</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the three months ended June 30, 2015 and 2014, approximately 98%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recorded the appropriate provision for any losses that may be experienced from any investigation of which it is aware. The Defense Contract Management Agency Administrative Contracting Officer has negotiated annual final indirect cost rates through fiscal year 2008. During the three months ended June 30, 2015 the Company negotiated final fiscal 2008 indirect cost rates with the government and as a result, adjusted a portion of its provision for the recovery of allowable expenses based on the outcome of the negotiations. The Company also revised its provision for emerging exposures that may result in future cost disallowances. Management believes it has recorded the appropriate provision for the estimated losses that may be experienced from any such reductions and/or penalties. As of June 30, 2015 and March 31, 2015, the Company has recorded a liability of approximately $206.6 million and $205.3 million, respectively, for its current best estimate of amounts to be refunded to customers for potential adjustments from such audits or reviews of contract costs incurred subsequent to fiscal year 2008.</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2015, there are no material amounts accrued in the condensed consolidated financial statements related to these proceedings.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Six former officers and stockholders who had departed the company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against the Company and certain of the Company’s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96" w:right="279" w:bottom="1440" w:gutter="0" w:footer="0" w:header="0"/>
        </w:sectPr>
      </w:pPr>
    </w:p>
    <w:bookmarkStart w:id="16" w:name="page17"/>
    <w:bookmarkEnd w:id="16"/>
    <w:p>
      <w:pPr>
        <w:ind w:right="120"/>
        <w:spacing w:after="0" w:line="291" w:lineRule="auto"/>
        <w:rPr>
          <w:sz w:val="20"/>
          <w:szCs w:val="20"/>
          <w:color w:val="auto"/>
        </w:rPr>
      </w:pPr>
      <w:r>
        <w:rPr>
          <w:rFonts w:ascii="Arial" w:cs="Arial" w:eastAsia="Arial" w:hAnsi="Arial"/>
          <w:sz w:val="16"/>
          <w:szCs w:val="16"/>
          <w:color w:val="auto"/>
        </w:rPr>
        <w:t>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As of June 30, 2015 and March 31, 2015, the aggregate alleged damages sought in these four remaining suits was approximately $291.7 million (which is sought to be trebled pursuant to RICO) plus punitive damages, costs, and fees.</w:t>
      </w:r>
    </w:p>
    <w:p>
      <w:pPr>
        <w:spacing w:after="0" w:line="2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2015 filed with the Securities and Exchange Commission on May 21, 2015,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 We are a well-known, trusted and long-term partner to our clients, who seek our expertise and objective advice to address their most important and complex problems. Leveraging our 100-year consulting heritage and a talent base of approximately 22,500 people, we deploy our deep domain knowledge, functional and technical expertise, expanding set of capabilities, and experience of innovative client service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clients in selected commercial markets, and international clients. Major government clients include the Department of Defense, all branches of the U.S. military, the U.S. Intelligence Community, and civil agencies such as the Department of Homeland Security, the Department of Health and Human Services, and the Department of the Treasury. We support these clients in addressing complex and pressing challenges such as combating global terrorism, improving cyber capabilities, transforming the healthcare system, improving efficiency and managing change within the government. In the commercial sector, we serve U.S. clients primarily in the financial services, healthcare, energy, retail, and automotive markets. Our international clients are primarily in the Middle East and south-east Asia.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During the first quarter of fiscal 2016, the Company made further progress on its long term growth strategy by continuing to invest in key capabilities and markets while also increasing spending on bid and proposal activity to address a strong pipeline of opportunities and to facilitate the transition of work under our expiring largest ID/IQ contract. Total headcount also grew by over 400 employees as compared to the prior year period.</w:t>
      </w:r>
    </w:p>
    <w:p>
      <w:pPr>
        <w:spacing w:after="0" w:line="5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Revenue increased 2.2% from the three months ended June 30, 2014 to the three months ended June 30, 2015. During the quarter there was an increase in billable expenses of $27.7 million due to an increase in our use of subcontractors and other direct expenses incurred to perform on contracts. Confidence in the government contracting environment led the Company to increase indirect spending over the prior year period which had the effect of increasing revenue on cost reimbursable contracts.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00" w:right="279" w:bottom="144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8"/>
          <w:szCs w:val="18"/>
          <w:color w:val="auto"/>
        </w:rPr>
        <w:t>In addition, with the ending of our largest ID/IQ contract in July 2015 there was increased activity to position our work on other contracts. Total headcount also increased over the prior year as the Company hired to meet existing demand for qualified staff as well as implemented efforts to build a bench of staff for anticipated near term opportunities.</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Operating income decreased 9.3% to $126.1 million in the three months ended June 30, 2015 from $139.0 million in the three months ended June 30, 2014, which reflects a 120 basis point decrease in operating margin to 9.3% from 10.5% in the comparable period. The decrease in operating income was primarily attributable to the increase in indirect costs as discussed. The increased spending was primarily the result of increased bid and proposal costs to address a strong pipeline of opportunities and an increase in investment spending on growth platforms. In addition, operating income was impacted by a net decrease in the Company's provision for the potential recovery of allowable expenses recorded during the three months ended June 30, 2014 without a similar net change for the three months ended June 30,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83" w:lineRule="exact"/>
        <w:rPr>
          <w:sz w:val="20"/>
          <w:szCs w:val="20"/>
          <w:color w:val="auto"/>
        </w:rPr>
      </w:pPr>
    </w:p>
    <w:p>
      <w:pPr>
        <w:ind w:left="1300" w:right="260" w:hanging="644"/>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certain stock option-based and other equity-based compensation expenses, (ii) adjustments related to the amortization of intangible assets, and (iii)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40" w:hanging="644"/>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represents net income before income taxes, net interest and other expense, and depreciation and amortization and before certain other items, including: (i) certain stock option-based and other equity-based compensation expenses, and (ii) transaction costs, fees, losses, and expenses, including fees associated with debt prepayments.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hanging="644"/>
        <w:spacing w:after="0" w:line="293"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8" w:name="page19"/>
    <w:bookmarkEnd w:id="18"/>
    <w:p>
      <w:pPr>
        <w:ind w:left="1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5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126,144</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139,023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4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127,200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142,118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64,306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71,115</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44,280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47,934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141,261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155,255</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4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141,261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157,294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64,306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71,115</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4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4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(c)</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37"/>
        </w:trPr>
        <w:tc>
          <w:tcPr>
            <w:tcW w:w="748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65,716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74,568</w:t>
            </w:r>
          </w:p>
        </w:tc>
        <w:tc>
          <w:tcPr>
            <w:tcW w:w="0" w:type="dxa"/>
            <w:vAlign w:val="bottom"/>
          </w:tcPr>
          <w:p>
            <w:pPr>
              <w:spacing w:after="0"/>
              <w:rPr>
                <w:sz w:val="1"/>
                <w:szCs w:val="1"/>
                <w:color w:val="auto"/>
              </w:rPr>
            </w:pPr>
          </w:p>
        </w:tc>
      </w:tr>
      <w:tr>
        <w:trPr>
          <w:trHeight w:val="67"/>
        </w:trPr>
        <w:tc>
          <w:tcPr>
            <w:tcW w:w="74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4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149,271,321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w w:val="97"/>
              </w:rPr>
              <w:t>149,627,168</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91,726</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(13,140)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89,074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an adjustment of approximately $698,000 and $823,000 of net earnings for the three months ended June 30, 2015 and 2014 respectively, associated with the application of the two-class method for computing diluted earnings per share.</w:t>
      </w:r>
    </w:p>
    <w:p>
      <w:pPr>
        <w:sectPr>
          <w:pgSz w:w="11900" w:h="16838" w:orient="portrait"/>
          <w:cols w:equalWidth="0" w:num="1">
            <w:col w:w="11400"/>
          </w:cols>
          <w:pgMar w:left="240" w:top="800"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800" w:right="2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20" w:hanging="644"/>
        <w:spacing w:after="0" w:line="271"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current and continued uncertainty around the timing, extent, nature and effect of Congressional and other U.S. government actions to address budgetary constraints. The discretionary budget is still constrained by the budget caps defined by the Bipartisan Budget Control Act 2011 and subsequently adjusted by the American Tax Payer Relief Act of 2012. While those caps allow very modest annual growth in the discretionary budget for defense and non-defense departments and agencies, the uncertainty arises in the ability to determine how to allocate the available budget authority and for Congress to pass appropriations bills to fund both U.S. government departments and agencies that are, and those that are not, subject to the caps. It is unclear whether the U.S. government’s fiscal year 2016, which begins on October 1, 2015, will begin with a complete set of appropriations bills to fund the U.S. government or if the fiscal year will begin under a continuing resolution (CR);</w:t>
      </w:r>
    </w:p>
    <w:p>
      <w:pPr>
        <w:spacing w:after="0" w:line="70"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hanging="644"/>
        <w:spacing w:after="0" w:line="270"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73"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20" w:name="page21"/>
    <w:bookmarkEnd w:id="20"/>
    <w:p>
      <w:pPr>
        <w:ind w:left="1300" w:right="1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62"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380" w:hanging="644"/>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$90 billion in spending cuts are mandated for government fiscal 2015, and the Department of Defense has estimated its share of these cuts at $45 billion.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0" w:lineRule="auto"/>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80" w:hanging="655"/>
        <w:spacing w:after="0" w:line="257" w:lineRule="auto"/>
        <w:tabs>
          <w:tab w:leader="none" w:pos="19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800" w:right="279" w:bottom="1440" w:gutter="0" w:footer="0" w:header="0"/>
        </w:sectPr>
      </w:pPr>
    </w:p>
    <w:bookmarkStart w:id="21" w:name="page22"/>
    <w:bookmarkEnd w:id="21"/>
    <w:p>
      <w:pPr>
        <w:ind w:left="1960" w:right="100" w:hanging="655"/>
        <w:spacing w:after="0" w:line="255"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3"/>
          </w:tcPr>
          <w:p>
            <w:pPr>
              <w:jc w:val="center"/>
              <w:ind w:right="1068"/>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center"/>
              <w:ind w:right="1068"/>
              <w:spacing w:after="0"/>
              <w:rPr>
                <w:sz w:val="20"/>
                <w:szCs w:val="20"/>
                <w:color w:val="auto"/>
              </w:rPr>
            </w:pPr>
            <w:r>
              <w:rPr>
                <w:rFonts w:ascii="Arial" w:cs="Arial" w:eastAsia="Arial" w:hAnsi="Arial"/>
                <w:sz w:val="14"/>
                <w:szCs w:val="14"/>
                <w:b w:val="1"/>
                <w:bCs w:val="1"/>
                <w:color w:val="auto"/>
                <w:w w:val="89"/>
              </w:rPr>
              <w:t>June 30,</w:t>
            </w:r>
          </w:p>
        </w:tc>
      </w:tr>
      <w:tr>
        <w:trPr>
          <w:trHeight w:val="264"/>
        </w:trPr>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14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88"/>
              </w:rPr>
              <w:t>55%</w:t>
            </w:r>
          </w:p>
        </w:tc>
        <w:tc>
          <w:tcPr>
            <w:tcW w:w="2600" w:type="dxa"/>
            <w:vAlign w:val="bottom"/>
            <w:tcBorders>
              <w:bottom w:val="single" w:sz="8" w:color="CCEEFF"/>
            </w:tcBorders>
            <w:gridSpan w:val="3"/>
            <w:shd w:val="clear" w:color="auto" w:fill="CCEEFF"/>
          </w:tcPr>
          <w:p>
            <w:pPr>
              <w:jc w:val="center"/>
              <w:ind w:left="697"/>
              <w:spacing w:after="0"/>
              <w:rPr>
                <w:sz w:val="20"/>
                <w:szCs w:val="20"/>
                <w:color w:val="auto"/>
              </w:rPr>
            </w:pPr>
            <w:r>
              <w:rPr>
                <w:rFonts w:ascii="Arial" w:cs="Arial" w:eastAsia="Arial" w:hAnsi="Arial"/>
                <w:sz w:val="18"/>
                <w:szCs w:val="18"/>
                <w:color w:val="auto"/>
                <w:w w:val="94"/>
              </w:rPr>
              <w:t>56%</w:t>
            </w:r>
          </w:p>
        </w:tc>
      </w:tr>
      <w:tr>
        <w:trPr>
          <w:trHeight w:val="243"/>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574"/>
              <w:spacing w:after="0"/>
              <w:rPr>
                <w:sz w:val="20"/>
                <w:szCs w:val="20"/>
                <w:color w:val="auto"/>
              </w:rPr>
            </w:pPr>
            <w:r>
              <w:rPr>
                <w:rFonts w:ascii="Arial" w:cs="Arial" w:eastAsia="Arial" w:hAnsi="Arial"/>
                <w:sz w:val="18"/>
                <w:szCs w:val="18"/>
                <w:color w:val="auto"/>
                <w:w w:val="88"/>
              </w:rPr>
              <w:t>24%</w:t>
            </w:r>
          </w:p>
        </w:tc>
        <w:tc>
          <w:tcPr>
            <w:tcW w:w="2600" w:type="dxa"/>
            <w:vAlign w:val="bottom"/>
            <w:gridSpan w:val="3"/>
          </w:tcPr>
          <w:p>
            <w:pPr>
              <w:jc w:val="center"/>
              <w:ind w:left="697"/>
              <w:spacing w:after="0"/>
              <w:rPr>
                <w:sz w:val="20"/>
                <w:szCs w:val="20"/>
                <w:color w:val="auto"/>
              </w:rPr>
            </w:pPr>
            <w:r>
              <w:rPr>
                <w:rFonts w:ascii="Arial" w:cs="Arial" w:eastAsia="Arial" w:hAnsi="Arial"/>
                <w:sz w:val="18"/>
                <w:szCs w:val="18"/>
                <w:color w:val="auto"/>
                <w:w w:val="94"/>
              </w:rPr>
              <w:t>26%</w:t>
            </w:r>
          </w:p>
        </w:tc>
      </w:tr>
      <w:tr>
        <w:trPr>
          <w:trHeight w:val="27"/>
        </w:trPr>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14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88"/>
              </w:rPr>
              <w:t>21%</w:t>
            </w:r>
          </w:p>
        </w:tc>
        <w:tc>
          <w:tcPr>
            <w:tcW w:w="2600" w:type="dxa"/>
            <w:vAlign w:val="bottom"/>
            <w:tcBorders>
              <w:bottom w:val="single" w:sz="8" w:color="CCEEFF"/>
            </w:tcBorders>
            <w:gridSpan w:val="3"/>
            <w:shd w:val="clear" w:color="auto" w:fill="CCEEFF"/>
          </w:tcPr>
          <w:p>
            <w:pPr>
              <w:jc w:val="center"/>
              <w:ind w:left="697"/>
              <w:spacing w:after="0"/>
              <w:rPr>
                <w:sz w:val="20"/>
                <w:szCs w:val="20"/>
                <w:color w:val="auto"/>
              </w:rPr>
            </w:pPr>
            <w:r>
              <w:rPr>
                <w:rFonts w:ascii="Arial" w:cs="Arial" w:eastAsia="Arial" w:hAnsi="Arial"/>
                <w:sz w:val="18"/>
                <w:szCs w:val="18"/>
                <w:color w:val="auto"/>
                <w:w w:val="94"/>
              </w:rPr>
              <w:t>18%</w:t>
            </w:r>
          </w:p>
        </w:tc>
      </w:tr>
      <w:tr>
        <w:trPr>
          <w:trHeight w:val="540"/>
        </w:trPr>
        <w:tc>
          <w:tcPr>
            <w:tcW w:w="24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Includes both cost-plus-fixed-fee and cost-plus-award-fee contracts.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Includes fixed-price level of effort contracts.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i w:val="1"/>
                <w:iCs w:val="1"/>
                <w:color w:val="auto"/>
              </w:rPr>
              <w:t>Contract Diversity and Revenue Mix</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Our largest ID/IQ contract expired on July 8, 2015 with several task orders that extend beyond that date, the latest ending in September 2016. The contract has ended and we are in the process of attempting to transition work from the expired contract to new contracts and task orders under a number of existing multiple award ID/IQ vehicles. The loss, without replacement, of certain of these contract vehicles could have a material adverse effect on our ability to win new business and our operating results.</w:t>
      </w:r>
    </w:p>
    <w:p>
      <w:pPr>
        <w:spacing w:after="0" w:line="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800" w:right="279" w:bottom="1440" w:gutter="0" w:footer="0" w:header="0"/>
        </w:sectPr>
      </w:pPr>
    </w:p>
    <w:bookmarkStart w:id="22" w:name="page23"/>
    <w:bookmarkEnd w:id="22"/>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June 30, 2015 and 2014, we employed approximately 22,500 and 22,100 people, respectively, of which approximately 20,300 and 20,100,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36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2,347</w:t>
            </w: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4,766</w:t>
            </w:r>
          </w:p>
        </w:tc>
      </w:tr>
      <w:tr>
        <w:trPr>
          <w:trHeight w:val="27"/>
        </w:trPr>
        <w:tc>
          <w:tcPr>
            <w:tcW w:w="5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300" w:right="7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one existing single award ID/IQ contract the Company has had for several years, based on an established pattern of funding under this contract by the U.S. government.</w:t>
      </w:r>
    </w:p>
    <w:p>
      <w:pPr>
        <w:spacing w:after="0" w:line="1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decreased by 4.4% from June 30, 2014 to June 30, 2015. Additions to funded backlog during the twelve months ended June 30, 2015 totaled $5.4 billion in comparison to $5.5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4.8% of funded backlog as of the end of any of the four fiscal quarters preceding the fiscal quarter ended June 30, 2015.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A final accounting standards update is pending.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determining which transition method to utilize in order to adopt the new standard and still assessing what effect the adoption of this standard may have on the timing of our revenue recognition and our financial statements.</w:t>
      </w:r>
    </w:p>
    <w:p>
      <w:pPr>
        <w:spacing w:after="0" w:line="62"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three months ended June 30, 2015 and through the filing date did not or are not believed by management to have a material impact on the Company's present or historical condensed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1,351,604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1,322,297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645,001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378,650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350,972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171,069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1,225,460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1,183,274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126,144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139,023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119,049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47,934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71,115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476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June 30, 2015 Compared to Three Months Ended June 30, 2014 </w:t>
      </w:r>
      <w:r>
        <w:rPr>
          <w:rFonts w:ascii="Arial" w:cs="Arial" w:eastAsia="Arial" w:hAnsi="Arial"/>
          <w:sz w:val="18"/>
          <w:szCs w:val="18"/>
          <w:i w:val="1"/>
          <w:iCs w:val="1"/>
          <w:color w:val="auto"/>
        </w:rPr>
        <w:t>Revenue</w:t>
      </w:r>
    </w:p>
    <w:p>
      <w:pPr>
        <w:spacing w:after="0" w:line="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Revenue increased to $1,351.6 million from $1,322.3 million, or a 2.2% increase. During the quarter there was an increase in billable expenses of $27.7 million due to an increase in our use of subcontractors and other direct expenses incurred to perform on contracts. Confidence in the government contracting environment led the Company to increase indirect spending over the prior year period which had the effect of increasing revenue on cost reimbursable contracts. Total headcount also increased over the prior year as the Company hired to meet existing demand for qualified staff as well as implemented efforts to build a bench of staff for anticipated near term opportunities. Conversions to funded backlog during the twelve months ended June 30, 2015 totaled $5.4 billion in comparison to $5.5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Cost of revenue decreased to $643.0 million from $645.0 million, or a 0.3% decrease. While total headcount increased by approximately 1.9% there was a decrease in medical insurance expense that more than offset the increase in salary expense, resulting in a decrease in salaries and salary-related benefits of $2.5 million partially offset by an increase in incentive compensation of $1.5 million. The decrease in salaries and salary-related benefits was primarily due to a decrease in medical insurance expense. Cost of revenue as a percentage of revenue was 47.6% and 48.8% for the three months ended June 30, 2015 and 2014, respectively.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Billable expenses increased to $378.7 million from $351.0 million, or a 7.9% increase. The overall increase was primarily due to increases in subcontractor-related expenses and other direct expenses of $25.0 million incurred to perform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contracts. Billable expenses as a percentage of revenue were 28.0% and 26.5% for the three months ended June 30, 2015 and 2014, respectively.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General and administrative expenses increased to $188.7 million from $171.1 million, or a 10.3% increase. This increase was primarily due to an increase in salaries and salary-related benefits of $11.4 million primarily due to an increase in consulting staff time spent on strategic investment and bid and proposal activities, in lieu of direct contract activities, over the prior year period. In addition there was an increase in professional fees and other business expenses of $4.9 million. General and administrative expenses as a percentage of revenue were 14.0% and 12.9% for the three months ended June 30, 2015 and 2014, respectively.</w:t>
      </w:r>
    </w:p>
    <w:p>
      <w:pPr>
        <w:spacing w:after="0" w:line="8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increased spending was primarily the result of increased bid and proposal costs to address a strong pipeline of opportunities and an increase in investment spending on growth platforms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Depreciation and amortization decreased to $15.1 million from $16.2 million, or a 6.9% decrease, primarily due to a reduction in amortization of intangible assets, as well as a decrease in depreciation expense resulting from the effect of lower capital expenditures in prior years.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expense decreased to $17.5 million from $18.9 million, or an 7.3% decrease, primarily as a result of the Second Amendment to the Credit Agreement consummated in May 2014. The Company increased its borrowing under Term Loan A by approximately $168.4 million, the proceeds of which were used to pay outstanding principal on the Term Loan B which has a higher interest rate than Term Loan A.</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Income tax expense decreased to $44.3 million from $47.9 million, or a 7.6% decrease, primarily due to a decrease in pre-tax income, partially offset by an increase in the effective tax rate.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$151.5 million and $207.2 million in cash and cash equivalents as of June 30, 2015 and March 31, 2015,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stockholders in the form of payment of recurring and special dividends and share repurchases. On December 12, 2011, the Board of Directors authorized the repurchase of up to $30.0 million of our shares. On January 27, 2015, the share repurchase authorization was increased to $180.0 million. During the first quarter of fiscal 2016, the Company purchased 1.2 million shares of the Company’s Class A Common Stock in a series of open market transactions for an aggregate of $30.5 million. Following the aforementioned repurchase of 1.2 million shares, our repurchase of 1.0 million shares of our Class A Common Stock on November 5, 2014 and an additional 1.0 million shares of our Class A Common Stock on February 2, 2015, the Company currently has approximately $96.0 million remaining under the repurchase program. Any determination to pursue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ind w:right="400"/>
        <w:spacing w:after="0" w:line="286" w:lineRule="auto"/>
        <w:rPr>
          <w:sz w:val="20"/>
          <w:szCs w:val="20"/>
          <w:color w:val="auto"/>
        </w:rPr>
      </w:pPr>
      <w:r>
        <w:rPr>
          <w:rFonts w:ascii="Arial" w:cs="Arial" w:eastAsia="Arial" w:hAnsi="Arial"/>
          <w:sz w:val="17"/>
          <w:szCs w:val="17"/>
          <w:color w:val="auto"/>
        </w:rPr>
        <w:t>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46"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2400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7"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48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4,472</w:t>
            </w:r>
          </w:p>
        </w:tc>
      </w:tr>
      <w:tr>
        <w:trPr>
          <w:trHeight w:val="27"/>
        </w:trPr>
        <w:tc>
          <w:tcPr>
            <w:tcW w:w="48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distributions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w:t>
            </w:r>
          </w:p>
        </w:tc>
      </w:tr>
      <w:tr>
        <w:trPr>
          <w:trHeight w:val="20"/>
        </w:trPr>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recurring dividends of $0.13 per share and $0.11 per share that were declared and paid during fiscal 2016 and fiscal 2015,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On July 29, 2015, the Company announced a regular quarterly cash dividend in the amount of $0.13 per share, payable on August 31, 2015 to stockholders of record on August 10, 2015.</w:t>
      </w:r>
    </w:p>
    <w:p>
      <w:pPr>
        <w:spacing w:after="0" w:line="14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Amended and Restated Equity Incentive Plan, or EIP, is required to make a determination under the respective plan's antidilution provision to adjust the outstanding options.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June 30, 2015 includes all special dividends declared through June 30, 2015. As of June 30, 2015 and March 31, 2015, the Company calculated a total recorded and unrecorded stock-based compensation liability of $32.0 million and $35.8 million, respectively, related to the special dividends paid in July and December 2009, June and August 2012, November 2013, and February and August 2014.</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month-end, we bill to customers accounts receivables reclassed from our unbilled account that was recognized along with corresponding revenue in the preceding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61 as of June 30, 2015 and 59 as of March 31, 2015.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7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2014</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19,096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91,726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(2,652)</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(61,697)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(29,620)</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(55,741)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59,454</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$19.1 million in the three months ended June 30, 2015 compared to $91.7 million in the prior year period, or a 79.2% decrease. The decrease was primarily due to increased payments in vendor payables and accrued expenses incurred in support of an increase in indirect spending and other costs.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Net cash used in investing activities was $13.1 million in the three months ended June 30, 2015 compared to $2.7 million in the prior year period, or a 395.5% increase. The increase in net cash used in investing activities was due to increased capital expenditures over the prior year primarily due to leasehold improvements.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Net cash used in financing activities was $61.7 million in the three months ended June 30, 2015 compared to $29.6 million in the prior year period, or a 108.3% increase. The increase in net cash used in financing activities was primarily due to an increase in repurchases of common stock in the first quarter of fiscal 2016 as compared to the prior year due to a repurchase of 1.2 million shares of our Class A Common Stock for $30.5 million on the open market. The increase in net cash used in financing activities was also due to increased principal payments of approximately $10 million on our debt in accordance with the quarterly principal payment terms of our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 First Amendment to the Credit Agreement, dated as of August 16, 2013). As of June 30, 2015, the Credit Agreement provided the Company with an $830.0 million Term Loan A and an $841.2 million Term Loan B, and a $500.0 million revolving credit facility, with a sublimit for letters of credit of $100.0 million.</w:t>
      </w:r>
    </w:p>
    <w:p>
      <w:pPr>
        <w:spacing w:after="0" w:line="3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debt totaled $1,616.7 million and $1,626.3 million as of June 30, 2015 and March 31, 2015, respectively. The interest rate in effect for Term Loan A was 2.69% and for Term Loan B was 3.75% as of June 30, 2015. The interest rate in effect for Term Loan A was 2.68% and for Term Loan B was 3.75% as of March 31, 2015. As of June 30, 2015 and March 31, 2015, there were no amounts outstanding under our revolving credit facility of $500.0 million. As of June 30, 2015 and March 31, 2015, the Company was in compliance with all of the Credit Agreement's debt covenants.</w:t>
      </w:r>
    </w:p>
    <w:p>
      <w:pPr>
        <w:spacing w:after="0" w:line="6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5,574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1,396</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8" w:name="page29"/>
    <w:bookmarkEnd w:id="28"/>
    <w:p>
      <w:pPr>
        <w:jc w:val="both"/>
        <w:ind w:right="160"/>
        <w:spacing w:after="0" w:line="264" w:lineRule="auto"/>
        <w:rPr>
          <w:sz w:val="20"/>
          <w:szCs w:val="20"/>
          <w:color w:val="auto"/>
        </w:rPr>
      </w:pPr>
      <w:r>
        <w:rPr>
          <w:rFonts w:ascii="Arial" w:cs="Arial" w:eastAsia="Arial" w:hAnsi="Arial"/>
          <w:sz w:val="18"/>
          <w:szCs w:val="18"/>
          <w:color w:val="auto"/>
        </w:rPr>
        <w:t>of May 31, 2019. As a result of paying approximately $168.4 million of Term Loan B principal in connection with the May 7, 2014 Second Amendment, no additional principal payments are required until the remaining balance is due on Term Loan B's maturity date of July 31, 2019. The revolving credit facility matures on May 31, 2019, at which time any outstanding principal balance will be due in full.</w:t>
      </w:r>
    </w:p>
    <w:p>
      <w:pPr>
        <w:spacing w:after="0" w:line="73"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w:t>
      </w:r>
    </w:p>
    <w:p>
      <w:pPr>
        <w:ind w:right="20"/>
        <w:spacing w:after="0" w:line="252" w:lineRule="auto"/>
        <w:rPr>
          <w:sz w:val="20"/>
          <w:szCs w:val="20"/>
          <w:color w:val="auto"/>
        </w:rPr>
      </w:pPr>
      <w:r>
        <w:rPr>
          <w:rFonts w:ascii="Arial" w:cs="Arial" w:eastAsia="Arial" w:hAnsi="Arial"/>
          <w:sz w:val="18"/>
          <w:szCs w:val="18"/>
          <w:color w:val="auto"/>
        </w:rPr>
        <w:t>3.00% based upon either an ABR or LIBOR borrowing. The revolving credit facility margin and commitment fee are subject to the leveraged based pricing grid, as set forth in the Credit Agreement, as amended. As of June 30, 2015 and March 31, 2015, the Company was contingently liable under open standby letters of credit and bank guarantees issued by our banks in favor of third parties that totaled $4.1 million and $5.3 million, respectively. These letters of credit and bank guarantees primarily support insurance and bid and performance obligations. At June 30, 2015 and March 31, 2015, approximately $3.0 million and $5.2 million of these instruments reduce the available borrowings under the revolving credit facility. The remainder are guaranteed under a separate $5.0 million facility established in fiscal 2015 of which $3.9 million and $4.9 million, respectively, was available to the Company at June 30, 2015 and March 31, 2015. As of June 30, 2015 and March 31, 2015, we had $497.0 million and $494.8 million, respectively, of capacity available for additional borrowings under the revolving credit facility.</w:t>
      </w:r>
    </w:p>
    <w:p>
      <w:pPr>
        <w:spacing w:after="0" w:line="8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June 30, 2015, we were compliant with these covenants.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Our stockholders’ equity amounted to $207.7 million as of June 30, 2015, an increase of $21.2 million compared to stockholders’ equity of $186.5 million as of March 31, 2015. The increase is primarily due to net income of $64.3 million in the three months ended June 30, 2015, and stock-based compensation expense of $6.3 million, partially offset by $19.1 million in recurring and special dividend payments and a $34.6 million increase in treasury stock resulting from the re-purchase of 1.2 million shares during the three months ended June 30,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2015,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2015 and 2014 were $13.1 million and $2.7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may cause our actual results, levels of activity, performance or achievements to differ materially from any future results, levels of activity, performance or achievements expressed or implied by these forward-looking statements.</w:t>
      </w:r>
    </w:p>
    <w:p>
      <w:pPr>
        <w:spacing w:after="0" w:line="62"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73"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00" w:right="25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2015 filed with the Securities and Exchange Commission on May 21, 2015.</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796"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2015 and March 31, 2015, there were no material amounts accrued in the condensed consolidated financial statements related to these proceedings.</w:t>
      </w:r>
    </w:p>
    <w:p>
      <w:pPr>
        <w:spacing w:after="0" w:line="15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00" w:lineRule="exact"/>
        <w:rPr>
          <w:sz w:val="20"/>
          <w:szCs w:val="20"/>
          <w:color w:val="auto"/>
        </w:rPr>
      </w:pP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2015 filed with the Securities and Exchange Commission on May 21, 2015.</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June 30, 2015:</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the Plans or Programs</w:t>
            </w:r>
          </w:p>
        </w:tc>
        <w:tc>
          <w:tcPr>
            <w:tcW w:w="0" w:type="dxa"/>
            <w:vAlign w:val="bottom"/>
          </w:tcPr>
          <w:p>
            <w:pPr>
              <w:spacing w:after="0"/>
              <w:rPr>
                <w:sz w:val="1"/>
                <w:szCs w:val="1"/>
                <w:color w:val="auto"/>
              </w:rPr>
            </w:pPr>
          </w:p>
        </w:tc>
      </w:tr>
      <w:tr>
        <w:trPr>
          <w:trHeight w:val="210"/>
        </w:trPr>
        <w:tc>
          <w:tcPr>
            <w:tcW w:w="2680" w:type="dxa"/>
            <w:vAlign w:val="bottom"/>
          </w:tcPr>
          <w:p>
            <w:pPr>
              <w:ind w:left="1600"/>
              <w:spacing w:after="0"/>
              <w:rPr>
                <w:sz w:val="20"/>
                <w:szCs w:val="20"/>
                <w:color w:val="auto"/>
              </w:rPr>
            </w:pPr>
            <w:r>
              <w:rPr>
                <w:rFonts w:ascii="Arial" w:cs="Arial" w:eastAsia="Arial" w:hAnsi="Arial"/>
                <w:sz w:val="16"/>
                <w:szCs w:val="16"/>
                <w:b w:val="1"/>
                <w:bCs w:val="1"/>
                <w:color w:val="auto"/>
              </w:rPr>
              <w:t>Period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940" w:type="dxa"/>
            <w:vAlign w:val="bottom"/>
            <w:gridSpan w:val="2"/>
          </w:tcPr>
          <w:p>
            <w:pPr>
              <w:jc w:val="center"/>
              <w:ind w:left="32"/>
              <w:spacing w:after="0"/>
              <w:rPr>
                <w:sz w:val="20"/>
                <w:szCs w:val="20"/>
                <w:color w:val="auto"/>
              </w:rPr>
            </w:pPr>
            <w:r>
              <w:rPr>
                <w:rFonts w:ascii="Arial" w:cs="Arial" w:eastAsia="Arial" w:hAnsi="Arial"/>
                <w:sz w:val="16"/>
                <w:szCs w:val="16"/>
                <w:b w:val="1"/>
                <w:bCs w:val="1"/>
                <w:color w:val="auto"/>
                <w:w w:val="91"/>
              </w:rPr>
              <w:t>(1)</w:t>
            </w: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tcPr>
          <w:p>
            <w:pPr>
              <w:ind w:left="40"/>
              <w:spacing w:after="0"/>
              <w:rPr>
                <w:sz w:val="20"/>
                <w:szCs w:val="20"/>
                <w:color w:val="auto"/>
              </w:rPr>
            </w:pPr>
            <w:r>
              <w:rPr>
                <w:rFonts w:ascii="Arial" w:cs="Arial" w:eastAsia="Arial" w:hAnsi="Arial"/>
                <w:sz w:val="18"/>
                <w:szCs w:val="18"/>
                <w:color w:val="auto"/>
              </w:rPr>
              <w:t>April 2015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$ 126,540,000</w:t>
            </w:r>
          </w:p>
        </w:tc>
        <w:tc>
          <w:tcPr>
            <w:tcW w:w="0" w:type="dxa"/>
            <w:vAlign w:val="bottom"/>
          </w:tcPr>
          <w:p>
            <w:pPr>
              <w:spacing w:after="0"/>
              <w:rPr>
                <w:sz w:val="1"/>
                <w:szCs w:val="1"/>
                <w:color w:val="auto"/>
              </w:rPr>
            </w:pPr>
          </w:p>
        </w:tc>
      </w:tr>
      <w:tr>
        <w:trPr>
          <w:trHeight w:val="270"/>
        </w:trPr>
        <w:tc>
          <w:tcPr>
            <w:tcW w:w="2680" w:type="dxa"/>
            <w:vAlign w:val="bottom"/>
          </w:tcPr>
          <w:p>
            <w:pPr>
              <w:ind w:left="40"/>
              <w:spacing w:after="0"/>
              <w:rPr>
                <w:sz w:val="20"/>
                <w:szCs w:val="20"/>
                <w:color w:val="auto"/>
              </w:rPr>
            </w:pPr>
            <w:r>
              <w:rPr>
                <w:rFonts w:ascii="Arial" w:cs="Arial" w:eastAsia="Arial" w:hAnsi="Arial"/>
                <w:sz w:val="18"/>
                <w:szCs w:val="18"/>
                <w:color w:val="auto"/>
              </w:rPr>
              <w:t>May 2015</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$ 126,540,000</w:t>
            </w:r>
          </w:p>
        </w:tc>
        <w:tc>
          <w:tcPr>
            <w:tcW w:w="0" w:type="dxa"/>
            <w:vAlign w:val="bottom"/>
          </w:tcPr>
          <w:p>
            <w:pPr>
              <w:spacing w:after="0"/>
              <w:rPr>
                <w:sz w:val="1"/>
                <w:szCs w:val="1"/>
                <w:color w:val="auto"/>
              </w:rPr>
            </w:pPr>
          </w:p>
        </w:tc>
      </w:tr>
      <w:tr>
        <w:trPr>
          <w:trHeight w:val="378"/>
        </w:trPr>
        <w:tc>
          <w:tcPr>
            <w:tcW w:w="2680" w:type="dxa"/>
            <w:vAlign w:val="bottom"/>
            <w:vMerge w:val="restart"/>
          </w:tcPr>
          <w:p>
            <w:pPr>
              <w:ind w:left="40"/>
              <w:spacing w:after="0"/>
              <w:rPr>
                <w:sz w:val="20"/>
                <w:szCs w:val="20"/>
                <w:color w:val="auto"/>
              </w:rPr>
            </w:pPr>
            <w:r>
              <w:rPr>
                <w:rFonts w:ascii="Arial" w:cs="Arial" w:eastAsia="Arial" w:hAnsi="Arial"/>
                <w:sz w:val="18"/>
                <w:szCs w:val="18"/>
                <w:color w:val="auto"/>
              </w:rPr>
              <w:t>June 2015</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1940" w:type="dxa"/>
            <w:vAlign w:val="bottom"/>
            <w:gridSpan w:val="2"/>
            <w:vMerge w:val="restart"/>
          </w:tcPr>
          <w:p>
            <w:pPr>
              <w:jc w:val="right"/>
              <w:ind w:right="1174"/>
              <w:spacing w:after="0"/>
              <w:rPr>
                <w:sz w:val="20"/>
                <w:szCs w:val="20"/>
                <w:color w:val="auto"/>
              </w:rPr>
            </w:pPr>
            <w:r>
              <w:rPr>
                <w:rFonts w:ascii="Arial" w:cs="Arial" w:eastAsia="Arial" w:hAnsi="Arial"/>
                <w:sz w:val="18"/>
                <w:szCs w:val="18"/>
                <w:color w:val="auto"/>
              </w:rPr>
              <w:t>$ 25.41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1940" w:type="dxa"/>
            <w:vAlign w:val="bottom"/>
            <w:gridSpan w:val="2"/>
            <w:vMerge w:val="restart"/>
          </w:tcPr>
          <w:p>
            <w:pPr>
              <w:ind w:left="140"/>
              <w:spacing w:after="0"/>
              <w:rPr>
                <w:sz w:val="20"/>
                <w:szCs w:val="20"/>
                <w:color w:val="auto"/>
              </w:rPr>
            </w:pPr>
            <w:r>
              <w:rPr>
                <w:rFonts w:ascii="Arial" w:cs="Arial" w:eastAsia="Arial" w:hAnsi="Arial"/>
                <w:sz w:val="18"/>
                <w:szCs w:val="18"/>
                <w:color w:val="auto"/>
              </w:rPr>
              <w:t>$ 96,023,452</w:t>
            </w:r>
          </w:p>
        </w:tc>
        <w:tc>
          <w:tcPr>
            <w:tcW w:w="0" w:type="dxa"/>
            <w:vAlign w:val="bottom"/>
          </w:tcPr>
          <w:p>
            <w:pPr>
              <w:spacing w:after="0"/>
              <w:rPr>
                <w:sz w:val="1"/>
                <w:szCs w:val="1"/>
                <w:color w:val="auto"/>
              </w:rPr>
            </w:pPr>
          </w:p>
        </w:tc>
      </w:tr>
      <w:tr>
        <w:trPr>
          <w:trHeight w:val="81"/>
        </w:trPr>
        <w:tc>
          <w:tcPr>
            <w:tcW w:w="26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680" w:type="dxa"/>
            <w:vAlign w:val="bottom"/>
          </w:tcPr>
          <w:p>
            <w:pPr>
              <w:spacing w:after="0"/>
              <w:rPr>
                <w:sz w:val="24"/>
                <w:szCs w:val="24"/>
                <w:color w:val="auto"/>
              </w:rPr>
            </w:pPr>
          </w:p>
        </w:tc>
        <w:tc>
          <w:tcPr>
            <w:tcW w:w="1100" w:type="dxa"/>
            <w:vAlign w:val="bottom"/>
            <w:gridSpan w:val="2"/>
            <w:vMerge w:val="restart"/>
          </w:tcPr>
          <w:p>
            <w:pPr>
              <w:ind w:left="600"/>
              <w:spacing w:after="0"/>
              <w:rPr>
                <w:sz w:val="20"/>
                <w:szCs w:val="20"/>
                <w:color w:val="auto"/>
              </w:rPr>
            </w:pPr>
            <w:r>
              <w:rPr>
                <w:rFonts w:ascii="Arial" w:cs="Arial" w:eastAsia="Arial" w:hAnsi="Arial"/>
                <w:sz w:val="18"/>
                <w:szCs w:val="18"/>
                <w:color w:val="auto"/>
              </w:rPr>
              <w:t>Total</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160" w:hanging="652"/>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On January 27, 2015, the Board of Directors approved an increase to our share repurchase authorization from $30.0 million to up to $180.0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00" w:lineRule="exact"/>
        <w:rPr>
          <w:sz w:val="20"/>
          <w:szCs w:val="20"/>
          <w:color w:val="auto"/>
        </w:rPr>
      </w:pP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vMerge w:val="restart"/>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458"/>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00"/>
          </w:cols>
          <w:pgMar w:left="240" w:top="688" w:right="25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854" w:right="27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80" w:top="854" w:right="279" w:bottom="1440" w:gutter="0" w:footer="0" w:header="0"/>
          <w:type w:val="continuous"/>
        </w:sectPr>
      </w:pPr>
    </w:p>
    <w:bookmarkStart w:id="35" w:name="page36"/>
    <w:bookmarkEnd w:id="35"/>
    <w:tbl>
      <w:tblPr>
        <w:tblLayout w:type="fixed"/>
        <w:tblInd w:w="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Form of Restricted Stock Unit Agreement under the Amended and Restated Equity Incentive Plan of Booz Allen Hamilton Holding Corporation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10.29 to the Company’s Annual Report for the year ended March 31, 2014 on Form 10-K (File No. 001-</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Corporation*</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60" w:hanging="925"/>
        <w:spacing w:after="0" w:line="288"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2015 formatted in XBRL (eXtensible Business Reporting Language): (i) Condensed Consolidated Balance Sheets at June 30, 2015 and March 31, 2015; (ii) Condensed Consolidated Statements of Operations for the three months ended June 30, 2015 and 2014; (iii) Condensed Consolidated Statements of Comprehensive Income for the three months ended June 30, 2015 and 2014; (iv) Condensed Consolidated Statements of Cash Flows for the three months ended June 30, 2015 and 2014;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976" w:right="29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240" w:top="688"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INCENTIVE PLAN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307" w:lineRule="exact"/>
        <w:rPr>
          <w:sz w:val="20"/>
          <w:szCs w:val="20"/>
          <w:color w:val="auto"/>
        </w:rPr>
      </w:pPr>
    </w:p>
    <w:p>
      <w:pPr>
        <w:ind w:right="260"/>
        <w:spacing w:after="0" w:line="312" w:lineRule="auto"/>
        <w:rPr>
          <w:sz w:val="20"/>
          <w:szCs w:val="20"/>
          <w:color w:val="auto"/>
        </w:rPr>
      </w:pPr>
      <w:r>
        <w:rPr>
          <w:rFonts w:ascii="Arial" w:cs="Arial" w:eastAsia="Arial" w:hAnsi="Arial"/>
          <w:sz w:val="19"/>
          <w:szCs w:val="19"/>
          <w:color w:val="auto"/>
        </w:rPr>
        <w:t>Unless otherwise defined herein, the terms defined in the Second Amended and Restated Equity Incentive Plan of Booz Allen Holding Corporation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Restricted Stock Unit Agreement, which includes the terms in this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15" w:lineRule="exact"/>
        <w:rPr>
          <w:sz w:val="20"/>
          <w:szCs w:val="20"/>
          <w:color w:val="auto"/>
        </w:rPr>
      </w:pPr>
    </w:p>
    <w:p>
      <w:pPr>
        <w:ind w:right="200"/>
        <w:spacing w:after="0" w:line="343" w:lineRule="auto"/>
        <w:rPr>
          <w:sz w:val="20"/>
          <w:szCs w:val="20"/>
          <w:color w:val="auto"/>
        </w:rPr>
      </w:pPr>
      <w:r>
        <w:rPr>
          <w:rFonts w:ascii="Arial" w:cs="Arial" w:eastAsia="Arial" w:hAnsi="Arial"/>
          <w:sz w:val="19"/>
          <w:szCs w:val="19"/>
          <w:color w:val="auto"/>
        </w:rPr>
        <w:t>You have been granted restricted stock units, subject to the terms and conditions of the Plan and this Agreement in an amount and vesting schedule set forth on the Morgan Stanley Smith Barney Benefit Access system at www.benefitaccess.com.</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color w:val="auto"/>
        </w:rPr>
        <w:t xml:space="preserve">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9"/>
          <w:szCs w:val="19"/>
          <w:b w:val="1"/>
          <w:bCs w:val="1"/>
          <w:color w:val="auto"/>
        </w:rPr>
        <w:t>ACCORDINGLY, PLEASE BE SURE TO READ</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b w:val="1"/>
          <w:bCs w:val="1"/>
          <w:color w:val="auto"/>
        </w:rPr>
        <w:t>ALL OF THE PLAN AND APPENDIX A, WHICH CONTAIN THE SPECIFIC TERMS AND CONDITIONS OF THE RESTRICTED STOCK UNITS.</w:t>
      </w:r>
    </w:p>
    <w:p>
      <w:pPr>
        <w:spacing w:after="0" w:line="139"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order to accept this grant, please go to the Morgan Stanley Smith Barney Benefit Access system at www.benefitaccess.com and follow the instructions regarding this grant.</w:t>
      </w:r>
    </w:p>
    <w:p>
      <w:pPr>
        <w:sectPr>
          <w:pgSz w:w="11900" w:h="16838" w:orient="portrait"/>
          <w:cols w:equalWidth="0" w:num="1">
            <w:col w:w="11420"/>
          </w:cols>
          <w:pgMar w:left="240" w:top="126" w:right="2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22"/>
          <w:szCs w:val="22"/>
          <w:b w:val="1"/>
          <w:bCs w:val="1"/>
          <w:color w:val="auto"/>
        </w:rPr>
        <w:t>APPENDIX A TO RESTRICTED STOCK UNIT AGREEMENT</w:t>
      </w:r>
    </w:p>
    <w:p>
      <w:pPr>
        <w:spacing w:after="0" w:line="200" w:lineRule="exact"/>
        <w:rPr>
          <w:sz w:val="20"/>
          <w:szCs w:val="20"/>
          <w:color w:val="auto"/>
        </w:rPr>
      </w:pPr>
    </w:p>
    <w:p>
      <w:pPr>
        <w:spacing w:after="0" w:line="255" w:lineRule="exact"/>
        <w:rPr>
          <w:sz w:val="20"/>
          <w:szCs w:val="20"/>
          <w:color w:val="auto"/>
        </w:rPr>
      </w:pPr>
    </w:p>
    <w:p>
      <w:pPr>
        <w:ind w:right="140" w:firstLine="332"/>
        <w:spacing w:after="0" w:line="306" w:lineRule="auto"/>
        <w:tabs>
          <w:tab w:leader="none" w:pos="81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Subject to the terms, conditions, and restrictions set forth in this Agreement (including the Grant Notice and the Morgan Stanley Smith Barney Benefit Access System at www.benefitaccess.com) and in the Plan, the Company hereby evidences and confirms its grant to the Participant, effective as of the Grant Date, of the number of restricted stock units specified in the Grant Notice set forth on the Morgan Stanley Smith Barney Benefit Access System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 Units</w:t>
      </w:r>
      <w:r>
        <w:rPr>
          <w:rFonts w:ascii="Arial" w:cs="Arial" w:eastAsia="Arial" w:hAnsi="Arial"/>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372" w:lineRule="exact"/>
        <w:rPr>
          <w:rFonts w:ascii="Arial" w:cs="Arial" w:eastAsia="Arial" w:hAnsi="Arial"/>
          <w:sz w:val="19"/>
          <w:szCs w:val="19"/>
          <w:color w:val="auto"/>
        </w:rPr>
      </w:pPr>
    </w:p>
    <w:p>
      <w:pPr>
        <w:ind w:left="820" w:hanging="488"/>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40" w:right="260" w:firstLine="316"/>
        <w:spacing w:after="0" w:line="327" w:lineRule="auto"/>
        <w:tabs>
          <w:tab w:leader="none" w:pos="1138"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in this Section 2, the Restricted Stock Units shall become vested, in the amount(s), and on the vesting date(s) set forth on the Morgan Stanley Smith Barney Benefit Access System (each,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subject to the continued employment of the Participant by the Company or any Subsidiary thereof through such date.</w:t>
      </w:r>
    </w:p>
    <w:p>
      <w:pPr>
        <w:spacing w:after="0" w:line="349" w:lineRule="exact"/>
        <w:rPr>
          <w:rFonts w:ascii="Arial" w:cs="Arial" w:eastAsia="Arial" w:hAnsi="Arial"/>
          <w:sz w:val="19"/>
          <w:szCs w:val="19"/>
          <w:color w:val="auto"/>
        </w:rPr>
      </w:pPr>
    </w:p>
    <w:p>
      <w:pPr>
        <w:ind w:left="1140" w:hanging="484"/>
        <w:spacing w:after="0"/>
        <w:tabs>
          <w:tab w:leader="none" w:pos="114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980" w:right="420" w:firstLine="325"/>
        <w:spacing w:after="0" w:line="276" w:lineRule="auto"/>
        <w:tabs>
          <w:tab w:leader="none" w:pos="2156" w:val="left"/>
        </w:tabs>
        <w:numPr>
          <w:ilvl w:val="2"/>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Participant’s employment or service terminates due to the Participant’s death, all unvested Restricted Stock Units shall immediately vest.</w:t>
      </w:r>
    </w:p>
    <w:p>
      <w:pPr>
        <w:spacing w:after="0" w:line="390" w:lineRule="exact"/>
        <w:rPr>
          <w:rFonts w:ascii="Arial" w:cs="Arial" w:eastAsia="Arial" w:hAnsi="Arial"/>
          <w:sz w:val="22"/>
          <w:szCs w:val="22"/>
          <w:color w:val="auto"/>
        </w:rPr>
      </w:pPr>
    </w:p>
    <w:p>
      <w:pPr>
        <w:jc w:val="both"/>
        <w:ind w:left="980" w:right="260" w:firstLine="325"/>
        <w:spacing w:after="0" w:line="266" w:lineRule="auto"/>
        <w:tabs>
          <w:tab w:leader="none" w:pos="2216" w:val="left"/>
        </w:tabs>
        <w:numPr>
          <w:ilvl w:val="2"/>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a Participant’s employment or service terminates due to Disability, all unvested Restricted Stock Units shall not be forfeited upon such termination and shall continue to vest in accordance with the schedule provided in Section 2(a) and (b).</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980" w:firstLine="325"/>
        <w:spacing w:after="0" w:line="273" w:lineRule="auto"/>
        <w:tabs>
          <w:tab w:leader="none" w:pos="2276" w:val="left"/>
        </w:tabs>
        <w:numPr>
          <w:ilvl w:val="2"/>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by Reason of a Company Approved Departure; Termination by the Company Other than for Cause</w:t>
      </w:r>
      <w:r>
        <w:rPr>
          <w:rFonts w:ascii="Arial" w:cs="Arial" w:eastAsia="Arial" w:hAnsi="Arial"/>
          <w:sz w:val="21"/>
          <w:szCs w:val="21"/>
          <w:color w:val="auto"/>
        </w:rPr>
        <w:t>. If a Participant’s employment or service (</w:t>
      </w:r>
      <w:r>
        <w:rPr>
          <w:rFonts w:ascii="Arial" w:cs="Arial" w:eastAsia="Arial" w:hAnsi="Arial"/>
          <w:sz w:val="21"/>
          <w:szCs w:val="21"/>
          <w:u w:val="single" w:color="auto"/>
          <w:color w:val="auto"/>
        </w:rPr>
        <w:t>i</w:t>
      </w:r>
      <w:r>
        <w:rPr>
          <w:rFonts w:ascii="Arial" w:cs="Arial" w:eastAsia="Arial" w:hAnsi="Arial"/>
          <w:sz w:val="21"/>
          <w:szCs w:val="21"/>
          <w:color w:val="auto"/>
        </w:rPr>
        <w:t>) terminates in a Company Approved Departure (as defined below) or (</w:t>
      </w:r>
      <w:r>
        <w:rPr>
          <w:rFonts w:ascii="Arial" w:cs="Arial" w:eastAsia="Arial" w:hAnsi="Arial"/>
          <w:sz w:val="21"/>
          <w:szCs w:val="21"/>
          <w:u w:val="single" w:color="auto"/>
          <w:color w:val="auto"/>
        </w:rPr>
        <w:t>ii</w:t>
      </w:r>
      <w:r>
        <w:rPr>
          <w:rFonts w:ascii="Arial" w:cs="Arial" w:eastAsia="Arial" w:hAnsi="Arial"/>
          <w:sz w:val="21"/>
          <w:szCs w:val="21"/>
          <w:color w:val="auto"/>
        </w:rPr>
        <w:t>) is terminated by the Company for a reason other than for Cause, then, in each case, all unvested Restricted Stock Units shall not be forfeited upon such termination and shall continue to vest in accordance with the schedule as provided on the Morgan Stanley Smith Barney Benefit Access System. “Company Approved Departure” shall mean a termination of employment that the Company (through the members of its senior management), in its sole discretion, determines to be in the best interest of the</w:t>
      </w:r>
    </w:p>
    <w:p>
      <w:pPr>
        <w:sectPr>
          <w:pgSz w:w="11900" w:h="16838" w:orient="portrait"/>
          <w:cols w:equalWidth="0" w:num="1">
            <w:col w:w="11400"/>
          </w:cols>
          <w:pgMar w:left="240" w:top="585" w:right="259" w:bottom="1440" w:gutter="0" w:footer="0" w:header="0"/>
        </w:sectPr>
      </w:pPr>
    </w:p>
    <w:bookmarkStart w:id="39" w:name="page40"/>
    <w:bookmarkEnd w:id="39"/>
    <w:p>
      <w:pPr>
        <w:ind w:left="648" w:right="240"/>
        <w:spacing w:after="0" w:line="276" w:lineRule="auto"/>
        <w:rPr>
          <w:sz w:val="20"/>
          <w:szCs w:val="20"/>
          <w:color w:val="auto"/>
        </w:rPr>
      </w:pPr>
      <w:r>
        <w:rPr>
          <w:rFonts w:ascii="Arial" w:cs="Arial" w:eastAsia="Arial" w:hAnsi="Arial"/>
          <w:sz w:val="22"/>
          <w:szCs w:val="22"/>
          <w:color w:val="auto"/>
        </w:rPr>
        <w:t>Company and the Company’s approval of such termination as a Company Approved Departure is approved or ratified by the Board or the Administrator.</w:t>
      </w:r>
    </w:p>
    <w:p>
      <w:pPr>
        <w:spacing w:after="0" w:line="391" w:lineRule="exact"/>
        <w:rPr>
          <w:sz w:val="20"/>
          <w:szCs w:val="20"/>
          <w:color w:val="auto"/>
        </w:rPr>
      </w:pPr>
    </w:p>
    <w:p>
      <w:pPr>
        <w:ind w:left="648" w:right="100" w:firstLine="325"/>
        <w:spacing w:after="0" w:line="273" w:lineRule="auto"/>
        <w:tabs>
          <w:tab w:leader="none" w:pos="1932" w:val="left"/>
        </w:tabs>
        <w:numPr>
          <w:ilvl w:val="2"/>
          <w:numId w:val="26"/>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648" w:right="140" w:firstLine="325"/>
        <w:spacing w:after="0" w:line="266" w:lineRule="auto"/>
        <w:tabs>
          <w:tab w:leader="none" w:pos="1872" w:val="left"/>
        </w:tabs>
        <w:numPr>
          <w:ilvl w:val="2"/>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a Participant’s employment is terminated for any reason other than death, Disability, Company Approved Departure, Cause or by the Company without Cause, all unvested Restricted Stock Units shall immediately be forfeited.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8" w:firstLine="316"/>
        <w:spacing w:after="0" w:line="276" w:lineRule="auto"/>
        <w:tabs>
          <w:tab w:leader="none" w:pos="806"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then the Restricted Stock Units shall vest or continue and shall have such treatment, as set forth in the Plan.</w:t>
      </w:r>
    </w:p>
    <w:p>
      <w:pPr>
        <w:spacing w:after="0" w:line="390" w:lineRule="exact"/>
        <w:rPr>
          <w:rFonts w:ascii="Arial" w:cs="Arial" w:eastAsia="Arial" w:hAnsi="Arial"/>
          <w:sz w:val="22"/>
          <w:szCs w:val="22"/>
          <w:color w:val="auto"/>
        </w:rPr>
      </w:pPr>
    </w:p>
    <w:p>
      <w:pPr>
        <w:ind w:left="8" w:right="60" w:firstLine="316"/>
        <w:spacing w:after="0" w:line="261" w:lineRule="auto"/>
        <w:tabs>
          <w:tab w:leader="none" w:pos="818"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Other Forfeiture Provisions</w:t>
      </w:r>
      <w:r>
        <w:rPr>
          <w:rFonts w:ascii="Arial" w:cs="Arial" w:eastAsia="Arial" w:hAnsi="Arial"/>
          <w:sz w:val="22"/>
          <w:szCs w:val="22"/>
          <w:color w:val="auto"/>
        </w:rPr>
        <w:t>. The Restricted Stock Units shall also be forfeited and subject to disgorgement and/or repayment to the Company in the event the Participant (i) engages in financial or other misconduct (including but not limited to engaging in Competitive Activity) or as required by Applicable Law, as provided in the Plan or (ii) materially violates any restrictive covenant agreement (or any other agreement containing restrictive covenants) that the Participant has entered into with the Company.</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8" w:right="120" w:firstLine="316"/>
        <w:spacing w:after="0" w:line="261" w:lineRule="auto"/>
        <w:tabs>
          <w:tab w:leader="none" w:pos="806"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Committee Discretion</w:t>
      </w:r>
      <w:r>
        <w:rPr>
          <w:rFonts w:ascii="Arial" w:cs="Arial" w:eastAsia="Arial" w:hAnsi="Arial"/>
          <w:sz w:val="22"/>
          <w:szCs w:val="22"/>
          <w:color w:val="auto"/>
        </w:rPr>
        <w:t>. Notwithstanding anything contained in this Agreement to the contrary, subject to Article XIII of the Plan, the Committee, in its sole discretion, may waive forfeiture provisions or accelerate the vesting with respect to any Restricted Stock Units under this Agreement, at such times and upon such terms and conditions as the Committee shall determine; provided, however, that such waiver or acceleration of vesting shall not change the settlement date of the Restricted Stock Units provided in Section 3 of this Agreement.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332" w:right="240" w:firstLine="332"/>
        <w:spacing w:after="0" w:line="260" w:lineRule="auto"/>
        <w:tabs>
          <w:tab w:leader="none" w:pos="47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Settlement of Restricted Stock Units</w:t>
      </w:r>
      <w:r>
        <w:rPr>
          <w:rFonts w:ascii="Arial" w:cs="Arial" w:eastAsia="Arial" w:hAnsi="Arial"/>
          <w:sz w:val="22"/>
          <w:szCs w:val="22"/>
          <w:color w:val="auto"/>
        </w:rPr>
        <w:t>. Subject to Section 8(d), the Company shall deliver to the Participant one share of Stock (or the value thereof) in settlement of each outstanding Restricted Stock Unit that has vested as provided in Section 2(a) on the first to occur of (</w:t>
      </w:r>
      <w:r>
        <w:rPr>
          <w:rFonts w:ascii="Arial" w:cs="Arial" w:eastAsia="Arial" w:hAnsi="Arial"/>
          <w:sz w:val="22"/>
          <w:szCs w:val="22"/>
          <w:u w:val="single" w:color="auto"/>
          <w:color w:val="auto"/>
        </w:rPr>
        <w:t>i</w:t>
      </w:r>
      <w:r>
        <w:rPr>
          <w:rFonts w:ascii="Arial" w:cs="Arial" w:eastAsia="Arial" w:hAnsi="Arial"/>
          <w:sz w:val="22"/>
          <w:szCs w:val="22"/>
          <w:color w:val="auto"/>
        </w:rPr>
        <w:t>) the Vesting Date (or within 30 days thereafter) or (</w:t>
      </w:r>
      <w:r>
        <w:rPr>
          <w:rFonts w:ascii="Arial" w:cs="Arial" w:eastAsia="Arial" w:hAnsi="Arial"/>
          <w:sz w:val="22"/>
          <w:szCs w:val="22"/>
          <w:u w:val="single" w:color="auto"/>
          <w:color w:val="auto"/>
        </w:rPr>
        <w:t>ii</w:t>
      </w:r>
      <w:r>
        <w:rPr>
          <w:rFonts w:ascii="Arial" w:cs="Arial" w:eastAsia="Arial" w:hAnsi="Arial"/>
          <w:sz w:val="22"/>
          <w:szCs w:val="22"/>
          <w:color w:val="auto"/>
        </w:rPr>
        <w:t>) a Change in Control in which the Restricted Stock Units do not continue, in each case (</w:t>
      </w:r>
      <w:r>
        <w:rPr>
          <w:rFonts w:ascii="Arial" w:cs="Arial" w:eastAsia="Arial" w:hAnsi="Arial"/>
          <w:sz w:val="22"/>
          <w:szCs w:val="22"/>
          <w:u w:val="single" w:color="auto"/>
          <w:color w:val="auto"/>
        </w:rPr>
        <w:t>A</w:t>
      </w:r>
      <w:r>
        <w:rPr>
          <w:rFonts w:ascii="Arial" w:cs="Arial" w:eastAsia="Arial" w:hAnsi="Arial"/>
          <w:sz w:val="22"/>
          <w:szCs w:val="22"/>
          <w:color w:val="auto"/>
        </w:rPr>
        <w:t>) in Stock by either, (</w:t>
      </w:r>
      <w:r>
        <w:rPr>
          <w:rFonts w:ascii="Arial" w:cs="Arial" w:eastAsia="Arial" w:hAnsi="Arial"/>
          <w:sz w:val="22"/>
          <w:szCs w:val="22"/>
          <w:u w:val="single" w:color="auto"/>
          <w:color w:val="auto"/>
        </w:rPr>
        <w:t>x</w:t>
      </w:r>
      <w:r>
        <w:rPr>
          <w:rFonts w:ascii="Arial" w:cs="Arial" w:eastAsia="Arial" w:hAnsi="Arial"/>
          <w:sz w:val="22"/>
          <w:szCs w:val="22"/>
          <w:color w:val="auto"/>
        </w:rPr>
        <w:t>) issuing one or more certificates evidencing the Stock to the Participant or (</w:t>
      </w:r>
      <w:r>
        <w:rPr>
          <w:rFonts w:ascii="Arial" w:cs="Arial" w:eastAsia="Arial" w:hAnsi="Arial"/>
          <w:sz w:val="22"/>
          <w:szCs w:val="22"/>
          <w:u w:val="single" w:color="auto"/>
          <w:color w:val="auto"/>
        </w:rPr>
        <w:t>y</w:t>
      </w:r>
      <w:r>
        <w:rPr>
          <w:rFonts w:ascii="Arial" w:cs="Arial" w:eastAsia="Arial" w:hAnsi="Arial"/>
          <w:sz w:val="22"/>
          <w:szCs w:val="22"/>
          <w:color w:val="auto"/>
        </w:rPr>
        <w:t>) registering the issuance of the Stock in the name of the Participant through a book entry credit in the records of the Company’s transfer</w:t>
      </w:r>
    </w:p>
    <w:p>
      <w:pPr>
        <w:sectPr>
          <w:pgSz w:w="11900" w:h="16838" w:orient="portrait"/>
          <w:cols w:equalWidth="0" w:num="1">
            <w:col w:w="11088"/>
          </w:cols>
          <w:pgMar w:left="572" w:top="591" w:right="239" w:bottom="1440" w:gutter="0" w:footer="0" w:header="0"/>
        </w:sectPr>
      </w:pPr>
    </w:p>
    <w:bookmarkStart w:id="40" w:name="page41"/>
    <w:bookmarkEnd w:id="40"/>
    <w:p>
      <w:pPr>
        <w:ind w:right="120"/>
        <w:spacing w:after="0" w:line="263" w:lineRule="auto"/>
        <w:rPr>
          <w:sz w:val="20"/>
          <w:szCs w:val="20"/>
          <w:color w:val="auto"/>
        </w:rPr>
      </w:pPr>
      <w:r>
        <w:rPr>
          <w:rFonts w:ascii="Arial" w:cs="Arial" w:eastAsia="Arial" w:hAnsi="Arial"/>
          <w:sz w:val="22"/>
          <w:szCs w:val="22"/>
          <w:color w:val="auto"/>
        </w:rPr>
        <w:t>agent, or (B) in the event of settlement upon a Change in Control, a cash payment equal to the Change in Control Price, multiplied by the number of vested Restricted Stock Units). No fractional shares of Stock shall be issued in settlement of Restricted Stock Units. Fractional Restricted Stock Units shall be settled through a cash payment equal to the Fair Market Value of the Stock on the settlement date.</w:t>
      </w:r>
    </w:p>
    <w:p>
      <w:pPr>
        <w:spacing w:after="0" w:line="200" w:lineRule="exact"/>
        <w:rPr>
          <w:sz w:val="20"/>
          <w:szCs w:val="20"/>
          <w:color w:val="auto"/>
        </w:rPr>
      </w:pPr>
    </w:p>
    <w:p>
      <w:pPr>
        <w:spacing w:after="0" w:line="204" w:lineRule="exact"/>
        <w:rPr>
          <w:sz w:val="20"/>
          <w:szCs w:val="20"/>
          <w:color w:val="auto"/>
        </w:rPr>
      </w:pPr>
    </w:p>
    <w:p>
      <w:pPr>
        <w:ind w:firstLine="332"/>
        <w:spacing w:after="0" w:line="260" w:lineRule="auto"/>
        <w:tabs>
          <w:tab w:leader="none" w:pos="81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Securities Law Compliance</w:t>
      </w:r>
      <w:r>
        <w:rPr>
          <w:rFonts w:ascii="Arial" w:cs="Arial" w:eastAsia="Arial" w:hAnsi="Arial"/>
          <w:sz w:val="22"/>
          <w:szCs w:val="22"/>
          <w:color w:val="auto"/>
        </w:rPr>
        <w:t>. Notwithstanding any other provision of this Agreement, the Participant may not sell the shares of Stock acquired upon vesting of the Restricted Stock Units unless such shares are registered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Stock if the Company determines that such sale would not be in material compliance with such laws and regulations.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820" w:hanging="488"/>
        <w:spacing w:after="0"/>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Participant’s Rights with Respect to the Restricted Stock Units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40" w:firstLine="316"/>
        <w:spacing w:after="0" w:line="276" w:lineRule="auto"/>
        <w:tabs>
          <w:tab w:leader="none" w:pos="994"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Restrictions on Transferability</w:t>
      </w:r>
      <w:r>
        <w:rPr>
          <w:rFonts w:ascii="Arial" w:cs="Arial" w:eastAsia="Arial" w:hAnsi="Arial"/>
          <w:sz w:val="21"/>
          <w:szCs w:val="21"/>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92" w:lineRule="exact"/>
        <w:rPr>
          <w:rFonts w:ascii="Arial" w:cs="Arial" w:eastAsia="Arial" w:hAnsi="Arial"/>
          <w:sz w:val="21"/>
          <w:szCs w:val="21"/>
          <w:color w:val="auto"/>
        </w:rPr>
      </w:pPr>
    </w:p>
    <w:p>
      <w:pPr>
        <w:ind w:left="340" w:right="200" w:firstLine="316"/>
        <w:spacing w:after="0" w:line="334" w:lineRule="auto"/>
        <w:tabs>
          <w:tab w:leader="none" w:pos="1006"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The Participant shall not have any rights as a stockholder including any voting, dividend or other rights or privileges as a stockholder of the Company with respect to any Stock corresponding to the Restricted Stock Units granted hereby unless and until shares of Stock are issued to the Participant in respect thereof.</w:t>
      </w:r>
    </w:p>
    <w:p>
      <w:pPr>
        <w:spacing w:after="0" w:line="343" w:lineRule="exact"/>
        <w:rPr>
          <w:rFonts w:ascii="Arial" w:cs="Arial" w:eastAsia="Arial" w:hAnsi="Arial"/>
          <w:sz w:val="19"/>
          <w:szCs w:val="19"/>
          <w:color w:val="auto"/>
        </w:rPr>
      </w:pPr>
    </w:p>
    <w:p>
      <w:pPr>
        <w:ind w:left="340" w:right="360" w:firstLine="316"/>
        <w:spacing w:after="0" w:line="280" w:lineRule="auto"/>
        <w:tabs>
          <w:tab w:leader="none" w:pos="994"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shall be credited with Dividend Equivalents in the form of a right to a cash payment when cash dividends are paid on the Stock. Such cash payment shall equal the amount obtained by multiplying the amount of the dividend declared and paid for each share of Stock by the number of Restricted Stock Units held by the Participant on the record date. Any cash amounts credited to the Participant’s account shall be paid to the Participant on the applicable Payment Date for the related cash dividends.</w:t>
      </w:r>
    </w:p>
    <w:p>
      <w:pPr>
        <w:spacing w:after="0" w:line="387" w:lineRule="exact"/>
        <w:rPr>
          <w:rFonts w:ascii="Arial" w:cs="Arial" w:eastAsia="Arial" w:hAnsi="Arial"/>
          <w:sz w:val="21"/>
          <w:szCs w:val="21"/>
          <w:color w:val="auto"/>
        </w:rPr>
      </w:pPr>
    </w:p>
    <w:p>
      <w:pPr>
        <w:ind w:left="820" w:hanging="488"/>
        <w:spacing w:after="0"/>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ectPr>
          <w:pgSz w:w="11900" w:h="16838" w:orient="portrait"/>
          <w:cols w:equalWidth="0" w:num="1">
            <w:col w:w="11400"/>
          </w:cols>
          <w:pgMar w:left="240" w:top="591" w:right="259" w:bottom="1440" w:gutter="0" w:footer="0" w:header="0"/>
        </w:sectPr>
      </w:pPr>
    </w:p>
    <w:bookmarkStart w:id="41" w:name="page42"/>
    <w:bookmarkEnd w:id="41"/>
    <w:p>
      <w:pPr>
        <w:ind w:left="8" w:right="100" w:firstLine="316"/>
        <w:spacing w:after="0" w:line="309" w:lineRule="auto"/>
        <w:tabs>
          <w:tab w:leader="none" w:pos="66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67" w:lineRule="exact"/>
        <w:rPr>
          <w:rFonts w:ascii="Arial" w:cs="Arial" w:eastAsia="Arial" w:hAnsi="Arial"/>
          <w:sz w:val="19"/>
          <w:szCs w:val="19"/>
          <w:color w:val="auto"/>
        </w:rPr>
      </w:pPr>
    </w:p>
    <w:p>
      <w:pPr>
        <w:ind w:left="8" w:firstLine="316"/>
        <w:spacing w:after="0" w:line="306" w:lineRule="auto"/>
        <w:tabs>
          <w:tab w:leader="none" w:pos="674"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shares of Stock issued in respect of the Restricted Stock Units are to be disposed of in accordance with Rule 144, the Participant shall transmit to the Company an executed copy of Form 144 (if required by Rule</w:t>
      </w:r>
    </w:p>
    <w:p>
      <w:pPr>
        <w:ind w:left="8" w:right="240" w:hanging="8"/>
        <w:spacing w:after="0" w:line="353" w:lineRule="auto"/>
        <w:tabs>
          <w:tab w:leader="none" w:pos="458"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 later than the time such form is required to be transmitted to the Commission for filing and such other documentation as the Company may reasonably require to assure compliance with Rule 144 in connection with such disposition.</w:t>
      </w:r>
    </w:p>
    <w:p>
      <w:pPr>
        <w:spacing w:after="0" w:line="325" w:lineRule="exact"/>
        <w:rPr>
          <w:rFonts w:ascii="Arial" w:cs="Arial" w:eastAsia="Arial" w:hAnsi="Arial"/>
          <w:sz w:val="19"/>
          <w:szCs w:val="19"/>
          <w:color w:val="auto"/>
        </w:rPr>
      </w:pPr>
    </w:p>
    <w:p>
      <w:pPr>
        <w:ind w:left="8" w:right="660" w:firstLine="316"/>
        <w:spacing w:after="0" w:line="289" w:lineRule="auto"/>
        <w:tabs>
          <w:tab w:leader="none" w:pos="662"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377" w:lineRule="exact"/>
        <w:rPr>
          <w:sz w:val="20"/>
          <w:szCs w:val="20"/>
          <w:color w:val="auto"/>
        </w:rPr>
      </w:pPr>
    </w:p>
    <w:p>
      <w:pPr>
        <w:ind w:left="-332" w:firstLine="332"/>
        <w:spacing w:after="0" w:line="263" w:lineRule="auto"/>
        <w:tabs>
          <w:tab w:leader="none" w:pos="47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Adjustment in Capitalization</w:t>
      </w:r>
      <w:r>
        <w:rPr>
          <w:rFonts w:ascii="Arial" w:cs="Arial" w:eastAsia="Arial" w:hAnsi="Arial"/>
          <w:sz w:val="22"/>
          <w:szCs w:val="22"/>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488" w:hanging="488"/>
        <w:spacing w:after="0"/>
        <w:tabs>
          <w:tab w:leader="none" w:pos="48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28" w:hanging="323"/>
        <w:spacing w:after="0"/>
        <w:tabs>
          <w:tab w:leader="none" w:pos="728"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w:t>
      </w:r>
    </w:p>
    <w:p>
      <w:pPr>
        <w:spacing w:after="0" w:line="42" w:lineRule="exact"/>
        <w:rPr>
          <w:rFonts w:ascii="Arial" w:cs="Arial" w:eastAsia="Arial" w:hAnsi="Arial"/>
          <w:sz w:val="21"/>
          <w:szCs w:val="21"/>
          <w:color w:val="auto"/>
        </w:rPr>
      </w:pPr>
    </w:p>
    <w:p>
      <w:pPr>
        <w:ind w:left="8" w:right="240"/>
        <w:spacing w:after="0" w:line="327" w:lineRule="auto"/>
        <w:rPr>
          <w:rFonts w:ascii="Arial" w:cs="Arial" w:eastAsia="Arial" w:hAnsi="Arial"/>
          <w:sz w:val="21"/>
          <w:szCs w:val="21"/>
          <w:color w:val="auto"/>
        </w:rPr>
      </w:pPr>
      <w:r>
        <w:rPr>
          <w:rFonts w:ascii="Arial" w:cs="Arial" w:eastAsia="Arial" w:hAnsi="Arial"/>
          <w:sz w:val="19"/>
          <w:szCs w:val="19"/>
          <w:color w:val="auto"/>
        </w:rPr>
        <w:t>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49" w:lineRule="exact"/>
        <w:rPr>
          <w:rFonts w:ascii="Arial" w:cs="Arial" w:eastAsia="Arial" w:hAnsi="Arial"/>
          <w:sz w:val="21"/>
          <w:szCs w:val="21"/>
          <w:color w:val="auto"/>
        </w:rPr>
      </w:pPr>
    </w:p>
    <w:p>
      <w:pPr>
        <w:ind w:left="8" w:right="80" w:firstLine="397"/>
        <w:spacing w:after="0" w:line="272" w:lineRule="auto"/>
        <w:tabs>
          <w:tab w:leader="none" w:pos="755"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ectPr>
          <w:pgSz w:w="11900" w:h="16838" w:orient="portrait"/>
          <w:cols w:equalWidth="0" w:num="1">
            <w:col w:w="11088"/>
          </w:cols>
          <w:pgMar w:left="572" w:top="591" w:right="239" w:bottom="1440" w:gutter="0" w:footer="0" w:header="0"/>
        </w:sectPr>
      </w:pPr>
    </w:p>
    <w:bookmarkStart w:id="42" w:name="page43"/>
    <w:bookmarkEnd w:id="42"/>
    <w:p>
      <w:pPr>
        <w:ind w:left="-397" w:firstLine="397"/>
        <w:spacing w:after="0" w:line="273" w:lineRule="auto"/>
        <w:tabs>
          <w:tab w:leader="none" w:pos="338"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399" w:lineRule="exact"/>
        <w:rPr>
          <w:rFonts w:ascii="Arial" w:cs="Arial" w:eastAsia="Arial" w:hAnsi="Arial"/>
          <w:sz w:val="21"/>
          <w:szCs w:val="21"/>
          <w:color w:val="auto"/>
        </w:rPr>
      </w:pPr>
    </w:p>
    <w:p>
      <w:pPr>
        <w:ind w:left="-397" w:firstLine="397"/>
        <w:spacing w:after="0" w:line="301" w:lineRule="auto"/>
        <w:tabs>
          <w:tab w:leader="none" w:pos="35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Whenever any cash or other payment is to be made hereunder or with respect to the Restricted Stock Units, the Company or any Subsidiary shall have the power to withhold an amount (in cash, Restricted Stock Units or in Stock issuable upon settlement of Restricted Stock Units or from other amounts paid to the Participant in cash (whether under the Plan or otherwise)) sufficient to satisfy federal, state, and local withholding tax requirements relating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Company may require the recipient of shares of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3" w:lineRule="exact"/>
        <w:rPr>
          <w:rFonts w:ascii="Arial" w:cs="Arial" w:eastAsia="Arial" w:hAnsi="Arial"/>
          <w:sz w:val="19"/>
          <w:szCs w:val="19"/>
          <w:color w:val="auto"/>
        </w:rPr>
      </w:pPr>
    </w:p>
    <w:p>
      <w:pPr>
        <w:ind w:left="-397" w:right="140" w:firstLine="397"/>
        <w:spacing w:after="0" w:line="272" w:lineRule="auto"/>
        <w:tabs>
          <w:tab w:leader="none" w:pos="33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ectPr>
          <w:pgSz w:w="11900" w:h="16838" w:orient="portrait"/>
          <w:cols w:equalWidth="0" w:num="1">
            <w:col w:w="10643"/>
          </w:cols>
          <w:pgMar w:left="977" w:top="591" w:right="279" w:bottom="1440" w:gutter="0" w:footer="0" w:header="0"/>
        </w:sectPr>
      </w:pPr>
    </w:p>
    <w:bookmarkStart w:id="43" w:name="page44"/>
    <w:bookmarkEnd w:id="43"/>
    <w:p>
      <w:pPr>
        <w:ind w:left="-397" w:right="120" w:firstLine="397"/>
        <w:spacing w:after="0" w:line="289" w:lineRule="auto"/>
        <w:tabs>
          <w:tab w:leader="none" w:pos="31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376" w:lineRule="exact"/>
        <w:rPr>
          <w:rFonts w:ascii="Arial" w:cs="Arial" w:eastAsia="Arial" w:hAnsi="Arial"/>
          <w:sz w:val="22"/>
          <w:szCs w:val="22"/>
          <w:color w:val="auto"/>
        </w:rPr>
      </w:pPr>
    </w:p>
    <w:p>
      <w:pPr>
        <w:ind w:left="-397" w:right="140" w:firstLine="397"/>
        <w:spacing w:after="0" w:line="267" w:lineRule="auto"/>
        <w:tabs>
          <w:tab w:leader="none" w:pos="35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397" w:right="280" w:firstLine="397"/>
        <w:spacing w:after="0" w:line="272" w:lineRule="auto"/>
        <w:tabs>
          <w:tab w:leader="none" w:pos="35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95" w:lineRule="exact"/>
        <w:rPr>
          <w:rFonts w:ascii="Arial" w:cs="Arial" w:eastAsia="Arial" w:hAnsi="Arial"/>
          <w:sz w:val="22"/>
          <w:szCs w:val="22"/>
          <w:color w:val="auto"/>
        </w:rPr>
      </w:pPr>
    </w:p>
    <w:p>
      <w:pPr>
        <w:ind w:left="-397" w:firstLine="397"/>
        <w:spacing w:after="0" w:line="309" w:lineRule="auto"/>
        <w:tabs>
          <w:tab w:leader="none" w:pos="30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Limitation on Rights; No Right to Future Grants; Extraordinary Item of Compensation</w:t>
      </w:r>
      <w:r>
        <w:rPr>
          <w:rFonts w:ascii="Arial" w:cs="Arial" w:eastAsia="Arial" w:hAnsi="Arial"/>
          <w:sz w:val="19"/>
          <w:szCs w:val="19"/>
          <w:color w:val="auto"/>
        </w:rPr>
        <w:t>. By entering into this Agreement and accepting the Restricted Stock Units evidenced hereby, the Participant acknowledges: (</w:t>
      </w:r>
      <w:r>
        <w:rPr>
          <w:rFonts w:ascii="Arial" w:cs="Arial" w:eastAsia="Arial" w:hAnsi="Arial"/>
          <w:sz w:val="19"/>
          <w:szCs w:val="19"/>
          <w:u w:val="single" w:color="auto"/>
          <w:color w:val="auto"/>
        </w:rPr>
        <w:t>a</w:t>
      </w:r>
      <w:r>
        <w:rPr>
          <w:rFonts w:ascii="Arial" w:cs="Arial" w:eastAsia="Arial" w:hAnsi="Arial"/>
          <w:sz w:val="19"/>
          <w:szCs w:val="19"/>
          <w:color w:val="auto"/>
        </w:rPr>
        <w:t>) that the Plan is discretionary in nature and may be suspended or terminated by the Company at any time; (</w:t>
      </w:r>
      <w:r>
        <w:rPr>
          <w:rFonts w:ascii="Arial" w:cs="Arial" w:eastAsia="Arial" w:hAnsi="Arial"/>
          <w:sz w:val="19"/>
          <w:szCs w:val="19"/>
          <w:u w:val="single" w:color="auto"/>
          <w:color w:val="auto"/>
        </w:rPr>
        <w:t>b</w:t>
      </w:r>
      <w:r>
        <w:rPr>
          <w:rFonts w:ascii="Arial" w:cs="Arial" w:eastAsia="Arial" w:hAnsi="Arial"/>
          <w:sz w:val="19"/>
          <w:szCs w:val="19"/>
          <w:color w:val="auto"/>
        </w:rPr>
        <w:t>) that the Award does not create any contractual or other right to receive future grants of Awards; (</w:t>
      </w:r>
      <w:r>
        <w:rPr>
          <w:rFonts w:ascii="Arial" w:cs="Arial" w:eastAsia="Arial" w:hAnsi="Arial"/>
          <w:sz w:val="19"/>
          <w:szCs w:val="19"/>
          <w:u w:val="single" w:color="auto"/>
          <w:color w:val="auto"/>
        </w:rPr>
        <w:t>c</w:t>
      </w:r>
      <w:r>
        <w:rPr>
          <w:rFonts w:ascii="Arial" w:cs="Arial" w:eastAsia="Arial" w:hAnsi="Arial"/>
          <w:sz w:val="19"/>
          <w:szCs w:val="19"/>
          <w:color w:val="auto"/>
        </w:rPr>
        <w:t>) that participation in the Plan is voluntary; (</w:t>
      </w:r>
      <w:r>
        <w:rPr>
          <w:rFonts w:ascii="Arial" w:cs="Arial" w:eastAsia="Arial" w:hAnsi="Arial"/>
          <w:sz w:val="19"/>
          <w:szCs w:val="19"/>
          <w:u w:val="single" w:color="auto"/>
          <w:color w:val="auto"/>
        </w:rPr>
        <w:t>d</w:t>
      </w:r>
      <w:r>
        <w:rPr>
          <w:rFonts w:ascii="Arial" w:cs="Arial" w:eastAsia="Arial" w:hAnsi="Arial"/>
          <w:sz w:val="19"/>
          <w:szCs w:val="19"/>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19"/>
          <w:szCs w:val="19"/>
          <w:u w:val="single" w:color="auto"/>
          <w:color w:val="auto"/>
        </w:rPr>
        <w:t>e</w:t>
      </w:r>
      <w:r>
        <w:rPr>
          <w:rFonts w:ascii="Arial" w:cs="Arial" w:eastAsia="Arial" w:hAnsi="Arial"/>
          <w:sz w:val="19"/>
          <w:szCs w:val="19"/>
          <w:color w:val="auto"/>
        </w:rPr>
        <w:t>) that the future value of the Stock is unknown and cannot be predicted with certainty.</w:t>
      </w:r>
    </w:p>
    <w:p>
      <w:pPr>
        <w:spacing w:after="0" w:line="367" w:lineRule="exact"/>
        <w:rPr>
          <w:rFonts w:ascii="Arial" w:cs="Arial" w:eastAsia="Arial" w:hAnsi="Arial"/>
          <w:sz w:val="19"/>
          <w:szCs w:val="19"/>
          <w:color w:val="auto"/>
        </w:rPr>
      </w:pPr>
    </w:p>
    <w:p>
      <w:pPr>
        <w:ind w:left="-397" w:right="40" w:firstLine="397"/>
        <w:spacing w:after="0" w:line="315" w:lineRule="auto"/>
        <w:tabs>
          <w:tab w:leader="none" w:pos="30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By accepting the grant evidenced hereby, the Participant: (</w:t>
      </w:r>
      <w:r>
        <w:rPr>
          <w:rFonts w:ascii="Arial" w:cs="Arial" w:eastAsia="Arial" w:hAnsi="Arial"/>
          <w:sz w:val="19"/>
          <w:szCs w:val="19"/>
          <w:u w:val="single" w:color="auto"/>
          <w:color w:val="auto"/>
        </w:rPr>
        <w:t>a</w:t>
      </w:r>
      <w:r>
        <w:rPr>
          <w:rFonts w:ascii="Arial" w:cs="Arial" w:eastAsia="Arial" w:hAnsi="Arial"/>
          <w:sz w:val="19"/>
          <w:szCs w:val="19"/>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19"/>
          <w:szCs w:val="19"/>
          <w:u w:val="single" w:color="auto"/>
          <w:color w:val="auto"/>
        </w:rPr>
        <w:t>b</w:t>
      </w:r>
      <w:r>
        <w:rPr>
          <w:rFonts w:ascii="Arial" w:cs="Arial" w:eastAsia="Arial" w:hAnsi="Arial"/>
          <w:sz w:val="19"/>
          <w:szCs w:val="19"/>
          <w:color w:val="auto"/>
        </w:rPr>
        <w:t>) waives any data privacy rights the Participant may have with respect to such information; and (</w:t>
      </w:r>
      <w:r>
        <w:rPr>
          <w:rFonts w:ascii="Arial" w:cs="Arial" w:eastAsia="Arial" w:hAnsi="Arial"/>
          <w:sz w:val="19"/>
          <w:szCs w:val="19"/>
          <w:u w:val="single" w:color="auto"/>
          <w:color w:val="auto"/>
        </w:rPr>
        <w:t>c</w:t>
      </w:r>
      <w:r>
        <w:rPr>
          <w:rFonts w:ascii="Arial" w:cs="Arial" w:eastAsia="Arial" w:hAnsi="Arial"/>
          <w:sz w:val="19"/>
          <w:szCs w:val="19"/>
          <w:color w:val="auto"/>
        </w:rPr>
        <w:t>) authorizes the Company and its agents to store and transmit such information in electronic form.</w:t>
      </w:r>
    </w:p>
    <w:p>
      <w:pPr>
        <w:spacing w:after="0" w:line="362" w:lineRule="exact"/>
        <w:rPr>
          <w:rFonts w:ascii="Arial" w:cs="Arial" w:eastAsia="Arial" w:hAnsi="Arial"/>
          <w:sz w:val="19"/>
          <w:szCs w:val="19"/>
          <w:color w:val="auto"/>
        </w:rPr>
      </w:pPr>
    </w:p>
    <w:p>
      <w:pPr>
        <w:ind w:left="-397" w:right="260" w:firstLine="397"/>
        <w:spacing w:after="0" w:line="264" w:lineRule="auto"/>
        <w:tabs>
          <w:tab w:leader="none" w:pos="35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Consent to Electronic Delivery</w:t>
      </w:r>
      <w:r>
        <w:rPr>
          <w:rFonts w:ascii="Arial" w:cs="Arial" w:eastAsia="Arial" w:hAnsi="Arial"/>
          <w:sz w:val="22"/>
          <w:szCs w:val="22"/>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Morgan Stanley Smith Barney Benefit Access System, email or other electronic delivery.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397" w:right="80" w:firstLine="397"/>
        <w:spacing w:after="0" w:line="272" w:lineRule="auto"/>
        <w:tabs>
          <w:tab w:leader="none" w:pos="30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Specified Employee Delay</w:t>
      </w:r>
      <w:r>
        <w:rPr>
          <w:rFonts w:ascii="Arial" w:cs="Arial" w:eastAsia="Arial" w:hAnsi="Arial"/>
          <w:sz w:val="22"/>
          <w:szCs w:val="22"/>
          <w:color w:val="auto"/>
        </w:rPr>
        <w:t>. If the Participant is deemed a "specified employee" within the meaning of Section 409A of the Code and the regulations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as determined by the Committee, at a time when the Participant becomes</w:t>
      </w:r>
    </w:p>
    <w:p>
      <w:pPr>
        <w:sectPr>
          <w:pgSz w:w="11900" w:h="16838" w:orient="portrait"/>
          <w:cols w:equalWidth="0" w:num="1">
            <w:col w:w="10663"/>
          </w:cols>
          <w:pgMar w:left="977" w:top="591" w:right="259" w:bottom="1440" w:gutter="0" w:footer="0" w:header="0"/>
        </w:sectPr>
      </w:pPr>
    </w:p>
    <w:bookmarkStart w:id="44" w:name="page45"/>
    <w:bookmarkEnd w:id="44"/>
    <w:p>
      <w:pPr>
        <w:ind w:right="20"/>
        <w:spacing w:after="0" w:line="305" w:lineRule="auto"/>
        <w:rPr>
          <w:sz w:val="20"/>
          <w:szCs w:val="20"/>
          <w:color w:val="auto"/>
        </w:rPr>
      </w:pPr>
      <w:r>
        <w:rPr>
          <w:rFonts w:ascii="Arial" w:cs="Arial" w:eastAsia="Arial" w:hAnsi="Arial"/>
          <w:sz w:val="19"/>
          <w:szCs w:val="19"/>
          <w:color w:val="auto"/>
        </w:rPr>
        <w:t>eligible for settlement of the Restricted Stock Units upon his or her “separation from service” within the meaning of Section 409A, then to the extent necessary to prevent any accelerated or additional tax under Section 409A, such settlement will be delayed until the earlier of: (a) the date that is six months following the Participant’s termination of service and (b)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72" w:lineRule="exact"/>
        <w:rPr>
          <w:sz w:val="20"/>
          <w:szCs w:val="20"/>
          <w:color w:val="auto"/>
        </w:rPr>
      </w:pPr>
    </w:p>
    <w:p>
      <w:pPr>
        <w:ind w:right="40" w:firstLine="397"/>
        <w:spacing w:after="0" w:line="276" w:lineRule="auto"/>
        <w:tabs>
          <w:tab w:leader="none" w:pos="807"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Section 409A of the Code</w:t>
      </w:r>
      <w:r>
        <w:rPr>
          <w:rFonts w:ascii="Arial" w:cs="Arial" w:eastAsia="Arial" w:hAnsi="Arial"/>
          <w:sz w:val="21"/>
          <w:szCs w:val="21"/>
          <w:color w:val="auto"/>
        </w:rPr>
        <w:t>. This Agreement is intended to be administered in a manner consistent with the requirements, where applicable, of Section 409A.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392" w:lineRule="exact"/>
        <w:rPr>
          <w:rFonts w:ascii="Arial" w:cs="Arial" w:eastAsia="Arial" w:hAnsi="Arial"/>
          <w:sz w:val="21"/>
          <w:szCs w:val="21"/>
          <w:color w:val="auto"/>
        </w:rPr>
      </w:pPr>
    </w:p>
    <w:p>
      <w:pPr>
        <w:ind w:right="260" w:firstLine="397"/>
        <w:spacing w:after="0" w:line="289" w:lineRule="auto"/>
        <w:tabs>
          <w:tab w:leader="none" w:pos="747"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376" w:lineRule="exact"/>
        <w:rPr>
          <w:rFonts w:ascii="Arial" w:cs="Arial" w:eastAsia="Arial" w:hAnsi="Arial"/>
          <w:sz w:val="22"/>
          <w:szCs w:val="22"/>
          <w:color w:val="auto"/>
        </w:rPr>
      </w:pPr>
    </w:p>
    <w:p>
      <w:pPr>
        <w:ind w:right="100" w:firstLine="397"/>
        <w:spacing w:after="0" w:line="280" w:lineRule="auto"/>
        <w:tabs>
          <w:tab w:leader="none" w:pos="747"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under this Agreement shall be (</w:t>
      </w:r>
      <w:r>
        <w:rPr>
          <w:rFonts w:ascii="Arial" w:cs="Arial" w:eastAsia="Arial" w:hAnsi="Arial"/>
          <w:sz w:val="21"/>
          <w:szCs w:val="21"/>
          <w:u w:val="single" w:color="auto"/>
          <w:color w:val="auto"/>
        </w:rPr>
        <w:t>i</w:t>
      </w:r>
      <w:r>
        <w:rPr>
          <w:rFonts w:ascii="Arial" w:cs="Arial" w:eastAsia="Arial" w:hAnsi="Arial"/>
          <w:sz w:val="21"/>
          <w:szCs w:val="21"/>
          <w:color w:val="auto"/>
        </w:rPr>
        <w:t>) delivered by hand, (</w:t>
      </w:r>
      <w:r>
        <w:rPr>
          <w:rFonts w:ascii="Arial" w:cs="Arial" w:eastAsia="Arial" w:hAnsi="Arial"/>
          <w:sz w:val="21"/>
          <w:szCs w:val="21"/>
          <w:u w:val="single" w:color="auto"/>
          <w:color w:val="auto"/>
        </w:rPr>
        <w:t>ii</w:t>
      </w:r>
      <w:r>
        <w:rPr>
          <w:rFonts w:ascii="Arial" w:cs="Arial" w:eastAsia="Arial" w:hAnsi="Arial"/>
          <w:sz w:val="21"/>
          <w:szCs w:val="21"/>
          <w:color w:val="auto"/>
        </w:rPr>
        <w:t>) sent by commercial overnight courier service, (</w:t>
      </w:r>
      <w:r>
        <w:rPr>
          <w:rFonts w:ascii="Arial" w:cs="Arial" w:eastAsia="Arial" w:hAnsi="Arial"/>
          <w:sz w:val="21"/>
          <w:szCs w:val="21"/>
          <w:u w:val="single" w:color="auto"/>
          <w:color w:val="auto"/>
        </w:rPr>
        <w:t>iii</w:t>
      </w:r>
      <w:r>
        <w:rPr>
          <w:rFonts w:ascii="Arial" w:cs="Arial" w:eastAsia="Arial" w:hAnsi="Arial"/>
          <w:sz w:val="21"/>
          <w:szCs w:val="21"/>
          <w:color w:val="auto"/>
        </w:rPr>
        <w:t>) sent by registered or certified mail, return receipt requested, and first-class postage prepaid, (</w:t>
      </w:r>
      <w:r>
        <w:rPr>
          <w:rFonts w:ascii="Arial" w:cs="Arial" w:eastAsia="Arial" w:hAnsi="Arial"/>
          <w:sz w:val="21"/>
          <w:szCs w:val="21"/>
          <w:u w:val="single" w:color="auto"/>
          <w:color w:val="auto"/>
        </w:rPr>
        <w:t>iv</w:t>
      </w:r>
      <w:r>
        <w:rPr>
          <w:rFonts w:ascii="Arial" w:cs="Arial" w:eastAsia="Arial" w:hAnsi="Arial"/>
          <w:sz w:val="21"/>
          <w:szCs w:val="21"/>
          <w:color w:val="auto"/>
        </w:rPr>
        <w:t>) sent by e-mail or any other form of electronic transfer or delivery approved by the Administrator, or (</w:t>
      </w:r>
      <w:r>
        <w:rPr>
          <w:rFonts w:ascii="Arial" w:cs="Arial" w:eastAsia="Arial" w:hAnsi="Arial"/>
          <w:sz w:val="21"/>
          <w:szCs w:val="21"/>
          <w:u w:val="single" w:color="auto"/>
          <w:color w:val="auto"/>
        </w:rPr>
        <w:t>v</w:t>
      </w:r>
      <w:r>
        <w:rPr>
          <w:rFonts w:ascii="Arial" w:cs="Arial" w:eastAsia="Arial" w:hAnsi="Arial"/>
          <w:sz w:val="21"/>
          <w:szCs w:val="21"/>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387" w:lineRule="exact"/>
        <w:rPr>
          <w:rFonts w:ascii="Arial" w:cs="Arial" w:eastAsia="Arial" w:hAnsi="Arial"/>
          <w:sz w:val="21"/>
          <w:szCs w:val="21"/>
          <w:color w:val="auto"/>
        </w:rPr>
      </w:pPr>
    </w:p>
    <w:p>
      <w:pPr>
        <w:ind w:firstLine="397"/>
        <w:spacing w:after="0" w:line="289" w:lineRule="auto"/>
        <w:tabs>
          <w:tab w:leader="none" w:pos="747"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1040"/>
          </w:cols>
          <w:pgMar w:left="580" w:top="591"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2015,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5"/>
    </w:lvl>
  </w:abstractNum>
  <w:abstractNum w:abstractNumId="5">
    <w:nsid w:val="4353D0CD"/>
    <w:multiLevelType w:val="hybridMultilevel"/>
    <w:lvl w:ilvl="0">
      <w:lvlJc w:val="left"/>
      <w:lvlText w:val="%1."/>
      <w:numFmt w:val="decimal"/>
      <w:start w:val="12"/>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0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6">
    <w:nsid w:val="507236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380482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77465F01"/>
    <w:multiLevelType w:val="hybridMultilevel"/>
    <w:lvl w:ilvl="0">
      <w:lvlJc w:val="left"/>
      <w:lvlText w:val="%1."/>
      <w:numFmt w:val="decimal"/>
      <w:start w:val="4"/>
    </w:lvl>
    <w:lvl w:ilvl="1">
      <w:lvlJc w:val="left"/>
      <w:lvlText w:val="%2."/>
      <w:numFmt w:val="lowerLetter"/>
      <w:start w:val="1"/>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decimal"/>
      <w:start w:val="144"/>
    </w:lvl>
    <w:lvl w:ilvl="1">
      <w:lvlJc w:val="left"/>
      <w:lvlText w:val="%2."/>
      <w:numFmt w:val="lowerLetter"/>
      <w:start w:val="3"/>
    </w:lvl>
  </w:abstractNum>
  <w:abstractNum w:abstractNumId="31">
    <w:nsid w:val="2463B9EA"/>
    <w:multiLevelType w:val="hybridMultilevel"/>
    <w:lvl w:ilvl="0">
      <w:lvlJc w:val="left"/>
      <w:lvlText w:val="%1."/>
      <w:numFmt w:val="decimal"/>
      <w:start w:val="7"/>
    </w:lvl>
    <w:lvl w:ilvl="1">
      <w:lvlJc w:val="left"/>
      <w:lvlText w:val="%2."/>
      <w:numFmt w:val="lowerLetter"/>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6"/>
    </w:lvl>
  </w:abstractNum>
  <w:abstractNum w:abstractNumId="34">
    <w:nsid w:val="2D517796"/>
    <w:multiLevelType w:val="hybridMultilevel"/>
    <w:lvl w:ilvl="0">
      <w:lvlJc w:val="left"/>
      <w:lvlText w:val="%1."/>
      <w:numFmt w:val="lowerLetter"/>
      <w:start w:val="1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2019-12-29T16:20:57Z</dcterms:created>
  <dcterms:modified xsi:type="dcterms:W3CDTF">2019-12-29T16:20:57Z</dcterms:modified>
</cp:coreProperties>
</file>