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252095</wp:posOffset>
            </wp:positionH>
            <wp:positionV relativeFrom="page">
              <wp:posOffset>732155</wp:posOffset>
            </wp:positionV>
            <wp:extent cx="705802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58025"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99695</wp:posOffset>
            </wp:positionH>
            <wp:positionV relativeFrom="paragraph">
              <wp:posOffset>-224155</wp:posOffset>
            </wp:positionV>
            <wp:extent cx="70580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58025" cy="8890"/>
                    </a:xfrm>
                    <a:prstGeom prst="rect">
                      <a:avLst/>
                    </a:prstGeom>
                    <a:noFill/>
                  </pic:spPr>
                </pic:pic>
              </a:graphicData>
            </a:graphic>
          </wp:anchor>
        </w:drawing>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ind w:left="4120"/>
        <w:spacing w:after="0"/>
        <w:rPr>
          <w:sz w:val="20"/>
          <w:szCs w:val="20"/>
          <w:color w:val="auto"/>
        </w:rPr>
      </w:pPr>
      <w:r>
        <w:rPr>
          <w:rFonts w:ascii="Arial" w:cs="Arial" w:eastAsia="Arial" w:hAnsi="Arial"/>
          <w:sz w:val="18"/>
          <w:szCs w:val="18"/>
          <w:color w:val="auto"/>
        </w:rPr>
        <w:t>___________________________________</w:t>
      </w:r>
    </w:p>
    <w:p>
      <w:pPr>
        <w:spacing w:after="0" w:line="66"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10-Q</w:t>
      </w:r>
    </w:p>
    <w:p>
      <w:pPr>
        <w:spacing w:after="0" w:line="34" w:lineRule="exact"/>
        <w:rPr>
          <w:sz w:val="24"/>
          <w:szCs w:val="24"/>
          <w:color w:val="auto"/>
        </w:rPr>
      </w:pPr>
    </w:p>
    <w:p>
      <w:pPr>
        <w:ind w:left="4160"/>
        <w:spacing w:after="0"/>
        <w:rPr>
          <w:sz w:val="20"/>
          <w:szCs w:val="20"/>
          <w:color w:val="auto"/>
        </w:rPr>
      </w:pPr>
      <w:r>
        <w:rPr>
          <w:rFonts w:ascii="Arial" w:cs="Arial" w:eastAsia="Arial" w:hAnsi="Arial"/>
          <w:sz w:val="18"/>
          <w:szCs w:val="18"/>
          <w:color w:val="auto"/>
        </w:rPr>
        <w:t>___________________________________</w:t>
      </w:r>
    </w:p>
    <w:p>
      <w:pPr>
        <w:spacing w:after="0" w:line="1"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9" w:lineRule="exact"/>
        <w:rPr>
          <w:sz w:val="24"/>
          <w:szCs w:val="24"/>
          <w:color w:val="auto"/>
        </w:rPr>
      </w:pPr>
    </w:p>
    <w:p>
      <w:pPr>
        <w:ind w:left="660" w:right="240" w:hanging="652"/>
        <w:spacing w:after="0" w:line="254" w:lineRule="auto"/>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June 30, 2016</w:t>
      </w:r>
    </w:p>
    <w:p>
      <w:pPr>
        <w:spacing w:after="0" w:line="122" w:lineRule="exact"/>
        <w:rPr>
          <w:sz w:val="24"/>
          <w:szCs w:val="24"/>
          <w:color w:val="auto"/>
        </w:rPr>
      </w:pPr>
    </w:p>
    <w:p>
      <w:pPr>
        <w:ind w:left="660" w:right="220" w:hanging="652"/>
        <w:spacing w:after="0" w:line="269" w:lineRule="auto"/>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3" w:lineRule="exact"/>
        <w:rPr>
          <w:sz w:val="24"/>
          <w:szCs w:val="24"/>
          <w:color w:val="auto"/>
        </w:rPr>
      </w:pPr>
    </w:p>
    <w:p>
      <w:pPr>
        <w:ind w:left="390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9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No. 001-34972</w:t>
      </w:r>
    </w:p>
    <w:p>
      <w:pPr>
        <w:spacing w:after="0" w:line="27" w:lineRule="exact"/>
        <w:rPr>
          <w:sz w:val="24"/>
          <w:szCs w:val="24"/>
          <w:color w:val="auto"/>
        </w:rPr>
      </w:pPr>
    </w:p>
    <w:p>
      <w:pPr>
        <w:ind w:left="4160"/>
        <w:spacing w:after="0"/>
        <w:rPr>
          <w:sz w:val="20"/>
          <w:szCs w:val="20"/>
          <w:color w:val="auto"/>
        </w:rPr>
      </w:pPr>
      <w:r>
        <w:rPr>
          <w:rFonts w:ascii="Arial" w:cs="Arial" w:eastAsia="Arial" w:hAnsi="Arial"/>
          <w:sz w:val="18"/>
          <w:szCs w:val="18"/>
          <w:color w:val="auto"/>
        </w:rPr>
        <w:t>___________________________________</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Booz Allen Hamilton Holding Corporation</w:t>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 w:lineRule="exact"/>
        <w:rPr>
          <w:sz w:val="24"/>
          <w:szCs w:val="24"/>
          <w:color w:val="auto"/>
        </w:rPr>
      </w:pPr>
    </w:p>
    <w:p>
      <w:pPr>
        <w:ind w:left="4160"/>
        <w:spacing w:after="0"/>
        <w:rPr>
          <w:sz w:val="20"/>
          <w:szCs w:val="20"/>
          <w:color w:val="auto"/>
        </w:rPr>
      </w:pPr>
      <w:r>
        <w:rPr>
          <w:rFonts w:ascii="Arial" w:cs="Arial" w:eastAsia="Arial" w:hAnsi="Arial"/>
          <w:sz w:val="18"/>
          <w:szCs w:val="18"/>
          <w:color w:val="auto"/>
        </w:rPr>
        <w:t>___________________________________</w:t>
      </w:r>
    </w:p>
    <w:p>
      <w:pPr>
        <w:spacing w:after="0" w:line="153" w:lineRule="exact"/>
        <w:rPr>
          <w:sz w:val="24"/>
          <w:szCs w:val="24"/>
          <w:color w:val="auto"/>
        </w:rPr>
      </w:pPr>
    </w:p>
    <w:tbl>
      <w:tblPr>
        <w:tblLayout w:type="fixed"/>
        <w:tblInd w:w="1180" w:type="dxa"/>
        <w:tblCellMar>
          <w:top w:w="0" w:type="dxa"/>
          <w:left w:w="0" w:type="dxa"/>
          <w:bottom w:w="0" w:type="dxa"/>
          <w:right w:w="0" w:type="dxa"/>
        </w:tblCellMar>
      </w:tblPr>
      <w:tr>
        <w:trPr>
          <w:trHeight w:val="234"/>
        </w:trPr>
        <w:tc>
          <w:tcPr>
            <w:tcW w:w="3600" w:type="dxa"/>
            <w:vAlign w:val="bottom"/>
          </w:tcPr>
          <w:p>
            <w:pPr>
              <w:jc w:val="center"/>
              <w:ind w:right="281"/>
              <w:spacing w:after="0"/>
              <w:rPr>
                <w:sz w:val="20"/>
                <w:szCs w:val="20"/>
                <w:color w:val="auto"/>
              </w:rPr>
            </w:pPr>
            <w:r>
              <w:rPr>
                <w:rFonts w:ascii="Arial" w:cs="Arial" w:eastAsia="Arial" w:hAnsi="Arial"/>
                <w:sz w:val="18"/>
                <w:szCs w:val="18"/>
                <w:b w:val="1"/>
                <w:bCs w:val="1"/>
                <w:color w:val="auto"/>
                <w:w w:val="91"/>
              </w:rPr>
              <w:t>Delaware</w:t>
            </w:r>
          </w:p>
        </w:tc>
        <w:tc>
          <w:tcPr>
            <w:tcW w:w="4500" w:type="dxa"/>
            <w:vAlign w:val="bottom"/>
          </w:tcPr>
          <w:p>
            <w:pPr>
              <w:jc w:val="right"/>
              <w:ind w:right="39"/>
              <w:spacing w:after="0"/>
              <w:rPr>
                <w:sz w:val="20"/>
                <w:szCs w:val="20"/>
                <w:color w:val="auto"/>
              </w:rPr>
            </w:pPr>
            <w:r>
              <w:rPr>
                <w:rFonts w:ascii="Arial" w:cs="Arial" w:eastAsia="Arial" w:hAnsi="Arial"/>
                <w:sz w:val="18"/>
                <w:szCs w:val="18"/>
                <w:b w:val="1"/>
                <w:bCs w:val="1"/>
                <w:color w:val="auto"/>
              </w:rPr>
              <w:t>26-2634160</w:t>
            </w:r>
          </w:p>
        </w:tc>
      </w:tr>
      <w:tr>
        <w:trPr>
          <w:trHeight w:val="180"/>
        </w:trPr>
        <w:tc>
          <w:tcPr>
            <w:tcW w:w="3600" w:type="dxa"/>
            <w:vAlign w:val="bottom"/>
          </w:tcPr>
          <w:p>
            <w:pPr>
              <w:jc w:val="center"/>
              <w:ind w:right="281"/>
              <w:spacing w:after="0"/>
              <w:rPr>
                <w:sz w:val="20"/>
                <w:szCs w:val="20"/>
                <w:color w:val="auto"/>
              </w:rPr>
            </w:pPr>
            <w:r>
              <w:rPr>
                <w:rFonts w:ascii="Arial" w:cs="Arial" w:eastAsia="Arial" w:hAnsi="Arial"/>
                <w:sz w:val="14"/>
                <w:szCs w:val="14"/>
                <w:b w:val="1"/>
                <w:bCs w:val="1"/>
                <w:color w:val="auto"/>
                <w:w w:val="93"/>
              </w:rPr>
              <w:t>(State or other jurisdiction of</w:t>
            </w:r>
          </w:p>
        </w:tc>
        <w:tc>
          <w:tcPr>
            <w:tcW w:w="4500" w:type="dxa"/>
            <w:vAlign w:val="bottom"/>
          </w:tcPr>
          <w:p>
            <w:pPr>
              <w:jc w:val="center"/>
              <w:ind w:left="3299"/>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3600" w:type="dxa"/>
            <w:vAlign w:val="bottom"/>
          </w:tcPr>
          <w:p>
            <w:pPr>
              <w:jc w:val="center"/>
              <w:ind w:right="281"/>
              <w:spacing w:after="0"/>
              <w:rPr>
                <w:sz w:val="20"/>
                <w:szCs w:val="20"/>
                <w:color w:val="auto"/>
              </w:rPr>
            </w:pPr>
            <w:r>
              <w:rPr>
                <w:rFonts w:ascii="Arial" w:cs="Arial" w:eastAsia="Arial" w:hAnsi="Arial"/>
                <w:sz w:val="14"/>
                <w:szCs w:val="14"/>
                <w:b w:val="1"/>
                <w:bCs w:val="1"/>
                <w:color w:val="auto"/>
                <w:w w:val="94"/>
              </w:rPr>
              <w:t>incorporation or organization)</w:t>
            </w:r>
          </w:p>
        </w:tc>
        <w:tc>
          <w:tcPr>
            <w:tcW w:w="4500" w:type="dxa"/>
            <w:vAlign w:val="bottom"/>
          </w:tcPr>
          <w:p>
            <w:pPr>
              <w:jc w:val="center"/>
              <w:ind w:left="3299"/>
              <w:spacing w:after="0"/>
              <w:rPr>
                <w:sz w:val="20"/>
                <w:szCs w:val="20"/>
                <w:color w:val="auto"/>
              </w:rPr>
            </w:pPr>
            <w:r>
              <w:rPr>
                <w:rFonts w:ascii="Arial" w:cs="Arial" w:eastAsia="Arial" w:hAnsi="Arial"/>
                <w:sz w:val="14"/>
                <w:szCs w:val="14"/>
                <w:b w:val="1"/>
                <w:bCs w:val="1"/>
                <w:color w:val="auto"/>
                <w:w w:val="94"/>
              </w:rPr>
              <w:t>Identification No.)</w:t>
            </w:r>
          </w:p>
        </w:tc>
      </w:tr>
      <w:tr>
        <w:trPr>
          <w:trHeight w:val="377"/>
        </w:trPr>
        <w:tc>
          <w:tcPr>
            <w:tcW w:w="3600" w:type="dxa"/>
            <w:vAlign w:val="bottom"/>
          </w:tcPr>
          <w:p>
            <w:pPr>
              <w:jc w:val="center"/>
              <w:ind w:right="281"/>
              <w:spacing w:after="0"/>
              <w:rPr>
                <w:sz w:val="20"/>
                <w:szCs w:val="20"/>
                <w:color w:val="auto"/>
              </w:rPr>
            </w:pPr>
            <w:r>
              <w:rPr>
                <w:rFonts w:ascii="Arial" w:cs="Arial" w:eastAsia="Arial" w:hAnsi="Arial"/>
                <w:sz w:val="18"/>
                <w:szCs w:val="18"/>
                <w:b w:val="1"/>
                <w:bCs w:val="1"/>
                <w:color w:val="auto"/>
                <w:w w:val="92"/>
              </w:rPr>
              <w:t>8283 Greensboro Drive, McLean, Virginia</w:t>
            </w:r>
          </w:p>
        </w:tc>
        <w:tc>
          <w:tcPr>
            <w:tcW w:w="4500" w:type="dxa"/>
            <w:vAlign w:val="bottom"/>
          </w:tcPr>
          <w:p>
            <w:pPr>
              <w:jc w:val="right"/>
              <w:ind w:right="259"/>
              <w:spacing w:after="0"/>
              <w:rPr>
                <w:sz w:val="20"/>
                <w:szCs w:val="20"/>
                <w:color w:val="auto"/>
              </w:rPr>
            </w:pPr>
            <w:r>
              <w:rPr>
                <w:rFonts w:ascii="Arial" w:cs="Arial" w:eastAsia="Arial" w:hAnsi="Arial"/>
                <w:sz w:val="18"/>
                <w:szCs w:val="18"/>
                <w:b w:val="1"/>
                <w:bCs w:val="1"/>
                <w:color w:val="auto"/>
              </w:rPr>
              <w:t>22102</w:t>
            </w:r>
          </w:p>
        </w:tc>
      </w:tr>
      <w:tr>
        <w:trPr>
          <w:trHeight w:val="218"/>
        </w:trPr>
        <w:tc>
          <w:tcPr>
            <w:tcW w:w="3600" w:type="dxa"/>
            <w:vAlign w:val="bottom"/>
          </w:tcPr>
          <w:p>
            <w:pPr>
              <w:jc w:val="center"/>
              <w:ind w:right="261"/>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4500" w:type="dxa"/>
            <w:vAlign w:val="bottom"/>
          </w:tcPr>
          <w:p>
            <w:pPr>
              <w:jc w:val="center"/>
              <w:ind w:left="3299"/>
              <w:spacing w:after="0"/>
              <w:rPr>
                <w:sz w:val="20"/>
                <w:szCs w:val="20"/>
                <w:color w:val="auto"/>
              </w:rPr>
            </w:pPr>
            <w:r>
              <w:rPr>
                <w:rFonts w:ascii="Arial" w:cs="Arial" w:eastAsia="Arial" w:hAnsi="Arial"/>
                <w:sz w:val="14"/>
                <w:szCs w:val="14"/>
                <w:b w:val="1"/>
                <w:bCs w:val="1"/>
                <w:color w:val="auto"/>
                <w:w w:val="98"/>
              </w:rPr>
              <w:t>(Zip Code)</w:t>
            </w:r>
          </w:p>
        </w:tc>
      </w:tr>
      <w:tr>
        <w:trPr>
          <w:trHeight w:val="275"/>
        </w:trPr>
        <w:tc>
          <w:tcPr>
            <w:tcW w:w="3600" w:type="dxa"/>
            <w:vAlign w:val="bottom"/>
          </w:tcPr>
          <w:p>
            <w:pPr>
              <w:spacing w:after="0"/>
              <w:rPr>
                <w:sz w:val="23"/>
                <w:szCs w:val="23"/>
                <w:color w:val="auto"/>
              </w:rPr>
            </w:pPr>
          </w:p>
        </w:tc>
        <w:tc>
          <w:tcPr>
            <w:tcW w:w="4500" w:type="dxa"/>
            <w:vAlign w:val="bottom"/>
          </w:tcPr>
          <w:p>
            <w:pPr>
              <w:jc w:val="right"/>
              <w:ind w:right="2919"/>
              <w:spacing w:after="0"/>
              <w:rPr>
                <w:sz w:val="20"/>
                <w:szCs w:val="20"/>
                <w:color w:val="auto"/>
              </w:rPr>
            </w:pPr>
            <w:r>
              <w:rPr>
                <w:rFonts w:ascii="Arial" w:cs="Arial" w:eastAsia="Arial" w:hAnsi="Arial"/>
                <w:sz w:val="18"/>
                <w:szCs w:val="18"/>
                <w:b w:val="1"/>
                <w:bCs w:val="1"/>
                <w:color w:val="auto"/>
              </w:rPr>
              <w:t>(703) 902-5000</w:t>
            </w:r>
          </w:p>
        </w:tc>
      </w:tr>
    </w:tbl>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9" w:lineRule="exact"/>
        <w:rPr>
          <w:sz w:val="24"/>
          <w:szCs w:val="24"/>
          <w:color w:val="auto"/>
        </w:rPr>
      </w:pPr>
    </w:p>
    <w:p>
      <w:pPr>
        <w:ind w:left="4120"/>
        <w:spacing w:after="0"/>
        <w:rPr>
          <w:sz w:val="20"/>
          <w:szCs w:val="20"/>
          <w:color w:val="auto"/>
        </w:rPr>
      </w:pPr>
      <w:r>
        <w:rPr>
          <w:rFonts w:ascii="Arial" w:cs="Arial" w:eastAsia="Arial" w:hAnsi="Arial"/>
          <w:sz w:val="18"/>
          <w:szCs w:val="18"/>
          <w:color w:val="auto"/>
        </w:rPr>
        <w:t>___________________________________</w:t>
      </w:r>
    </w:p>
    <w:p>
      <w:pPr>
        <w:spacing w:after="0" w:line="101"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4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definition of “accelerated filer,” “large accelerated filer” and “smaller reporting company” in Rule 12b-2 of the Exchange Act.</w:t>
      </w:r>
    </w:p>
    <w:p>
      <w:pPr>
        <w:spacing w:after="0" w:line="60"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060" w:type="dxa"/>
            <w:vAlign w:val="bottom"/>
          </w:tcPr>
          <w:p>
            <w:pPr>
              <w:ind w:left="40"/>
              <w:spacing w:after="0"/>
              <w:rPr>
                <w:sz w:val="20"/>
                <w:szCs w:val="20"/>
                <w:color w:val="auto"/>
              </w:rPr>
            </w:pPr>
            <w:r>
              <w:rPr>
                <w:rFonts w:ascii="Arial" w:cs="Arial" w:eastAsia="Arial" w:hAnsi="Arial"/>
                <w:sz w:val="18"/>
                <w:szCs w:val="18"/>
                <w:color w:val="auto"/>
              </w:rPr>
              <w:t>Large accelerated filer</w:t>
            </w:r>
          </w:p>
        </w:tc>
        <w:tc>
          <w:tcPr>
            <w:tcW w:w="484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2160" w:type="dxa"/>
            <w:vAlign w:val="bottom"/>
          </w:tcPr>
          <w:p>
            <w:pPr>
              <w:ind w:left="920"/>
              <w:spacing w:after="0"/>
              <w:rPr>
                <w:sz w:val="20"/>
                <w:szCs w:val="20"/>
                <w:color w:val="auto"/>
              </w:rPr>
            </w:pPr>
            <w:r>
              <w:rPr>
                <w:rFonts w:ascii="Arial" w:cs="Arial" w:eastAsia="Arial" w:hAnsi="Arial"/>
                <w:sz w:val="18"/>
                <w:szCs w:val="18"/>
                <w:color w:val="auto"/>
                <w:w w:val="94"/>
              </w:rPr>
              <w:t>Accelerated filer</w:t>
            </w:r>
          </w:p>
        </w:tc>
        <w:tc>
          <w:tcPr>
            <w:tcW w:w="1560" w:type="dxa"/>
            <w:vAlign w:val="bottom"/>
          </w:tcPr>
          <w:p>
            <w:pPr>
              <w:spacing w:after="0"/>
              <w:rPr>
                <w:sz w:val="24"/>
                <w:szCs w:val="24"/>
                <w:color w:val="auto"/>
              </w:rPr>
            </w:pPr>
          </w:p>
        </w:tc>
        <w:tc>
          <w:tcPr>
            <w:tcW w:w="440" w:type="dxa"/>
            <w:vAlign w:val="bottom"/>
          </w:tcPr>
          <w:p>
            <w:pPr>
              <w:jc w:val="right"/>
              <w:ind w:right="130"/>
              <w:spacing w:after="0" w:line="181" w:lineRule="exact"/>
              <w:rPr>
                <w:sz w:val="20"/>
                <w:szCs w:val="20"/>
                <w:color w:val="auto"/>
              </w:rPr>
            </w:pPr>
            <w:r>
              <w:rPr>
                <w:rFonts w:ascii="MS PGothic" w:cs="MS PGothic" w:eastAsia="MS PGothic" w:hAnsi="MS PGothic"/>
                <w:sz w:val="18"/>
                <w:szCs w:val="18"/>
                <w:color w:val="auto"/>
              </w:rPr>
              <w:t>☐</w:t>
            </w:r>
          </w:p>
        </w:tc>
      </w:tr>
      <w:tr>
        <w:trPr>
          <w:trHeight w:val="392"/>
        </w:trPr>
        <w:tc>
          <w:tcPr>
            <w:tcW w:w="2060" w:type="dxa"/>
            <w:vAlign w:val="bottom"/>
          </w:tcPr>
          <w:p>
            <w:pPr>
              <w:ind w:left="40"/>
              <w:spacing w:after="0"/>
              <w:rPr>
                <w:sz w:val="20"/>
                <w:szCs w:val="20"/>
                <w:color w:val="auto"/>
              </w:rPr>
            </w:pPr>
            <w:r>
              <w:rPr>
                <w:rFonts w:ascii="Arial" w:cs="Arial" w:eastAsia="Arial" w:hAnsi="Arial"/>
                <w:sz w:val="18"/>
                <w:szCs w:val="18"/>
                <w:color w:val="auto"/>
              </w:rPr>
              <w:t>Non-accelerated filer</w:t>
            </w:r>
          </w:p>
        </w:tc>
        <w:tc>
          <w:tcPr>
            <w:tcW w:w="4840" w:type="dxa"/>
            <w:vAlign w:val="bottom"/>
          </w:tcPr>
          <w:p>
            <w:pPr>
              <w:ind w:left="3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720" w:type="dxa"/>
            <w:vAlign w:val="bottom"/>
            <w:gridSpan w:val="2"/>
          </w:tcPr>
          <w:p>
            <w:pPr>
              <w:ind w:left="920"/>
              <w:spacing w:after="0"/>
              <w:rPr>
                <w:sz w:val="20"/>
                <w:szCs w:val="20"/>
                <w:color w:val="auto"/>
              </w:rPr>
            </w:pPr>
            <w:r>
              <w:rPr>
                <w:rFonts w:ascii="Arial" w:cs="Arial" w:eastAsia="Arial" w:hAnsi="Arial"/>
                <w:sz w:val="18"/>
                <w:szCs w:val="18"/>
                <w:color w:val="auto"/>
              </w:rPr>
              <w:t>Smaller reporting company</w:t>
            </w:r>
          </w:p>
        </w:tc>
        <w:tc>
          <w:tcPr>
            <w:tcW w:w="440" w:type="dxa"/>
            <w:vAlign w:val="bottom"/>
          </w:tcPr>
          <w:p>
            <w:pPr>
              <w:jc w:val="right"/>
              <w:ind w:right="130"/>
              <w:spacing w:after="0" w:line="181" w:lineRule="exact"/>
              <w:rPr>
                <w:sz w:val="20"/>
                <w:szCs w:val="20"/>
                <w:color w:val="auto"/>
              </w:rPr>
            </w:pPr>
            <w:r>
              <w:rPr>
                <w:rFonts w:ascii="MS PGothic" w:cs="MS PGothic" w:eastAsia="MS PGothic" w:hAnsi="MS PGothic"/>
                <w:sz w:val="18"/>
                <w:szCs w:val="18"/>
                <w:color w:val="auto"/>
              </w:rPr>
              <w:t>☐</w:t>
            </w:r>
          </w:p>
        </w:tc>
      </w:tr>
      <w:tr>
        <w:trPr>
          <w:trHeight w:val="351"/>
        </w:trPr>
        <w:tc>
          <w:tcPr>
            <w:tcW w:w="9060" w:type="dxa"/>
            <w:vAlign w:val="bottom"/>
            <w:gridSpan w:val="3"/>
          </w:tcPr>
          <w:p>
            <w:pPr>
              <w:spacing w:after="0" w:line="207" w:lineRule="exact"/>
              <w:rPr>
                <w:sz w:val="20"/>
                <w:szCs w:val="20"/>
                <w:color w:val="auto"/>
              </w:rPr>
            </w:pPr>
            <w:r>
              <w:rPr>
                <w:rFonts w:ascii="Arial" w:cs="Arial" w:eastAsia="Arial" w:hAnsi="Arial"/>
                <w:sz w:val="18"/>
                <w:szCs w:val="18"/>
                <w:color w:val="auto"/>
                <w:w w:val="93"/>
              </w:rPr>
              <w:t xml:space="preserve">Indicate by check mark whether the registrant is a shell company (as defined in Rule 12b-2 of the Exchange Act).   Yes </w:t>
            </w:r>
            <w:r>
              <w:rPr>
                <w:rFonts w:ascii="MS PGothic" w:cs="MS PGothic" w:eastAsia="MS PGothic" w:hAnsi="MS PGothic"/>
                <w:sz w:val="18"/>
                <w:szCs w:val="18"/>
                <w:color w:val="auto"/>
                <w:w w:val="93"/>
              </w:rPr>
              <w:t>☐</w:t>
            </w:r>
          </w:p>
        </w:tc>
        <w:tc>
          <w:tcPr>
            <w:tcW w:w="1560" w:type="dxa"/>
            <w:vAlign w:val="bottom"/>
          </w:tcPr>
          <w:p>
            <w:pPr>
              <w:ind w:left="4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440" w:type="dxa"/>
            <w:vAlign w:val="bottom"/>
          </w:tcPr>
          <w:p>
            <w:pPr>
              <w:spacing w:after="0"/>
              <w:rPr>
                <w:sz w:val="24"/>
                <w:szCs w:val="24"/>
                <w:color w:val="auto"/>
              </w:rPr>
            </w:pPr>
          </w:p>
        </w:tc>
      </w:tr>
      <w:tr>
        <w:trPr>
          <w:trHeight w:val="304"/>
        </w:trPr>
        <w:tc>
          <w:tcPr>
            <w:tcW w:w="9060" w:type="dxa"/>
            <w:vAlign w:val="bottom"/>
            <w:gridSpan w:val="3"/>
          </w:tcPr>
          <w:p>
            <w:pPr>
              <w:spacing w:after="0"/>
              <w:rPr>
                <w:sz w:val="20"/>
                <w:szCs w:val="20"/>
                <w:color w:val="auto"/>
              </w:rPr>
            </w:pPr>
            <w:r>
              <w:rPr>
                <w:rFonts w:ascii="Arial" w:cs="Arial" w:eastAsia="Arial" w:hAnsi="Arial"/>
                <w:sz w:val="18"/>
                <w:szCs w:val="18"/>
                <w:color w:val="auto"/>
                <w:w w:val="91"/>
              </w:rPr>
              <w:t>Indicate the number of shares outstanding of each of the issuer’s classes of common stock, as of the latest practicable date.</w:t>
            </w:r>
          </w:p>
        </w:tc>
        <w:tc>
          <w:tcPr>
            <w:tcW w:w="156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88"/>
        </w:trPr>
        <w:tc>
          <w:tcPr>
            <w:tcW w:w="206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560" w:type="dxa"/>
            <w:vAlign w:val="bottom"/>
          </w:tcPr>
          <w:p>
            <w:pPr>
              <w:jc w:val="center"/>
              <w:ind w:left="139"/>
              <w:spacing w:after="0"/>
              <w:rPr>
                <w:sz w:val="20"/>
                <w:szCs w:val="20"/>
                <w:color w:val="auto"/>
              </w:rPr>
            </w:pPr>
            <w:r>
              <w:rPr>
                <w:rFonts w:ascii="Arial" w:cs="Arial" w:eastAsia="Arial" w:hAnsi="Arial"/>
                <w:sz w:val="14"/>
                <w:szCs w:val="14"/>
                <w:b w:val="1"/>
                <w:bCs w:val="1"/>
                <w:color w:val="auto"/>
                <w:w w:val="91"/>
              </w:rPr>
              <w:t>Shares Outstanding</w:t>
            </w:r>
          </w:p>
        </w:tc>
        <w:tc>
          <w:tcPr>
            <w:tcW w:w="440" w:type="dxa"/>
            <w:vAlign w:val="bottom"/>
          </w:tcPr>
          <w:p>
            <w:pPr>
              <w:spacing w:after="0"/>
              <w:rPr>
                <w:sz w:val="24"/>
                <w:szCs w:val="24"/>
                <w:color w:val="auto"/>
              </w:rPr>
            </w:pPr>
          </w:p>
        </w:tc>
      </w:tr>
      <w:tr>
        <w:trPr>
          <w:trHeight w:val="192"/>
        </w:trPr>
        <w:tc>
          <w:tcPr>
            <w:tcW w:w="2060" w:type="dxa"/>
            <w:vAlign w:val="bottom"/>
          </w:tcPr>
          <w:p>
            <w:pPr>
              <w:spacing w:after="0"/>
              <w:rPr>
                <w:sz w:val="16"/>
                <w:szCs w:val="16"/>
                <w:color w:val="auto"/>
              </w:rPr>
            </w:pPr>
          </w:p>
        </w:tc>
        <w:tc>
          <w:tcPr>
            <w:tcW w:w="484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560" w:type="dxa"/>
            <w:vAlign w:val="bottom"/>
          </w:tcPr>
          <w:p>
            <w:pPr>
              <w:jc w:val="center"/>
              <w:ind w:left="159"/>
              <w:spacing w:after="0"/>
              <w:rPr>
                <w:sz w:val="20"/>
                <w:szCs w:val="20"/>
                <w:color w:val="auto"/>
              </w:rPr>
            </w:pPr>
            <w:r>
              <w:rPr>
                <w:rFonts w:ascii="Arial" w:cs="Arial" w:eastAsia="Arial" w:hAnsi="Arial"/>
                <w:sz w:val="14"/>
                <w:szCs w:val="14"/>
                <w:b w:val="1"/>
                <w:bCs w:val="1"/>
                <w:color w:val="auto"/>
                <w:w w:val="91"/>
              </w:rPr>
              <w:t>as of July 25, 2016</w:t>
            </w:r>
          </w:p>
        </w:tc>
        <w:tc>
          <w:tcPr>
            <w:tcW w:w="440" w:type="dxa"/>
            <w:vAlign w:val="bottom"/>
          </w:tcPr>
          <w:p>
            <w:pPr>
              <w:spacing w:after="0"/>
              <w:rPr>
                <w:sz w:val="16"/>
                <w:szCs w:val="16"/>
                <w:color w:val="auto"/>
              </w:rPr>
            </w:pPr>
          </w:p>
        </w:tc>
      </w:tr>
      <w:tr>
        <w:trPr>
          <w:trHeight w:val="256"/>
        </w:trPr>
        <w:tc>
          <w:tcPr>
            <w:tcW w:w="2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Class A Common Stock</w:t>
            </w:r>
          </w:p>
        </w:tc>
        <w:tc>
          <w:tcPr>
            <w:tcW w:w="4840" w:type="dxa"/>
            <w:vAlign w:val="bottom"/>
            <w:tcBorders>
              <w:bottom w:val="single" w:sz="8" w:color="CCEEFF"/>
            </w:tcBorders>
            <w:shd w:val="clear" w:color="auto" w:fill="CCEEFF"/>
          </w:tcPr>
          <w:p>
            <w:pPr>
              <w:spacing w:after="0"/>
              <w:rPr>
                <w:sz w:val="22"/>
                <w:szCs w:val="22"/>
                <w:color w:val="auto"/>
              </w:rPr>
            </w:pPr>
          </w:p>
        </w:tc>
        <w:tc>
          <w:tcPr>
            <w:tcW w:w="2160" w:type="dxa"/>
            <w:vAlign w:val="bottom"/>
            <w:tcBorders>
              <w:bottom w:val="single" w:sz="8" w:color="CCEEFF"/>
            </w:tcBorders>
            <w:shd w:val="clear" w:color="auto" w:fill="CCEEFF"/>
          </w:tcPr>
          <w:p>
            <w:pPr>
              <w:spacing w:after="0"/>
              <w:rPr>
                <w:sz w:val="22"/>
                <w:szCs w:val="22"/>
                <w:color w:val="auto"/>
              </w:rPr>
            </w:pPr>
          </w:p>
        </w:tc>
        <w:tc>
          <w:tcPr>
            <w:tcW w:w="200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148,552,106</w:t>
            </w:r>
          </w:p>
        </w:tc>
      </w:tr>
      <w:tr>
        <w:trPr>
          <w:trHeight w:val="243"/>
        </w:trPr>
        <w:tc>
          <w:tcPr>
            <w:tcW w:w="6900" w:type="dxa"/>
            <w:vAlign w:val="bottom"/>
            <w:gridSpan w:val="2"/>
          </w:tcPr>
          <w:p>
            <w:pPr>
              <w:ind w:left="40"/>
              <w:spacing w:after="0"/>
              <w:rPr>
                <w:sz w:val="20"/>
                <w:szCs w:val="20"/>
                <w:color w:val="auto"/>
              </w:rPr>
            </w:pPr>
            <w:r>
              <w:rPr>
                <w:rFonts w:ascii="Arial" w:cs="Arial" w:eastAsia="Arial" w:hAnsi="Arial"/>
                <w:sz w:val="18"/>
                <w:szCs w:val="18"/>
                <w:color w:val="auto"/>
              </w:rPr>
              <w:t>Class B Non-Voting Common Stock</w:t>
            </w:r>
          </w:p>
        </w:tc>
        <w:tc>
          <w:tcPr>
            <w:tcW w:w="21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6900" w:type="dxa"/>
            <w:vAlign w:val="bottom"/>
            <w:gridSpan w:val="2"/>
          </w:tcPr>
          <w:p>
            <w:pPr>
              <w:spacing w:after="0"/>
              <w:rPr>
                <w:sz w:val="2"/>
                <w:szCs w:val="2"/>
                <w:color w:val="auto"/>
              </w:rPr>
            </w:pPr>
          </w:p>
        </w:tc>
        <w:tc>
          <w:tcPr>
            <w:tcW w:w="2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6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Class C Restricted Common Stock</w:t>
            </w:r>
          </w:p>
        </w:tc>
        <w:tc>
          <w:tcPr>
            <w:tcW w:w="2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6900" w:type="dxa"/>
            <w:vAlign w:val="bottom"/>
            <w:gridSpan w:val="2"/>
          </w:tcPr>
          <w:p>
            <w:pPr>
              <w:ind w:left="40"/>
              <w:spacing w:after="0"/>
              <w:rPr>
                <w:sz w:val="20"/>
                <w:szCs w:val="20"/>
                <w:color w:val="auto"/>
              </w:rPr>
            </w:pPr>
            <w:r>
              <w:rPr>
                <w:rFonts w:ascii="Arial" w:cs="Arial" w:eastAsia="Arial" w:hAnsi="Arial"/>
                <w:sz w:val="18"/>
                <w:szCs w:val="18"/>
                <w:color w:val="auto"/>
              </w:rPr>
              <w:t>Class E Special Voting Common Stock</w:t>
            </w:r>
          </w:p>
        </w:tc>
        <w:tc>
          <w:tcPr>
            <w:tcW w:w="21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w:t>
            </w:r>
          </w:p>
        </w:tc>
      </w:tr>
    </w:tbl>
    <w:p>
      <w:pPr>
        <w:sectPr>
          <w:pgSz w:w="11900" w:h="16838" w:orient="portrait"/>
          <w:cols w:equalWidth="0" w:num="1">
            <w:col w:w="11420"/>
          </w:cols>
          <w:pgMar w:left="240" w:top="1165" w:right="239" w:bottom="144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220" w:type="dxa"/>
            <w:vAlign w:val="bottom"/>
            <w:gridSpan w:val="15"/>
          </w:tcPr>
          <w:p>
            <w:pPr>
              <w:spacing w:after="0"/>
              <w:rPr>
                <w:sz w:val="20"/>
                <w:szCs w:val="20"/>
                <w:color w:val="auto"/>
              </w:rPr>
            </w:pPr>
            <w:r>
              <w:rPr>
                <w:rFonts w:ascii="Arial" w:cs="Arial" w:eastAsia="Arial" w:hAnsi="Arial"/>
                <w:sz w:val="18"/>
                <w:szCs w:val="18"/>
                <w:b w:val="1"/>
                <w:bCs w:val="1"/>
                <w:color w:val="auto"/>
              </w:rPr>
              <w:t>TABLE OF CONTENTS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27"/>
        </w:trPr>
        <w:tc>
          <w:tcPr>
            <w:tcW w:w="11220" w:type="dxa"/>
            <w:vAlign w:val="bottom"/>
            <w:gridSpan w:val="15"/>
          </w:tcPr>
          <w:p>
            <w:pPr>
              <w:ind w:left="40"/>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180" w:type="dxa"/>
            <w:vAlign w:val="bottom"/>
            <w:gridSpan w:val="2"/>
          </w:tcPr>
          <w:p>
            <w:pPr>
              <w:jc w:val="right"/>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1</w:t>
              </w:r>
            </w:hyperlink>
          </w:p>
        </w:tc>
      </w:tr>
      <w:tr>
        <w:trPr>
          <w:trHeight w:val="20"/>
        </w:trPr>
        <w:tc>
          <w:tcPr>
            <w:tcW w:w="40" w:type="dxa"/>
            <w:vAlign w:val="bottom"/>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1600" w:type="dxa"/>
            <w:vAlign w:val="bottom"/>
          </w:tcPr>
          <w:p>
            <w:pPr>
              <w:ind w:left="340"/>
              <w:spacing w:after="0"/>
              <w:rPr>
                <w:sz w:val="20"/>
                <w:szCs w:val="20"/>
                <w:color w:val="auto"/>
              </w:rPr>
            </w:pPr>
            <w:r>
              <w:rPr>
                <w:rFonts w:ascii="Arial" w:cs="Arial" w:eastAsia="Arial" w:hAnsi="Arial"/>
                <w:sz w:val="18"/>
                <w:szCs w:val="18"/>
                <w:b w:val="1"/>
                <w:bCs w:val="1"/>
                <w:color w:val="auto"/>
              </w:rPr>
              <w:t>ITEM 1</w:t>
            </w:r>
          </w:p>
        </w:tc>
        <w:tc>
          <w:tcPr>
            <w:tcW w:w="1620" w:type="dxa"/>
            <w:vAlign w:val="bottom"/>
            <w:tcBorders>
              <w:bottom w:val="single" w:sz="8" w:color="0000EE"/>
            </w:tcBorders>
            <w:gridSpan w:val="6"/>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Financial Statements</w:t>
              </w:r>
            </w:hyperlink>
          </w:p>
        </w:tc>
        <w:tc>
          <w:tcPr>
            <w:tcW w:w="7960" w:type="dxa"/>
            <w:vAlign w:val="bottom"/>
            <w:gridSpan w:val="7"/>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b w:val="1"/>
                <w:bCs w:val="1"/>
                <w:color w:val="0000EE"/>
                <w:w w:val="79"/>
              </w:rPr>
            </w:pPr>
            <w:hyperlink w:anchor="page3">
              <w:r>
                <w:rPr>
                  <w:rFonts w:ascii="Arial" w:cs="Arial" w:eastAsia="Arial" w:hAnsi="Arial"/>
                  <w:sz w:val="18"/>
                  <w:szCs w:val="18"/>
                  <w:b w:val="1"/>
                  <w:bCs w:val="1"/>
                  <w:color w:val="0000EE"/>
                  <w:w w:val="79"/>
                </w:rPr>
                <w:t>1</w:t>
              </w:r>
            </w:hyperlink>
          </w:p>
        </w:tc>
      </w:tr>
      <w:tr>
        <w:trPr>
          <w:trHeight w:val="372"/>
        </w:trPr>
        <w:tc>
          <w:tcPr>
            <w:tcW w:w="40" w:type="dxa"/>
            <w:vAlign w:val="bottom"/>
          </w:tcPr>
          <w:p>
            <w:pPr>
              <w:spacing w:after="0"/>
              <w:rPr>
                <w:sz w:val="24"/>
                <w:szCs w:val="24"/>
                <w:color w:val="auto"/>
              </w:rPr>
            </w:pPr>
          </w:p>
        </w:tc>
        <w:tc>
          <w:tcPr>
            <w:tcW w:w="1600" w:type="dxa"/>
            <w:vAlign w:val="bottom"/>
          </w:tcPr>
          <w:p>
            <w:pPr>
              <w:ind w:left="340"/>
              <w:spacing w:after="0"/>
              <w:rPr>
                <w:sz w:val="20"/>
                <w:szCs w:val="20"/>
                <w:color w:val="auto"/>
              </w:rPr>
            </w:pPr>
            <w:r>
              <w:rPr>
                <w:rFonts w:ascii="Arial" w:cs="Arial" w:eastAsia="Arial" w:hAnsi="Arial"/>
                <w:sz w:val="18"/>
                <w:szCs w:val="18"/>
                <w:b w:val="1"/>
                <w:bCs w:val="1"/>
                <w:color w:val="auto"/>
              </w:rPr>
              <w:t>ITEM 2</w:t>
            </w:r>
          </w:p>
        </w:tc>
        <w:tc>
          <w:tcPr>
            <w:tcW w:w="6840" w:type="dxa"/>
            <w:vAlign w:val="bottom"/>
            <w:tcBorders>
              <w:bottom w:val="single" w:sz="8" w:color="0000EE"/>
            </w:tcBorders>
            <w:gridSpan w:val="12"/>
          </w:tcPr>
          <w:p>
            <w:pPr>
              <w:spacing w:after="0"/>
              <w:rPr>
                <w:rFonts w:ascii="Arial" w:cs="Arial" w:eastAsia="Arial" w:hAnsi="Arial"/>
                <w:sz w:val="18"/>
                <w:szCs w:val="18"/>
                <w:b w:val="1"/>
                <w:bCs w:val="1"/>
                <w:color w:val="0000EE"/>
                <w:w w:val="89"/>
              </w:rPr>
            </w:pPr>
            <w:hyperlink w:anchor="page17">
              <w:r>
                <w:rPr>
                  <w:rFonts w:ascii="Arial" w:cs="Arial" w:eastAsia="Arial" w:hAnsi="Arial"/>
                  <w:sz w:val="18"/>
                  <w:szCs w:val="18"/>
                  <w:b w:val="1"/>
                  <w:bCs w:val="1"/>
                  <w:color w:val="0000EE"/>
                  <w:w w:val="89"/>
                </w:rPr>
                <w:t>Management's Discussion and Analysis of Financial Condition and Results of Operations</w:t>
              </w:r>
            </w:hyperlink>
          </w:p>
        </w:tc>
        <w:tc>
          <w:tcPr>
            <w:tcW w:w="274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b w:val="1"/>
                <w:bCs w:val="1"/>
                <w:color w:val="0000EE"/>
                <w:w w:val="79"/>
              </w:rPr>
            </w:pPr>
            <w:hyperlink w:anchor="page17">
              <w:r>
                <w:rPr>
                  <w:rFonts w:ascii="Arial" w:cs="Arial" w:eastAsia="Arial" w:hAnsi="Arial"/>
                  <w:sz w:val="18"/>
                  <w:szCs w:val="18"/>
                  <w:b w:val="1"/>
                  <w:bCs w:val="1"/>
                  <w:color w:val="0000EE"/>
                  <w:w w:val="79"/>
                </w:rPr>
                <w:t>15</w:t>
              </w:r>
            </w:hyperlink>
          </w:p>
        </w:tc>
      </w:tr>
      <w:tr>
        <w:trPr>
          <w:trHeight w:val="372"/>
        </w:trPr>
        <w:tc>
          <w:tcPr>
            <w:tcW w:w="40" w:type="dxa"/>
            <w:vAlign w:val="bottom"/>
          </w:tcPr>
          <w:p>
            <w:pPr>
              <w:spacing w:after="0"/>
              <w:rPr>
                <w:sz w:val="24"/>
                <w:szCs w:val="24"/>
                <w:color w:val="auto"/>
              </w:rPr>
            </w:pPr>
          </w:p>
        </w:tc>
        <w:tc>
          <w:tcPr>
            <w:tcW w:w="1600" w:type="dxa"/>
            <w:vAlign w:val="bottom"/>
          </w:tcPr>
          <w:p>
            <w:pPr>
              <w:ind w:left="340"/>
              <w:spacing w:after="0"/>
              <w:rPr>
                <w:sz w:val="20"/>
                <w:szCs w:val="20"/>
                <w:color w:val="auto"/>
              </w:rPr>
            </w:pPr>
            <w:r>
              <w:rPr>
                <w:rFonts w:ascii="Arial" w:cs="Arial" w:eastAsia="Arial" w:hAnsi="Arial"/>
                <w:sz w:val="18"/>
                <w:szCs w:val="18"/>
                <w:b w:val="1"/>
                <w:bCs w:val="1"/>
                <w:color w:val="auto"/>
              </w:rPr>
              <w:t>ITEM 3</w:t>
            </w:r>
          </w:p>
        </w:tc>
        <w:tc>
          <w:tcPr>
            <w:tcW w:w="9580" w:type="dxa"/>
            <w:vAlign w:val="bottom"/>
            <w:gridSpan w:val="13"/>
          </w:tcPr>
          <w:p>
            <w:pPr>
              <w:spacing w:after="0"/>
              <w:rPr>
                <w:rFonts w:ascii="Arial" w:cs="Arial" w:eastAsia="Arial" w:hAnsi="Arial"/>
                <w:sz w:val="18"/>
                <w:szCs w:val="18"/>
                <w:b w:val="1"/>
                <w:bCs w:val="1"/>
                <w:color w:val="0000EE"/>
              </w:rPr>
            </w:pPr>
            <w:hyperlink w:anchor="page31">
              <w:r>
                <w:rPr>
                  <w:rFonts w:ascii="Arial" w:cs="Arial" w:eastAsia="Arial" w:hAnsi="Arial"/>
                  <w:sz w:val="18"/>
                  <w:szCs w:val="18"/>
                  <w:b w:val="1"/>
                  <w:bCs w:val="1"/>
                  <w:color w:val="0000EE"/>
                </w:rPr>
                <w:t>Quantitative and Qualitative Disclosures About Market Risk</w:t>
              </w:r>
            </w:hyperlink>
          </w:p>
        </w:tc>
        <w:tc>
          <w:tcPr>
            <w:tcW w:w="180" w:type="dxa"/>
            <w:vAlign w:val="bottom"/>
            <w:gridSpan w:val="2"/>
          </w:tcPr>
          <w:p>
            <w:pPr>
              <w:jc w:val="right"/>
              <w:spacing w:after="0"/>
              <w:rPr>
                <w:rFonts w:ascii="Arial" w:cs="Arial" w:eastAsia="Arial" w:hAnsi="Arial"/>
                <w:sz w:val="18"/>
                <w:szCs w:val="18"/>
                <w:b w:val="1"/>
                <w:bCs w:val="1"/>
                <w:color w:val="0000EE"/>
                <w:w w:val="79"/>
              </w:rPr>
            </w:pPr>
            <w:hyperlink w:anchor="page31">
              <w:r>
                <w:rPr>
                  <w:rFonts w:ascii="Arial" w:cs="Arial" w:eastAsia="Arial" w:hAnsi="Arial"/>
                  <w:sz w:val="18"/>
                  <w:szCs w:val="18"/>
                  <w:b w:val="1"/>
                  <w:bCs w:val="1"/>
                  <w:color w:val="0000EE"/>
                  <w:w w:val="79"/>
                </w:rPr>
                <w:t>29</w:t>
              </w:r>
            </w:hyperlink>
          </w:p>
        </w:tc>
      </w:tr>
      <w:tr>
        <w:trPr>
          <w:trHeight w:val="372"/>
        </w:trPr>
        <w:tc>
          <w:tcPr>
            <w:tcW w:w="40" w:type="dxa"/>
            <w:vAlign w:val="bottom"/>
          </w:tcPr>
          <w:p>
            <w:pPr>
              <w:spacing w:after="0"/>
              <w:rPr>
                <w:sz w:val="24"/>
                <w:szCs w:val="24"/>
                <w:color w:val="auto"/>
              </w:rPr>
            </w:pPr>
          </w:p>
        </w:tc>
        <w:tc>
          <w:tcPr>
            <w:tcW w:w="1600" w:type="dxa"/>
            <w:vAlign w:val="bottom"/>
          </w:tcPr>
          <w:p>
            <w:pPr>
              <w:ind w:left="340"/>
              <w:spacing w:after="0"/>
              <w:rPr>
                <w:sz w:val="20"/>
                <w:szCs w:val="20"/>
                <w:color w:val="auto"/>
              </w:rPr>
            </w:pPr>
            <w:r>
              <w:rPr>
                <w:rFonts w:ascii="Arial" w:cs="Arial" w:eastAsia="Arial" w:hAnsi="Arial"/>
                <w:sz w:val="18"/>
                <w:szCs w:val="18"/>
                <w:b w:val="1"/>
                <w:bCs w:val="1"/>
                <w:color w:val="auto"/>
              </w:rPr>
              <w:t>ITEM 4</w:t>
            </w:r>
          </w:p>
        </w:tc>
        <w:tc>
          <w:tcPr>
            <w:tcW w:w="1920" w:type="dxa"/>
            <w:vAlign w:val="bottom"/>
            <w:tcBorders>
              <w:top w:val="single" w:sz="8" w:color="0000EE"/>
              <w:bottom w:val="single" w:sz="8" w:color="0000EE"/>
            </w:tcBorders>
            <w:gridSpan w:val="8"/>
          </w:tcPr>
          <w:p>
            <w:pPr>
              <w:spacing w:after="0"/>
              <w:rPr>
                <w:rFonts w:ascii="Arial" w:cs="Arial" w:eastAsia="Arial" w:hAnsi="Arial"/>
                <w:sz w:val="18"/>
                <w:szCs w:val="18"/>
                <w:b w:val="1"/>
                <w:bCs w:val="1"/>
                <w:color w:val="0000EE"/>
                <w:w w:val="88"/>
              </w:rPr>
            </w:pPr>
            <w:hyperlink w:anchor="page31">
              <w:r>
                <w:rPr>
                  <w:rFonts w:ascii="Arial" w:cs="Arial" w:eastAsia="Arial" w:hAnsi="Arial"/>
                  <w:sz w:val="18"/>
                  <w:szCs w:val="18"/>
                  <w:b w:val="1"/>
                  <w:bCs w:val="1"/>
                  <w:color w:val="0000EE"/>
                  <w:w w:val="88"/>
                </w:rPr>
                <w:t>Controls and Procedures</w:t>
              </w:r>
            </w:hyperlink>
          </w:p>
        </w:tc>
        <w:tc>
          <w:tcPr>
            <w:tcW w:w="2740" w:type="dxa"/>
            <w:vAlign w:val="bottom"/>
            <w:tcBorders>
              <w:top w:val="single" w:sz="8" w:color="0000EE"/>
            </w:tcBorders>
            <w:gridSpan w:val="3"/>
          </w:tcPr>
          <w:p>
            <w:pPr>
              <w:spacing w:after="0"/>
              <w:rPr>
                <w:sz w:val="24"/>
                <w:szCs w:val="24"/>
                <w:color w:val="auto"/>
              </w:rPr>
            </w:pPr>
          </w:p>
        </w:tc>
        <w:tc>
          <w:tcPr>
            <w:tcW w:w="4920" w:type="dxa"/>
            <w:vAlign w:val="bottom"/>
            <w:gridSpan w:val="2"/>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b w:val="1"/>
                <w:bCs w:val="1"/>
                <w:color w:val="0000EE"/>
                <w:w w:val="79"/>
              </w:rPr>
            </w:pPr>
            <w:hyperlink w:anchor="page31">
              <w:r>
                <w:rPr>
                  <w:rFonts w:ascii="Arial" w:cs="Arial" w:eastAsia="Arial" w:hAnsi="Arial"/>
                  <w:sz w:val="18"/>
                  <w:szCs w:val="18"/>
                  <w:b w:val="1"/>
                  <w:bCs w:val="1"/>
                  <w:color w:val="0000EE"/>
                  <w:w w:val="79"/>
                </w:rPr>
                <w:t>29</w:t>
              </w:r>
            </w:hyperlink>
          </w:p>
        </w:tc>
      </w:tr>
      <w:tr>
        <w:trPr>
          <w:trHeight w:val="372"/>
        </w:trPr>
        <w:tc>
          <w:tcPr>
            <w:tcW w:w="11220" w:type="dxa"/>
            <w:vAlign w:val="bottom"/>
            <w:gridSpan w:val="15"/>
          </w:tcPr>
          <w:p>
            <w:pPr>
              <w:ind w:left="40"/>
              <w:spacing w:after="0"/>
              <w:rPr>
                <w:rFonts w:ascii="Arial" w:cs="Arial" w:eastAsia="Arial" w:hAnsi="Arial"/>
                <w:sz w:val="18"/>
                <w:szCs w:val="18"/>
                <w:b w:val="1"/>
                <w:bCs w:val="1"/>
                <w:color w:val="0000EE"/>
              </w:rPr>
            </w:pPr>
            <w:hyperlink w:anchor="page32">
              <w:r>
                <w:rPr>
                  <w:rFonts w:ascii="Arial" w:cs="Arial" w:eastAsia="Arial" w:hAnsi="Arial"/>
                  <w:sz w:val="18"/>
                  <w:szCs w:val="18"/>
                  <w:b w:val="1"/>
                  <w:bCs w:val="1"/>
                  <w:color w:val="0000EE"/>
                </w:rPr>
                <w:t>PART II. Other Information</w:t>
              </w:r>
            </w:hyperlink>
          </w:p>
        </w:tc>
        <w:tc>
          <w:tcPr>
            <w:tcW w:w="180" w:type="dxa"/>
            <w:vAlign w:val="bottom"/>
            <w:gridSpan w:val="2"/>
          </w:tcPr>
          <w:p>
            <w:pPr>
              <w:jc w:val="right"/>
              <w:spacing w:after="0"/>
              <w:rPr>
                <w:rFonts w:ascii="Arial" w:cs="Arial" w:eastAsia="Arial" w:hAnsi="Arial"/>
                <w:sz w:val="18"/>
                <w:szCs w:val="18"/>
                <w:b w:val="1"/>
                <w:bCs w:val="1"/>
                <w:color w:val="0000EE"/>
                <w:w w:val="79"/>
              </w:rPr>
            </w:pPr>
            <w:hyperlink w:anchor="page32">
              <w:r>
                <w:rPr>
                  <w:rFonts w:ascii="Arial" w:cs="Arial" w:eastAsia="Arial" w:hAnsi="Arial"/>
                  <w:sz w:val="18"/>
                  <w:szCs w:val="18"/>
                  <w:b w:val="1"/>
                  <w:bCs w:val="1"/>
                  <w:color w:val="0000EE"/>
                  <w:w w:val="79"/>
                </w:rPr>
                <w:t>30</w:t>
              </w:r>
            </w:hyperlink>
          </w:p>
        </w:tc>
      </w:tr>
      <w:tr>
        <w:trPr>
          <w:trHeight w:val="20"/>
        </w:trPr>
        <w:tc>
          <w:tcPr>
            <w:tcW w:w="40" w:type="dxa"/>
            <w:vAlign w:val="bottom"/>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96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1600" w:type="dxa"/>
            <w:vAlign w:val="bottom"/>
          </w:tcPr>
          <w:p>
            <w:pPr>
              <w:ind w:left="340"/>
              <w:spacing w:after="0"/>
              <w:rPr>
                <w:sz w:val="20"/>
                <w:szCs w:val="20"/>
                <w:color w:val="auto"/>
              </w:rPr>
            </w:pPr>
            <w:r>
              <w:rPr>
                <w:rFonts w:ascii="Arial" w:cs="Arial" w:eastAsia="Arial" w:hAnsi="Arial"/>
                <w:sz w:val="18"/>
                <w:szCs w:val="18"/>
                <w:b w:val="1"/>
                <w:bCs w:val="1"/>
                <w:color w:val="auto"/>
              </w:rPr>
              <w:t>ITEM 1</w:t>
            </w:r>
          </w:p>
        </w:tc>
        <w:tc>
          <w:tcPr>
            <w:tcW w:w="9580" w:type="dxa"/>
            <w:vAlign w:val="bottom"/>
            <w:gridSpan w:val="13"/>
          </w:tcPr>
          <w:p>
            <w:pPr>
              <w:spacing w:after="0"/>
              <w:rPr>
                <w:rFonts w:ascii="Arial" w:cs="Arial" w:eastAsia="Arial" w:hAnsi="Arial"/>
                <w:sz w:val="18"/>
                <w:szCs w:val="18"/>
                <w:b w:val="1"/>
                <w:bCs w:val="1"/>
                <w:color w:val="0000EE"/>
              </w:rPr>
            </w:pPr>
            <w:hyperlink w:anchor="page32">
              <w:r>
                <w:rPr>
                  <w:rFonts w:ascii="Arial" w:cs="Arial" w:eastAsia="Arial" w:hAnsi="Arial"/>
                  <w:sz w:val="18"/>
                  <w:szCs w:val="18"/>
                  <w:b w:val="1"/>
                  <w:bCs w:val="1"/>
                  <w:color w:val="0000EE"/>
                </w:rPr>
                <w:t>Legal Proceedings</w:t>
              </w:r>
            </w:hyperlink>
          </w:p>
        </w:tc>
        <w:tc>
          <w:tcPr>
            <w:tcW w:w="180" w:type="dxa"/>
            <w:vAlign w:val="bottom"/>
            <w:gridSpan w:val="2"/>
          </w:tcPr>
          <w:p>
            <w:pPr>
              <w:jc w:val="right"/>
              <w:spacing w:after="0"/>
              <w:rPr>
                <w:rFonts w:ascii="Arial" w:cs="Arial" w:eastAsia="Arial" w:hAnsi="Arial"/>
                <w:sz w:val="18"/>
                <w:szCs w:val="18"/>
                <w:b w:val="1"/>
                <w:bCs w:val="1"/>
                <w:color w:val="0000EE"/>
                <w:w w:val="79"/>
              </w:rPr>
            </w:pPr>
            <w:hyperlink w:anchor="page32">
              <w:r>
                <w:rPr>
                  <w:rFonts w:ascii="Arial" w:cs="Arial" w:eastAsia="Arial" w:hAnsi="Arial"/>
                  <w:sz w:val="18"/>
                  <w:szCs w:val="18"/>
                  <w:b w:val="1"/>
                  <w:bCs w:val="1"/>
                  <w:color w:val="0000EE"/>
                  <w:w w:val="79"/>
                </w:rPr>
                <w:t>30</w:t>
              </w:r>
            </w:hyperlink>
          </w:p>
        </w:tc>
      </w:tr>
      <w:tr>
        <w:trPr>
          <w:trHeight w:val="372"/>
        </w:trPr>
        <w:tc>
          <w:tcPr>
            <w:tcW w:w="40" w:type="dxa"/>
            <w:vAlign w:val="bottom"/>
          </w:tcPr>
          <w:p>
            <w:pPr>
              <w:spacing w:after="0"/>
              <w:rPr>
                <w:sz w:val="24"/>
                <w:szCs w:val="24"/>
                <w:color w:val="auto"/>
              </w:rPr>
            </w:pPr>
          </w:p>
        </w:tc>
        <w:tc>
          <w:tcPr>
            <w:tcW w:w="1600" w:type="dxa"/>
            <w:vAlign w:val="bottom"/>
          </w:tcPr>
          <w:p>
            <w:pPr>
              <w:ind w:left="340"/>
              <w:spacing w:after="0"/>
              <w:rPr>
                <w:sz w:val="20"/>
                <w:szCs w:val="20"/>
                <w:color w:val="auto"/>
              </w:rPr>
            </w:pPr>
            <w:r>
              <w:rPr>
                <w:rFonts w:ascii="Arial" w:cs="Arial" w:eastAsia="Arial" w:hAnsi="Arial"/>
                <w:sz w:val="18"/>
                <w:szCs w:val="18"/>
                <w:b w:val="1"/>
                <w:bCs w:val="1"/>
                <w:color w:val="auto"/>
              </w:rPr>
              <w:t>ITEM 1A</w:t>
            </w:r>
          </w:p>
        </w:tc>
        <w:tc>
          <w:tcPr>
            <w:tcW w:w="980" w:type="dxa"/>
            <w:vAlign w:val="bottom"/>
            <w:tcBorders>
              <w:top w:val="single" w:sz="8" w:color="0000EE"/>
              <w:bottom w:val="single" w:sz="8" w:color="0000EE"/>
            </w:tcBorders>
            <w:gridSpan w:val="3"/>
          </w:tcPr>
          <w:p>
            <w:pPr>
              <w:spacing w:after="0"/>
              <w:rPr>
                <w:rFonts w:ascii="Arial" w:cs="Arial" w:eastAsia="Arial" w:hAnsi="Arial"/>
                <w:sz w:val="18"/>
                <w:szCs w:val="18"/>
                <w:b w:val="1"/>
                <w:bCs w:val="1"/>
                <w:color w:val="0000EE"/>
                <w:w w:val="88"/>
              </w:rPr>
            </w:pPr>
            <w:hyperlink w:anchor="page32">
              <w:r>
                <w:rPr>
                  <w:rFonts w:ascii="Arial" w:cs="Arial" w:eastAsia="Arial" w:hAnsi="Arial"/>
                  <w:sz w:val="18"/>
                  <w:szCs w:val="18"/>
                  <w:b w:val="1"/>
                  <w:bCs w:val="1"/>
                  <w:color w:val="0000EE"/>
                  <w:w w:val="88"/>
                </w:rPr>
                <w:t>Risk Factors</w:t>
              </w:r>
            </w:hyperlink>
          </w:p>
        </w:tc>
        <w:tc>
          <w:tcPr>
            <w:tcW w:w="420" w:type="dxa"/>
            <w:vAlign w:val="bottom"/>
            <w:tcBorders>
              <w:top w:val="single" w:sz="8" w:color="0000EE"/>
            </w:tcBorders>
          </w:tcPr>
          <w:p>
            <w:pPr>
              <w:spacing w:after="0"/>
              <w:rPr>
                <w:sz w:val="24"/>
                <w:szCs w:val="24"/>
                <w:color w:val="auto"/>
              </w:rPr>
            </w:pPr>
          </w:p>
        </w:tc>
        <w:tc>
          <w:tcPr>
            <w:tcW w:w="8180" w:type="dxa"/>
            <w:vAlign w:val="bottom"/>
            <w:gridSpan w:val="9"/>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b w:val="1"/>
                <w:bCs w:val="1"/>
                <w:color w:val="0000EE"/>
                <w:w w:val="79"/>
              </w:rPr>
            </w:pPr>
            <w:hyperlink w:anchor="page32">
              <w:r>
                <w:rPr>
                  <w:rFonts w:ascii="Arial" w:cs="Arial" w:eastAsia="Arial" w:hAnsi="Arial"/>
                  <w:sz w:val="18"/>
                  <w:szCs w:val="18"/>
                  <w:b w:val="1"/>
                  <w:bCs w:val="1"/>
                  <w:color w:val="0000EE"/>
                  <w:w w:val="79"/>
                </w:rPr>
                <w:t>30</w:t>
              </w:r>
            </w:hyperlink>
          </w:p>
        </w:tc>
      </w:tr>
      <w:tr>
        <w:trPr>
          <w:trHeight w:val="372"/>
        </w:trPr>
        <w:tc>
          <w:tcPr>
            <w:tcW w:w="40" w:type="dxa"/>
            <w:vAlign w:val="bottom"/>
          </w:tcPr>
          <w:p>
            <w:pPr>
              <w:spacing w:after="0"/>
              <w:rPr>
                <w:sz w:val="24"/>
                <w:szCs w:val="24"/>
                <w:color w:val="auto"/>
              </w:rPr>
            </w:pPr>
          </w:p>
        </w:tc>
        <w:tc>
          <w:tcPr>
            <w:tcW w:w="1600" w:type="dxa"/>
            <w:vAlign w:val="bottom"/>
          </w:tcPr>
          <w:p>
            <w:pPr>
              <w:ind w:left="340"/>
              <w:spacing w:after="0"/>
              <w:rPr>
                <w:sz w:val="20"/>
                <w:szCs w:val="20"/>
                <w:color w:val="auto"/>
              </w:rPr>
            </w:pPr>
            <w:r>
              <w:rPr>
                <w:rFonts w:ascii="Arial" w:cs="Arial" w:eastAsia="Arial" w:hAnsi="Arial"/>
                <w:sz w:val="18"/>
                <w:szCs w:val="18"/>
                <w:b w:val="1"/>
                <w:bCs w:val="1"/>
                <w:color w:val="auto"/>
              </w:rPr>
              <w:t>ITEM 2</w:t>
            </w:r>
          </w:p>
        </w:tc>
        <w:tc>
          <w:tcPr>
            <w:tcW w:w="9580" w:type="dxa"/>
            <w:vAlign w:val="bottom"/>
            <w:gridSpan w:val="13"/>
          </w:tcPr>
          <w:p>
            <w:pPr>
              <w:spacing w:after="0"/>
              <w:rPr>
                <w:rFonts w:ascii="Arial" w:cs="Arial" w:eastAsia="Arial" w:hAnsi="Arial"/>
                <w:sz w:val="18"/>
                <w:szCs w:val="18"/>
                <w:b w:val="1"/>
                <w:bCs w:val="1"/>
                <w:color w:val="0000EE"/>
              </w:rPr>
            </w:pPr>
            <w:hyperlink w:anchor="page32">
              <w:r>
                <w:rPr>
                  <w:rFonts w:ascii="Arial" w:cs="Arial" w:eastAsia="Arial" w:hAnsi="Arial"/>
                  <w:sz w:val="18"/>
                  <w:szCs w:val="18"/>
                  <w:b w:val="1"/>
                  <w:bCs w:val="1"/>
                  <w:color w:val="0000EE"/>
                </w:rPr>
                <w:t>Unregistered Sales of Equity Securities and Use Of Proceeds</w:t>
              </w:r>
            </w:hyperlink>
          </w:p>
        </w:tc>
        <w:tc>
          <w:tcPr>
            <w:tcW w:w="180" w:type="dxa"/>
            <w:vAlign w:val="bottom"/>
            <w:gridSpan w:val="2"/>
          </w:tcPr>
          <w:p>
            <w:pPr>
              <w:jc w:val="right"/>
              <w:spacing w:after="0"/>
              <w:rPr>
                <w:rFonts w:ascii="Arial" w:cs="Arial" w:eastAsia="Arial" w:hAnsi="Arial"/>
                <w:sz w:val="18"/>
                <w:szCs w:val="18"/>
                <w:b w:val="1"/>
                <w:bCs w:val="1"/>
                <w:color w:val="0000EE"/>
                <w:w w:val="79"/>
              </w:rPr>
            </w:pPr>
            <w:hyperlink w:anchor="page32">
              <w:r>
                <w:rPr>
                  <w:rFonts w:ascii="Arial" w:cs="Arial" w:eastAsia="Arial" w:hAnsi="Arial"/>
                  <w:sz w:val="18"/>
                  <w:szCs w:val="18"/>
                  <w:b w:val="1"/>
                  <w:bCs w:val="1"/>
                  <w:color w:val="0000EE"/>
                  <w:w w:val="79"/>
                </w:rPr>
                <w:t>30</w:t>
              </w:r>
            </w:hyperlink>
          </w:p>
        </w:tc>
      </w:tr>
      <w:tr>
        <w:trPr>
          <w:trHeight w:val="372"/>
        </w:trPr>
        <w:tc>
          <w:tcPr>
            <w:tcW w:w="40" w:type="dxa"/>
            <w:vAlign w:val="bottom"/>
          </w:tcPr>
          <w:p>
            <w:pPr>
              <w:spacing w:after="0"/>
              <w:rPr>
                <w:sz w:val="24"/>
                <w:szCs w:val="24"/>
                <w:color w:val="auto"/>
              </w:rPr>
            </w:pPr>
          </w:p>
        </w:tc>
        <w:tc>
          <w:tcPr>
            <w:tcW w:w="1600" w:type="dxa"/>
            <w:vAlign w:val="bottom"/>
          </w:tcPr>
          <w:p>
            <w:pPr>
              <w:ind w:left="340"/>
              <w:spacing w:after="0"/>
              <w:rPr>
                <w:sz w:val="20"/>
                <w:szCs w:val="20"/>
                <w:color w:val="auto"/>
              </w:rPr>
            </w:pPr>
            <w:r>
              <w:rPr>
                <w:rFonts w:ascii="Arial" w:cs="Arial" w:eastAsia="Arial" w:hAnsi="Arial"/>
                <w:sz w:val="18"/>
                <w:szCs w:val="18"/>
                <w:b w:val="1"/>
                <w:bCs w:val="1"/>
                <w:color w:val="auto"/>
              </w:rPr>
              <w:t>ITEM 3</w:t>
            </w:r>
          </w:p>
        </w:tc>
        <w:tc>
          <w:tcPr>
            <w:tcW w:w="4620" w:type="dxa"/>
            <w:vAlign w:val="bottom"/>
            <w:tcBorders>
              <w:top w:val="single" w:sz="8" w:color="0000EE"/>
            </w:tcBorders>
            <w:gridSpan w:val="10"/>
          </w:tcPr>
          <w:p>
            <w:pPr>
              <w:spacing w:after="0"/>
              <w:rPr>
                <w:rFonts w:ascii="Arial" w:cs="Arial" w:eastAsia="Arial" w:hAnsi="Arial"/>
                <w:sz w:val="18"/>
                <w:szCs w:val="18"/>
                <w:b w:val="1"/>
                <w:bCs w:val="1"/>
                <w:color w:val="0000EE"/>
              </w:rPr>
            </w:pPr>
            <w:hyperlink w:anchor="page32">
              <w:r>
                <w:rPr>
                  <w:rFonts w:ascii="Arial" w:cs="Arial" w:eastAsia="Arial" w:hAnsi="Arial"/>
                  <w:sz w:val="18"/>
                  <w:szCs w:val="18"/>
                  <w:b w:val="1"/>
                  <w:bCs w:val="1"/>
                  <w:color w:val="0000EE"/>
                </w:rPr>
                <w:t>Defaults Upon Senior Securities</w:t>
              </w:r>
            </w:hyperlink>
          </w:p>
        </w:tc>
        <w:tc>
          <w:tcPr>
            <w:tcW w:w="4960" w:type="dxa"/>
            <w:vAlign w:val="bottom"/>
            <w:gridSpan w:val="3"/>
          </w:tcPr>
          <w:p>
            <w:pPr>
              <w:spacing w:after="0"/>
              <w:rPr>
                <w:sz w:val="24"/>
                <w:szCs w:val="24"/>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b w:val="1"/>
                <w:bCs w:val="1"/>
                <w:color w:val="0000EE"/>
                <w:w w:val="79"/>
              </w:rPr>
            </w:pPr>
            <w:hyperlink w:anchor="page32">
              <w:r>
                <w:rPr>
                  <w:rFonts w:ascii="Arial" w:cs="Arial" w:eastAsia="Arial" w:hAnsi="Arial"/>
                  <w:sz w:val="18"/>
                  <w:szCs w:val="18"/>
                  <w:b w:val="1"/>
                  <w:bCs w:val="1"/>
                  <w:color w:val="0000EE"/>
                  <w:w w:val="79"/>
                </w:rPr>
                <w:t>30</w:t>
              </w:r>
            </w:hyperlink>
          </w:p>
        </w:tc>
      </w:tr>
      <w:tr>
        <w:trPr>
          <w:trHeight w:val="372"/>
        </w:trPr>
        <w:tc>
          <w:tcPr>
            <w:tcW w:w="40" w:type="dxa"/>
            <w:vAlign w:val="bottom"/>
          </w:tcPr>
          <w:p>
            <w:pPr>
              <w:spacing w:after="0"/>
              <w:rPr>
                <w:sz w:val="24"/>
                <w:szCs w:val="24"/>
                <w:color w:val="auto"/>
              </w:rPr>
            </w:pPr>
          </w:p>
        </w:tc>
        <w:tc>
          <w:tcPr>
            <w:tcW w:w="1600" w:type="dxa"/>
            <w:vAlign w:val="bottom"/>
          </w:tcPr>
          <w:p>
            <w:pPr>
              <w:ind w:left="340"/>
              <w:spacing w:after="0"/>
              <w:rPr>
                <w:sz w:val="20"/>
                <w:szCs w:val="20"/>
                <w:color w:val="auto"/>
              </w:rPr>
            </w:pPr>
            <w:r>
              <w:rPr>
                <w:rFonts w:ascii="Arial" w:cs="Arial" w:eastAsia="Arial" w:hAnsi="Arial"/>
                <w:sz w:val="18"/>
                <w:szCs w:val="18"/>
                <w:b w:val="1"/>
                <w:bCs w:val="1"/>
                <w:color w:val="auto"/>
              </w:rPr>
              <w:t>ITEM 4</w:t>
            </w:r>
          </w:p>
        </w:tc>
        <w:tc>
          <w:tcPr>
            <w:tcW w:w="1840" w:type="dxa"/>
            <w:vAlign w:val="bottom"/>
            <w:tcBorders>
              <w:top w:val="single" w:sz="8" w:color="0000EE"/>
              <w:bottom w:val="single" w:sz="8" w:color="0000EE"/>
            </w:tcBorders>
            <w:gridSpan w:val="7"/>
          </w:tcPr>
          <w:p>
            <w:pPr>
              <w:spacing w:after="0"/>
              <w:rPr>
                <w:rFonts w:ascii="Arial" w:cs="Arial" w:eastAsia="Arial" w:hAnsi="Arial"/>
                <w:sz w:val="18"/>
                <w:szCs w:val="18"/>
                <w:b w:val="1"/>
                <w:bCs w:val="1"/>
                <w:color w:val="0000EE"/>
                <w:w w:val="87"/>
              </w:rPr>
            </w:pPr>
            <w:hyperlink w:anchor="page32">
              <w:r>
                <w:rPr>
                  <w:rFonts w:ascii="Arial" w:cs="Arial" w:eastAsia="Arial" w:hAnsi="Arial"/>
                  <w:sz w:val="18"/>
                  <w:szCs w:val="18"/>
                  <w:b w:val="1"/>
                  <w:bCs w:val="1"/>
                  <w:color w:val="0000EE"/>
                  <w:w w:val="87"/>
                </w:rPr>
                <w:t>Mine Safety Disclosures</w:t>
              </w:r>
            </w:hyperlink>
          </w:p>
        </w:tc>
        <w:tc>
          <w:tcPr>
            <w:tcW w:w="600" w:type="dxa"/>
            <w:vAlign w:val="bottom"/>
            <w:tcBorders>
              <w:top w:val="single" w:sz="8" w:color="0000EE"/>
            </w:tcBorders>
            <w:gridSpan w:val="2"/>
          </w:tcPr>
          <w:p>
            <w:pPr>
              <w:spacing w:after="0"/>
              <w:rPr>
                <w:sz w:val="24"/>
                <w:szCs w:val="24"/>
                <w:color w:val="auto"/>
              </w:rPr>
            </w:pPr>
          </w:p>
        </w:tc>
        <w:tc>
          <w:tcPr>
            <w:tcW w:w="7140" w:type="dxa"/>
            <w:vAlign w:val="bottom"/>
            <w:gridSpan w:val="4"/>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b w:val="1"/>
                <w:bCs w:val="1"/>
                <w:color w:val="0000EE"/>
                <w:w w:val="79"/>
              </w:rPr>
            </w:pPr>
            <w:hyperlink w:anchor="page32">
              <w:r>
                <w:rPr>
                  <w:rFonts w:ascii="Arial" w:cs="Arial" w:eastAsia="Arial" w:hAnsi="Arial"/>
                  <w:sz w:val="18"/>
                  <w:szCs w:val="18"/>
                  <w:b w:val="1"/>
                  <w:bCs w:val="1"/>
                  <w:color w:val="0000EE"/>
                  <w:w w:val="79"/>
                </w:rPr>
                <w:t>30</w:t>
              </w:r>
            </w:hyperlink>
          </w:p>
        </w:tc>
      </w:tr>
      <w:tr>
        <w:trPr>
          <w:trHeight w:val="372"/>
        </w:trPr>
        <w:tc>
          <w:tcPr>
            <w:tcW w:w="40" w:type="dxa"/>
            <w:vAlign w:val="bottom"/>
          </w:tcPr>
          <w:p>
            <w:pPr>
              <w:spacing w:after="0"/>
              <w:rPr>
                <w:sz w:val="24"/>
                <w:szCs w:val="24"/>
                <w:color w:val="auto"/>
              </w:rPr>
            </w:pPr>
          </w:p>
        </w:tc>
        <w:tc>
          <w:tcPr>
            <w:tcW w:w="1600" w:type="dxa"/>
            <w:vAlign w:val="bottom"/>
          </w:tcPr>
          <w:p>
            <w:pPr>
              <w:ind w:left="340"/>
              <w:spacing w:after="0"/>
              <w:rPr>
                <w:sz w:val="20"/>
                <w:szCs w:val="20"/>
                <w:color w:val="auto"/>
              </w:rPr>
            </w:pPr>
            <w:r>
              <w:rPr>
                <w:rFonts w:ascii="Arial" w:cs="Arial" w:eastAsia="Arial" w:hAnsi="Arial"/>
                <w:sz w:val="18"/>
                <w:szCs w:val="18"/>
                <w:b w:val="1"/>
                <w:bCs w:val="1"/>
                <w:color w:val="auto"/>
              </w:rPr>
              <w:t>ITEM 5</w:t>
            </w:r>
          </w:p>
        </w:tc>
        <w:tc>
          <w:tcPr>
            <w:tcW w:w="9580" w:type="dxa"/>
            <w:vAlign w:val="bottom"/>
            <w:gridSpan w:val="13"/>
          </w:tcPr>
          <w:p>
            <w:pPr>
              <w:spacing w:after="0"/>
              <w:rPr>
                <w:rFonts w:ascii="Arial" w:cs="Arial" w:eastAsia="Arial" w:hAnsi="Arial"/>
                <w:sz w:val="18"/>
                <w:szCs w:val="18"/>
                <w:b w:val="1"/>
                <w:bCs w:val="1"/>
                <w:color w:val="0000EE"/>
              </w:rPr>
            </w:pPr>
            <w:hyperlink w:anchor="page32">
              <w:r>
                <w:rPr>
                  <w:rFonts w:ascii="Arial" w:cs="Arial" w:eastAsia="Arial" w:hAnsi="Arial"/>
                  <w:sz w:val="18"/>
                  <w:szCs w:val="18"/>
                  <w:b w:val="1"/>
                  <w:bCs w:val="1"/>
                  <w:color w:val="0000EE"/>
                </w:rPr>
                <w:t>Other Information</w:t>
              </w:r>
            </w:hyperlink>
          </w:p>
        </w:tc>
        <w:tc>
          <w:tcPr>
            <w:tcW w:w="180" w:type="dxa"/>
            <w:vAlign w:val="bottom"/>
            <w:gridSpan w:val="2"/>
          </w:tcPr>
          <w:p>
            <w:pPr>
              <w:jc w:val="right"/>
              <w:spacing w:after="0"/>
              <w:rPr>
                <w:rFonts w:ascii="Arial" w:cs="Arial" w:eastAsia="Arial" w:hAnsi="Arial"/>
                <w:sz w:val="18"/>
                <w:szCs w:val="18"/>
                <w:b w:val="1"/>
                <w:bCs w:val="1"/>
                <w:color w:val="0000EE"/>
                <w:w w:val="79"/>
              </w:rPr>
            </w:pPr>
            <w:hyperlink w:anchor="page32">
              <w:r>
                <w:rPr>
                  <w:rFonts w:ascii="Arial" w:cs="Arial" w:eastAsia="Arial" w:hAnsi="Arial"/>
                  <w:sz w:val="18"/>
                  <w:szCs w:val="18"/>
                  <w:b w:val="1"/>
                  <w:bCs w:val="1"/>
                  <w:color w:val="0000EE"/>
                  <w:w w:val="79"/>
                </w:rPr>
                <w:t>30</w:t>
              </w:r>
            </w:hyperlink>
          </w:p>
        </w:tc>
      </w:tr>
      <w:tr>
        <w:trPr>
          <w:trHeight w:val="372"/>
        </w:trPr>
        <w:tc>
          <w:tcPr>
            <w:tcW w:w="40" w:type="dxa"/>
            <w:vAlign w:val="bottom"/>
          </w:tcPr>
          <w:p>
            <w:pPr>
              <w:spacing w:after="0"/>
              <w:rPr>
                <w:sz w:val="24"/>
                <w:szCs w:val="24"/>
                <w:color w:val="auto"/>
              </w:rPr>
            </w:pPr>
          </w:p>
        </w:tc>
        <w:tc>
          <w:tcPr>
            <w:tcW w:w="1600" w:type="dxa"/>
            <w:vAlign w:val="bottom"/>
          </w:tcPr>
          <w:p>
            <w:pPr>
              <w:ind w:left="340"/>
              <w:spacing w:after="0"/>
              <w:rPr>
                <w:sz w:val="20"/>
                <w:szCs w:val="20"/>
                <w:color w:val="auto"/>
              </w:rPr>
            </w:pPr>
            <w:r>
              <w:rPr>
                <w:rFonts w:ascii="Arial" w:cs="Arial" w:eastAsia="Arial" w:hAnsi="Arial"/>
                <w:sz w:val="18"/>
                <w:szCs w:val="18"/>
                <w:b w:val="1"/>
                <w:bCs w:val="1"/>
                <w:color w:val="auto"/>
              </w:rPr>
              <w:t>ITEM 6</w:t>
            </w:r>
          </w:p>
        </w:tc>
        <w:tc>
          <w:tcPr>
            <w:tcW w:w="1440" w:type="dxa"/>
            <w:vAlign w:val="bottom"/>
            <w:tcBorders>
              <w:top w:val="single" w:sz="8" w:color="0000EE"/>
            </w:tcBorders>
            <w:gridSpan w:val="5"/>
          </w:tcPr>
          <w:p>
            <w:pPr>
              <w:spacing w:after="0"/>
              <w:rPr>
                <w:rFonts w:ascii="Arial" w:cs="Arial" w:eastAsia="Arial" w:hAnsi="Arial"/>
                <w:sz w:val="18"/>
                <w:szCs w:val="18"/>
                <w:b w:val="1"/>
                <w:bCs w:val="1"/>
                <w:color w:val="0000EE"/>
              </w:rPr>
            </w:pPr>
            <w:hyperlink w:anchor="page33">
              <w:r>
                <w:rPr>
                  <w:rFonts w:ascii="Arial" w:cs="Arial" w:eastAsia="Arial" w:hAnsi="Arial"/>
                  <w:sz w:val="18"/>
                  <w:szCs w:val="18"/>
                  <w:b w:val="1"/>
                  <w:bCs w:val="1"/>
                  <w:color w:val="0000EE"/>
                </w:rPr>
                <w:t>Exhibits</w:t>
              </w:r>
            </w:hyperlink>
          </w:p>
        </w:tc>
        <w:tc>
          <w:tcPr>
            <w:tcW w:w="8140" w:type="dxa"/>
            <w:vAlign w:val="bottom"/>
            <w:gridSpan w:val="8"/>
          </w:tcPr>
          <w:p>
            <w:pPr>
              <w:spacing w:after="0"/>
              <w:rPr>
                <w:sz w:val="24"/>
                <w:szCs w:val="24"/>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b w:val="1"/>
                <w:bCs w:val="1"/>
                <w:color w:val="0000EE"/>
                <w:w w:val="79"/>
              </w:rPr>
            </w:pPr>
            <w:hyperlink w:anchor="page33">
              <w:r>
                <w:rPr>
                  <w:rFonts w:ascii="Arial" w:cs="Arial" w:eastAsia="Arial" w:hAnsi="Arial"/>
                  <w:sz w:val="18"/>
                  <w:szCs w:val="18"/>
                  <w:b w:val="1"/>
                  <w:bCs w:val="1"/>
                  <w:color w:val="0000EE"/>
                  <w:w w:val="79"/>
                </w:rPr>
                <w:t>31</w:t>
              </w:r>
            </w:hyperlink>
          </w:p>
        </w:tc>
      </w:tr>
      <w:tr>
        <w:trPr>
          <w:trHeight w:val="20"/>
        </w:trPr>
        <w:tc>
          <w:tcPr>
            <w:tcW w:w="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bl>
    <w:p>
      <w:pPr>
        <w:sectPr>
          <w:pgSz w:w="11900" w:h="16838" w:orient="portrait"/>
          <w:cols w:equalWidth="0" w:num="1">
            <w:col w:w="11400"/>
          </w:cols>
          <w:pgMar w:left="240" w:top="1013" w:right="25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7800" w:type="dxa"/>
            <w:vAlign w:val="bottom"/>
          </w:tcPr>
          <w:p>
            <w:pPr>
              <w:jc w:val="center"/>
              <w:ind w:left="2450"/>
              <w:spacing w:after="0"/>
              <w:rPr>
                <w:sz w:val="20"/>
                <w:szCs w:val="20"/>
                <w:color w:val="auto"/>
              </w:rPr>
            </w:pPr>
            <w:r>
              <w:rPr>
                <w:rFonts w:ascii="Arial" w:cs="Arial" w:eastAsia="Arial" w:hAnsi="Arial"/>
                <w:sz w:val="18"/>
                <w:szCs w:val="18"/>
                <w:b w:val="1"/>
                <w:bCs w:val="1"/>
                <w:color w:val="auto"/>
              </w:rPr>
              <w:t>PART I. FINANCIAL INFORMATION</w:t>
            </w: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540" w:type="dxa"/>
            <w:vAlign w:val="bottom"/>
          </w:tcPr>
          <w:p>
            <w:pPr>
              <w:spacing w:after="0"/>
              <w:rPr>
                <w:sz w:val="20"/>
                <w:szCs w:val="20"/>
                <w:color w:val="auto"/>
              </w:rPr>
            </w:pPr>
            <w:r>
              <w:rPr>
                <w:rFonts w:ascii="Arial" w:cs="Arial" w:eastAsia="Arial" w:hAnsi="Arial"/>
                <w:sz w:val="18"/>
                <w:szCs w:val="18"/>
                <w:b w:val="1"/>
                <w:bCs w:val="1"/>
                <w:color w:val="auto"/>
                <w:w w:val="91"/>
              </w:rPr>
              <w:t>Item 1</w:t>
            </w:r>
            <w:r>
              <w:rPr>
                <w:rFonts w:ascii="Arial" w:cs="Arial" w:eastAsia="Arial" w:hAnsi="Arial"/>
                <w:sz w:val="18"/>
                <w:szCs w:val="18"/>
                <w:b w:val="1"/>
                <w:bCs w:val="1"/>
                <w:i w:val="1"/>
                <w:iCs w:val="1"/>
                <w:color w:val="auto"/>
                <w:w w:val="91"/>
              </w:rPr>
              <w:t>.</w:t>
            </w:r>
          </w:p>
        </w:tc>
        <w:tc>
          <w:tcPr>
            <w:tcW w:w="7800" w:type="dxa"/>
            <w:vAlign w:val="bottom"/>
          </w:tcPr>
          <w:p>
            <w:pPr>
              <w:ind w:left="440"/>
              <w:spacing w:after="0"/>
              <w:rPr>
                <w:sz w:val="20"/>
                <w:szCs w:val="20"/>
                <w:color w:val="auto"/>
              </w:rPr>
            </w:pPr>
            <w:r>
              <w:rPr>
                <w:rFonts w:ascii="Arial" w:cs="Arial" w:eastAsia="Arial" w:hAnsi="Arial"/>
                <w:sz w:val="18"/>
                <w:szCs w:val="18"/>
                <w:b w:val="1"/>
                <w:bCs w:val="1"/>
                <w:color w:val="auto"/>
              </w:rPr>
              <w:t>Financial Statements</w:t>
            </w: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40" w:type="dxa"/>
            <w:vAlign w:val="bottom"/>
          </w:tcPr>
          <w:p>
            <w:pPr>
              <w:spacing w:after="0"/>
              <w:rPr>
                <w:sz w:val="24"/>
                <w:szCs w:val="24"/>
                <w:color w:val="auto"/>
              </w:rPr>
            </w:pPr>
          </w:p>
        </w:tc>
        <w:tc>
          <w:tcPr>
            <w:tcW w:w="7800" w:type="dxa"/>
            <w:vAlign w:val="bottom"/>
          </w:tcPr>
          <w:p>
            <w:pPr>
              <w:jc w:val="center"/>
              <w:ind w:left="2450"/>
              <w:spacing w:after="0"/>
              <w:rPr>
                <w:sz w:val="20"/>
                <w:szCs w:val="20"/>
                <w:color w:val="auto"/>
              </w:rPr>
            </w:pPr>
            <w:r>
              <w:rPr>
                <w:rFonts w:ascii="Arial" w:cs="Arial" w:eastAsia="Arial" w:hAnsi="Arial"/>
                <w:sz w:val="18"/>
                <w:szCs w:val="18"/>
                <w:b w:val="1"/>
                <w:bCs w:val="1"/>
                <w:color w:val="auto"/>
              </w:rPr>
              <w:t>BOOZ ALLEN HAMILTON HOLDING CORPORATION</w:t>
            </w: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40" w:type="dxa"/>
            <w:vAlign w:val="bottom"/>
          </w:tcPr>
          <w:p>
            <w:pPr>
              <w:spacing w:after="0"/>
              <w:rPr>
                <w:sz w:val="23"/>
                <w:szCs w:val="23"/>
                <w:color w:val="auto"/>
              </w:rPr>
            </w:pPr>
          </w:p>
        </w:tc>
        <w:tc>
          <w:tcPr>
            <w:tcW w:w="7800" w:type="dxa"/>
            <w:vAlign w:val="bottom"/>
          </w:tcPr>
          <w:p>
            <w:pPr>
              <w:jc w:val="center"/>
              <w:ind w:left="245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2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9"/>
        </w:trPr>
        <w:tc>
          <w:tcPr>
            <w:tcW w:w="540" w:type="dxa"/>
            <w:vAlign w:val="bottom"/>
          </w:tcPr>
          <w:p>
            <w:pPr>
              <w:spacing w:after="0"/>
              <w:rPr>
                <w:sz w:val="24"/>
                <w:szCs w:val="24"/>
                <w:color w:val="auto"/>
              </w:rPr>
            </w:pPr>
          </w:p>
        </w:tc>
        <w:tc>
          <w:tcPr>
            <w:tcW w:w="7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June 30,</w:t>
            </w:r>
          </w:p>
        </w:tc>
        <w:tc>
          <w:tcPr>
            <w:tcW w:w="220" w:type="dxa"/>
            <w:vAlign w:val="bottom"/>
          </w:tcPr>
          <w:p>
            <w:pPr>
              <w:spacing w:after="0"/>
              <w:rPr>
                <w:sz w:val="24"/>
                <w:szCs w:val="24"/>
                <w:color w:val="auto"/>
              </w:rPr>
            </w:pPr>
          </w:p>
        </w:tc>
        <w:tc>
          <w:tcPr>
            <w:tcW w:w="1260" w:type="dxa"/>
            <w:vAlign w:val="bottom"/>
          </w:tcPr>
          <w:p>
            <w:pPr>
              <w:jc w:val="right"/>
              <w:ind w:right="270"/>
              <w:spacing w:after="0"/>
              <w:rPr>
                <w:sz w:val="20"/>
                <w:szCs w:val="20"/>
                <w:color w:val="auto"/>
              </w:rPr>
            </w:pPr>
            <w:r>
              <w:rPr>
                <w:rFonts w:ascii="Arial" w:cs="Arial" w:eastAsia="Arial" w:hAnsi="Arial"/>
                <w:sz w:val="18"/>
                <w:szCs w:val="18"/>
                <w:b w:val="1"/>
                <w:bCs w:val="1"/>
                <w:color w:val="auto"/>
              </w:rPr>
              <w:t>March 31,</w:t>
            </w:r>
          </w:p>
        </w:tc>
        <w:tc>
          <w:tcPr>
            <w:tcW w:w="0" w:type="dxa"/>
            <w:vAlign w:val="bottom"/>
          </w:tcPr>
          <w:p>
            <w:pPr>
              <w:spacing w:after="0"/>
              <w:rPr>
                <w:sz w:val="1"/>
                <w:szCs w:val="1"/>
                <w:color w:val="auto"/>
              </w:rPr>
            </w:pPr>
          </w:p>
        </w:tc>
      </w:tr>
      <w:tr>
        <w:trPr>
          <w:trHeight w:val="234"/>
        </w:trPr>
        <w:tc>
          <w:tcPr>
            <w:tcW w:w="540" w:type="dxa"/>
            <w:vAlign w:val="bottom"/>
          </w:tcPr>
          <w:p>
            <w:pPr>
              <w:spacing w:after="0"/>
              <w:rPr>
                <w:sz w:val="20"/>
                <w:szCs w:val="20"/>
                <w:color w:val="auto"/>
              </w:rPr>
            </w:pPr>
          </w:p>
        </w:tc>
        <w:tc>
          <w:tcPr>
            <w:tcW w:w="7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center"/>
              <w:ind w:right="91"/>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7"/>
        </w:trPr>
        <w:tc>
          <w:tcPr>
            <w:tcW w:w="540" w:type="dxa"/>
            <w:vAlign w:val="bottom"/>
          </w:tcPr>
          <w:p>
            <w:pPr>
              <w:spacing w:after="0"/>
              <w:rPr>
                <w:sz w:val="2"/>
                <w:szCs w:val="2"/>
                <w:color w:val="auto"/>
              </w:rPr>
            </w:pPr>
          </w:p>
        </w:tc>
        <w:tc>
          <w:tcPr>
            <w:tcW w:w="78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40" w:type="dxa"/>
            <w:vAlign w:val="bottom"/>
          </w:tcPr>
          <w:p>
            <w:pPr>
              <w:spacing w:after="0"/>
              <w:rPr>
                <w:sz w:val="20"/>
                <w:szCs w:val="20"/>
                <w:color w:val="auto"/>
              </w:rPr>
            </w:pPr>
          </w:p>
        </w:tc>
        <w:tc>
          <w:tcPr>
            <w:tcW w:w="7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(Unaudited)</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40" w:type="dxa"/>
            <w:vAlign w:val="bottom"/>
          </w:tcPr>
          <w:p>
            <w:pPr>
              <w:spacing w:after="0"/>
              <w:rPr>
                <w:sz w:val="21"/>
                <w:szCs w:val="21"/>
                <w:color w:val="auto"/>
              </w:rPr>
            </w:pPr>
          </w:p>
        </w:tc>
        <w:tc>
          <w:tcPr>
            <w:tcW w:w="7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80" w:type="dxa"/>
            <w:vAlign w:val="bottom"/>
            <w:gridSpan w:val="4"/>
          </w:tcPr>
          <w:p>
            <w:pPr>
              <w:jc w:val="right"/>
              <w:ind w:right="370"/>
              <w:spacing w:after="0"/>
              <w:rPr>
                <w:sz w:val="20"/>
                <w:szCs w:val="20"/>
                <w:color w:val="auto"/>
              </w:rPr>
            </w:pPr>
            <w:r>
              <w:rPr>
                <w:rFonts w:ascii="Arial" w:cs="Arial" w:eastAsia="Arial" w:hAnsi="Arial"/>
                <w:sz w:val="16"/>
                <w:szCs w:val="16"/>
                <w:b w:val="1"/>
                <w:bCs w:val="1"/>
                <w:color w:val="auto"/>
              </w:rPr>
              <w:t>(Amounts in thousands, except</w:t>
            </w:r>
          </w:p>
        </w:tc>
        <w:tc>
          <w:tcPr>
            <w:tcW w:w="0" w:type="dxa"/>
            <w:vAlign w:val="bottom"/>
          </w:tcPr>
          <w:p>
            <w:pPr>
              <w:spacing w:after="0"/>
              <w:rPr>
                <w:sz w:val="1"/>
                <w:szCs w:val="1"/>
                <w:color w:val="auto"/>
              </w:rPr>
            </w:pPr>
          </w:p>
        </w:tc>
      </w:tr>
      <w:tr>
        <w:trPr>
          <w:trHeight w:val="210"/>
        </w:trPr>
        <w:tc>
          <w:tcPr>
            <w:tcW w:w="540" w:type="dxa"/>
            <w:vAlign w:val="bottom"/>
          </w:tcPr>
          <w:p>
            <w:pPr>
              <w:spacing w:after="0"/>
              <w:rPr>
                <w:sz w:val="18"/>
                <w:szCs w:val="18"/>
                <w:color w:val="auto"/>
              </w:rPr>
            </w:pPr>
          </w:p>
        </w:tc>
        <w:tc>
          <w:tcPr>
            <w:tcW w:w="7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80" w:type="dxa"/>
            <w:vAlign w:val="bottom"/>
            <w:gridSpan w:val="4"/>
          </w:tcPr>
          <w:p>
            <w:pPr>
              <w:jc w:val="right"/>
              <w:ind w:right="550"/>
              <w:spacing w:after="0"/>
              <w:rPr>
                <w:sz w:val="20"/>
                <w:szCs w:val="20"/>
                <w:color w:val="auto"/>
              </w:rPr>
            </w:pPr>
            <w:r>
              <w:rPr>
                <w:rFonts w:ascii="Arial" w:cs="Arial" w:eastAsia="Arial" w:hAnsi="Arial"/>
                <w:sz w:val="16"/>
                <w:szCs w:val="16"/>
                <w:b w:val="1"/>
                <w:bCs w:val="1"/>
                <w:color w:val="auto"/>
              </w:rPr>
              <w:t>share and per share data)</w:t>
            </w:r>
          </w:p>
        </w:tc>
        <w:tc>
          <w:tcPr>
            <w:tcW w:w="0" w:type="dxa"/>
            <w:vAlign w:val="bottom"/>
          </w:tcPr>
          <w:p>
            <w:pPr>
              <w:spacing w:after="0"/>
              <w:rPr>
                <w:sz w:val="1"/>
                <w:szCs w:val="1"/>
                <w:color w:val="auto"/>
              </w:rPr>
            </w:pPr>
          </w:p>
        </w:tc>
      </w:tr>
      <w:tr>
        <w:trPr>
          <w:trHeight w:val="33"/>
        </w:trPr>
        <w:tc>
          <w:tcPr>
            <w:tcW w:w="540" w:type="dxa"/>
            <w:vAlign w:val="bottom"/>
          </w:tcPr>
          <w:p>
            <w:pPr>
              <w:spacing w:after="0"/>
              <w:rPr>
                <w:sz w:val="2"/>
                <w:szCs w:val="2"/>
                <w:color w:val="auto"/>
              </w:rPr>
            </w:pPr>
          </w:p>
        </w:tc>
        <w:tc>
          <w:tcPr>
            <w:tcW w:w="7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Borders>
              <w:bottom w:val="single" w:sz="8" w:color="CCEEFF"/>
            </w:tcBorders>
            <w:shd w:val="clear" w:color="auto" w:fill="CCEEFF"/>
          </w:tcPr>
          <w:p>
            <w:pPr>
              <w:spacing w:after="0"/>
              <w:rPr>
                <w:sz w:val="21"/>
                <w:szCs w:val="21"/>
                <w:color w:val="auto"/>
              </w:rPr>
            </w:pPr>
          </w:p>
        </w:tc>
        <w:tc>
          <w:tcPr>
            <w:tcW w:w="7800" w:type="dxa"/>
            <w:vAlign w:val="bottom"/>
            <w:tcBorders>
              <w:bottom w:val="single" w:sz="8" w:color="CCEEFF"/>
            </w:tcBorders>
            <w:shd w:val="clear" w:color="auto" w:fill="CCEEFF"/>
          </w:tcPr>
          <w:p>
            <w:pPr>
              <w:ind w:left="330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179,974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187,529</w:t>
            </w:r>
          </w:p>
        </w:tc>
        <w:tc>
          <w:tcPr>
            <w:tcW w:w="0" w:type="dxa"/>
            <w:vAlign w:val="bottom"/>
          </w:tcPr>
          <w:p>
            <w:pPr>
              <w:spacing w:after="0"/>
              <w:rPr>
                <w:sz w:val="1"/>
                <w:szCs w:val="1"/>
                <w:color w:val="auto"/>
              </w:rPr>
            </w:pP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Accounts receivable, net of allowance</w:t>
            </w:r>
          </w:p>
        </w:tc>
        <w:tc>
          <w:tcPr>
            <w:tcW w:w="2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952,797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892,289</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77,457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109,953</w:t>
            </w:r>
          </w:p>
        </w:tc>
        <w:tc>
          <w:tcPr>
            <w:tcW w:w="0" w:type="dxa"/>
            <w:vAlign w:val="bottom"/>
          </w:tcPr>
          <w:p>
            <w:pPr>
              <w:spacing w:after="0"/>
              <w:rPr>
                <w:sz w:val="1"/>
                <w:szCs w:val="1"/>
                <w:color w:val="auto"/>
              </w:rPr>
            </w:pPr>
          </w:p>
        </w:tc>
      </w:tr>
      <w:tr>
        <w:trPr>
          <w:trHeight w:val="237"/>
        </w:trPr>
        <w:tc>
          <w:tcPr>
            <w:tcW w:w="540" w:type="dxa"/>
            <w:vAlign w:val="bottom"/>
          </w:tcPr>
          <w:p>
            <w:pPr>
              <w:spacing w:after="0"/>
              <w:rPr>
                <w:sz w:val="20"/>
                <w:szCs w:val="20"/>
                <w:color w:val="auto"/>
              </w:rPr>
            </w:pPr>
          </w:p>
        </w:tc>
        <w:tc>
          <w:tcPr>
            <w:tcW w:w="7800" w:type="dxa"/>
            <w:vAlign w:val="bottom"/>
          </w:tcPr>
          <w:p>
            <w:pPr>
              <w:ind w:left="180"/>
              <w:spacing w:after="0"/>
              <w:rPr>
                <w:sz w:val="20"/>
                <w:szCs w:val="20"/>
                <w:color w:val="auto"/>
              </w:rPr>
            </w:pPr>
            <w:r>
              <w:rPr>
                <w:rFonts w:ascii="Arial" w:cs="Arial" w:eastAsia="Arial" w:hAnsi="Arial"/>
                <w:sz w:val="18"/>
                <w:szCs w:val="18"/>
                <w:color w:val="auto"/>
              </w:rPr>
              <w:t>Total current assets</w:t>
            </w: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1,210,228</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1,189,771</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Property and equipment, net of accumulated depreciation</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128,813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130,169</w:t>
            </w: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Intangible assets, net of accumulated amortization</w:t>
            </w:r>
          </w:p>
        </w:tc>
        <w:tc>
          <w:tcPr>
            <w:tcW w:w="2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217,548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220,658</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1,361,913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1,361,913</w:t>
            </w: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Other long-term assets</w:t>
            </w:r>
          </w:p>
        </w:tc>
        <w:tc>
          <w:tcPr>
            <w:tcW w:w="2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123,178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107,660</w:t>
            </w:r>
          </w:p>
        </w:tc>
        <w:tc>
          <w:tcPr>
            <w:tcW w:w="0" w:type="dxa"/>
            <w:vAlign w:val="bottom"/>
          </w:tcPr>
          <w:p>
            <w:pPr>
              <w:spacing w:after="0"/>
              <w:rPr>
                <w:sz w:val="1"/>
                <w:szCs w:val="1"/>
                <w:color w:val="auto"/>
              </w:rPr>
            </w:pPr>
          </w:p>
        </w:tc>
      </w:tr>
      <w:tr>
        <w:trPr>
          <w:trHeight w:val="27"/>
        </w:trPr>
        <w:tc>
          <w:tcPr>
            <w:tcW w:w="540" w:type="dxa"/>
            <w:vAlign w:val="bottom"/>
            <w:tcBorders>
              <w:bottom w:val="single" w:sz="8" w:color="CCEEFF"/>
            </w:tcBorders>
          </w:tcPr>
          <w:p>
            <w:pPr>
              <w:spacing w:after="0"/>
              <w:rPr>
                <w:sz w:val="2"/>
                <w:szCs w:val="2"/>
                <w:color w:val="auto"/>
              </w:rPr>
            </w:pPr>
          </w:p>
        </w:tc>
        <w:tc>
          <w:tcPr>
            <w:tcW w:w="7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40" w:type="dxa"/>
            <w:vAlign w:val="bottom"/>
            <w:tcBorders>
              <w:bottom w:val="single" w:sz="8" w:color="CCEEFF"/>
            </w:tcBorders>
            <w:shd w:val="clear" w:color="auto" w:fill="CCEEFF"/>
          </w:tcPr>
          <w:p>
            <w:pPr>
              <w:spacing w:after="0"/>
              <w:rPr>
                <w:sz w:val="22"/>
                <w:szCs w:val="22"/>
                <w:color w:val="auto"/>
              </w:rPr>
            </w:pPr>
          </w:p>
        </w:tc>
        <w:tc>
          <w:tcPr>
            <w:tcW w:w="7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3,041,680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3,010,171</w:t>
            </w:r>
          </w:p>
        </w:tc>
        <w:tc>
          <w:tcPr>
            <w:tcW w:w="0" w:type="dxa"/>
            <w:vAlign w:val="bottom"/>
          </w:tcPr>
          <w:p>
            <w:pPr>
              <w:spacing w:after="0"/>
              <w:rPr>
                <w:sz w:val="1"/>
                <w:szCs w:val="1"/>
                <w:color w:val="auto"/>
              </w:rPr>
            </w:pPr>
          </w:p>
        </w:tc>
      </w:tr>
      <w:tr>
        <w:trPr>
          <w:trHeight w:val="20"/>
        </w:trPr>
        <w:tc>
          <w:tcPr>
            <w:tcW w:w="540" w:type="dxa"/>
            <w:vAlign w:val="bottom"/>
            <w:tcBorders>
              <w:top w:val="single" w:sz="8" w:color="CCEEFF"/>
            </w:tcBorders>
          </w:tcPr>
          <w:p>
            <w:pPr>
              <w:spacing w:after="0" w:line="20" w:lineRule="exact"/>
              <w:rPr>
                <w:sz w:val="1"/>
                <w:szCs w:val="1"/>
                <w:color w:val="auto"/>
              </w:rPr>
            </w:pPr>
          </w:p>
        </w:tc>
        <w:tc>
          <w:tcPr>
            <w:tcW w:w="7800" w:type="dxa"/>
            <w:vAlign w:val="bottom"/>
            <w:tcBorders>
              <w:top w:val="single" w:sz="8" w:color="CCEEFF"/>
              <w:bottom w:val="single" w:sz="8" w:color="CCEEFF"/>
            </w:tcBorders>
            <w:vMerge w:val="restart"/>
          </w:tcPr>
          <w:p>
            <w:pPr>
              <w:ind w:left="1680"/>
              <w:spacing w:after="0"/>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0" w:type="dxa"/>
            <w:vAlign w:val="bottom"/>
          </w:tcPr>
          <w:p>
            <w:pPr>
              <w:spacing w:after="0"/>
              <w:rPr>
                <w:sz w:val="17"/>
                <w:szCs w:val="17"/>
                <w:color w:val="auto"/>
              </w:rPr>
            </w:pPr>
          </w:p>
        </w:tc>
        <w:tc>
          <w:tcPr>
            <w:tcW w:w="78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340" w:type="dxa"/>
            <w:vAlign w:val="bottom"/>
            <w:gridSpan w:val="2"/>
          </w:tcPr>
          <w:p>
            <w:pPr>
              <w:spacing w:after="0"/>
              <w:rPr>
                <w:sz w:val="4"/>
                <w:szCs w:val="4"/>
                <w:color w:val="auto"/>
              </w:rPr>
            </w:pPr>
          </w:p>
        </w:tc>
        <w:tc>
          <w:tcPr>
            <w:tcW w:w="2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Current portion of long-term debt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106,779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112,813</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Accounts payable and other accrued expenses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462,800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484,769</w:t>
            </w:r>
          </w:p>
        </w:tc>
        <w:tc>
          <w:tcPr>
            <w:tcW w:w="0" w:type="dxa"/>
            <w:vAlign w:val="bottom"/>
          </w:tcPr>
          <w:p>
            <w:pPr>
              <w:spacing w:after="0"/>
              <w:rPr>
                <w:sz w:val="1"/>
                <w:szCs w:val="1"/>
                <w:color w:val="auto"/>
              </w:rPr>
            </w:pP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Accrued compensation and benefits</w:t>
            </w:r>
          </w:p>
        </w:tc>
        <w:tc>
          <w:tcPr>
            <w:tcW w:w="2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205,593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241,367</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Other current liabilities</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120,191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100,964</w:t>
            </w:r>
          </w:p>
        </w:tc>
        <w:tc>
          <w:tcPr>
            <w:tcW w:w="0" w:type="dxa"/>
            <w:vAlign w:val="bottom"/>
          </w:tcPr>
          <w:p>
            <w:pPr>
              <w:spacing w:after="0"/>
              <w:rPr>
                <w:sz w:val="1"/>
                <w:szCs w:val="1"/>
                <w:color w:val="auto"/>
              </w:rPr>
            </w:pPr>
          </w:p>
        </w:tc>
      </w:tr>
      <w:tr>
        <w:trPr>
          <w:trHeight w:val="237"/>
        </w:trPr>
        <w:tc>
          <w:tcPr>
            <w:tcW w:w="540" w:type="dxa"/>
            <w:vAlign w:val="bottom"/>
          </w:tcPr>
          <w:p>
            <w:pPr>
              <w:spacing w:after="0"/>
              <w:rPr>
                <w:sz w:val="20"/>
                <w:szCs w:val="20"/>
                <w:color w:val="auto"/>
              </w:rPr>
            </w:pPr>
          </w:p>
        </w:tc>
        <w:tc>
          <w:tcPr>
            <w:tcW w:w="7800" w:type="dxa"/>
            <w:vAlign w:val="bottom"/>
          </w:tcPr>
          <w:p>
            <w:pPr>
              <w:ind w:left="18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895,363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939,913</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debt, net of current portion</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1,501,540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1,484,448</w:t>
            </w: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Other long-term liabilities</w:t>
            </w:r>
          </w:p>
        </w:tc>
        <w:tc>
          <w:tcPr>
            <w:tcW w:w="2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182,503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177,322</w:t>
            </w:r>
          </w:p>
        </w:tc>
        <w:tc>
          <w:tcPr>
            <w:tcW w:w="0" w:type="dxa"/>
            <w:vAlign w:val="bottom"/>
          </w:tcPr>
          <w:p>
            <w:pPr>
              <w:spacing w:after="0"/>
              <w:rPr>
                <w:sz w:val="1"/>
                <w:szCs w:val="1"/>
                <w:color w:val="auto"/>
              </w:rPr>
            </w:pPr>
          </w:p>
        </w:tc>
      </w:tr>
      <w:tr>
        <w:trPr>
          <w:trHeight w:val="27"/>
        </w:trPr>
        <w:tc>
          <w:tcPr>
            <w:tcW w:w="540" w:type="dxa"/>
            <w:vAlign w:val="bottom"/>
            <w:tcBorders>
              <w:bottom w:val="single" w:sz="8" w:color="CCEEFF"/>
            </w:tcBorders>
          </w:tcPr>
          <w:p>
            <w:pPr>
              <w:spacing w:after="0"/>
              <w:rPr>
                <w:sz w:val="2"/>
                <w:szCs w:val="2"/>
                <w:color w:val="auto"/>
              </w:rPr>
            </w:pPr>
          </w:p>
        </w:tc>
        <w:tc>
          <w:tcPr>
            <w:tcW w:w="7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40" w:type="dxa"/>
            <w:vAlign w:val="bottom"/>
            <w:tcBorders>
              <w:bottom w:val="single" w:sz="8" w:color="CCEEFF"/>
            </w:tcBorders>
            <w:shd w:val="clear" w:color="auto" w:fill="CCEEFF"/>
          </w:tcPr>
          <w:p>
            <w:pPr>
              <w:spacing w:after="0"/>
              <w:rPr>
                <w:sz w:val="21"/>
                <w:szCs w:val="21"/>
                <w:color w:val="auto"/>
              </w:rPr>
            </w:pPr>
          </w:p>
        </w:tc>
        <w:tc>
          <w:tcPr>
            <w:tcW w:w="7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2,579,406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2,601,683</w:t>
            </w: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Commitments and contingencies (Note 16)</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340" w:type="dxa"/>
            <w:vAlign w:val="bottom"/>
            <w:gridSpan w:val="2"/>
          </w:tcPr>
          <w:p>
            <w:pPr>
              <w:ind w:left="380"/>
              <w:spacing w:after="0"/>
              <w:rPr>
                <w:sz w:val="20"/>
                <w:szCs w:val="20"/>
                <w:color w:val="auto"/>
              </w:rPr>
            </w:pPr>
            <w:r>
              <w:rPr>
                <w:rFonts w:ascii="Arial" w:cs="Arial" w:eastAsia="Arial" w:hAnsi="Arial"/>
                <w:sz w:val="18"/>
                <w:szCs w:val="18"/>
                <w:color w:val="auto"/>
                <w:w w:val="90"/>
              </w:rPr>
              <w:t>Common stock, Class A — $0.01 par value — authorized, 600,000,000 shares; issued, 153,965,243 shares at</w:t>
            </w: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w w:val="88"/>
              </w:rPr>
              <w:t>June 30, 2016 and 153,391,058 shares at March 31, 2016; outstanding, 148,412,606 shares at June 30, 2016</w:t>
            </w: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and 147,992,462 shares at March 31, 2016</w:t>
            </w:r>
          </w:p>
        </w:tc>
        <w:tc>
          <w:tcPr>
            <w:tcW w:w="200" w:type="dxa"/>
            <w:vAlign w:val="bottom"/>
          </w:tcPr>
          <w:p>
            <w:pPr>
              <w:spacing w:after="0"/>
              <w:rPr>
                <w:sz w:val="20"/>
                <w:szCs w:val="20"/>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1,539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1,534</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w w:val="97"/>
              </w:rPr>
              <w:t>Treasury stock, at cost — 5,552,637 shares at June 30, 2016 and 5,398,596 shares at March 31, 2016</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(140,011)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(135,445)</w:t>
            </w:r>
          </w:p>
        </w:tc>
        <w:tc>
          <w:tcPr>
            <w:tcW w:w="0" w:type="dxa"/>
            <w:vAlign w:val="bottom"/>
          </w:tcPr>
          <w:p>
            <w:pPr>
              <w:spacing w:after="0"/>
              <w:rPr>
                <w:sz w:val="1"/>
                <w:szCs w:val="1"/>
                <w:color w:val="auto"/>
              </w:rPr>
            </w:pP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255,898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243,475</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Retained earnings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364,004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318,537</w:t>
            </w:r>
          </w:p>
        </w:tc>
        <w:tc>
          <w:tcPr>
            <w:tcW w:w="0" w:type="dxa"/>
            <w:vAlign w:val="bottom"/>
          </w:tcPr>
          <w:p>
            <w:pPr>
              <w:spacing w:after="0"/>
              <w:rPr>
                <w:sz w:val="1"/>
                <w:szCs w:val="1"/>
                <w:color w:val="auto"/>
              </w:rPr>
            </w:pP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(19,156)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(19,613)</w:t>
            </w:r>
          </w:p>
        </w:tc>
        <w:tc>
          <w:tcPr>
            <w:tcW w:w="0" w:type="dxa"/>
            <w:vAlign w:val="bottom"/>
          </w:tcPr>
          <w:p>
            <w:pPr>
              <w:spacing w:after="0"/>
              <w:rPr>
                <w:sz w:val="1"/>
                <w:szCs w:val="1"/>
                <w:color w:val="auto"/>
              </w:rPr>
            </w:pPr>
          </w:p>
        </w:tc>
      </w:tr>
      <w:tr>
        <w:trPr>
          <w:trHeight w:val="27"/>
        </w:trPr>
        <w:tc>
          <w:tcPr>
            <w:tcW w:w="540" w:type="dxa"/>
            <w:vAlign w:val="bottom"/>
            <w:tcBorders>
              <w:bottom w:val="single" w:sz="8" w:color="CCEEFF"/>
            </w:tcBorders>
          </w:tcPr>
          <w:p>
            <w:pPr>
              <w:spacing w:after="0"/>
              <w:rPr>
                <w:sz w:val="2"/>
                <w:szCs w:val="2"/>
                <w:color w:val="auto"/>
              </w:rPr>
            </w:pPr>
          </w:p>
        </w:tc>
        <w:tc>
          <w:tcPr>
            <w:tcW w:w="7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40" w:type="dxa"/>
            <w:vAlign w:val="bottom"/>
            <w:tcBorders>
              <w:bottom w:val="single" w:sz="8" w:color="CCEEFF"/>
            </w:tcBorders>
            <w:shd w:val="clear" w:color="auto" w:fill="CCEEFF"/>
          </w:tcPr>
          <w:p>
            <w:pPr>
              <w:spacing w:after="0"/>
              <w:rPr>
                <w:sz w:val="22"/>
                <w:szCs w:val="22"/>
                <w:color w:val="auto"/>
              </w:rPr>
            </w:pPr>
          </w:p>
        </w:tc>
        <w:tc>
          <w:tcPr>
            <w:tcW w:w="7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stockholders’ equity</w:t>
            </w: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462,274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408,488</w:t>
            </w:r>
          </w:p>
        </w:tc>
        <w:tc>
          <w:tcPr>
            <w:tcW w:w="0" w:type="dxa"/>
            <w:vAlign w:val="bottom"/>
          </w:tcPr>
          <w:p>
            <w:pPr>
              <w:spacing w:after="0"/>
              <w:rPr>
                <w:sz w:val="1"/>
                <w:szCs w:val="1"/>
                <w:color w:val="auto"/>
              </w:rPr>
            </w:pPr>
          </w:p>
        </w:tc>
      </w:tr>
      <w:tr>
        <w:trPr>
          <w:trHeight w:val="237"/>
        </w:trPr>
        <w:tc>
          <w:tcPr>
            <w:tcW w:w="540" w:type="dxa"/>
            <w:vAlign w:val="bottom"/>
          </w:tcPr>
          <w:p>
            <w:pPr>
              <w:spacing w:after="0"/>
              <w:rPr>
                <w:sz w:val="20"/>
                <w:szCs w:val="20"/>
                <w:color w:val="auto"/>
              </w:rPr>
            </w:pPr>
          </w:p>
        </w:tc>
        <w:tc>
          <w:tcPr>
            <w:tcW w:w="7800" w:type="dxa"/>
            <w:vAlign w:val="bottom"/>
          </w:tcPr>
          <w:p>
            <w:pPr>
              <w:ind w:left="180"/>
              <w:spacing w:after="0"/>
              <w:rPr>
                <w:sz w:val="20"/>
                <w:szCs w:val="20"/>
                <w:color w:val="auto"/>
              </w:rPr>
            </w:pPr>
            <w:r>
              <w:rPr>
                <w:rFonts w:ascii="Arial" w:cs="Arial" w:eastAsia="Arial" w:hAnsi="Arial"/>
                <w:sz w:val="18"/>
                <w:szCs w:val="18"/>
                <w:color w:val="auto"/>
              </w:rPr>
              <w:t>Total liabilities and stockholders’ equity</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3,041,680</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3,010,171</w:t>
            </w:r>
          </w:p>
        </w:tc>
        <w:tc>
          <w:tcPr>
            <w:tcW w:w="0" w:type="dxa"/>
            <w:vAlign w:val="bottom"/>
          </w:tcPr>
          <w:p>
            <w:pPr>
              <w:spacing w:after="0"/>
              <w:rPr>
                <w:sz w:val="1"/>
                <w:szCs w:val="1"/>
                <w:color w:val="auto"/>
              </w:rPr>
            </w:pPr>
          </w:p>
        </w:tc>
      </w:tr>
      <w:tr>
        <w:trPr>
          <w:trHeight w:val="27"/>
        </w:trPr>
        <w:tc>
          <w:tcPr>
            <w:tcW w:w="540" w:type="dxa"/>
            <w:vAlign w:val="bottom"/>
          </w:tcPr>
          <w:p>
            <w:pPr>
              <w:spacing w:after="0"/>
              <w:rPr>
                <w:sz w:val="2"/>
                <w:szCs w:val="2"/>
                <w:color w:val="auto"/>
              </w:rPr>
            </w:pPr>
          </w:p>
        </w:tc>
        <w:tc>
          <w:tcPr>
            <w:tcW w:w="78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769"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BOOZ ALLEN HAMILTON HOLDING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86"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551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152"/>
        </w:trPr>
        <w:tc>
          <w:tcPr>
            <w:tcW w:w="8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720" w:type="dxa"/>
            <w:vAlign w:val="bottom"/>
            <w:gridSpan w:val="4"/>
          </w:tcPr>
          <w:p>
            <w:pPr>
              <w:jc w:val="right"/>
              <w:ind w:right="711"/>
              <w:spacing w:after="0" w:line="153" w:lineRule="exact"/>
              <w:rPr>
                <w:sz w:val="20"/>
                <w:szCs w:val="20"/>
                <w:color w:val="auto"/>
              </w:rPr>
            </w:pPr>
            <w:r>
              <w:rPr>
                <w:rFonts w:ascii="Arial" w:cs="Arial" w:eastAsia="Arial" w:hAnsi="Arial"/>
                <w:sz w:val="14"/>
                <w:szCs w:val="14"/>
                <w:b w:val="1"/>
                <w:bCs w:val="1"/>
                <w:color w:val="auto"/>
              </w:rPr>
              <w:t>(Amounts in thousands,</w:t>
            </w:r>
          </w:p>
        </w:tc>
        <w:tc>
          <w:tcPr>
            <w:tcW w:w="0" w:type="dxa"/>
            <w:vAlign w:val="bottom"/>
          </w:tcPr>
          <w:p>
            <w:pPr>
              <w:spacing w:after="0"/>
              <w:rPr>
                <w:sz w:val="1"/>
                <w:szCs w:val="1"/>
                <w:color w:val="auto"/>
              </w:rPr>
            </w:pPr>
          </w:p>
        </w:tc>
      </w:tr>
      <w:tr>
        <w:trPr>
          <w:trHeight w:val="192"/>
        </w:trPr>
        <w:tc>
          <w:tcPr>
            <w:tcW w:w="8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20" w:type="dxa"/>
            <w:vAlign w:val="bottom"/>
            <w:gridSpan w:val="4"/>
          </w:tcPr>
          <w:p>
            <w:pPr>
              <w:jc w:val="right"/>
              <w:ind w:right="751"/>
              <w:spacing w:after="0"/>
              <w:rPr>
                <w:sz w:val="20"/>
                <w:szCs w:val="20"/>
                <w:color w:val="auto"/>
              </w:rPr>
            </w:pPr>
            <w:r>
              <w:rPr>
                <w:rFonts w:ascii="Arial" w:cs="Arial" w:eastAsia="Arial" w:hAnsi="Arial"/>
                <w:sz w:val="14"/>
                <w:szCs w:val="14"/>
                <w:b w:val="1"/>
                <w:bCs w:val="1"/>
                <w:color w:val="auto"/>
              </w:rPr>
              <w:t>except per share data)</w:t>
            </w:r>
          </w:p>
        </w:tc>
        <w:tc>
          <w:tcPr>
            <w:tcW w:w="0" w:type="dxa"/>
            <w:vAlign w:val="bottom"/>
          </w:tcPr>
          <w:p>
            <w:pPr>
              <w:spacing w:after="0"/>
              <w:rPr>
                <w:sz w:val="1"/>
                <w:szCs w:val="1"/>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1,422,722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1,351,604</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Operating costs and expenses: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 of revenue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656,954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643,032</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Billable expenses</w:t>
            </w:r>
          </w:p>
        </w:tc>
        <w:tc>
          <w:tcPr>
            <w:tcW w:w="36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432,265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378,650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General and administrative expenses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189,701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188,661</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14,501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15,117</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operating costs and expenses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1,293,421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1,225,460</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129,301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126,144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(17,828)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(17,490)</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net</w:t>
            </w:r>
          </w:p>
        </w:tc>
        <w:tc>
          <w:tcPr>
            <w:tcW w:w="36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1,891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113,364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108,586</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36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45,547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44,280</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67,817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64,306</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Earnings per common share (Note 3):</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4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3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0.46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Diluted</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340" w:type="dxa"/>
            <w:vAlign w:val="bottom"/>
            <w:vMerge w:val="continue"/>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0.45</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0.43</w:t>
            </w:r>
          </w:p>
        </w:tc>
        <w:tc>
          <w:tcPr>
            <w:tcW w:w="0" w:type="dxa"/>
            <w:vAlign w:val="bottom"/>
          </w:tcPr>
          <w:p>
            <w:pPr>
              <w:spacing w:after="0"/>
              <w:rPr>
                <w:sz w:val="1"/>
                <w:szCs w:val="1"/>
                <w:color w:val="auto"/>
              </w:rPr>
            </w:pPr>
          </w:p>
        </w:tc>
      </w:tr>
      <w:tr>
        <w:trPr>
          <w:trHeight w:val="67"/>
        </w:trPr>
        <w:tc>
          <w:tcPr>
            <w:tcW w:w="834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83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Dividends declared per share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013" w:right="239" w:bottom="1440" w:gutter="0" w:footer="0" w:header="0"/>
        </w:sectPr>
      </w:pPr>
    </w:p>
    <w:bookmarkStart w:id="4" w:name="page5"/>
    <w:bookmarkEnd w:id="4"/>
    <w:p>
      <w:pPr>
        <w:jc w:val="center"/>
        <w:ind w:left="260" w:right="2120"/>
        <w:spacing w:after="0" w:line="321" w:lineRule="auto"/>
        <w:rPr>
          <w:sz w:val="20"/>
          <w:szCs w:val="20"/>
          <w:color w:val="auto"/>
        </w:rPr>
      </w:pPr>
      <w:r>
        <w:rPr>
          <w:rFonts w:ascii="Arial" w:cs="Arial" w:eastAsia="Arial" w:hAnsi="Arial"/>
          <w:sz w:val="18"/>
          <w:szCs w:val="18"/>
          <w:b w:val="1"/>
          <w:bCs w:val="1"/>
          <w:color w:val="auto"/>
        </w:rPr>
        <w:t>BOOZ ALLEN HAMILTON HOLDING CORPORATION CONDENSED CONSOLIDATED STATEMENTS OF COMPREHENSIVE INCOME (UNAUDITED)</w:t>
      </w:r>
    </w:p>
    <w:p>
      <w:pPr>
        <w:spacing w:after="0" w:line="2" w:lineRule="exact"/>
        <w:rPr>
          <w:sz w:val="20"/>
          <w:szCs w:val="20"/>
          <w:color w:val="auto"/>
        </w:rPr>
      </w:pPr>
    </w:p>
    <w:p>
      <w:pPr>
        <w:jc w:val="center"/>
        <w:ind w:left="502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502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3512820</wp:posOffset>
            </wp:positionH>
            <wp:positionV relativeFrom="paragraph">
              <wp:posOffset>13335</wp:posOffset>
            </wp:positionV>
            <wp:extent cx="33959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40" w:type="dxa"/>
            <w:vAlign w:val="bottom"/>
          </w:tcPr>
          <w:p>
            <w:pPr>
              <w:spacing w:after="0"/>
              <w:rPr>
                <w:sz w:val="16"/>
                <w:szCs w:val="16"/>
                <w:color w:val="auto"/>
              </w:rPr>
            </w:pPr>
          </w:p>
        </w:tc>
        <w:tc>
          <w:tcPr>
            <w:tcW w:w="170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2016</w:t>
            </w: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1074"/>
              <w:spacing w:after="0"/>
              <w:rPr>
                <w:sz w:val="20"/>
                <w:szCs w:val="20"/>
                <w:color w:val="auto"/>
              </w:rPr>
            </w:pPr>
            <w:r>
              <w:rPr>
                <w:rFonts w:ascii="Arial" w:cs="Arial" w:eastAsia="Arial" w:hAnsi="Arial"/>
                <w:sz w:val="14"/>
                <w:szCs w:val="14"/>
                <w:b w:val="1"/>
                <w:bCs w:val="1"/>
                <w:color w:val="auto"/>
              </w:rPr>
              <w:t>2015</w:t>
            </w:r>
          </w:p>
        </w:tc>
      </w:tr>
      <w:tr>
        <w:trPr>
          <w:trHeight w:val="196"/>
        </w:trPr>
        <w:tc>
          <w:tcPr>
            <w:tcW w:w="55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960" w:type="dxa"/>
            <w:vAlign w:val="bottom"/>
            <w:gridSpan w:val="3"/>
          </w:tcPr>
          <w:p>
            <w:pPr>
              <w:jc w:val="right"/>
              <w:ind w:right="150"/>
              <w:spacing w:after="0"/>
              <w:rPr>
                <w:sz w:val="20"/>
                <w:szCs w:val="20"/>
                <w:color w:val="auto"/>
              </w:rPr>
            </w:pPr>
            <w:r>
              <w:rPr>
                <w:rFonts w:ascii="Arial" w:cs="Arial" w:eastAsia="Arial" w:hAnsi="Arial"/>
                <w:sz w:val="14"/>
                <w:szCs w:val="14"/>
                <w:b w:val="1"/>
                <w:bCs w:val="1"/>
                <w:color w:val="auto"/>
              </w:rPr>
              <w:t>(Amounts in thousands)</w:t>
            </w:r>
          </w:p>
        </w:tc>
        <w:tc>
          <w:tcPr>
            <w:tcW w:w="1680" w:type="dxa"/>
            <w:vAlign w:val="bottom"/>
          </w:tcPr>
          <w:p>
            <w:pPr>
              <w:spacing w:after="0"/>
              <w:rPr>
                <w:sz w:val="17"/>
                <w:szCs w:val="17"/>
                <w:color w:val="auto"/>
              </w:rPr>
            </w:pPr>
          </w:p>
        </w:tc>
      </w:tr>
      <w:tr>
        <w:trPr>
          <w:trHeight w:val="256"/>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700" w:type="dxa"/>
            <w:vAlign w:val="bottom"/>
            <w:tcBorders>
              <w:bottom w:val="single" w:sz="8" w:color="CCEEFF"/>
            </w:tcBorders>
            <w:shd w:val="clear" w:color="auto" w:fill="CCEEFF"/>
          </w:tcPr>
          <w:p>
            <w:pPr>
              <w:jc w:val="right"/>
              <w:ind w:right="1516"/>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67,817</w:t>
            </w: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64,306</w:t>
            </w:r>
          </w:p>
        </w:tc>
      </w:tr>
      <w:tr>
        <w:trPr>
          <w:trHeight w:val="243"/>
        </w:trPr>
        <w:tc>
          <w:tcPr>
            <w:tcW w:w="5540" w:type="dxa"/>
            <w:vAlign w:val="bottom"/>
          </w:tcPr>
          <w:p>
            <w:pPr>
              <w:ind w:left="40"/>
              <w:spacing w:after="0"/>
              <w:rPr>
                <w:sz w:val="20"/>
                <w:szCs w:val="20"/>
                <w:color w:val="auto"/>
              </w:rPr>
            </w:pPr>
            <w:r>
              <w:rPr>
                <w:rFonts w:ascii="Arial" w:cs="Arial" w:eastAsia="Arial" w:hAnsi="Arial"/>
                <w:sz w:val="18"/>
                <w:szCs w:val="18"/>
                <w:color w:val="auto"/>
              </w:rPr>
              <w:t>Change in postretirement plan costs, net of tax</w:t>
            </w:r>
          </w:p>
        </w:tc>
        <w:tc>
          <w:tcPr>
            <w:tcW w:w="1700" w:type="dxa"/>
            <w:vAlign w:val="bottom"/>
          </w:tcPr>
          <w:p>
            <w:pPr>
              <w:spacing w:after="0"/>
              <w:rPr>
                <w:sz w:val="21"/>
                <w:szCs w:val="21"/>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457</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680" w:type="dxa"/>
            <w:vAlign w:val="bottom"/>
          </w:tcPr>
          <w:p>
            <w:pPr>
              <w:jc w:val="right"/>
              <w:ind w:right="14"/>
              <w:spacing w:after="0"/>
              <w:rPr>
                <w:sz w:val="20"/>
                <w:szCs w:val="20"/>
                <w:color w:val="auto"/>
              </w:rPr>
            </w:pPr>
            <w:r>
              <w:rPr>
                <w:rFonts w:ascii="Arial" w:cs="Arial" w:eastAsia="Arial" w:hAnsi="Arial"/>
                <w:sz w:val="18"/>
                <w:szCs w:val="18"/>
                <w:color w:val="auto"/>
              </w:rPr>
              <w:t>524</w:t>
            </w:r>
          </w:p>
        </w:tc>
      </w:tr>
      <w:tr>
        <w:trPr>
          <w:trHeight w:val="27"/>
        </w:trPr>
        <w:tc>
          <w:tcPr>
            <w:tcW w:w="554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69"/>
        </w:trPr>
        <w:tc>
          <w:tcPr>
            <w:tcW w:w="5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Comprehensive income</w:t>
            </w:r>
          </w:p>
        </w:tc>
        <w:tc>
          <w:tcPr>
            <w:tcW w:w="1700" w:type="dxa"/>
            <w:vAlign w:val="bottom"/>
            <w:tcBorders>
              <w:bottom w:val="single" w:sz="8" w:color="CCEEFF"/>
            </w:tcBorders>
            <w:shd w:val="clear" w:color="auto" w:fill="CCEEFF"/>
          </w:tcPr>
          <w:p>
            <w:pPr>
              <w:jc w:val="right"/>
              <w:ind w:right="1516"/>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68,274</w:t>
            </w: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64,830</w:t>
            </w: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52"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880"/>
          </w:cols>
          <w:pgMar w:left="240" w:top="1229" w:right="77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BOOZ ALLEN HAMILTON HOLDING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86"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551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8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720" w:type="dxa"/>
            <w:vAlign w:val="bottom"/>
            <w:gridSpan w:val="4"/>
          </w:tcPr>
          <w:p>
            <w:pPr>
              <w:jc w:val="right"/>
              <w:ind w:right="711"/>
              <w:spacing w:after="0"/>
              <w:rPr>
                <w:sz w:val="20"/>
                <w:szCs w:val="20"/>
                <w:color w:val="auto"/>
              </w:rPr>
            </w:pPr>
            <w:r>
              <w:rPr>
                <w:rFonts w:ascii="Arial" w:cs="Arial" w:eastAsia="Arial" w:hAnsi="Arial"/>
                <w:sz w:val="14"/>
                <w:szCs w:val="14"/>
                <w:b w:val="1"/>
                <w:bCs w:val="1"/>
                <w:color w:val="auto"/>
              </w:rPr>
              <w:t>(Amounts in thousands)</w:t>
            </w:r>
          </w:p>
        </w:tc>
        <w:tc>
          <w:tcPr>
            <w:tcW w:w="0" w:type="dxa"/>
            <w:vAlign w:val="bottom"/>
          </w:tcPr>
          <w:p>
            <w:pPr>
              <w:spacing w:after="0"/>
              <w:rPr>
                <w:sz w:val="1"/>
                <w:szCs w:val="1"/>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67,817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64,306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14,501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15,117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Stock-based compensation expense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5,889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6,265</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Excess tax benefits from stock-based compensation</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(3,546)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(3,673)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Amortization of debt issuance costs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2,083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2,072</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Losses on dispositions and impairments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Changes in assets and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Accounts receivable</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(60,508)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(10,131)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36,206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(11,023)</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Other long-term assets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(15,980)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(13,841)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Accrued compensation and benefits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(34,533)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(41,530)</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Accounts payable and other accrued expenses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(20,776)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(24,159)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Accrued interest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1,658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2,116</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Other current liabilities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13,195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30,821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Other long-term liabilities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5,638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2,727</w:t>
            </w:r>
          </w:p>
        </w:tc>
        <w:tc>
          <w:tcPr>
            <w:tcW w:w="0" w:type="dxa"/>
            <w:vAlign w:val="bottom"/>
          </w:tcPr>
          <w:p>
            <w:pPr>
              <w:spacing w:after="0"/>
              <w:rPr>
                <w:sz w:val="1"/>
                <w:szCs w:val="1"/>
                <w:color w:val="auto"/>
              </w:rPr>
            </w:pPr>
          </w:p>
        </w:tc>
      </w:tr>
      <w:tr>
        <w:trPr>
          <w:trHeight w:val="237"/>
        </w:trPr>
        <w:tc>
          <w:tcPr>
            <w:tcW w:w="8340" w:type="dxa"/>
            <w:vAlign w:val="bottom"/>
          </w:tcPr>
          <w:p>
            <w:pPr>
              <w:ind w:left="114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11,647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19,096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Purchases of property and equipment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(6,171)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(13,140)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Cash paid for business acquisitions, net of cash acquired</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8340" w:type="dxa"/>
            <w:vAlign w:val="bottom"/>
          </w:tcPr>
          <w:p>
            <w:pPr>
              <w:ind w:left="114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(7,022)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(13,140)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Net proceeds from issuance of common stock</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1,571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1,379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Stock option exercises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2,338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871</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Excess tax benefits from stock-based compensation</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3,546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3,673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Repurchases of common stock</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(4,566)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(34,600)</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Cash dividends paid</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(22,349)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(19,052)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Dividend equivalents paid to option holders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(3,593)</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Repayment of debt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(175,563)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(10,375)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Proceeds from debt issuance</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185,000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8340" w:type="dxa"/>
            <w:vAlign w:val="bottom"/>
          </w:tcPr>
          <w:p>
            <w:pPr>
              <w:ind w:left="1140"/>
              <w:spacing w:after="0"/>
              <w:rPr>
                <w:sz w:val="20"/>
                <w:szCs w:val="20"/>
                <w:color w:val="auto"/>
              </w:rPr>
            </w:pPr>
            <w:r>
              <w:rPr>
                <w:rFonts w:ascii="Arial" w:cs="Arial" w:eastAsia="Arial" w:hAnsi="Arial"/>
                <w:sz w:val="18"/>
                <w:szCs w:val="18"/>
                <w:color w:val="auto"/>
              </w:rPr>
              <w:t>Net cash used in financing activities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(12,180)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(61,697)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decrease in cash and cash equivalents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(7,555)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(55,741)</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Cash and cash equivalents––beginning of period</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187,529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207,217</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equivalents––end of period</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179,974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151,476</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4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3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paid during the period for:</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Interest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14,051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13,286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3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Income taxes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1,490</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1,314</w:t>
            </w:r>
          </w:p>
        </w:tc>
        <w:tc>
          <w:tcPr>
            <w:tcW w:w="0" w:type="dxa"/>
            <w:vAlign w:val="bottom"/>
          </w:tcPr>
          <w:p>
            <w:pPr>
              <w:spacing w:after="0"/>
              <w:rPr>
                <w:sz w:val="1"/>
                <w:szCs w:val="1"/>
                <w:color w:val="auto"/>
              </w:rPr>
            </w:pPr>
          </w:p>
        </w:tc>
      </w:tr>
      <w:tr>
        <w:trPr>
          <w:trHeight w:val="27"/>
        </w:trPr>
        <w:tc>
          <w:tcPr>
            <w:tcW w:w="83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1013"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013" w:right="239" w:bottom="1440" w:gutter="0" w:footer="0" w:header="0"/>
          <w:type w:val="continuous"/>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BOOZ ALLEN HAMILTON HOLDING CORPORATION</w:t>
      </w:r>
    </w:p>
    <w:p>
      <w:pPr>
        <w:spacing w:after="0" w:line="171" w:lineRule="exact"/>
        <w:rPr>
          <w:sz w:val="20"/>
          <w:szCs w:val="20"/>
          <w:color w:val="auto"/>
        </w:rPr>
      </w:pPr>
    </w:p>
    <w:p>
      <w:pPr>
        <w:jc w:val="center"/>
        <w:ind w:left="260" w:right="2160"/>
        <w:spacing w:after="0" w:line="266" w:lineRule="auto"/>
        <w:rPr>
          <w:sz w:val="20"/>
          <w:szCs w:val="20"/>
          <w:color w:val="auto"/>
        </w:rPr>
      </w:pPr>
      <w:r>
        <w:rPr>
          <w:rFonts w:ascii="Arial" w:cs="Arial" w:eastAsia="Arial" w:hAnsi="Arial"/>
          <w:sz w:val="18"/>
          <w:szCs w:val="18"/>
          <w:b w:val="1"/>
          <w:bCs w:val="1"/>
          <w:color w:val="auto"/>
        </w:rPr>
        <w:t>NOTES TO UNAUDITED CONDENSED CONSOLIDATED FINANCIAL STATEMENTS (Amounts in tables in thousands, except share and per share data or unless otherwise noted) June 30, 2016</w:t>
      </w:r>
    </w:p>
    <w:p>
      <w:pPr>
        <w:spacing w:after="0" w:line="68" w:lineRule="exact"/>
        <w:rPr>
          <w:sz w:val="20"/>
          <w:szCs w:val="20"/>
          <w:color w:val="auto"/>
        </w:rPr>
      </w:pPr>
    </w:p>
    <w:p>
      <w:pPr>
        <w:ind w:left="260" w:right="9280" w:hanging="252"/>
        <w:spacing w:after="0" w:line="400" w:lineRule="auto"/>
        <w:tabs>
          <w:tab w:leader="none" w:pos="197"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BUSINESS OVERVIEW </w:t>
      </w:r>
      <w:r>
        <w:rPr>
          <w:rFonts w:ascii="Arial" w:cs="Arial" w:eastAsia="Arial" w:hAnsi="Arial"/>
          <w:sz w:val="17"/>
          <w:szCs w:val="17"/>
          <w:b w:val="1"/>
          <w:bCs w:val="1"/>
          <w:i w:val="1"/>
          <w:iCs w:val="1"/>
          <w:color w:val="auto"/>
        </w:rPr>
        <w:t>Organization</w:t>
      </w:r>
    </w:p>
    <w:p>
      <w:pPr>
        <w:spacing w:after="0" w:line="1" w:lineRule="exact"/>
        <w:rPr>
          <w:sz w:val="20"/>
          <w:szCs w:val="20"/>
          <w:color w:val="auto"/>
        </w:rPr>
      </w:pPr>
    </w:p>
    <w:p>
      <w:pPr>
        <w:ind w:firstLine="405"/>
        <w:spacing w:after="0" w:line="279" w:lineRule="auto"/>
        <w:rPr>
          <w:sz w:val="20"/>
          <w:szCs w:val="20"/>
          <w:color w:val="auto"/>
        </w:rPr>
      </w:pPr>
      <w:r>
        <w:rPr>
          <w:rFonts w:ascii="Arial" w:cs="Arial" w:eastAsia="Arial" w:hAnsi="Arial"/>
          <w:sz w:val="17"/>
          <w:szCs w:val="17"/>
          <w:color w:val="auto"/>
        </w:rPr>
        <w:t>Booz Allen Hamilton Holding Corporation, including its wholly owned subsidiaries, or Holding or the Company, is an affiliate of The Carlyle Group, or Carlyle, and was incorporated in Delaware in May 2008. The Company provides management and technology, consulting, and engineering services to the U.S. and international governments, major corporations, and not-for-profit organizations. The Company reports operating results and financial data in one operating segment. The Company is headquartered in McLean, Virginia, with approximately 22,500 employees as of June 30, 2016.</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w:t>
      </w:r>
    </w:p>
    <w:p>
      <w:pPr>
        <w:spacing w:after="0" w:line="121" w:lineRule="exact"/>
        <w:rPr>
          <w:sz w:val="20"/>
          <w:szCs w:val="20"/>
          <w:color w:val="auto"/>
        </w:rPr>
      </w:pPr>
    </w:p>
    <w:p>
      <w:pPr>
        <w:ind w:right="140" w:firstLine="405"/>
        <w:spacing w:after="0" w:line="272" w:lineRule="auto"/>
        <w:rPr>
          <w:sz w:val="20"/>
          <w:szCs w:val="20"/>
          <w:color w:val="auto"/>
        </w:rPr>
      </w:pPr>
      <w:r>
        <w:rPr>
          <w:rFonts w:ascii="Arial" w:cs="Arial" w:eastAsia="Arial" w:hAnsi="Arial"/>
          <w:sz w:val="17"/>
          <w:szCs w:val="17"/>
          <w:color w:val="auto"/>
        </w:rPr>
        <w:t>The Company prepared the unaudited condensed consolidated financial statements in this Quarterly Report on Form 10-Q, or Quarterly Report, in accordance with accounting principles generally accepted in the United States, or U.S. GAAP, for interim financial information and with the instructions to Form 10-Q and Article 10 of Regulation S-X. As a result, certain information and footnote disclosures normally included in financial statements prepared in accordance with U.S. GAAP have been condensed or omitted. The Company followed the accounting policies used and disclosed in the consolidated financial statements included in the Annual Report on Form 10-K for the fiscal year ended March 31, 2016 filed with the Securities and Exchange Commission on May 19, 2016, or Annual Report, and policies stated within this Quarterly Report. The Company’s fiscal year ends on March 31 and unless otherwise noted, references to fiscal year or fiscal are for fiscal years ended March 31.</w:t>
      </w:r>
    </w:p>
    <w:p>
      <w:pPr>
        <w:spacing w:after="0" w:line="70"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The interim financial information in this Quarterly Report reflects all adjustments, consisting of normal recurring adjustments except as otherwise disclosed, necessary for a fair presentation of the Company’s results of operations for the interim periods. The results of operations for the three months ended June 30, 2016 are not necessarily indicative of results to be expected for the full fiscal year.</w:t>
      </w:r>
    </w:p>
    <w:p>
      <w:pPr>
        <w:spacing w:after="0" w:line="73" w:lineRule="exact"/>
        <w:rPr>
          <w:sz w:val="20"/>
          <w:szCs w:val="20"/>
          <w:color w:val="auto"/>
        </w:rPr>
      </w:pPr>
    </w:p>
    <w:p>
      <w:pPr>
        <w:ind w:right="40" w:firstLine="405"/>
        <w:spacing w:after="0" w:line="293" w:lineRule="auto"/>
        <w:rPr>
          <w:sz w:val="20"/>
          <w:szCs w:val="20"/>
          <w:color w:val="auto"/>
        </w:rPr>
      </w:pPr>
      <w:r>
        <w:rPr>
          <w:rFonts w:ascii="Arial" w:cs="Arial" w:eastAsia="Arial" w:hAnsi="Arial"/>
          <w:sz w:val="16"/>
          <w:szCs w:val="16"/>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 and expenses during the reporting periods. Areas of the financial statements where estimates may have the most significant effect include contractual and regulatory reserves, valuation and lives of tangible and intangible assets, contingent consideration related to business acquisitions, impairment of long-lived assets, accrued liabilities, revenue recognition, bonus and other incentive compensation, stock-based compensation, realization of deferred tax assets, provisions for income taxes, and postretirement obligations. Actual results experienced by the Company may differ materially from management's estimates.</w:t>
      </w:r>
    </w:p>
    <w:p>
      <w:pPr>
        <w:spacing w:after="0" w:line="5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right="20" w:firstLine="405"/>
        <w:spacing w:after="0" w:line="269" w:lineRule="auto"/>
        <w:rPr>
          <w:sz w:val="20"/>
          <w:szCs w:val="20"/>
          <w:color w:val="auto"/>
        </w:rPr>
      </w:pPr>
      <w:r>
        <w:rPr>
          <w:rFonts w:ascii="Arial" w:cs="Arial" w:eastAsia="Arial" w:hAnsi="Arial"/>
          <w:sz w:val="17"/>
          <w:szCs w:val="17"/>
          <w:color w:val="auto"/>
        </w:rPr>
        <w:t>In May 2014, the FASB issued a new standard that will replace existing revenue recognition standards and significantly expand the disclosure requirements for revenue arrangements. In July 2015, the FASB approved a one-year delay in the effective date of the standard, to the first full annual period beginning after December 15, 2017, with an option that would permit companies to adopt the standard as early as the original effective date. Early adoption prior to the effective date is not permitted. With the one-year delay enacted, the new standard will be effective for the Company beginning on April 1, 2018 (i.e., beginning with the first quarter fiscal 2019 interim financial statements). The new standard may be adopted retrospectively for all periods presented, or adopted using a modified retrospective approach. Under the retrospective approach, the fiscal 2018 and 2017 financial statements would be adjusted to reflect the effects of adopting the new standard in those periods. Under the modified retrospective approach, the new standard would only be adopted for the period beginning April 1, 2018 to new contracts and those contracts that are not yet complete at April 1, 2018, with a cumulative catch-up adjustment recorded to beginning retained earnings for existing contracts that still require performance. Management is still in the process of determining which transition method to utilize in order to adopt the new standard and still assessing what effect the adoption of this standard may have on the timing of our revenue recognition and our consolidated financial statements.</w:t>
      </w:r>
    </w:p>
    <w:p>
      <w:pPr>
        <w:spacing w:after="0" w:line="75" w:lineRule="exact"/>
        <w:rPr>
          <w:sz w:val="20"/>
          <w:szCs w:val="20"/>
          <w:color w:val="auto"/>
        </w:rPr>
      </w:pPr>
    </w:p>
    <w:p>
      <w:pPr>
        <w:ind w:right="40" w:firstLine="405"/>
        <w:spacing w:after="0" w:line="308" w:lineRule="auto"/>
        <w:rPr>
          <w:sz w:val="20"/>
          <w:szCs w:val="20"/>
          <w:color w:val="auto"/>
        </w:rPr>
      </w:pPr>
      <w:r>
        <w:rPr>
          <w:rFonts w:ascii="Arial" w:cs="Arial" w:eastAsia="Arial" w:hAnsi="Arial"/>
          <w:sz w:val="17"/>
          <w:szCs w:val="17"/>
          <w:color w:val="auto"/>
        </w:rPr>
        <w:t>Other recent accounting pronouncements issued by the FASB during the three months ended June 30, 2016 and through the filing date did not or are not believed by management to have a material impact on the Company's present or historical condensed consolidated financial statements.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769" w:right="2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3. EARNINGS PER SHARE</w:t>
      </w:r>
    </w:p>
    <w:p>
      <w:pPr>
        <w:spacing w:after="0" w:line="121" w:lineRule="exact"/>
        <w:rPr>
          <w:sz w:val="20"/>
          <w:szCs w:val="20"/>
          <w:color w:val="auto"/>
        </w:rPr>
      </w:pPr>
    </w:p>
    <w:p>
      <w:pPr>
        <w:ind w:right="180" w:firstLine="405"/>
        <w:spacing w:after="0" w:line="286" w:lineRule="auto"/>
        <w:rPr>
          <w:sz w:val="20"/>
          <w:szCs w:val="20"/>
          <w:color w:val="auto"/>
        </w:rPr>
      </w:pPr>
      <w:r>
        <w:rPr>
          <w:rFonts w:ascii="Arial" w:cs="Arial" w:eastAsia="Arial" w:hAnsi="Arial"/>
          <w:sz w:val="17"/>
          <w:szCs w:val="17"/>
          <w:color w:val="auto"/>
        </w:rPr>
        <w:t>The Company computes basic and diluted earnings per share amounts based on net income for the periods presented. The Company uses the weighted average number of common shares outstanding during the period to calculate basic earnings per share, or EPS. Diluted EPS adjusts the weighted average number of shares outstanding to include the dilutive effect of outstanding common stock options and other stock-based awards.</w:t>
      </w:r>
    </w:p>
    <w:p>
      <w:pPr>
        <w:spacing w:after="0" w:line="57"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The Company currently has outstanding shares of Class A Common Stock. During fiscal 2016, the Company purchased, at par value, all issued and outstanding shares of Class E special voting common stock in connection with the exercise of the final tranche of rollover options during the second quarter of fiscal 2016. Class E Special Voting Common Stock shares are not included in the calculation of EPS as these shares represent voting rights only and are not entitled to participate in dividends or other distributions. Unvested Class A Restricted Common Stock holders are entitled to participate in non-forfeitable dividends or other distributions. These unvested restricted shares participated in the Company's dividends declared and were paid in the first quarter of fiscal 2017 and 2016. As such, EPS is calculated using the two-class method whereby earnings are reduced by distributed earnings as well as any available undistributed earnings allocable to holders of unvested restricted shares. A reconciliation of the income used to compute basic and diluted EPS for the periods presented are as follows:</w:t>
      </w:r>
    </w:p>
    <w:p>
      <w:pPr>
        <w:spacing w:after="0" w:line="238" w:lineRule="exact"/>
        <w:rPr>
          <w:sz w:val="20"/>
          <w:szCs w:val="20"/>
          <w:color w:val="auto"/>
        </w:rPr>
      </w:pPr>
    </w:p>
    <w:p>
      <w:pPr>
        <w:jc w:val="center"/>
        <w:ind w:left="762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762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5090795</wp:posOffset>
            </wp:positionH>
            <wp:positionV relativeFrom="paragraph">
              <wp:posOffset>13335</wp:posOffset>
            </wp:positionV>
            <wp:extent cx="18865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p>
      <w:pPr>
        <w:spacing w:after="0" w:line="318" w:lineRule="exact"/>
        <w:rPr>
          <w:sz w:val="20"/>
          <w:szCs w:val="20"/>
          <w:color w:val="auto"/>
        </w:rPr>
      </w:pPr>
    </w:p>
    <w:p>
      <w:pPr>
        <w:ind w:left="40"/>
        <w:spacing w:after="0"/>
        <w:rPr>
          <w:sz w:val="20"/>
          <w:szCs w:val="20"/>
          <w:color w:val="auto"/>
        </w:rPr>
      </w:pPr>
      <w:r>
        <w:rPr>
          <w:rFonts w:ascii="Arial" w:cs="Arial" w:eastAsia="Arial" w:hAnsi="Arial"/>
          <w:sz w:val="18"/>
          <w:szCs w:val="18"/>
          <w:color w:val="auto"/>
        </w:rPr>
        <w:t>Earnings for basic computations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6972300" cy="1803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72300" cy="180340"/>
                    </a:xfrm>
                    <a:prstGeom prst="rect">
                      <a:avLst/>
                    </a:prstGeom>
                    <a:noFill/>
                  </pic:spPr>
                </pic:pic>
              </a:graphicData>
            </a:graphic>
          </wp:anchor>
        </w:drawing>
      </w:r>
    </w:p>
    <w:p>
      <w:pPr>
        <w:spacing w:after="0" w:line="5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Weighted-average common shares outstanding for basic computations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6972300" cy="1803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72300" cy="18034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8"/>
          <w:szCs w:val="18"/>
          <w:color w:val="auto"/>
        </w:rPr>
        <w:t>Earnings for diluted computations (1)</w:t>
      </w:r>
    </w:p>
    <w:p>
      <w:pPr>
        <w:spacing w:after="0" w:line="7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Dilutive stock options and restricted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6972300" cy="1803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72300" cy="180340"/>
                    </a:xfrm>
                    <a:prstGeom prst="rect">
                      <a:avLst/>
                    </a:prstGeom>
                    <a:noFill/>
                  </pic:spPr>
                </pic:pic>
              </a:graphicData>
            </a:graphic>
          </wp:anchor>
        </w:drawing>
      </w:r>
    </w:p>
    <w:p>
      <w:pPr>
        <w:spacing w:after="0" w:line="4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Weighted-average common shares outstanding for diluted computations</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8"/>
          <w:szCs w:val="18"/>
          <w:color w:val="auto"/>
        </w:rPr>
        <w:t>Earnings per common share</w:t>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2015</w:t>
            </w:r>
          </w:p>
        </w:tc>
      </w:tr>
      <w:tr>
        <w:trPr>
          <w:trHeight w:val="243"/>
        </w:trPr>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67,247</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63,595</w:t>
            </w:r>
          </w:p>
        </w:tc>
      </w:tr>
      <w:tr>
        <w:trPr>
          <w:trHeight w:val="270"/>
        </w:trPr>
        <w:tc>
          <w:tcPr>
            <w:tcW w:w="260" w:type="dxa"/>
            <w:vAlign w:val="bottom"/>
          </w:tcPr>
          <w:p>
            <w:pPr>
              <w:spacing w:after="0"/>
              <w:rPr>
                <w:sz w:val="23"/>
                <w:szCs w:val="23"/>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147,241,782</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145,251,780</w:t>
            </w:r>
          </w:p>
        </w:tc>
      </w:tr>
      <w:tr>
        <w:trPr>
          <w:trHeight w:val="27"/>
        </w:trPr>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7"/>
        </w:trPr>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67,254</w:t>
            </w:r>
          </w:p>
        </w:tc>
        <w:tc>
          <w:tcPr>
            <w:tcW w:w="12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63,608</w:t>
            </w:r>
          </w:p>
        </w:tc>
      </w:tr>
      <w:tr>
        <w:trPr>
          <w:trHeight w:val="270"/>
        </w:trPr>
        <w:tc>
          <w:tcPr>
            <w:tcW w:w="260" w:type="dxa"/>
            <w:vAlign w:val="bottom"/>
          </w:tcPr>
          <w:p>
            <w:pPr>
              <w:spacing w:after="0"/>
              <w:rPr>
                <w:sz w:val="23"/>
                <w:szCs w:val="23"/>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2,392,810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4,019,541</w:t>
            </w:r>
          </w:p>
        </w:tc>
      </w:tr>
      <w:tr>
        <w:trPr>
          <w:trHeight w:val="27"/>
        </w:trPr>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7"/>
        </w:trPr>
        <w:tc>
          <w:tcPr>
            <w:tcW w:w="260" w:type="dxa"/>
            <w:vAlign w:val="bottom"/>
          </w:tcPr>
          <w:p>
            <w:pPr>
              <w:spacing w:after="0"/>
              <w:rPr>
                <w:sz w:val="20"/>
                <w:szCs w:val="20"/>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149,634,592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149,271,321</w:t>
            </w:r>
          </w:p>
        </w:tc>
      </w:tr>
      <w:tr>
        <w:trPr>
          <w:trHeight w:val="27"/>
        </w:trPr>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bl>
    <w:p>
      <w:pPr>
        <w:spacing w:after="0" w:line="270" w:lineRule="exact"/>
        <w:rPr>
          <w:sz w:val="20"/>
          <w:szCs w:val="20"/>
          <w:color w:val="auto"/>
        </w:rPr>
      </w:pPr>
    </w:p>
    <w:p>
      <w:pPr>
        <w:sectPr>
          <w:pgSz w:w="11900" w:h="16838" w:orient="portrait"/>
          <w:cols w:equalWidth="0" w:num="2">
            <w:col w:w="7300" w:space="720"/>
            <w:col w:w="3400"/>
          </w:cols>
          <w:pgMar w:left="240" w:top="877" w:right="239" w:bottom="1440" w:gutter="0" w:footer="0" w:header="0"/>
          <w:type w:val="continuous"/>
        </w:sectPr>
      </w:pPr>
    </w:p>
    <w:tbl>
      <w:tblPr>
        <w:tblLayout w:type="fixed"/>
        <w:tblInd w:w="0" w:type="dxa"/>
        <w:tblCellMar>
          <w:top w:w="0" w:type="dxa"/>
          <w:left w:w="0" w:type="dxa"/>
          <w:bottom w:w="0" w:type="dxa"/>
          <w:right w:w="0" w:type="dxa"/>
        </w:tblCellMar>
      </w:tblPr>
      <w:tr>
        <w:trPr>
          <w:trHeight w:val="264"/>
        </w:trPr>
        <w:tc>
          <w:tcPr>
            <w:tcW w:w="8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0.46</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20"/>
        </w:trPr>
        <w:tc>
          <w:tcPr>
            <w:tcW w:w="8020" w:type="dxa"/>
            <w:vAlign w:val="bottom"/>
            <w:vMerge w:val="restart"/>
          </w:tcPr>
          <w:p>
            <w:pPr>
              <w:ind w:left="380"/>
              <w:spacing w:after="0"/>
              <w:rPr>
                <w:sz w:val="20"/>
                <w:szCs w:val="20"/>
                <w:color w:val="auto"/>
              </w:rPr>
            </w:pPr>
            <w:r>
              <w:rPr>
                <w:rFonts w:ascii="Arial" w:cs="Arial" w:eastAsia="Arial" w:hAnsi="Arial"/>
                <w:sz w:val="18"/>
                <w:szCs w:val="18"/>
                <w:color w:val="auto"/>
              </w:rPr>
              <w:t>Diluted</w:t>
            </w:r>
          </w:p>
        </w:tc>
        <w:tc>
          <w:tcPr>
            <w:tcW w:w="5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020" w:type="dxa"/>
            <w:vAlign w:val="bottom"/>
            <w:vMerge w:val="continue"/>
          </w:tcPr>
          <w:p>
            <w:pPr>
              <w:spacing w:after="0"/>
              <w:rPr>
                <w:sz w:val="20"/>
                <w:szCs w:val="20"/>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0.45</w:t>
            </w:r>
          </w:p>
        </w:tc>
        <w:tc>
          <w:tcPr>
            <w:tcW w:w="120" w:type="dxa"/>
            <w:vAlign w:val="bottom"/>
          </w:tcPr>
          <w:p>
            <w:pPr>
              <w:spacing w:after="0"/>
              <w:rPr>
                <w:sz w:val="20"/>
                <w:szCs w:val="20"/>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0.43</w:t>
            </w:r>
          </w:p>
        </w:tc>
        <w:tc>
          <w:tcPr>
            <w:tcW w:w="0" w:type="dxa"/>
            <w:vAlign w:val="bottom"/>
          </w:tcPr>
          <w:p>
            <w:pPr>
              <w:spacing w:after="0"/>
              <w:rPr>
                <w:sz w:val="1"/>
                <w:szCs w:val="1"/>
                <w:color w:val="auto"/>
              </w:rPr>
            </w:pPr>
          </w:p>
        </w:tc>
      </w:tr>
      <w:tr>
        <w:trPr>
          <w:trHeight w:val="27"/>
        </w:trPr>
        <w:tc>
          <w:tcPr>
            <w:tcW w:w="80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80" w:firstLine="8"/>
        <w:spacing w:after="0" w:line="293" w:lineRule="auto"/>
        <w:tabs>
          <w:tab w:leader="none" w:pos="255" w:val="left"/>
        </w:tabs>
        <w:numPr>
          <w:ilvl w:val="0"/>
          <w:numId w:val="4"/>
        </w:numPr>
        <w:rPr>
          <w:rFonts w:ascii="Arial" w:cs="Arial" w:eastAsia="Arial" w:hAnsi="Arial"/>
          <w:sz w:val="16"/>
          <w:szCs w:val="16"/>
          <w:color w:val="auto"/>
        </w:rPr>
      </w:pPr>
      <w:r>
        <w:rPr>
          <w:rFonts w:ascii="Arial" w:cs="Arial" w:eastAsia="Arial" w:hAnsi="Arial"/>
          <w:sz w:val="16"/>
          <w:szCs w:val="16"/>
          <w:color w:val="auto"/>
        </w:rPr>
        <w:t>During the three months ended June 30, 2016 and 2015, approximately 1.2 million and 1.6 million participating securities were paid dividends totaling $0.2 million and $0.2 million, respectively. For the three months ended June 30, 2016, there were undistributed earnings of $0.4 million allocated to the participating class of securities in basic earnings per share, and $0.4 million to diluted earnings per share. For the three months ended June 30, 2015 there were undistributed earnings of $0.5 million allocated to the participating class of securities in basic and diluted earnings per share, and $0.5 million to diluted earnings per share. The allocated undistributed earnings and the dividends paid comprise the difference between net income presented on the condensed consolidated statements of operations and earnings for basic and diluted computations for the three months ended June 30, 2016 and 2015.</w:t>
      </w:r>
    </w:p>
    <w:p>
      <w:pPr>
        <w:spacing w:after="0" w:line="273"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The EPS calculation for the three months ended June 30, 2016 and 2015 excludes 0.5 million and 0.6 million options, respectively, as their impact was anti-dilutive.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ACCOUNTS RECEIVABLE, NET</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Accounts receivable, net consisted of the following:</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6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260" w:type="dxa"/>
            <w:vAlign w:val="bottom"/>
          </w:tcPr>
          <w:p>
            <w:pPr>
              <w:spacing w:after="0"/>
              <w:rPr>
                <w:sz w:val="14"/>
                <w:szCs w:val="14"/>
                <w:color w:val="auto"/>
              </w:rPr>
            </w:pPr>
          </w:p>
        </w:tc>
        <w:tc>
          <w:tcPr>
            <w:tcW w:w="1220" w:type="dxa"/>
            <w:vAlign w:val="bottom"/>
          </w:tcPr>
          <w:p>
            <w:pPr>
              <w:jc w:val="right"/>
              <w:ind w:right="354"/>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92"/>
        </w:trPr>
        <w:tc>
          <w:tcPr>
            <w:tcW w:w="4260" w:type="dxa"/>
            <w:vAlign w:val="bottom"/>
            <w:tcBorders>
              <w:bottom w:val="single" w:sz="8" w:color="CCEEFF"/>
            </w:tcBorders>
          </w:tcPr>
          <w:p>
            <w:pPr>
              <w:spacing w:after="0"/>
              <w:rPr>
                <w:sz w:val="16"/>
                <w:szCs w:val="16"/>
                <w:color w:val="auto"/>
              </w:rPr>
            </w:pPr>
          </w:p>
        </w:tc>
        <w:tc>
          <w:tcPr>
            <w:tcW w:w="40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40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60" w:type="dxa"/>
            <w:vAlign w:val="bottom"/>
          </w:tcPr>
          <w:p>
            <w:pPr>
              <w:ind w:left="380"/>
              <w:spacing w:after="0"/>
              <w:rPr>
                <w:sz w:val="20"/>
                <w:szCs w:val="20"/>
                <w:color w:val="auto"/>
              </w:rPr>
            </w:pPr>
            <w:r>
              <w:rPr>
                <w:rFonts w:ascii="Arial" w:cs="Arial" w:eastAsia="Arial" w:hAnsi="Arial"/>
                <w:sz w:val="18"/>
                <w:szCs w:val="18"/>
                <w:color w:val="auto"/>
              </w:rPr>
              <w:t>Accounts receivable–billed</w:t>
            </w:r>
          </w:p>
        </w:tc>
        <w:tc>
          <w:tcPr>
            <w:tcW w:w="4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387,865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308,670</w:t>
            </w:r>
          </w:p>
        </w:tc>
        <w:tc>
          <w:tcPr>
            <w:tcW w:w="0" w:type="dxa"/>
            <w:vAlign w:val="bottom"/>
          </w:tcPr>
          <w:p>
            <w:pPr>
              <w:spacing w:after="0"/>
              <w:rPr>
                <w:sz w:val="1"/>
                <w:szCs w:val="1"/>
                <w:color w:val="auto"/>
              </w:rPr>
            </w:pPr>
          </w:p>
        </w:tc>
      </w:tr>
      <w:tr>
        <w:trPr>
          <w:trHeight w:val="27"/>
        </w:trPr>
        <w:tc>
          <w:tcPr>
            <w:tcW w:w="4260" w:type="dxa"/>
            <w:vAlign w:val="bottom"/>
          </w:tcPr>
          <w:p>
            <w:pPr>
              <w:spacing w:after="0"/>
              <w:rPr>
                <w:sz w:val="2"/>
                <w:szCs w:val="2"/>
                <w:color w:val="auto"/>
              </w:rPr>
            </w:pPr>
          </w:p>
        </w:tc>
        <w:tc>
          <w:tcPr>
            <w:tcW w:w="4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receivable–unbilled</w:t>
            </w:r>
          </w:p>
        </w:tc>
        <w:tc>
          <w:tcPr>
            <w:tcW w:w="40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565,923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584,275</w:t>
            </w:r>
          </w:p>
        </w:tc>
        <w:tc>
          <w:tcPr>
            <w:tcW w:w="0" w:type="dxa"/>
            <w:vAlign w:val="bottom"/>
          </w:tcPr>
          <w:p>
            <w:pPr>
              <w:spacing w:after="0"/>
              <w:rPr>
                <w:sz w:val="1"/>
                <w:szCs w:val="1"/>
                <w:color w:val="auto"/>
              </w:rPr>
            </w:pPr>
          </w:p>
        </w:tc>
      </w:tr>
      <w:tr>
        <w:trPr>
          <w:trHeight w:val="243"/>
        </w:trPr>
        <w:tc>
          <w:tcPr>
            <w:tcW w:w="4260" w:type="dxa"/>
            <w:vAlign w:val="bottom"/>
          </w:tcPr>
          <w:p>
            <w:pPr>
              <w:ind w:left="380"/>
              <w:spacing w:after="0"/>
              <w:rPr>
                <w:sz w:val="20"/>
                <w:szCs w:val="20"/>
                <w:color w:val="auto"/>
              </w:rPr>
            </w:pPr>
            <w:r>
              <w:rPr>
                <w:rFonts w:ascii="Arial" w:cs="Arial" w:eastAsia="Arial" w:hAnsi="Arial"/>
                <w:sz w:val="18"/>
                <w:szCs w:val="18"/>
                <w:color w:val="auto"/>
              </w:rPr>
              <w:t>Allowance for doubtful accounts</w:t>
            </w:r>
          </w:p>
        </w:tc>
        <w:tc>
          <w:tcPr>
            <w:tcW w:w="40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(991)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(656)</w:t>
            </w:r>
          </w:p>
        </w:tc>
        <w:tc>
          <w:tcPr>
            <w:tcW w:w="0" w:type="dxa"/>
            <w:vAlign w:val="bottom"/>
          </w:tcPr>
          <w:p>
            <w:pPr>
              <w:spacing w:after="0"/>
              <w:rPr>
                <w:sz w:val="1"/>
                <w:szCs w:val="1"/>
                <w:color w:val="auto"/>
              </w:rPr>
            </w:pPr>
          </w:p>
        </w:tc>
      </w:tr>
      <w:tr>
        <w:trPr>
          <w:trHeight w:val="27"/>
        </w:trPr>
        <w:tc>
          <w:tcPr>
            <w:tcW w:w="4260" w:type="dxa"/>
            <w:vAlign w:val="bottom"/>
            <w:tcBorders>
              <w:bottom w:val="single" w:sz="8" w:color="CCEEFF"/>
            </w:tcBorders>
          </w:tcPr>
          <w:p>
            <w:pPr>
              <w:spacing w:after="0"/>
              <w:rPr>
                <w:sz w:val="2"/>
                <w:szCs w:val="2"/>
                <w:color w:val="auto"/>
              </w:rPr>
            </w:pPr>
          </w:p>
        </w:tc>
        <w:tc>
          <w:tcPr>
            <w:tcW w:w="4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Accounts receivable, net</w:t>
            </w:r>
          </w:p>
        </w:tc>
        <w:tc>
          <w:tcPr>
            <w:tcW w:w="40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952,797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892,289</w:t>
            </w:r>
          </w:p>
        </w:tc>
        <w:tc>
          <w:tcPr>
            <w:tcW w:w="0" w:type="dxa"/>
            <w:vAlign w:val="bottom"/>
          </w:tcPr>
          <w:p>
            <w:pPr>
              <w:spacing w:after="0"/>
              <w:rPr>
                <w:sz w:val="1"/>
                <w:szCs w:val="1"/>
                <w:color w:val="auto"/>
              </w:rPr>
            </w:pPr>
          </w:p>
        </w:tc>
      </w:tr>
      <w:tr>
        <w:trPr>
          <w:trHeight w:val="243"/>
        </w:trPr>
        <w:tc>
          <w:tcPr>
            <w:tcW w:w="4260" w:type="dxa"/>
            <w:vAlign w:val="bottom"/>
          </w:tcPr>
          <w:p>
            <w:pPr>
              <w:ind w:left="40"/>
              <w:spacing w:after="0"/>
              <w:rPr>
                <w:sz w:val="20"/>
                <w:szCs w:val="20"/>
                <w:color w:val="auto"/>
              </w:rPr>
            </w:pPr>
            <w:r>
              <w:rPr>
                <w:rFonts w:ascii="Arial" w:cs="Arial" w:eastAsia="Arial" w:hAnsi="Arial"/>
                <w:sz w:val="18"/>
                <w:szCs w:val="18"/>
                <w:color w:val="auto"/>
              </w:rPr>
              <w:t>Long-term</w:t>
            </w:r>
          </w:p>
        </w:tc>
        <w:tc>
          <w:tcPr>
            <w:tcW w:w="40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60" w:type="dxa"/>
            <w:vAlign w:val="bottom"/>
          </w:tcPr>
          <w:p>
            <w:pPr>
              <w:spacing w:after="0"/>
              <w:rPr>
                <w:sz w:val="2"/>
                <w:szCs w:val="2"/>
                <w:color w:val="auto"/>
              </w:rPr>
            </w:pPr>
          </w:p>
        </w:tc>
        <w:tc>
          <w:tcPr>
            <w:tcW w:w="4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receivable–unbilled</w:t>
            </w:r>
          </w:p>
        </w:tc>
        <w:tc>
          <w:tcPr>
            <w:tcW w:w="40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67,619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51,145</w:t>
            </w:r>
          </w:p>
        </w:tc>
        <w:tc>
          <w:tcPr>
            <w:tcW w:w="0" w:type="dxa"/>
            <w:vAlign w:val="bottom"/>
          </w:tcPr>
          <w:p>
            <w:pPr>
              <w:spacing w:after="0"/>
              <w:rPr>
                <w:sz w:val="1"/>
                <w:szCs w:val="1"/>
                <w:color w:val="auto"/>
              </w:rPr>
            </w:pPr>
          </w:p>
        </w:tc>
      </w:tr>
      <w:tr>
        <w:trPr>
          <w:trHeight w:val="237"/>
        </w:trPr>
        <w:tc>
          <w:tcPr>
            <w:tcW w:w="4260" w:type="dxa"/>
            <w:vAlign w:val="bottom"/>
          </w:tcPr>
          <w:p>
            <w:pPr>
              <w:ind w:left="720"/>
              <w:spacing w:after="0"/>
              <w:rPr>
                <w:sz w:val="20"/>
                <w:szCs w:val="20"/>
                <w:color w:val="auto"/>
              </w:rPr>
            </w:pPr>
            <w:r>
              <w:rPr>
                <w:rFonts w:ascii="Arial" w:cs="Arial" w:eastAsia="Arial" w:hAnsi="Arial"/>
                <w:sz w:val="18"/>
                <w:szCs w:val="18"/>
                <w:color w:val="auto"/>
              </w:rPr>
              <w:t>Total accounts receivable, net</w:t>
            </w:r>
          </w:p>
        </w:tc>
        <w:tc>
          <w:tcPr>
            <w:tcW w:w="408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1,020,416</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943,434</w:t>
            </w:r>
          </w:p>
        </w:tc>
        <w:tc>
          <w:tcPr>
            <w:tcW w:w="0" w:type="dxa"/>
            <w:vAlign w:val="bottom"/>
          </w:tcPr>
          <w:p>
            <w:pPr>
              <w:spacing w:after="0"/>
              <w:rPr>
                <w:sz w:val="1"/>
                <w:szCs w:val="1"/>
                <w:color w:val="auto"/>
              </w:rPr>
            </w:pPr>
          </w:p>
        </w:tc>
      </w:tr>
      <w:tr>
        <w:trPr>
          <w:trHeight w:val="27"/>
        </w:trPr>
        <w:tc>
          <w:tcPr>
            <w:tcW w:w="4260" w:type="dxa"/>
            <w:vAlign w:val="bottom"/>
          </w:tcPr>
          <w:p>
            <w:pPr>
              <w:spacing w:after="0"/>
              <w:rPr>
                <w:sz w:val="2"/>
                <w:szCs w:val="2"/>
                <w:color w:val="auto"/>
              </w:rPr>
            </w:pPr>
          </w:p>
        </w:tc>
        <w:tc>
          <w:tcPr>
            <w:tcW w:w="4080" w:type="dxa"/>
            <w:vAlign w:val="bottom"/>
            <w:vMerge w:val="restart"/>
          </w:tcPr>
          <w:p>
            <w:pPr>
              <w:jc w:val="right"/>
              <w:ind w:right="2490"/>
              <w:spacing w:after="0"/>
              <w:rPr>
                <w:sz w:val="20"/>
                <w:szCs w:val="20"/>
                <w:color w:val="auto"/>
              </w:rPr>
            </w:pPr>
            <w:r>
              <w:rPr>
                <w:rFonts w:ascii="Arial" w:cs="Arial" w:eastAsia="Arial" w:hAnsi="Arial"/>
                <w:sz w:val="18"/>
                <w:szCs w:val="18"/>
                <w:color w:val="auto"/>
              </w:rPr>
              <w:t>6</w:t>
            </w: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4080" w:type="dxa"/>
            <w:vAlign w:val="bottom"/>
            <w:vMerge w:val="continue"/>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260" w:type="dxa"/>
            <w:vAlign w:val="bottom"/>
          </w:tcPr>
          <w:p>
            <w:pPr>
              <w:spacing w:after="0"/>
              <w:rPr>
                <w:sz w:val="24"/>
                <w:szCs w:val="24"/>
                <w:color w:val="auto"/>
              </w:rPr>
            </w:pPr>
          </w:p>
        </w:tc>
        <w:tc>
          <w:tcPr>
            <w:tcW w:w="40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type w:val="continuous"/>
        </w:sectPr>
      </w:pPr>
    </w:p>
    <w:bookmarkStart w:id="8" w:name="page9"/>
    <w:bookmarkEnd w:id="8"/>
    <w:p>
      <w:pPr>
        <w:ind w:firstLine="405"/>
        <w:spacing w:after="0" w:line="273" w:lineRule="auto"/>
        <w:rPr>
          <w:sz w:val="20"/>
          <w:szCs w:val="20"/>
          <w:color w:val="auto"/>
        </w:rPr>
      </w:pPr>
      <w:r>
        <w:rPr>
          <w:rFonts w:ascii="Arial" w:cs="Arial" w:eastAsia="Arial" w:hAnsi="Arial"/>
          <w:sz w:val="17"/>
          <w:szCs w:val="17"/>
          <w:color w:val="auto"/>
        </w:rPr>
        <w:t>Unbilled amounts represent sales for which billings have not been presented to customers at quarter-end or year-end. These amounts are usually billed and collected within one year. Long-term unbilled receivables not anticipated to be billed and collected within one year, which are primarily related to retainage, holdbacks, and long-term rate settlements to be billed at contract closeout, are included in other long-term assets in the accompanying condensed consolidated balance sheets. The Company recognized a provision for doubtful accounts (including certain unbilled reserves) of $0.7 million and $2.9 million for the three months ended June 30, 2016 and 2015 respectively. The Company does not have material exposure to accounts receivable credit risk, because the Company's accounts receivable are primarily with the U.S. Government and its agencies.</w:t>
      </w:r>
    </w:p>
    <w:p>
      <w:pPr>
        <w:spacing w:after="0" w:line="283" w:lineRule="exact"/>
        <w:rPr>
          <w:sz w:val="20"/>
          <w:szCs w:val="20"/>
          <w:color w:val="auto"/>
        </w:rPr>
      </w:pPr>
    </w:p>
    <w:p>
      <w:pPr>
        <w:ind w:left="440" w:right="5700" w:hanging="432"/>
        <w:spacing w:after="0" w:line="428" w:lineRule="auto"/>
        <w:tabs>
          <w:tab w:leader="none" w:pos="188" w:val="left"/>
        </w:tabs>
        <w:numPr>
          <w:ilvl w:val="0"/>
          <w:numId w:val="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ACCOUNTS PAYABLE AND OTHER ACCRUED EXPENSES </w:t>
      </w:r>
      <w:r>
        <w:rPr>
          <w:rFonts w:ascii="Arial" w:cs="Arial" w:eastAsia="Arial" w:hAnsi="Arial"/>
          <w:sz w:val="17"/>
          <w:szCs w:val="17"/>
          <w:color w:val="auto"/>
        </w:rPr>
        <w:t>Accounts payable and other accrued expenses consisted of the following:</w:t>
      </w:r>
    </w:p>
    <w:tbl>
      <w:tblPr>
        <w:tblLayout w:type="fixed"/>
        <w:tblInd w:w="0" w:type="dxa"/>
        <w:tblCellMar>
          <w:top w:w="0" w:type="dxa"/>
          <w:left w:w="0" w:type="dxa"/>
          <w:bottom w:w="0" w:type="dxa"/>
          <w:right w:w="0" w:type="dxa"/>
        </w:tblCellMar>
      </w:tblPr>
      <w:tr>
        <w:trPr>
          <w:trHeight w:val="149"/>
        </w:trPr>
        <w:tc>
          <w:tcPr>
            <w:tcW w:w="8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00" w:type="dxa"/>
            <w:vAlign w:val="bottom"/>
            <w:gridSpan w:val="2"/>
          </w:tcPr>
          <w:p>
            <w:pPr>
              <w:ind w:left="180"/>
              <w:spacing w:after="0" w:line="149" w:lineRule="exact"/>
              <w:rPr>
                <w:sz w:val="20"/>
                <w:szCs w:val="20"/>
                <w:color w:val="auto"/>
              </w:rPr>
            </w:pPr>
            <w:r>
              <w:rPr>
                <w:rFonts w:ascii="Arial" w:cs="Arial" w:eastAsia="Arial" w:hAnsi="Arial"/>
                <w:sz w:val="14"/>
                <w:szCs w:val="14"/>
                <w:b w:val="1"/>
                <w:bCs w:val="1"/>
                <w:color w:val="auto"/>
              </w:rPr>
              <w:t>June 30,</w:t>
            </w:r>
          </w:p>
        </w:tc>
        <w:tc>
          <w:tcPr>
            <w:tcW w:w="260" w:type="dxa"/>
            <w:vAlign w:val="bottom"/>
          </w:tcPr>
          <w:p>
            <w:pPr>
              <w:spacing w:after="0"/>
              <w:rPr>
                <w:sz w:val="12"/>
                <w:szCs w:val="12"/>
                <w:color w:val="auto"/>
              </w:rPr>
            </w:pPr>
          </w:p>
        </w:tc>
        <w:tc>
          <w:tcPr>
            <w:tcW w:w="1220" w:type="dxa"/>
            <w:vAlign w:val="bottom"/>
          </w:tcPr>
          <w:p>
            <w:pPr>
              <w:jc w:val="right"/>
              <w:ind w:right="357"/>
              <w:spacing w:after="0" w:line="149" w:lineRule="exact"/>
              <w:rPr>
                <w:sz w:val="20"/>
                <w:szCs w:val="20"/>
                <w:color w:val="auto"/>
              </w:rPr>
            </w:pPr>
            <w:r>
              <w:rPr>
                <w:rFonts w:ascii="Arial" w:cs="Arial" w:eastAsia="Arial" w:hAnsi="Arial"/>
                <w:sz w:val="14"/>
                <w:szCs w:val="14"/>
                <w:b w:val="1"/>
                <w:bCs w:val="1"/>
                <w:color w:val="auto"/>
              </w:rPr>
              <w:t>March 31,</w:t>
            </w:r>
          </w:p>
        </w:tc>
      </w:tr>
      <w:tr>
        <w:trPr>
          <w:trHeight w:val="192"/>
        </w:trPr>
        <w:tc>
          <w:tcPr>
            <w:tcW w:w="83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2016</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Vendor payables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216,210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246,670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Accrued expenses</w:t>
            </w:r>
          </w:p>
        </w:tc>
        <w:tc>
          <w:tcPr>
            <w:tcW w:w="300" w:type="dxa"/>
            <w:vAlign w:val="bottom"/>
          </w:tcPr>
          <w:p>
            <w:pPr>
              <w:spacing w:after="0"/>
              <w:rPr>
                <w:sz w:val="21"/>
                <w:szCs w:val="21"/>
                <w:color w:val="auto"/>
              </w:rPr>
            </w:pP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246,590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7"/>
              <w:spacing w:after="0"/>
              <w:rPr>
                <w:sz w:val="20"/>
                <w:szCs w:val="20"/>
                <w:color w:val="auto"/>
              </w:rPr>
            </w:pPr>
            <w:r>
              <w:rPr>
                <w:rFonts w:ascii="Arial" w:cs="Arial" w:eastAsia="Arial" w:hAnsi="Arial"/>
                <w:sz w:val="18"/>
                <w:szCs w:val="18"/>
                <w:color w:val="auto"/>
              </w:rPr>
              <w:t>238,099</w:t>
            </w:r>
          </w:p>
        </w:tc>
      </w:tr>
      <w:tr>
        <w:trPr>
          <w:trHeight w:val="27"/>
        </w:trPr>
        <w:tc>
          <w:tcPr>
            <w:tcW w:w="8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accounts payable and other accrued expenses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462,800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484,769</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Accrued expenses consisted primarily of the Company’s reserve related to potential cost disallowance in conjunction with government audits. Refer to Note 16 for further discussion of this reserve.</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ACCRUED COMPENSATION AND BENEFITS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Accrued compensation and benefits consisted of the following:</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ind w:right="354"/>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92"/>
        </w:trPr>
        <w:tc>
          <w:tcPr>
            <w:tcW w:w="5540" w:type="dxa"/>
            <w:vAlign w:val="bottom"/>
            <w:tcBorders>
              <w:bottom w:val="single" w:sz="8" w:color="CCEEFF"/>
            </w:tcBorders>
          </w:tcPr>
          <w:p>
            <w:pPr>
              <w:spacing w:after="0"/>
              <w:rPr>
                <w:sz w:val="16"/>
                <w:szCs w:val="16"/>
                <w:color w:val="auto"/>
              </w:rPr>
            </w:pPr>
          </w:p>
        </w:tc>
        <w:tc>
          <w:tcPr>
            <w:tcW w:w="14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CCEEFF"/>
            </w:tcBorders>
          </w:tcPr>
          <w:p>
            <w:pPr>
              <w:spacing w:after="0"/>
              <w:rPr>
                <w:sz w:val="16"/>
                <w:szCs w:val="16"/>
                <w:color w:val="auto"/>
              </w:rPr>
            </w:pPr>
          </w:p>
        </w:tc>
        <w:tc>
          <w:tcPr>
            <w:tcW w:w="88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Bonus</w:t>
            </w:r>
          </w:p>
        </w:tc>
        <w:tc>
          <w:tcPr>
            <w:tcW w:w="1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16,514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73,040</w:t>
            </w:r>
          </w:p>
        </w:tc>
        <w:tc>
          <w:tcPr>
            <w:tcW w:w="0" w:type="dxa"/>
            <w:vAlign w:val="bottom"/>
          </w:tcPr>
          <w:p>
            <w:pPr>
              <w:spacing w:after="0"/>
              <w:rPr>
                <w:sz w:val="1"/>
                <w:szCs w:val="1"/>
                <w:color w:val="auto"/>
              </w:rPr>
            </w:pPr>
          </w:p>
        </w:tc>
      </w:tr>
      <w:tr>
        <w:trPr>
          <w:trHeight w:val="243"/>
        </w:trPr>
        <w:tc>
          <w:tcPr>
            <w:tcW w:w="5540" w:type="dxa"/>
            <w:vAlign w:val="bottom"/>
          </w:tcPr>
          <w:p>
            <w:pPr>
              <w:ind w:left="40"/>
              <w:spacing w:after="0"/>
              <w:rPr>
                <w:sz w:val="20"/>
                <w:szCs w:val="20"/>
                <w:color w:val="auto"/>
              </w:rPr>
            </w:pPr>
            <w:r>
              <w:rPr>
                <w:rFonts w:ascii="Arial" w:cs="Arial" w:eastAsia="Arial" w:hAnsi="Arial"/>
                <w:sz w:val="18"/>
                <w:szCs w:val="18"/>
                <w:color w:val="auto"/>
              </w:rPr>
              <w:t>Retirement</w:t>
            </w: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jc w:val="right"/>
              <w:ind w:right="17"/>
              <w:spacing w:after="0"/>
              <w:rPr>
                <w:sz w:val="20"/>
                <w:szCs w:val="20"/>
                <w:color w:val="auto"/>
              </w:rPr>
            </w:pPr>
            <w:r>
              <w:rPr>
                <w:rFonts w:ascii="Arial" w:cs="Arial" w:eastAsia="Arial" w:hAnsi="Arial"/>
                <w:sz w:val="18"/>
                <w:szCs w:val="18"/>
                <w:color w:val="auto"/>
              </w:rPr>
              <w:t>43,866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30,388</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Vacation</w:t>
            </w:r>
          </w:p>
        </w:tc>
        <w:tc>
          <w:tcPr>
            <w:tcW w:w="1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120,142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114,599</w:t>
            </w:r>
          </w:p>
        </w:tc>
        <w:tc>
          <w:tcPr>
            <w:tcW w:w="0" w:type="dxa"/>
            <w:vAlign w:val="bottom"/>
          </w:tcPr>
          <w:p>
            <w:pPr>
              <w:spacing w:after="0"/>
              <w:rPr>
                <w:sz w:val="1"/>
                <w:szCs w:val="1"/>
                <w:color w:val="auto"/>
              </w:rPr>
            </w:pPr>
          </w:p>
        </w:tc>
      </w:tr>
      <w:tr>
        <w:trPr>
          <w:trHeight w:val="243"/>
        </w:trPr>
        <w:tc>
          <w:tcPr>
            <w:tcW w:w="5540" w:type="dxa"/>
            <w:vAlign w:val="bottom"/>
          </w:tcPr>
          <w:p>
            <w:pPr>
              <w:ind w:left="40"/>
              <w:spacing w:after="0"/>
              <w:rPr>
                <w:sz w:val="20"/>
                <w:szCs w:val="20"/>
                <w:color w:val="auto"/>
              </w:rPr>
            </w:pPr>
            <w:r>
              <w:rPr>
                <w:rFonts w:ascii="Arial" w:cs="Arial" w:eastAsia="Arial" w:hAnsi="Arial"/>
                <w:sz w:val="18"/>
                <w:szCs w:val="18"/>
                <w:color w:val="auto"/>
              </w:rPr>
              <w:t>Other</w:t>
            </w: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jc w:val="right"/>
              <w:ind w:right="17"/>
              <w:spacing w:after="0"/>
              <w:rPr>
                <w:sz w:val="20"/>
                <w:szCs w:val="20"/>
                <w:color w:val="auto"/>
              </w:rPr>
            </w:pPr>
            <w:r>
              <w:rPr>
                <w:rFonts w:ascii="Arial" w:cs="Arial" w:eastAsia="Arial" w:hAnsi="Arial"/>
                <w:sz w:val="18"/>
                <w:szCs w:val="18"/>
                <w:color w:val="auto"/>
              </w:rPr>
              <w:t>25,071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23,340</w:t>
            </w:r>
          </w:p>
        </w:tc>
        <w:tc>
          <w:tcPr>
            <w:tcW w:w="0" w:type="dxa"/>
            <w:vAlign w:val="bottom"/>
          </w:tcPr>
          <w:p>
            <w:pPr>
              <w:spacing w:after="0"/>
              <w:rPr>
                <w:sz w:val="1"/>
                <w:szCs w:val="1"/>
                <w:color w:val="auto"/>
              </w:rPr>
            </w:pPr>
          </w:p>
        </w:tc>
      </w:tr>
      <w:tr>
        <w:trPr>
          <w:trHeight w:val="27"/>
        </w:trPr>
        <w:tc>
          <w:tcPr>
            <w:tcW w:w="554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accrued compensation and benefits</w:t>
            </w:r>
          </w:p>
        </w:tc>
        <w:tc>
          <w:tcPr>
            <w:tcW w:w="14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205,593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241,367</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7. DEBT</w:t>
            </w:r>
          </w:p>
        </w:tc>
        <w:tc>
          <w:tcPr>
            <w:tcW w:w="1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5540" w:type="dxa"/>
            <w:vAlign w:val="bottom"/>
            <w:vMerge w:val="continue"/>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540" w:type="dxa"/>
            <w:vAlign w:val="bottom"/>
          </w:tcPr>
          <w:p>
            <w:pPr>
              <w:ind w:left="420"/>
              <w:spacing w:after="0"/>
              <w:rPr>
                <w:sz w:val="20"/>
                <w:szCs w:val="20"/>
                <w:color w:val="auto"/>
              </w:rPr>
            </w:pPr>
            <w:r>
              <w:rPr>
                <w:rFonts w:ascii="Arial" w:cs="Arial" w:eastAsia="Arial" w:hAnsi="Arial"/>
                <w:sz w:val="18"/>
                <w:szCs w:val="18"/>
                <w:color w:val="auto"/>
              </w:rPr>
              <w:t>Debt consisted of the following:</w:t>
            </w: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7"/>
        </w:trPr>
        <w:tc>
          <w:tcPr>
            <w:tcW w:w="5540" w:type="dxa"/>
            <w:vAlign w:val="bottom"/>
          </w:tcPr>
          <w:p>
            <w:pPr>
              <w:spacing w:after="0"/>
              <w:rPr>
                <w:sz w:val="24"/>
                <w:szCs w:val="24"/>
                <w:color w:val="auto"/>
              </w:rPr>
            </w:pPr>
          </w:p>
        </w:tc>
        <w:tc>
          <w:tcPr>
            <w:tcW w:w="19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 2016</w:t>
            </w:r>
          </w:p>
        </w:tc>
        <w:tc>
          <w:tcPr>
            <w:tcW w:w="8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900" w:type="dxa"/>
            <w:vAlign w:val="bottom"/>
            <w:tcBorders>
              <w:bottom w:val="single" w:sz="8" w:color="auto"/>
            </w:tcBorders>
            <w:gridSpan w:val="6"/>
          </w:tcPr>
          <w:p>
            <w:pPr>
              <w:jc w:val="right"/>
              <w:ind w:right="874"/>
              <w:spacing w:after="0"/>
              <w:rPr>
                <w:sz w:val="20"/>
                <w:szCs w:val="20"/>
                <w:color w:val="auto"/>
              </w:rPr>
            </w:pPr>
            <w:r>
              <w:rPr>
                <w:rFonts w:ascii="Arial" w:cs="Arial" w:eastAsia="Arial" w:hAnsi="Arial"/>
                <w:sz w:val="14"/>
                <w:szCs w:val="14"/>
                <w:b w:val="1"/>
                <w:bCs w:val="1"/>
                <w:color w:val="auto"/>
              </w:rPr>
              <w:t>March 31, 2016</w:t>
            </w:r>
          </w:p>
        </w:tc>
        <w:tc>
          <w:tcPr>
            <w:tcW w:w="0" w:type="dxa"/>
            <w:vAlign w:val="bottom"/>
          </w:tcPr>
          <w:p>
            <w:pPr>
              <w:spacing w:after="0"/>
              <w:rPr>
                <w:sz w:val="1"/>
                <w:szCs w:val="1"/>
                <w:color w:val="auto"/>
              </w:rPr>
            </w:pPr>
          </w:p>
        </w:tc>
      </w:tr>
      <w:tr>
        <w:trPr>
          <w:trHeight w:val="152"/>
        </w:trPr>
        <w:tc>
          <w:tcPr>
            <w:tcW w:w="5540" w:type="dxa"/>
            <w:vAlign w:val="bottom"/>
          </w:tcPr>
          <w:p>
            <w:pPr>
              <w:spacing w:after="0"/>
              <w:rPr>
                <w:sz w:val="13"/>
                <w:szCs w:val="13"/>
                <w:color w:val="auto"/>
              </w:rPr>
            </w:pPr>
          </w:p>
        </w:tc>
        <w:tc>
          <w:tcPr>
            <w:tcW w:w="152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4"/>
              </w:rPr>
              <w:t>Interest</w:t>
            </w:r>
          </w:p>
        </w:tc>
        <w:tc>
          <w:tcPr>
            <w:tcW w:w="1460" w:type="dxa"/>
            <w:vAlign w:val="bottom"/>
            <w:gridSpan w:val="4"/>
          </w:tcPr>
          <w:p>
            <w:pPr>
              <w:jc w:val="right"/>
              <w:ind w:right="400"/>
              <w:spacing w:after="0" w:line="153" w:lineRule="exact"/>
              <w:rPr>
                <w:sz w:val="20"/>
                <w:szCs w:val="20"/>
                <w:color w:val="auto"/>
              </w:rPr>
            </w:pPr>
            <w:r>
              <w:rPr>
                <w:rFonts w:ascii="Arial" w:cs="Arial" w:eastAsia="Arial" w:hAnsi="Arial"/>
                <w:sz w:val="14"/>
                <w:szCs w:val="14"/>
                <w:b w:val="1"/>
                <w:bCs w:val="1"/>
                <w:color w:val="auto"/>
              </w:rPr>
              <w:t>Outstanding</w:t>
            </w:r>
          </w:p>
        </w:tc>
        <w:tc>
          <w:tcPr>
            <w:tcW w:w="1420" w:type="dxa"/>
            <w:vAlign w:val="bottom"/>
            <w:gridSpan w:val="2"/>
          </w:tcPr>
          <w:p>
            <w:pPr>
              <w:jc w:val="right"/>
              <w:ind w:right="460"/>
              <w:spacing w:after="0" w:line="153" w:lineRule="exact"/>
              <w:rPr>
                <w:sz w:val="20"/>
                <w:szCs w:val="20"/>
                <w:color w:val="auto"/>
              </w:rPr>
            </w:pPr>
            <w:r>
              <w:rPr>
                <w:rFonts w:ascii="Arial" w:cs="Arial" w:eastAsia="Arial" w:hAnsi="Arial"/>
                <w:sz w:val="14"/>
                <w:szCs w:val="14"/>
                <w:b w:val="1"/>
                <w:bCs w:val="1"/>
                <w:color w:val="auto"/>
              </w:rPr>
              <w:t>Interest</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jc w:val="right"/>
              <w:ind w:right="214"/>
              <w:spacing w:after="0" w:line="153" w:lineRule="exact"/>
              <w:rPr>
                <w:sz w:val="20"/>
                <w:szCs w:val="20"/>
                <w:color w:val="auto"/>
              </w:rPr>
            </w:pPr>
            <w:r>
              <w:rPr>
                <w:rFonts w:ascii="Arial" w:cs="Arial" w:eastAsia="Arial" w:hAnsi="Arial"/>
                <w:sz w:val="14"/>
                <w:szCs w:val="14"/>
                <w:b w:val="1"/>
                <w:bCs w:val="1"/>
                <w:color w:val="auto"/>
              </w:rPr>
              <w:t>Outstanding</w:t>
            </w:r>
          </w:p>
        </w:tc>
        <w:tc>
          <w:tcPr>
            <w:tcW w:w="0" w:type="dxa"/>
            <w:vAlign w:val="bottom"/>
          </w:tcPr>
          <w:p>
            <w:pPr>
              <w:spacing w:after="0"/>
              <w:rPr>
                <w:sz w:val="1"/>
                <w:szCs w:val="1"/>
                <w:color w:val="auto"/>
              </w:rPr>
            </w:pPr>
          </w:p>
        </w:tc>
      </w:tr>
      <w:tr>
        <w:trPr>
          <w:trHeight w:val="192"/>
        </w:trPr>
        <w:tc>
          <w:tcPr>
            <w:tcW w:w="5540" w:type="dxa"/>
            <w:vAlign w:val="bottom"/>
          </w:tcPr>
          <w:p>
            <w:pPr>
              <w:spacing w:after="0"/>
              <w:rPr>
                <w:sz w:val="16"/>
                <w:szCs w:val="16"/>
                <w:color w:val="auto"/>
              </w:rPr>
            </w:pPr>
          </w:p>
        </w:tc>
        <w:tc>
          <w:tcPr>
            <w:tcW w:w="15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Rate</w:t>
            </w:r>
          </w:p>
        </w:tc>
        <w:tc>
          <w:tcPr>
            <w:tcW w:w="400" w:type="dxa"/>
            <w:vAlign w:val="bottom"/>
          </w:tcPr>
          <w:p>
            <w:pPr>
              <w:spacing w:after="0"/>
              <w:rPr>
                <w:sz w:val="16"/>
                <w:szCs w:val="16"/>
                <w:color w:val="auto"/>
              </w:rPr>
            </w:pPr>
          </w:p>
        </w:tc>
        <w:tc>
          <w:tcPr>
            <w:tcW w:w="106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w w:val="93"/>
              </w:rPr>
              <w:t>Balance</w:t>
            </w:r>
          </w:p>
        </w:tc>
        <w:tc>
          <w:tcPr>
            <w:tcW w:w="14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Rate</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right"/>
              <w:ind w:right="354"/>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250"/>
        </w:trPr>
        <w:tc>
          <w:tcPr>
            <w:tcW w:w="5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Term Loan A</w:t>
            </w:r>
          </w:p>
        </w:tc>
        <w:tc>
          <w:tcPr>
            <w:tcW w:w="14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jc w:val="right"/>
              <w:ind w:right="196"/>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726,250</w:t>
            </w: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741,813</w:t>
            </w:r>
          </w:p>
        </w:tc>
        <w:tc>
          <w:tcPr>
            <w:tcW w:w="0" w:type="dxa"/>
            <w:vAlign w:val="bottom"/>
          </w:tcPr>
          <w:p>
            <w:pPr>
              <w:spacing w:after="0"/>
              <w:rPr>
                <w:sz w:val="1"/>
                <w:szCs w:val="1"/>
                <w:color w:val="auto"/>
              </w:rPr>
            </w:pPr>
          </w:p>
        </w:tc>
      </w:tr>
      <w:tr>
        <w:trPr>
          <w:trHeight w:val="243"/>
        </w:trPr>
        <w:tc>
          <w:tcPr>
            <w:tcW w:w="5540" w:type="dxa"/>
            <w:vAlign w:val="bottom"/>
          </w:tcPr>
          <w:p>
            <w:pPr>
              <w:ind w:left="40"/>
              <w:spacing w:after="0"/>
              <w:rPr>
                <w:sz w:val="20"/>
                <w:szCs w:val="20"/>
                <w:color w:val="auto"/>
              </w:rPr>
            </w:pPr>
            <w:r>
              <w:rPr>
                <w:rFonts w:ascii="Arial" w:cs="Arial" w:eastAsia="Arial" w:hAnsi="Arial"/>
                <w:sz w:val="18"/>
                <w:szCs w:val="18"/>
                <w:color w:val="auto"/>
              </w:rPr>
              <w:t>Term Loan B</w:t>
            </w:r>
          </w:p>
        </w:tc>
        <w:tc>
          <w:tcPr>
            <w:tcW w:w="1400" w:type="dxa"/>
            <w:vAlign w:val="bottom"/>
          </w:tcPr>
          <w:p>
            <w:pPr>
              <w:jc w:val="right"/>
              <w:spacing w:after="0"/>
              <w:rPr>
                <w:sz w:val="20"/>
                <w:szCs w:val="20"/>
                <w:color w:val="auto"/>
              </w:rPr>
            </w:pPr>
            <w:r>
              <w:rPr>
                <w:rFonts w:ascii="Arial" w:cs="Arial" w:eastAsia="Arial" w:hAnsi="Arial"/>
                <w:sz w:val="18"/>
                <w:szCs w:val="18"/>
                <w:color w:val="auto"/>
              </w:rPr>
              <w:t>3.75%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841,188</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3.75%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841,188</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Revolving credit facility</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60,000</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5.00%</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35,000</w:t>
            </w:r>
          </w:p>
        </w:tc>
        <w:tc>
          <w:tcPr>
            <w:tcW w:w="0" w:type="dxa"/>
            <w:vAlign w:val="bottom"/>
          </w:tcPr>
          <w:p>
            <w:pPr>
              <w:spacing w:after="0"/>
              <w:rPr>
                <w:sz w:val="1"/>
                <w:szCs w:val="1"/>
                <w:color w:val="auto"/>
              </w:rPr>
            </w:pPr>
          </w:p>
        </w:tc>
      </w:tr>
      <w:tr>
        <w:trPr>
          <w:trHeight w:val="243"/>
        </w:trPr>
        <w:tc>
          <w:tcPr>
            <w:tcW w:w="5540" w:type="dxa"/>
            <w:vAlign w:val="bottom"/>
          </w:tcPr>
          <w:p>
            <w:pPr>
              <w:ind w:left="180"/>
              <w:spacing w:after="0"/>
              <w:rPr>
                <w:sz w:val="20"/>
                <w:szCs w:val="20"/>
                <w:color w:val="auto"/>
              </w:rPr>
            </w:pPr>
            <w:r>
              <w:rPr>
                <w:rFonts w:ascii="Arial" w:cs="Arial" w:eastAsia="Arial" w:hAnsi="Arial"/>
                <w:sz w:val="18"/>
                <w:szCs w:val="18"/>
                <w:color w:val="auto"/>
              </w:rPr>
              <w:t>Less: Unamortized debt issuance costs and discount on debt</w:t>
            </w: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(19,119)</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(20,740)</w:t>
            </w:r>
          </w:p>
        </w:tc>
        <w:tc>
          <w:tcPr>
            <w:tcW w:w="0" w:type="dxa"/>
            <w:vAlign w:val="bottom"/>
          </w:tcPr>
          <w:p>
            <w:pPr>
              <w:spacing w:after="0"/>
              <w:rPr>
                <w:sz w:val="1"/>
                <w:szCs w:val="1"/>
                <w:color w:val="auto"/>
              </w:rPr>
            </w:pPr>
          </w:p>
        </w:tc>
      </w:tr>
      <w:tr>
        <w:trPr>
          <w:trHeight w:val="27"/>
        </w:trPr>
        <w:tc>
          <w:tcPr>
            <w:tcW w:w="554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1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1,608,319</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1,597,261</w:t>
            </w:r>
          </w:p>
        </w:tc>
        <w:tc>
          <w:tcPr>
            <w:tcW w:w="0" w:type="dxa"/>
            <w:vAlign w:val="bottom"/>
          </w:tcPr>
          <w:p>
            <w:pPr>
              <w:spacing w:after="0"/>
              <w:rPr>
                <w:sz w:val="1"/>
                <w:szCs w:val="1"/>
                <w:color w:val="auto"/>
              </w:rPr>
            </w:pPr>
          </w:p>
        </w:tc>
      </w:tr>
      <w:tr>
        <w:trPr>
          <w:trHeight w:val="243"/>
        </w:trPr>
        <w:tc>
          <w:tcPr>
            <w:tcW w:w="5540" w:type="dxa"/>
            <w:vAlign w:val="bottom"/>
          </w:tcPr>
          <w:p>
            <w:pPr>
              <w:ind w:left="720"/>
              <w:spacing w:after="0"/>
              <w:rPr>
                <w:sz w:val="20"/>
                <w:szCs w:val="20"/>
                <w:color w:val="auto"/>
              </w:rPr>
            </w:pPr>
            <w:r>
              <w:rPr>
                <w:rFonts w:ascii="Arial" w:cs="Arial" w:eastAsia="Arial" w:hAnsi="Arial"/>
                <w:sz w:val="18"/>
                <w:szCs w:val="18"/>
                <w:color w:val="auto"/>
              </w:rPr>
              <w:t>Less: Current portion of long-term debt (1)</w:t>
            </w: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(106,779)</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(112,813)</w:t>
            </w:r>
          </w:p>
        </w:tc>
        <w:tc>
          <w:tcPr>
            <w:tcW w:w="0" w:type="dxa"/>
            <w:vAlign w:val="bottom"/>
          </w:tcPr>
          <w:p>
            <w:pPr>
              <w:spacing w:after="0"/>
              <w:rPr>
                <w:sz w:val="1"/>
                <w:szCs w:val="1"/>
                <w:color w:val="auto"/>
              </w:rPr>
            </w:pPr>
          </w:p>
        </w:tc>
      </w:tr>
      <w:tr>
        <w:trPr>
          <w:trHeight w:val="27"/>
        </w:trPr>
        <w:tc>
          <w:tcPr>
            <w:tcW w:w="554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5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Long-term debt, net of current portion</w:t>
            </w:r>
          </w:p>
        </w:tc>
        <w:tc>
          <w:tcPr>
            <w:tcW w:w="14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6"/>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1,501,540</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1,484,448</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40" w:firstLine="8"/>
        <w:spacing w:after="0" w:line="259" w:lineRule="auto"/>
        <w:tabs>
          <w:tab w:leader="none" w:pos="255" w:val="left"/>
        </w:tabs>
        <w:numPr>
          <w:ilvl w:val="0"/>
          <w:numId w:val="6"/>
        </w:numPr>
        <w:rPr>
          <w:rFonts w:ascii="Arial" w:cs="Arial" w:eastAsia="Arial" w:hAnsi="Arial"/>
          <w:sz w:val="18"/>
          <w:szCs w:val="18"/>
          <w:color w:val="auto"/>
        </w:rPr>
      </w:pPr>
      <w:r>
        <w:rPr>
          <w:rFonts w:ascii="Arial" w:cs="Arial" w:eastAsia="Arial" w:hAnsi="Arial"/>
          <w:sz w:val="18"/>
          <w:szCs w:val="18"/>
          <w:color w:val="auto"/>
        </w:rPr>
        <w:t>As of June 30, 2016, $36.2 million of the Company's current portion of long-term debt was reclassified to long-term debt. This reclassification reflects the Company's intent as of June 30, 2016 to refinance a portion of the short-term obligation on a long-term basis as demonstrated by the execution on July 13, 2016 of the Third Amendment (the “Third Amendment”) to the Credit Agreement (the “Credit Agreement”), dated as of July 31, 2012, as discussed further in Note 17. Subsequent Events.</w:t>
      </w:r>
    </w:p>
    <w:p>
      <w:pPr>
        <w:sectPr>
          <w:pgSz w:w="11900" w:h="16838" w:orient="portrait"/>
          <w:cols w:equalWidth="0" w:num="1">
            <w:col w:w="11420"/>
          </w:cols>
          <w:pgMar w:left="240" w:top="1098" w:right="239" w:bottom="1440" w:gutter="0" w:footer="0" w:header="0"/>
        </w:sect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1098" w:right="239" w:bottom="1440" w:gutter="0" w:footer="0" w:header="0"/>
          <w:type w:val="continuous"/>
        </w:sectPr>
      </w:pPr>
    </w:p>
    <w:bookmarkStart w:id="9" w:name="page10"/>
    <w:bookmarkEnd w:id="9"/>
    <w:p>
      <w:pPr>
        <w:ind w:left="420"/>
        <w:spacing w:after="0"/>
        <w:rPr>
          <w:sz w:val="20"/>
          <w:szCs w:val="20"/>
          <w:color w:val="auto"/>
        </w:rPr>
      </w:pPr>
      <w:r>
        <w:rPr>
          <w:rFonts w:ascii="Arial" w:cs="Arial" w:eastAsia="Arial" w:hAnsi="Arial"/>
          <w:sz w:val="17"/>
          <w:szCs w:val="17"/>
          <w:color w:val="auto"/>
        </w:rPr>
        <w:t>On May 7, 2014, Booz Allen Hamilton Inc. (“Booz Allen Hamilton”), Booz Allen Hamilton Investor Corporation (“Investor”) and certain wholly-</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owned subsidiaries of Booz Allen Hamilton entered into the Second Amendment (the “Second Amendment”) to the Credit Agreement (the “Credit</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Agreement”), dated as of July 31, 2012, among Booz Allen Hamilton, Investor, certain wholly-owned subsidiaries of Booz Allen Hamilton and Bank of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America, N.A., as Administrative Agent, Collateral Agent and Issuing Lender (as previously amended by the First Amendment to the Credit Agreement,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dated as of August 16, 2013). As of June 30, 2016, the Credit Agreement, as amended by the Second Amendment, provided Booz Allen Hamilton with 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$830.0 million Term Loan A facility, an $841.2 million Term Loan B facility, and a $500.0 million revolving credit facility, with a sublimit for letters of credit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$100.0 million. The outstanding obligations under the Credit Agreement, as amended, are secured by a security interest in substantially all of the assets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Company, subject to certain exceptions set forth in the Credit Agreement, as amended, and related documentation. The rates for Term Loan A and Term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Loan B, as amended, remain unchanged. The Second Amendment also extended the maturity date of Term Loan A and the revolving credit facility to May 31,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2019. The maturity date for Term Loan B remained unchanged at July 31, 2019. The Company also amended its existing debt covenants to provide for greater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operational and financial flexibility. As of June 30, 2016, the maturity date of the Term Loan A facility and the termination date of the revolving credit facility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was May 31, 2019 and the maturity date of the Term Loan B facility was July 31, 2019.</w:t>
      </w:r>
    </w:p>
    <w:p>
      <w:pPr>
        <w:spacing w:after="0" w:line="103" w:lineRule="exact"/>
        <w:rPr>
          <w:sz w:val="20"/>
          <w:szCs w:val="20"/>
          <w:color w:val="auto"/>
        </w:rPr>
      </w:pPr>
    </w:p>
    <w:p>
      <w:pPr>
        <w:ind w:right="260" w:firstLine="405"/>
        <w:spacing w:after="0" w:line="264" w:lineRule="auto"/>
        <w:rPr>
          <w:sz w:val="20"/>
          <w:szCs w:val="20"/>
          <w:color w:val="auto"/>
        </w:rPr>
      </w:pPr>
      <w:r>
        <w:rPr>
          <w:rFonts w:ascii="Arial" w:cs="Arial" w:eastAsia="Arial" w:hAnsi="Arial"/>
          <w:sz w:val="18"/>
          <w:szCs w:val="18"/>
          <w:color w:val="auto"/>
        </w:rPr>
        <w:t>Booz Allen Hamilton occasionally borrows under the revolving credit facility in anticipation of cash demands. During the first quarter of fiscal 2017, Booz Allen Hamilton accessed a total of $185.0 million of its $500.0 million revolving credit facility. As of June 30, 2016 and March 31, 2016, there was $60.0 million and $35.0 million, respectively, outstanding on the revolving credit facility.</w:t>
      </w:r>
    </w:p>
    <w:p>
      <w:pPr>
        <w:spacing w:after="0" w:line="73" w:lineRule="exact"/>
        <w:rPr>
          <w:sz w:val="20"/>
          <w:szCs w:val="20"/>
          <w:color w:val="auto"/>
        </w:rPr>
      </w:pPr>
    </w:p>
    <w:p>
      <w:pPr>
        <w:jc w:val="both"/>
        <w:ind w:right="120" w:firstLine="405"/>
        <w:spacing w:after="0" w:line="279" w:lineRule="auto"/>
        <w:rPr>
          <w:sz w:val="20"/>
          <w:szCs w:val="20"/>
          <w:color w:val="auto"/>
        </w:rPr>
      </w:pPr>
      <w:r>
        <w:rPr>
          <w:rFonts w:ascii="Arial" w:cs="Arial" w:eastAsia="Arial" w:hAnsi="Arial"/>
          <w:sz w:val="17"/>
          <w:szCs w:val="17"/>
          <w:color w:val="auto"/>
        </w:rPr>
        <w:t>The Credit Agreement, as amended by the Second Amendment, requires quarterly principal payments of 1.25% of the stated principal amount of Term Loan A, with annual incremental increases to 1.875%, 2.50%, 3.125%, and 13.0%, prior to maturity, and quarterly principal payments of 0.25% of the stated principal amount of Term Loan B. As a result of paying approximately $168.4 million of Term Loan B principal in connection with the Second Amendment, no additional principal payments were required until the remaining balance is due on Term Loan B's maturity.</w:t>
      </w:r>
    </w:p>
    <w:p>
      <w:pPr>
        <w:spacing w:after="0" w:line="171"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As of June 30, 2016, the Credit Agreement, as amended by the Second Amendment, provided that the interest rate on borrowings under Term Loan A is LIBOR plus a 2.50% spread, with a spread ranged from 2.00% to 2.75% based on Booz Allen Hamilton's total leverage ratio, and the interest rate on borrowings under Term Loan B is LIBOR plus a 3.0% spread with a 0.75% floor, with a spread ranges from 2.00% to 3.00% based upon either an ABR or LIBOR borrowing. The revolving credit facility margin was LIBOR plus a 2.50% spread, with a spread that ranged from 2.00% to 2.75%, and commitment fee was 0.375%, with a spread that ranged from 0.375% to 0.500%.</w:t>
      </w:r>
    </w:p>
    <w:p>
      <w:pPr>
        <w:spacing w:after="0" w:line="29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Interest on debt and debt-like instruments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20" w:type="dxa"/>
            <w:vAlign w:val="bottom"/>
          </w:tcPr>
          <w:p>
            <w:pPr>
              <w:spacing w:after="0"/>
              <w:rPr>
                <w:sz w:val="16"/>
                <w:szCs w:val="16"/>
                <w:color w:val="auto"/>
              </w:rPr>
            </w:pPr>
          </w:p>
        </w:tc>
        <w:tc>
          <w:tcPr>
            <w:tcW w:w="26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620" w:type="dxa"/>
            <w:vAlign w:val="bottom"/>
            <w:tcBorders>
              <w:bottom w:val="single" w:sz="8" w:color="auto"/>
            </w:tcBorders>
          </w:tcPr>
          <w:p>
            <w:pPr>
              <w:spacing w:after="0"/>
              <w:rPr>
                <w:sz w:val="16"/>
                <w:szCs w:val="16"/>
                <w:color w:val="auto"/>
              </w:rPr>
            </w:pPr>
          </w:p>
        </w:tc>
      </w:tr>
      <w:tr>
        <w:trPr>
          <w:trHeight w:val="264"/>
        </w:trPr>
        <w:tc>
          <w:tcPr>
            <w:tcW w:w="7620" w:type="dxa"/>
            <w:vAlign w:val="bottom"/>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6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620" w:type="dxa"/>
            <w:vAlign w:val="bottom"/>
            <w:tcBorders>
              <w:bottom w:val="single" w:sz="8" w:color="auto"/>
            </w:tcBorders>
          </w:tcPr>
          <w:p>
            <w:pPr>
              <w:spacing w:after="0"/>
              <w:rPr>
                <w:sz w:val="22"/>
                <w:szCs w:val="22"/>
                <w:color w:val="auto"/>
              </w:rPr>
            </w:pPr>
          </w:p>
        </w:tc>
      </w:tr>
      <w:tr>
        <w:trPr>
          <w:trHeight w:val="250"/>
        </w:trPr>
        <w:tc>
          <w:tcPr>
            <w:tcW w:w="76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60" w:type="dxa"/>
            <w:vAlign w:val="bottom"/>
            <w:gridSpan w:val="3"/>
          </w:tcPr>
          <w:p>
            <w:pPr>
              <w:jc w:val="right"/>
              <w:ind w:right="476"/>
              <w:spacing w:after="0"/>
              <w:rPr>
                <w:sz w:val="20"/>
                <w:szCs w:val="20"/>
                <w:color w:val="auto"/>
              </w:rPr>
            </w:pPr>
            <w:r>
              <w:rPr>
                <w:rFonts w:ascii="Arial" w:cs="Arial" w:eastAsia="Arial" w:hAnsi="Arial"/>
                <w:sz w:val="14"/>
                <w:szCs w:val="14"/>
                <w:b w:val="1"/>
                <w:bCs w:val="1"/>
                <w:color w:val="auto"/>
              </w:rPr>
              <w:t>(In thousands)</w:t>
            </w:r>
          </w:p>
        </w:tc>
        <w:tc>
          <w:tcPr>
            <w:tcW w:w="620" w:type="dxa"/>
            <w:vAlign w:val="bottom"/>
          </w:tcPr>
          <w:p>
            <w:pPr>
              <w:spacing w:after="0"/>
              <w:rPr>
                <w:sz w:val="21"/>
                <w:szCs w:val="21"/>
                <w:color w:val="auto"/>
              </w:rPr>
            </w:pPr>
          </w:p>
        </w:tc>
      </w:tr>
      <w:tr>
        <w:trPr>
          <w:trHeight w:val="256"/>
        </w:trPr>
        <w:tc>
          <w:tcPr>
            <w:tcW w:w="7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Term Loan A Interest Expense</w:t>
            </w:r>
          </w:p>
        </w:tc>
        <w:tc>
          <w:tcPr>
            <w:tcW w:w="98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5,506</w:t>
            </w: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5,418</w:t>
            </w:r>
          </w:p>
        </w:tc>
      </w:tr>
      <w:tr>
        <w:trPr>
          <w:trHeight w:val="243"/>
        </w:trPr>
        <w:tc>
          <w:tcPr>
            <w:tcW w:w="7620" w:type="dxa"/>
            <w:vAlign w:val="bottom"/>
          </w:tcPr>
          <w:p>
            <w:pPr>
              <w:ind w:left="40"/>
              <w:spacing w:after="0"/>
              <w:rPr>
                <w:sz w:val="20"/>
                <w:szCs w:val="20"/>
                <w:color w:val="auto"/>
              </w:rPr>
            </w:pPr>
            <w:r>
              <w:rPr>
                <w:rFonts w:ascii="Arial" w:cs="Arial" w:eastAsia="Arial" w:hAnsi="Arial"/>
                <w:sz w:val="18"/>
                <w:szCs w:val="18"/>
                <w:color w:val="auto"/>
              </w:rPr>
              <w:t>Term Loan B Interest Expense</w:t>
            </w:r>
          </w:p>
        </w:tc>
        <w:tc>
          <w:tcPr>
            <w:tcW w:w="980" w:type="dxa"/>
            <w:vAlign w:val="bottom"/>
          </w:tcPr>
          <w:p>
            <w:pPr>
              <w:spacing w:after="0"/>
              <w:rPr>
                <w:sz w:val="21"/>
                <w:szCs w:val="21"/>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7,974</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7,974</w:t>
            </w:r>
          </w:p>
        </w:tc>
      </w:tr>
      <w:tr>
        <w:trPr>
          <w:trHeight w:val="27"/>
        </w:trPr>
        <w:tc>
          <w:tcPr>
            <w:tcW w:w="7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on Revolving Credit Facility</w:t>
            </w:r>
          </w:p>
        </w:tc>
        <w:tc>
          <w:tcPr>
            <w:tcW w:w="9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230</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76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Deferred Payment Obligation Interest Payments </w:t>
            </w:r>
            <w:r>
              <w:rPr>
                <w:rFonts w:ascii="Arial" w:cs="Arial" w:eastAsia="Arial" w:hAnsi="Arial"/>
                <w:sz w:val="25"/>
                <w:szCs w:val="25"/>
                <w:color w:val="auto"/>
                <w:vertAlign w:val="superscript"/>
              </w:rPr>
              <w:t>1</w:t>
            </w:r>
          </w:p>
        </w:tc>
        <w:tc>
          <w:tcPr>
            <w:tcW w:w="980" w:type="dxa"/>
            <w:vAlign w:val="bottom"/>
          </w:tcPr>
          <w:p>
            <w:pPr>
              <w:spacing w:after="0"/>
              <w:rPr>
                <w:sz w:val="23"/>
                <w:szCs w:val="23"/>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2,000</w:t>
            </w: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2,011</w:t>
            </w:r>
          </w:p>
        </w:tc>
      </w:tr>
      <w:tr>
        <w:trPr>
          <w:trHeight w:val="270"/>
        </w:trPr>
        <w:tc>
          <w:tcPr>
            <w:tcW w:w="76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Amortization of Debt Issuance Costs (DIC) and Original Issue Discount (OID) </w:t>
            </w:r>
            <w:r>
              <w:rPr>
                <w:rFonts w:ascii="Arial" w:cs="Arial" w:eastAsia="Arial" w:hAnsi="Arial"/>
                <w:sz w:val="25"/>
                <w:szCs w:val="25"/>
                <w:color w:val="auto"/>
                <w:vertAlign w:val="superscript"/>
              </w:rPr>
              <w:t>2</w:t>
            </w:r>
          </w:p>
        </w:tc>
        <w:tc>
          <w:tcPr>
            <w:tcW w:w="98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2,083</w:t>
            </w: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2,072</w:t>
            </w:r>
          </w:p>
        </w:tc>
      </w:tr>
      <w:tr>
        <w:trPr>
          <w:trHeight w:val="243"/>
        </w:trPr>
        <w:tc>
          <w:tcPr>
            <w:tcW w:w="7620" w:type="dxa"/>
            <w:vAlign w:val="bottom"/>
          </w:tcPr>
          <w:p>
            <w:pPr>
              <w:ind w:left="40"/>
              <w:spacing w:after="0"/>
              <w:rPr>
                <w:sz w:val="20"/>
                <w:szCs w:val="20"/>
                <w:color w:val="auto"/>
              </w:rPr>
            </w:pPr>
            <w:r>
              <w:rPr>
                <w:rFonts w:ascii="Arial" w:cs="Arial" w:eastAsia="Arial" w:hAnsi="Arial"/>
                <w:sz w:val="18"/>
                <w:szCs w:val="18"/>
                <w:color w:val="auto"/>
              </w:rPr>
              <w:t>Other</w:t>
            </w:r>
          </w:p>
        </w:tc>
        <w:tc>
          <w:tcPr>
            <w:tcW w:w="980" w:type="dxa"/>
            <w:vAlign w:val="bottom"/>
          </w:tcPr>
          <w:p>
            <w:pPr>
              <w:spacing w:after="0"/>
              <w:rPr>
                <w:sz w:val="21"/>
                <w:szCs w:val="21"/>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15</w:t>
            </w:r>
          </w:p>
        </w:tc>
      </w:tr>
      <w:tr>
        <w:trPr>
          <w:trHeight w:val="27"/>
        </w:trPr>
        <w:tc>
          <w:tcPr>
            <w:tcW w:w="76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57"/>
        </w:trPr>
        <w:tc>
          <w:tcPr>
            <w:tcW w:w="7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Interest Expense</w:t>
            </w:r>
          </w:p>
        </w:tc>
        <w:tc>
          <w:tcPr>
            <w:tcW w:w="980" w:type="dxa"/>
            <w:vAlign w:val="bottom"/>
            <w:tcBorders>
              <w:bottom w:val="single" w:sz="8" w:color="auto"/>
            </w:tcBorders>
            <w:shd w:val="clear" w:color="auto" w:fill="CCEEFF"/>
          </w:tcPr>
          <w:p>
            <w:pPr>
              <w:jc w:val="right"/>
              <w:ind w:right="799"/>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4"/>
              </w:rPr>
              <w:t>17,828</w:t>
            </w: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0"/>
              </w:rPr>
              <w:t>17,490</w:t>
            </w:r>
          </w:p>
        </w:tc>
      </w:tr>
      <w:tr>
        <w:trPr>
          <w:trHeight w:val="20"/>
        </w:trPr>
        <w:tc>
          <w:tcPr>
            <w:tcW w:w="76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37" w:lineRule="exact"/>
        <w:rPr>
          <w:sz w:val="20"/>
          <w:szCs w:val="20"/>
          <w:color w:val="auto"/>
        </w:rPr>
      </w:pPr>
    </w:p>
    <w:p>
      <w:pPr>
        <w:ind w:left="120" w:hanging="112"/>
        <w:spacing w:after="0"/>
        <w:tabs>
          <w:tab w:leader="none" w:pos="120" w:val="left"/>
        </w:tabs>
        <w:numPr>
          <w:ilvl w:val="0"/>
          <w:numId w:val="7"/>
        </w:numPr>
        <w:rPr>
          <w:rFonts w:ascii="Arial" w:cs="Arial" w:eastAsia="Arial" w:hAnsi="Arial"/>
          <w:sz w:val="25"/>
          <w:szCs w:val="25"/>
          <w:color w:val="auto"/>
          <w:vertAlign w:val="superscript"/>
        </w:rPr>
      </w:pPr>
      <w:r>
        <w:rPr>
          <w:rFonts w:ascii="Arial" w:cs="Arial" w:eastAsia="Arial" w:hAnsi="Arial"/>
          <w:sz w:val="18"/>
          <w:szCs w:val="18"/>
          <w:color w:val="auto"/>
        </w:rPr>
        <w:t>Interest payments on the deferred payment obligation are made twice a year in January and July.</w:t>
      </w:r>
    </w:p>
    <w:p>
      <w:pPr>
        <w:spacing w:after="0" w:line="98" w:lineRule="exact"/>
        <w:rPr>
          <w:sz w:val="20"/>
          <w:szCs w:val="20"/>
          <w:color w:val="auto"/>
        </w:rPr>
      </w:pPr>
    </w:p>
    <w:p>
      <w:pPr>
        <w:ind w:right="120" w:firstLine="8"/>
        <w:spacing w:after="0" w:line="225" w:lineRule="auto"/>
        <w:tabs>
          <w:tab w:leader="none" w:pos="108" w:val="left"/>
        </w:tabs>
        <w:numPr>
          <w:ilvl w:val="0"/>
          <w:numId w:val="8"/>
        </w:numPr>
        <w:rPr>
          <w:rFonts w:ascii="Arial" w:cs="Arial" w:eastAsia="Arial" w:hAnsi="Arial"/>
          <w:sz w:val="25"/>
          <w:szCs w:val="25"/>
          <w:color w:val="auto"/>
          <w:vertAlign w:val="superscript"/>
        </w:rPr>
      </w:pPr>
      <w:r>
        <w:rPr>
          <w:rFonts w:ascii="Arial" w:cs="Arial" w:eastAsia="Arial" w:hAnsi="Arial"/>
          <w:sz w:val="18"/>
          <w:szCs w:val="18"/>
          <w:color w:val="auto"/>
        </w:rPr>
        <w:t>DIC and OID on the Company's term loans are recorded as a reduction of long term debt in the consolidated balance sheet and are amortized ratably over the life of the related debt using the effective rate method. DIC on the Company's revolving line of credit is recorded as a long term asset on the consolidated balance sheet and amortized ratably over the term of the revolving credit facility.</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INCOME TAXES</w:t>
      </w:r>
    </w:p>
    <w:p>
      <w:pPr>
        <w:spacing w:after="0" w:line="121" w:lineRule="exact"/>
        <w:rPr>
          <w:sz w:val="20"/>
          <w:szCs w:val="20"/>
          <w:color w:val="auto"/>
        </w:rPr>
      </w:pPr>
    </w:p>
    <w:p>
      <w:pPr>
        <w:ind w:right="120" w:firstLine="405"/>
        <w:spacing w:after="0" w:line="264" w:lineRule="auto"/>
        <w:rPr>
          <w:sz w:val="20"/>
          <w:szCs w:val="20"/>
          <w:color w:val="auto"/>
        </w:rPr>
      </w:pPr>
      <w:r>
        <w:rPr>
          <w:rFonts w:ascii="Arial" w:cs="Arial" w:eastAsia="Arial" w:hAnsi="Arial"/>
          <w:sz w:val="18"/>
          <w:szCs w:val="18"/>
          <w:color w:val="auto"/>
        </w:rPr>
        <w:t>The Company’s effective income tax rate was 40.2% and 40.8% for the three months ended June 30, 2016 and 2015, respectively. The decrease in the effective tax rate for the three months ended June 30, 2016 as compared to the same period last fiscal year is primarily due to the reinstatement of the federal research and development tax credit and the work opportunity</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881" w:right="239" w:bottom="1440" w:gutter="0" w:footer="0" w:header="0"/>
        </w:sectPr>
      </w:pPr>
    </w:p>
    <w:bookmarkStart w:id="10" w:name="page11"/>
    <w:bookmarkEnd w:id="10"/>
    <w:p>
      <w:pPr>
        <w:ind w:right="340"/>
        <w:spacing w:after="0" w:line="277" w:lineRule="auto"/>
        <w:rPr>
          <w:sz w:val="20"/>
          <w:szCs w:val="20"/>
          <w:color w:val="auto"/>
        </w:rPr>
      </w:pPr>
      <w:r>
        <w:rPr>
          <w:rFonts w:ascii="Arial" w:cs="Arial" w:eastAsia="Arial" w:hAnsi="Arial"/>
          <w:sz w:val="18"/>
          <w:szCs w:val="18"/>
          <w:color w:val="auto"/>
        </w:rPr>
        <w:t>tax credit. The three months effective tax rates of 40.2% and 40.8% differ from the statutory rate of 35.0% primarily due to the state income taxes and the effect of permanent rate differences, which primarily relate to meals and entertainment.</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OTHER LONG-TERM LIABILITIES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Other long-term liabilities consisted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260" w:type="dxa"/>
            <w:vAlign w:val="bottom"/>
          </w:tcPr>
          <w:p>
            <w:pPr>
              <w:spacing w:after="0"/>
              <w:rPr>
                <w:sz w:val="14"/>
                <w:szCs w:val="14"/>
                <w:color w:val="auto"/>
              </w:rPr>
            </w:pPr>
          </w:p>
        </w:tc>
        <w:tc>
          <w:tcPr>
            <w:tcW w:w="1220" w:type="dxa"/>
            <w:vAlign w:val="bottom"/>
          </w:tcPr>
          <w:p>
            <w:pPr>
              <w:jc w:val="right"/>
              <w:ind w:right="355"/>
              <w:spacing w:after="0"/>
              <w:rPr>
                <w:sz w:val="20"/>
                <w:szCs w:val="20"/>
                <w:color w:val="auto"/>
              </w:rPr>
            </w:pPr>
            <w:r>
              <w:rPr>
                <w:rFonts w:ascii="Arial" w:cs="Arial" w:eastAsia="Arial" w:hAnsi="Arial"/>
                <w:sz w:val="14"/>
                <w:szCs w:val="14"/>
                <w:b w:val="1"/>
                <w:bCs w:val="1"/>
                <w:color w:val="auto"/>
              </w:rPr>
              <w:t>March 31,</w:t>
            </w:r>
          </w:p>
        </w:tc>
      </w:tr>
      <w:tr>
        <w:trPr>
          <w:trHeight w:val="192"/>
        </w:trPr>
        <w:tc>
          <w:tcPr>
            <w:tcW w:w="83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2016</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reserve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1,649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1,517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Deferred rent</w:t>
            </w:r>
          </w:p>
        </w:tc>
        <w:tc>
          <w:tcPr>
            <w:tcW w:w="30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56,603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53,170</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Postretirement benefit obligations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120,300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118,554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3,951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4,081</w:t>
            </w:r>
          </w:p>
        </w:tc>
      </w:tr>
      <w:tr>
        <w:trPr>
          <w:trHeight w:val="27"/>
        </w:trPr>
        <w:tc>
          <w:tcPr>
            <w:tcW w:w="8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other long-term liabilities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182,503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177,322</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EMPLOYEE BENEFIT PLANS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Defined Contribution Plan</w:t>
      </w:r>
    </w:p>
    <w:p>
      <w:pPr>
        <w:spacing w:after="0" w:line="117" w:lineRule="exact"/>
        <w:rPr>
          <w:sz w:val="20"/>
          <w:szCs w:val="20"/>
          <w:color w:val="auto"/>
        </w:rPr>
      </w:pPr>
    </w:p>
    <w:p>
      <w:pPr>
        <w:ind w:right="180" w:firstLine="405"/>
        <w:spacing w:after="0" w:line="273" w:lineRule="auto"/>
        <w:rPr>
          <w:sz w:val="20"/>
          <w:szCs w:val="20"/>
          <w:color w:val="auto"/>
        </w:rPr>
      </w:pPr>
      <w:r>
        <w:rPr>
          <w:rFonts w:ascii="Arial" w:cs="Arial" w:eastAsia="Arial" w:hAnsi="Arial"/>
          <w:sz w:val="17"/>
          <w:szCs w:val="17"/>
          <w:color w:val="auto"/>
        </w:rPr>
        <w:t>The Company sponsors the Employees’ Capital Accumulation Plan, or ECAP, which is a qualified defined contribution plan that covers eligible U.S. and international employees. ECAP provides for distributions, subject to certain vesting provisions, to participants by reason of retirement, death, disability, or termination of employment. Effective April 1, 2014 the Company transitioned from a discretionary employer contribution to an annual matching contribution of up to 6% of eligible annual income as determined by the Internal Revenue Code for the ECAP. Total expense recognized under ECAP was $28.8 million and $28.3 million for the three months ended June 30, 2016 and 2015, respectively. The Company-paid contributions were $15.3 million and $16.2 million for the three months ended June 30, 2016 and 2015, respectively.</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Defined Benefit Plan and Other Postretirement Benefit Plans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Company maintains and administers a postretirement medical plan and a defined benefit retirement plan for current, retired, and resigned officers.</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net postretirement medical expense for the Officer Medical Plan were as follows:</w:t>
      </w:r>
    </w:p>
    <w:p>
      <w:pPr>
        <w:spacing w:after="0" w:line="271"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551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2015</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940" w:type="dxa"/>
            <w:vAlign w:val="bottom"/>
            <w:tcBorders>
              <w:bottom w:val="single" w:sz="8" w:color="CCEEFF"/>
            </w:tcBorders>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1,213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1,426</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94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1,196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1,126</w:t>
            </w: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actuarial loss</w:t>
            </w:r>
          </w:p>
        </w:tc>
        <w:tc>
          <w:tcPr>
            <w:tcW w:w="9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884</w:t>
            </w: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Total postretirement medical expense</w:t>
            </w:r>
          </w:p>
        </w:tc>
        <w:tc>
          <w:tcPr>
            <w:tcW w:w="940" w:type="dxa"/>
            <w:vAlign w:val="bottom"/>
            <w:tcBorders>
              <w:top w:val="single" w:sz="8" w:color="auto"/>
            </w:tcBorders>
          </w:tcPr>
          <w:p>
            <w:pPr>
              <w:jc w:val="right"/>
              <w:ind w:right="736"/>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7"/>
              </w:rPr>
              <w:t>3,171</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3,436</w:t>
            </w:r>
          </w:p>
        </w:tc>
      </w:tr>
      <w:tr>
        <w:trPr>
          <w:trHeight w:val="27"/>
        </w:trPr>
        <w:tc>
          <w:tcPr>
            <w:tcW w:w="83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As of June 30, 2016 and March 31, 2016, the unfunded status of the post-retirement medical plan was $115.6 million and $114.0 million, respectively, which is included in other long-term liabilities in the accompanying condensed consolidated balance sheets.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881"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11. ACCUMULATED OTHER COMPREHENSIVE LOSS</w:t>
      </w:r>
    </w:p>
    <w:p>
      <w:pPr>
        <w:spacing w:after="0" w:line="121" w:lineRule="exact"/>
        <w:rPr>
          <w:sz w:val="20"/>
          <w:szCs w:val="20"/>
          <w:color w:val="auto"/>
        </w:rPr>
      </w:pPr>
    </w:p>
    <w:p>
      <w:pPr>
        <w:ind w:right="320" w:firstLine="405"/>
        <w:spacing w:after="0" w:line="277" w:lineRule="auto"/>
        <w:rPr>
          <w:sz w:val="20"/>
          <w:szCs w:val="20"/>
          <w:color w:val="auto"/>
        </w:rPr>
      </w:pPr>
      <w:r>
        <w:rPr>
          <w:rFonts w:ascii="Arial" w:cs="Arial" w:eastAsia="Arial" w:hAnsi="Arial"/>
          <w:sz w:val="18"/>
          <w:szCs w:val="18"/>
          <w:color w:val="auto"/>
        </w:rPr>
        <w:t>All amounts recorded in other comprehensive loss are related to the Company's post-retirement plan. The following table represents a rollforward of amounts recognized in accumulated other comprehensive loss, net of tax:</w:t>
      </w:r>
    </w:p>
    <w:p>
      <w:pPr>
        <w:spacing w:after="0" w:line="216"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551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2015</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of period</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(19,613)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(22,159)</w:t>
            </w:r>
          </w:p>
        </w:tc>
      </w:tr>
      <w:tr>
        <w:trPr>
          <w:trHeight w:val="243"/>
        </w:trPr>
        <w:tc>
          <w:tcPr>
            <w:tcW w:w="8340" w:type="dxa"/>
            <w:vAlign w:val="bottom"/>
          </w:tcPr>
          <w:p>
            <w:pPr>
              <w:ind w:left="200"/>
              <w:spacing w:after="0"/>
              <w:rPr>
                <w:sz w:val="20"/>
                <w:szCs w:val="20"/>
                <w:color w:val="auto"/>
              </w:rPr>
            </w:pPr>
            <w:r>
              <w:rPr>
                <w:rFonts w:ascii="Arial" w:cs="Arial" w:eastAsia="Arial" w:hAnsi="Arial"/>
                <w:sz w:val="18"/>
                <w:szCs w:val="18"/>
                <w:color w:val="auto"/>
              </w:rPr>
              <w:t>Amounts reclassified from accumulated other comprehensive loss</w:t>
            </w:r>
          </w:p>
        </w:tc>
        <w:tc>
          <w:tcPr>
            <w:tcW w:w="36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457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524</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current-period other comprehensive loss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524</w:t>
            </w: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color w:val="auto"/>
              </w:rPr>
              <w:t>End of period</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(19,156)</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(21,635)</w:t>
            </w: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the reclassifications out of accumulated other comprehensive loss to net income:</w:t>
      </w:r>
    </w:p>
    <w:p>
      <w:pPr>
        <w:spacing w:after="0" w:line="271"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5516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2015</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Amortization of net actuarial loss included in net periodic benefit cost (See Note 10)</w:t>
            </w:r>
          </w:p>
        </w:tc>
        <w:tc>
          <w:tcPr>
            <w:tcW w:w="9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before tax</w:t>
            </w:r>
          </w:p>
        </w:tc>
        <w:tc>
          <w:tcPr>
            <w:tcW w:w="980" w:type="dxa"/>
            <w:vAlign w:val="bottom"/>
            <w:tcBorders>
              <w:bottom w:val="single" w:sz="8" w:color="CCEEFF"/>
            </w:tcBorders>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884</w:t>
            </w: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Tax benefit</w:t>
            </w:r>
          </w:p>
        </w:tc>
        <w:tc>
          <w:tcPr>
            <w:tcW w:w="9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(305)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(360)</w:t>
            </w:r>
          </w:p>
        </w:tc>
      </w:tr>
      <w:tr>
        <w:trPr>
          <w:trHeight w:val="27"/>
        </w:trPr>
        <w:tc>
          <w:tcPr>
            <w:tcW w:w="83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of tax</w:t>
            </w:r>
          </w:p>
        </w:tc>
        <w:tc>
          <w:tcPr>
            <w:tcW w:w="980" w:type="dxa"/>
            <w:vAlign w:val="bottom"/>
            <w:tcBorders>
              <w:bottom w:val="single" w:sz="8" w:color="auto"/>
            </w:tcBorders>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457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524</w:t>
            </w:r>
          </w:p>
        </w:tc>
      </w:tr>
      <w:tr>
        <w:trPr>
          <w:trHeight w:val="20"/>
        </w:trPr>
        <w:tc>
          <w:tcPr>
            <w:tcW w:w="83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340" w:right="8820" w:hanging="332"/>
        <w:spacing w:after="0" w:line="378" w:lineRule="auto"/>
        <w:tabs>
          <w:tab w:leader="none" w:pos="286"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STOCKHOLDERS’ EQUITY </w:t>
      </w:r>
      <w:r>
        <w:rPr>
          <w:rFonts w:ascii="Arial" w:cs="Arial" w:eastAsia="Arial" w:hAnsi="Arial"/>
          <w:sz w:val="18"/>
          <w:szCs w:val="18"/>
          <w:b w:val="1"/>
          <w:bCs w:val="1"/>
          <w:i w:val="1"/>
          <w:iCs w:val="1"/>
          <w:color w:val="auto"/>
        </w:rPr>
        <w:t>Common Stock</w:t>
      </w:r>
    </w:p>
    <w:p>
      <w:pPr>
        <w:ind w:left="420"/>
        <w:spacing w:after="0"/>
        <w:rPr>
          <w:rFonts w:ascii="Arial" w:cs="Arial" w:eastAsia="Arial" w:hAnsi="Arial"/>
          <w:sz w:val="18"/>
          <w:szCs w:val="18"/>
          <w:b w:val="1"/>
          <w:bCs w:val="1"/>
          <w:color w:val="auto"/>
        </w:rPr>
      </w:pPr>
      <w:r>
        <w:rPr>
          <w:rFonts w:ascii="Arial" w:cs="Arial" w:eastAsia="Arial" w:hAnsi="Arial"/>
          <w:sz w:val="18"/>
          <w:szCs w:val="18"/>
          <w:color w:val="auto"/>
        </w:rPr>
        <w:t>The common stock shares activity consisted of the following:</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16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Class A</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Class E</w:t>
            </w:r>
          </w:p>
        </w:tc>
        <w:tc>
          <w:tcPr>
            <w:tcW w:w="148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Treasury</w:t>
            </w:r>
          </w:p>
        </w:tc>
        <w:tc>
          <w:tcPr>
            <w:tcW w:w="0" w:type="dxa"/>
            <w:vAlign w:val="bottom"/>
          </w:tcPr>
          <w:p>
            <w:pPr>
              <w:spacing w:after="0"/>
              <w:rPr>
                <w:sz w:val="1"/>
                <w:szCs w:val="1"/>
                <w:color w:val="auto"/>
              </w:rPr>
            </w:pPr>
          </w:p>
        </w:tc>
      </w:tr>
      <w:tr>
        <w:trPr>
          <w:trHeight w:val="149"/>
        </w:trPr>
        <w:tc>
          <w:tcPr>
            <w:tcW w:w="674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Special Voting</w:t>
            </w:r>
          </w:p>
        </w:tc>
        <w:tc>
          <w:tcPr>
            <w:tcW w:w="14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6740" w:type="dxa"/>
            <w:vAlign w:val="bottom"/>
          </w:tcPr>
          <w:p>
            <w:pPr>
              <w:spacing w:after="0"/>
              <w:rPr>
                <w:sz w:val="16"/>
                <w:szCs w:val="16"/>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Common Stock</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Common Stock</w:t>
            </w:r>
          </w:p>
        </w:tc>
        <w:tc>
          <w:tcPr>
            <w:tcW w:w="1480" w:type="dxa"/>
            <w:vAlign w:val="bottom"/>
          </w:tcPr>
          <w:p>
            <w:pPr>
              <w:jc w:val="right"/>
              <w:ind w:right="473"/>
              <w:spacing w:after="0"/>
              <w:rPr>
                <w:sz w:val="20"/>
                <w:szCs w:val="20"/>
                <w:color w:val="auto"/>
              </w:rPr>
            </w:pPr>
            <w:r>
              <w:rPr>
                <w:rFonts w:ascii="Arial" w:cs="Arial" w:eastAsia="Arial" w:hAnsi="Arial"/>
                <w:sz w:val="14"/>
                <w:szCs w:val="14"/>
                <w:b w:val="1"/>
                <w:bCs w:val="1"/>
                <w:color w:val="auto"/>
              </w:rPr>
              <w:t>Stock</w:t>
            </w:r>
          </w:p>
        </w:tc>
        <w:tc>
          <w:tcPr>
            <w:tcW w:w="0" w:type="dxa"/>
            <w:vAlign w:val="bottom"/>
          </w:tcPr>
          <w:p>
            <w:pPr>
              <w:spacing w:after="0"/>
              <w:rPr>
                <w:sz w:val="1"/>
                <w:szCs w:val="1"/>
                <w:color w:val="auto"/>
              </w:rPr>
            </w:pPr>
          </w:p>
        </w:tc>
      </w:tr>
      <w:tr>
        <w:trPr>
          <w:trHeight w:val="250"/>
        </w:trPr>
        <w:tc>
          <w:tcPr>
            <w:tcW w:w="6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March 31, 2015</w:t>
            </w:r>
          </w:p>
        </w:tc>
        <w:tc>
          <w:tcPr>
            <w:tcW w:w="150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150,237,675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1,851,589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2,999,393</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Issuance of common stock</w:t>
            </w: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443,813</w:t>
            </w:r>
          </w:p>
        </w:tc>
        <w:tc>
          <w:tcPr>
            <w:tcW w:w="12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 options exercised (1)</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2,709,570</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(1,851,589)</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Repurchase of common stock (2)</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2,399,203</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March 31, 2016</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153,391,058</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5,398,596</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Issuance of common stock</w:t>
            </w: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342,113</w:t>
            </w:r>
          </w:p>
        </w:tc>
        <w:tc>
          <w:tcPr>
            <w:tcW w:w="12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 options exercised</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232,072</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Repurchase of common stock (3)</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154,041</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June 30, 2016</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153,965,243</w:t>
            </w: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5,552,637</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660" w:right="720" w:hanging="652"/>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On September 30, 2015, the Company purchased, at par value, all issued and outstanding shares of Class E special voting common stock in connection with the exercise of the final tranche of rollover options during the second quarter of fiscal 2016.</w:t>
      </w:r>
    </w:p>
    <w:p>
      <w:pPr>
        <w:spacing w:after="0" w:line="62" w:lineRule="exact"/>
        <w:rPr>
          <w:rFonts w:ascii="Arial" w:cs="Arial" w:eastAsia="Arial" w:hAnsi="Arial"/>
          <w:sz w:val="18"/>
          <w:szCs w:val="18"/>
          <w:color w:val="auto"/>
        </w:rPr>
      </w:pPr>
    </w:p>
    <w:p>
      <w:pPr>
        <w:ind w:left="660" w:right="100" w:hanging="652"/>
        <w:spacing w:after="0" w:line="302"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During fiscal 2016, the Company purchased 2.1 million shares of the Company’s Class A Common Stock in a series of open market transactions for $54.9 million. Additionally, the Company repurchased shares on June 30, 2015 and March 31, 2016 to cover the minimum statutory withholding taxes on restricted stock awards and restricted stock units that vested on June 30, 2015 and March 31, 2016, respectively. The Company also repurchased shares to cover the minimum statutory withholding taxes on accelerated restricted stock vesting for departing officers.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877" w:right="239" w:bottom="1440" w:gutter="0" w:footer="0" w:header="0"/>
        </w:sectPr>
      </w:pPr>
    </w:p>
    <w:bookmarkStart w:id="12" w:name="page13"/>
    <w:bookmarkEnd w:id="12"/>
    <w:p>
      <w:pPr>
        <w:jc w:val="both"/>
        <w:ind w:left="660" w:right="120" w:hanging="652"/>
        <w:spacing w:after="0" w:line="26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During fiscal 2017, the Company repurchased shares on June 30, 2016 to cover the minimum statutory withholding taxes on restricted stock awards and restricted stock units that vested on June 30, 2016. The Company also repurchased shares to cover the minimum statutory withholding taxes on accelerated restricted stock vesting for departing officers.</w:t>
      </w:r>
    </w:p>
    <w:p>
      <w:pPr>
        <w:spacing w:after="0" w:line="73" w:lineRule="exact"/>
        <w:rPr>
          <w:sz w:val="20"/>
          <w:szCs w:val="20"/>
          <w:color w:val="auto"/>
        </w:rPr>
      </w:pPr>
    </w:p>
    <w:p>
      <w:pPr>
        <w:ind w:right="800" w:firstLine="405"/>
        <w:spacing w:after="0" w:line="342" w:lineRule="auto"/>
        <w:rPr>
          <w:sz w:val="20"/>
          <w:szCs w:val="20"/>
          <w:color w:val="auto"/>
        </w:rPr>
      </w:pPr>
      <w:r>
        <w:rPr>
          <w:rFonts w:ascii="Arial" w:cs="Arial" w:eastAsia="Arial" w:hAnsi="Arial"/>
          <w:sz w:val="16"/>
          <w:szCs w:val="16"/>
          <w:color w:val="auto"/>
        </w:rPr>
        <w:t>For the quarterly offering period that closed on June 30, 2016, 55,832 Class A Common Stock shares were purchased by employees under the Company's Employee Stock Purchase Plan, or ESPP. Since the program's inception, 1,789,181 shares have been purchased by employees.</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STOCK-BASED COMPENSATION</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stock-based compensation expense recognized in the condensed consolidated statements of operations:</w:t>
      </w:r>
    </w:p>
    <w:p>
      <w:pPr>
        <w:spacing w:after="0" w:line="271" w:lineRule="exact"/>
        <w:rPr>
          <w:sz w:val="20"/>
          <w:szCs w:val="20"/>
          <w:color w:val="auto"/>
        </w:rPr>
      </w:pPr>
    </w:p>
    <w:p>
      <w:pPr>
        <w:jc w:val="center"/>
        <w:ind w:left="53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536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4370070</wp:posOffset>
            </wp:positionH>
            <wp:positionV relativeFrom="paragraph">
              <wp:posOffset>13335</wp:posOffset>
            </wp:positionV>
            <wp:extent cx="190373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87" w:lineRule="exact"/>
        <w:rPr>
          <w:sz w:val="20"/>
          <w:szCs w:val="20"/>
          <w:color w:val="auto"/>
        </w:rPr>
      </w:pPr>
    </w:p>
    <w:tbl>
      <w:tblPr>
        <w:tblLayout w:type="fixed"/>
        <w:tblInd w:w="1540" w:type="dxa"/>
        <w:tblCellMar>
          <w:top w:w="0" w:type="dxa"/>
          <w:left w:w="0" w:type="dxa"/>
          <w:bottom w:w="0" w:type="dxa"/>
          <w:right w:w="0" w:type="dxa"/>
        </w:tblCellMar>
      </w:tblPr>
      <w:tr>
        <w:trPr>
          <w:trHeight w:val="192"/>
        </w:trPr>
        <w:tc>
          <w:tcPr>
            <w:tcW w:w="534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2015</w:t>
            </w:r>
          </w:p>
        </w:tc>
      </w:tr>
      <w:tr>
        <w:trPr>
          <w:trHeight w:val="250"/>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1,508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1,145</w:t>
            </w:r>
          </w:p>
        </w:tc>
      </w:tr>
      <w:tr>
        <w:trPr>
          <w:trHeight w:val="243"/>
        </w:trPr>
        <w:tc>
          <w:tcPr>
            <w:tcW w:w="5340" w:type="dxa"/>
            <w:vAlign w:val="bottom"/>
          </w:tcPr>
          <w:p>
            <w:pPr>
              <w:ind w:left="40"/>
              <w:spacing w:after="0"/>
              <w:rPr>
                <w:sz w:val="20"/>
                <w:szCs w:val="20"/>
                <w:color w:val="auto"/>
              </w:rPr>
            </w:pPr>
            <w:r>
              <w:rPr>
                <w:rFonts w:ascii="Arial" w:cs="Arial" w:eastAsia="Arial" w:hAnsi="Arial"/>
                <w:sz w:val="18"/>
                <w:szCs w:val="18"/>
                <w:color w:val="auto"/>
              </w:rPr>
              <w:t>General and administrative expenses</w:t>
            </w:r>
          </w:p>
        </w:tc>
        <w:tc>
          <w:tcPr>
            <w:tcW w:w="9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4,381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5,120</w:t>
            </w:r>
          </w:p>
        </w:tc>
      </w:tr>
      <w:tr>
        <w:trPr>
          <w:trHeight w:val="27"/>
        </w:trPr>
        <w:tc>
          <w:tcPr>
            <w:tcW w:w="53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5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5,889</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6,265</w:t>
            </w: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ind w:left="260" w:right="280"/>
        <w:spacing w:after="0" w:line="277" w:lineRule="auto"/>
        <w:rPr>
          <w:sz w:val="20"/>
          <w:szCs w:val="20"/>
          <w:color w:val="auto"/>
        </w:rPr>
      </w:pPr>
      <w:r>
        <w:rPr>
          <w:rFonts w:ascii="Arial" w:cs="Arial" w:eastAsia="Arial" w:hAnsi="Arial"/>
          <w:sz w:val="18"/>
          <w:szCs w:val="18"/>
          <w:color w:val="auto"/>
        </w:rPr>
        <w:t>The following table summarizes the total stock-based compensation expense recognized in the condensed consolidated statements of operations by the following types of equity awards:</w:t>
      </w:r>
    </w:p>
    <w:p>
      <w:pPr>
        <w:spacing w:after="0" w:line="108" w:lineRule="exact"/>
        <w:rPr>
          <w:sz w:val="20"/>
          <w:szCs w:val="20"/>
          <w:color w:val="auto"/>
        </w:rPr>
      </w:pPr>
    </w:p>
    <w:p>
      <w:pPr>
        <w:jc w:val="center"/>
        <w:ind w:left="550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550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4370070</wp:posOffset>
            </wp:positionH>
            <wp:positionV relativeFrom="paragraph">
              <wp:posOffset>13335</wp:posOffset>
            </wp:positionV>
            <wp:extent cx="190373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87" w:lineRule="exact"/>
        <w:rPr>
          <w:sz w:val="20"/>
          <w:szCs w:val="20"/>
          <w:color w:val="auto"/>
        </w:rPr>
      </w:pPr>
    </w:p>
    <w:tbl>
      <w:tblPr>
        <w:tblLayout w:type="fixed"/>
        <w:tblInd w:w="1540" w:type="dxa"/>
        <w:tblCellMar>
          <w:top w:w="0" w:type="dxa"/>
          <w:left w:w="0" w:type="dxa"/>
          <w:bottom w:w="0" w:type="dxa"/>
          <w:right w:w="0" w:type="dxa"/>
        </w:tblCellMar>
      </w:tblPr>
      <w:tr>
        <w:trPr>
          <w:trHeight w:val="192"/>
        </w:trPr>
        <w:tc>
          <w:tcPr>
            <w:tcW w:w="534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2015</w:t>
            </w:r>
          </w:p>
        </w:tc>
      </w:tr>
      <w:tr>
        <w:trPr>
          <w:trHeight w:val="250"/>
        </w:trPr>
        <w:tc>
          <w:tcPr>
            <w:tcW w:w="5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Equity Incentive Plan Options</w:t>
            </w:r>
          </w:p>
        </w:tc>
        <w:tc>
          <w:tcPr>
            <w:tcW w:w="940" w:type="dxa"/>
            <w:vAlign w:val="bottom"/>
            <w:tcBorders>
              <w:bottom w:val="single" w:sz="8" w:color="CCEEFF"/>
            </w:tcBorders>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1,258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1,057</w:t>
            </w:r>
          </w:p>
        </w:tc>
      </w:tr>
      <w:tr>
        <w:trPr>
          <w:trHeight w:val="243"/>
        </w:trPr>
        <w:tc>
          <w:tcPr>
            <w:tcW w:w="5340" w:type="dxa"/>
            <w:vAlign w:val="bottom"/>
          </w:tcPr>
          <w:p>
            <w:pPr>
              <w:ind w:left="160"/>
              <w:spacing w:after="0"/>
              <w:rPr>
                <w:sz w:val="20"/>
                <w:szCs w:val="20"/>
                <w:color w:val="auto"/>
              </w:rPr>
            </w:pPr>
            <w:r>
              <w:rPr>
                <w:rFonts w:ascii="Arial" w:cs="Arial" w:eastAsia="Arial" w:hAnsi="Arial"/>
                <w:sz w:val="18"/>
                <w:szCs w:val="18"/>
                <w:color w:val="auto"/>
              </w:rPr>
              <w:t>Class A Restricted Common Stock</w:t>
            </w:r>
          </w:p>
        </w:tc>
        <w:tc>
          <w:tcPr>
            <w:tcW w:w="9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8"/>
              </w:rPr>
              <w:t>4,631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5,208</w:t>
            </w:r>
          </w:p>
        </w:tc>
      </w:tr>
      <w:tr>
        <w:trPr>
          <w:trHeight w:val="27"/>
        </w:trPr>
        <w:tc>
          <w:tcPr>
            <w:tcW w:w="53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5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w:t>
            </w:r>
          </w:p>
        </w:tc>
        <w:tc>
          <w:tcPr>
            <w:tcW w:w="940" w:type="dxa"/>
            <w:vAlign w:val="bottom"/>
            <w:tcBorders>
              <w:bottom w:val="single" w:sz="8" w:color="CCEEFF"/>
            </w:tcBorders>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5,889</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6,265</w:t>
            </w: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240" w:firstLine="405"/>
        <w:spacing w:after="0" w:line="259" w:lineRule="auto"/>
        <w:rPr>
          <w:sz w:val="20"/>
          <w:szCs w:val="20"/>
          <w:color w:val="auto"/>
        </w:rPr>
      </w:pPr>
      <w:r>
        <w:rPr>
          <w:rFonts w:ascii="Arial" w:cs="Arial" w:eastAsia="Arial" w:hAnsi="Arial"/>
          <w:sz w:val="18"/>
          <w:szCs w:val="18"/>
          <w:color w:val="auto"/>
        </w:rPr>
        <w:t>As of June 30, 2016, there was $15.3 million of total unrecognized compensation cost related to unvested stock-based compensation agreements. The unrecognized compensation cost as of June 30, 2016 is expected to be fully amortized over the next 4.75 years. Absent the effect of accelerating stock compensation cost for any departures of employees who may continue to vest in their equity awards, the following table summarizes the unrecognized compensation cost and the weighted average period the cost is expected to be amortized.</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800" w:type="dxa"/>
            <w:vAlign w:val="bottom"/>
            <w:tcBorders>
              <w:bottom w:val="single" w:sz="8" w:color="auto"/>
            </w:tcBorders>
            <w:gridSpan w:val="3"/>
          </w:tcPr>
          <w:p>
            <w:pPr>
              <w:ind w:left="1400"/>
              <w:spacing w:after="0"/>
              <w:rPr>
                <w:sz w:val="20"/>
                <w:szCs w:val="20"/>
                <w:color w:val="auto"/>
              </w:rPr>
            </w:pPr>
            <w:r>
              <w:rPr>
                <w:rFonts w:ascii="Arial" w:cs="Arial" w:eastAsia="Arial" w:hAnsi="Arial"/>
                <w:sz w:val="14"/>
                <w:szCs w:val="14"/>
                <w:b w:val="1"/>
                <w:bCs w:val="1"/>
                <w:color w:val="auto"/>
              </w:rPr>
              <w:t>June 30, 2016</w:t>
            </w:r>
          </w:p>
        </w:tc>
      </w:tr>
      <w:tr>
        <w:trPr>
          <w:trHeight w:val="152"/>
        </w:trPr>
        <w:tc>
          <w:tcPr>
            <w:tcW w:w="7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40" w:type="dxa"/>
            <w:vAlign w:val="bottom"/>
          </w:tcPr>
          <w:p>
            <w:pPr>
              <w:jc w:val="right"/>
              <w:ind w:right="359"/>
              <w:spacing w:after="0" w:line="153" w:lineRule="exact"/>
              <w:rPr>
                <w:sz w:val="20"/>
                <w:szCs w:val="20"/>
                <w:color w:val="auto"/>
              </w:rPr>
            </w:pPr>
            <w:r>
              <w:rPr>
                <w:rFonts w:ascii="Arial" w:cs="Arial" w:eastAsia="Arial" w:hAnsi="Arial"/>
                <w:sz w:val="14"/>
                <w:szCs w:val="14"/>
                <w:b w:val="1"/>
                <w:bCs w:val="1"/>
                <w:color w:val="auto"/>
              </w:rPr>
              <w:t>Unrecognized</w:t>
            </w:r>
          </w:p>
        </w:tc>
        <w:tc>
          <w:tcPr>
            <w:tcW w:w="100" w:type="dxa"/>
            <w:vAlign w:val="bottom"/>
          </w:tcPr>
          <w:p>
            <w:pPr>
              <w:spacing w:after="0"/>
              <w:rPr>
                <w:sz w:val="13"/>
                <w:szCs w:val="13"/>
                <w:color w:val="auto"/>
              </w:rPr>
            </w:pPr>
          </w:p>
        </w:tc>
        <w:tc>
          <w:tcPr>
            <w:tcW w:w="21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3"/>
              </w:rPr>
              <w:t>Weighted Average Remaining</w:t>
            </w:r>
          </w:p>
        </w:tc>
      </w:tr>
      <w:tr>
        <w:trPr>
          <w:trHeight w:val="192"/>
        </w:trPr>
        <w:tc>
          <w:tcPr>
            <w:tcW w:w="74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w w:val="95"/>
              </w:rPr>
              <w:t>Compensation Cost</w:t>
            </w:r>
          </w:p>
        </w:tc>
        <w:tc>
          <w:tcPr>
            <w:tcW w:w="100" w:type="dxa"/>
            <w:vAlign w:val="bottom"/>
            <w:tcBorders>
              <w:bottom w:val="single" w:sz="8" w:color="CCEEFF"/>
            </w:tcBorders>
          </w:tcPr>
          <w:p>
            <w:pPr>
              <w:spacing w:after="0"/>
              <w:rPr>
                <w:sz w:val="16"/>
                <w:szCs w:val="16"/>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Period to be Recognized (in years)</w:t>
            </w: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Incentive Plan Options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2,908</w:t>
            </w:r>
          </w:p>
        </w:tc>
        <w:tc>
          <w:tcPr>
            <w:tcW w:w="22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1"/>
              </w:rPr>
              <w:t>3.22</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Class A Restricted Common Stock</w:t>
            </w:r>
          </w:p>
        </w:tc>
        <w:tc>
          <w:tcPr>
            <w:tcW w:w="180" w:type="dxa"/>
            <w:vAlign w:val="bottom"/>
          </w:tcPr>
          <w:p>
            <w:pPr>
              <w:spacing w:after="0"/>
              <w:rPr>
                <w:sz w:val="21"/>
                <w:szCs w:val="21"/>
                <w:color w:val="auto"/>
              </w:rPr>
            </w:pPr>
          </w:p>
        </w:tc>
        <w:tc>
          <w:tcPr>
            <w:tcW w:w="1540" w:type="dxa"/>
            <w:vAlign w:val="bottom"/>
          </w:tcPr>
          <w:p>
            <w:pPr>
              <w:jc w:val="right"/>
              <w:ind w:right="39"/>
              <w:spacing w:after="0"/>
              <w:rPr>
                <w:sz w:val="20"/>
                <w:szCs w:val="20"/>
                <w:color w:val="auto"/>
              </w:rPr>
            </w:pPr>
            <w:r>
              <w:rPr>
                <w:rFonts w:ascii="Arial" w:cs="Arial" w:eastAsia="Arial" w:hAnsi="Arial"/>
                <w:sz w:val="18"/>
                <w:szCs w:val="18"/>
                <w:color w:val="auto"/>
              </w:rPr>
              <w:t>12,420</w:t>
            </w:r>
          </w:p>
        </w:tc>
        <w:tc>
          <w:tcPr>
            <w:tcW w:w="226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1.89</w:t>
            </w:r>
          </w:p>
        </w:tc>
      </w:tr>
      <w:tr>
        <w:trPr>
          <w:trHeight w:val="27"/>
        </w:trPr>
        <w:tc>
          <w:tcPr>
            <w:tcW w:w="7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r>
      <w:tr>
        <w:trPr>
          <w:trHeight w:val="269"/>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15,328</w:t>
            </w:r>
          </w:p>
        </w:tc>
        <w:tc>
          <w:tcPr>
            <w:tcW w:w="100" w:type="dxa"/>
            <w:vAlign w:val="bottom"/>
            <w:tcBorders>
              <w:bottom w:val="single" w:sz="8" w:color="CCEEFF"/>
            </w:tcBorders>
            <w:shd w:val="clear" w:color="auto" w:fill="CCEEFF"/>
          </w:tcPr>
          <w:p>
            <w:pPr>
              <w:spacing w:after="0"/>
              <w:rPr>
                <w:sz w:val="22"/>
                <w:szCs w:val="22"/>
                <w:color w:val="auto"/>
              </w:rPr>
            </w:pPr>
          </w:p>
        </w:tc>
        <w:tc>
          <w:tcPr>
            <w:tcW w:w="2160" w:type="dxa"/>
            <w:vAlign w:val="bottom"/>
            <w:tcBorders>
              <w:bottom w:val="single" w:sz="8" w:color="CCEEFF"/>
            </w:tcBorders>
            <w:shd w:val="clear" w:color="auto" w:fill="CCEEFF"/>
          </w:tcPr>
          <w:p>
            <w:pPr>
              <w:spacing w:after="0"/>
              <w:rPr>
                <w:sz w:val="22"/>
                <w:szCs w:val="22"/>
                <w:color w:val="auto"/>
              </w:rPr>
            </w:pP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r>
    </w:tbl>
    <w:p>
      <w:pPr>
        <w:spacing w:after="0" w:line="9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Equity Incentive Plan</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As of June 30, 2016, there were 5,524,814 EIP options outstanding, of which 1,001,045 were unvested.</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Grants of Class A Restricted Common Stock and Restricted Stock Units</w:t>
      </w:r>
    </w:p>
    <w:p>
      <w:pPr>
        <w:spacing w:after="0" w:line="117"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On April 1, 2016, the Board of Directors granted 32,714 Class A Restricted Stock Units to newly promoted partners and vice presidents. The aggregate value of this award was estimated at $1.0 million based on the stock price of $30.55 on the grant date.</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6"/>
          <w:szCs w:val="16"/>
          <w:color w:val="auto"/>
        </w:rPr>
        <w:t>On May 18, 2016, the Board of Directors granted 3,799 Class A Restricted Stock Units to a newly promoted partner and newly hired vice presidents.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aggregate value of this award was estimated at $0.1 million based on the stock price of $28.94 on the grant date.</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881" w:right="239" w:bottom="1440" w:gutter="0" w:footer="0" w:header="0"/>
        </w:sectPr>
      </w:pPr>
    </w:p>
    <w:bookmarkStart w:id="13" w:name="page14"/>
    <w:bookmarkEnd w:id="13"/>
    <w:p>
      <w:pPr>
        <w:ind w:right="240" w:firstLine="405"/>
        <w:spacing w:after="0" w:line="259" w:lineRule="auto"/>
        <w:rPr>
          <w:sz w:val="20"/>
          <w:szCs w:val="20"/>
          <w:color w:val="auto"/>
        </w:rPr>
      </w:pPr>
      <w:r>
        <w:rPr>
          <w:rFonts w:ascii="Arial" w:cs="Arial" w:eastAsia="Arial" w:hAnsi="Arial"/>
          <w:sz w:val="18"/>
          <w:szCs w:val="18"/>
          <w:color w:val="auto"/>
        </w:rPr>
        <w:t>As permitted under the terms of the EIP, the Compensation Committee, acting as Administrator of the EIP, authorized the withholding of taxes not to exceed the minimum statutory withholding amount, through the surrender of shares of Class A Common Stock issuable upon the vesting or accelerated vesting of Restricted Stock. For those holders who elected to participate, the Company repurchased a total of 154,041 shares and recorded them as treasury shares at a cost of $4.6 million million during the three months ended June 30, 2016.</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Special Dividends</w:t>
      </w:r>
    </w:p>
    <w:p>
      <w:pPr>
        <w:spacing w:after="0" w:line="117" w:lineRule="exact"/>
        <w:rPr>
          <w:sz w:val="20"/>
          <w:szCs w:val="20"/>
          <w:color w:val="auto"/>
        </w:rPr>
      </w:pPr>
    </w:p>
    <w:p>
      <w:pPr>
        <w:ind w:right="100" w:firstLine="405"/>
        <w:spacing w:after="0" w:line="255" w:lineRule="auto"/>
        <w:rPr>
          <w:sz w:val="20"/>
          <w:szCs w:val="20"/>
          <w:color w:val="auto"/>
        </w:rPr>
      </w:pPr>
      <w:r>
        <w:rPr>
          <w:rFonts w:ascii="Arial" w:cs="Arial" w:eastAsia="Arial" w:hAnsi="Arial"/>
          <w:sz w:val="18"/>
          <w:szCs w:val="18"/>
          <w:color w:val="auto"/>
        </w:rPr>
        <w:t>The Compensation Committee, acting as the Administrator of the EIP has discretion in how to effect the required adjustment to keep option holders whole in the event of a distribution of dividends that triggers certain anti-dilution clauses within the respective plans. In the event the Compensation Committee elects to grant option holders a cash payment equal to the amount of the special dividend, the Company accrues a stock-based compensation liability as the EIP options are scheduled to be vested. The obligation will be settled on the later of the date the dividend is paid or the vesting date of the EIP options. The stock-based compensation liability includes all special dividends declared for which eligible EIP option holders have not yet received a distribution.</w:t>
      </w:r>
    </w:p>
    <w:p>
      <w:pPr>
        <w:spacing w:after="0" w:line="301" w:lineRule="exact"/>
        <w:rPr>
          <w:sz w:val="20"/>
          <w:szCs w:val="20"/>
          <w:color w:val="auto"/>
        </w:rPr>
      </w:pPr>
    </w:p>
    <w:p>
      <w:pPr>
        <w:ind w:right="240" w:firstLine="405"/>
        <w:spacing w:after="0" w:line="257" w:lineRule="auto"/>
        <w:rPr>
          <w:sz w:val="20"/>
          <w:szCs w:val="20"/>
          <w:color w:val="auto"/>
        </w:rPr>
      </w:pPr>
      <w:r>
        <w:rPr>
          <w:rFonts w:ascii="Arial" w:cs="Arial" w:eastAsia="Arial" w:hAnsi="Arial"/>
          <w:sz w:val="18"/>
          <w:szCs w:val="18"/>
          <w:color w:val="auto"/>
        </w:rPr>
        <w:t>As of June 30, 2016 and March 31, 2016, the Company calculated a total recorded and unrecorded stock-based compensation liability of $1.5 million and $3.8 million, respectively, related to the special dividends paid in June 2012, November 2013, February and August 2014. As of June 30, 2016, $1.0 million was recorded as a current liability and included in accrued compensation and benefits within the condensed consolidated balance sheet while $0.5 million will be recorded as liability as the options vest over the next 2.75 years. As of March 31, 2016, $2.3 million was recorded as a current liability and $1.5 million represented the unrecorded liability.</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FAIR VALUE MEASUREMENTS</w:t>
      </w:r>
    </w:p>
    <w:p>
      <w:pPr>
        <w:spacing w:after="0" w:line="121"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The accounting standard for fair value measurements establishes a three-tier value hierarchy, which prioritizes the inputs used in measuring fair value as follows: observable inputs such as quoted prices in active markets (Level 1); inputs other than quoted prices in active markets that are observable either directly or indirectly (Level 2); and unobservable inputs in which there is little or no market data, which requires the Company to develop its own assumptions (Level 3).</w:t>
      </w:r>
    </w:p>
    <w:p>
      <w:pPr>
        <w:spacing w:after="0" w:line="79" w:lineRule="exact"/>
        <w:rPr>
          <w:sz w:val="20"/>
          <w:szCs w:val="20"/>
          <w:color w:val="auto"/>
        </w:rPr>
      </w:pPr>
    </w:p>
    <w:p>
      <w:pPr>
        <w:ind w:right="200" w:firstLine="405"/>
        <w:spacing w:after="0" w:line="277" w:lineRule="auto"/>
        <w:rPr>
          <w:sz w:val="20"/>
          <w:szCs w:val="20"/>
          <w:color w:val="auto"/>
        </w:rPr>
      </w:pPr>
      <w:r>
        <w:rPr>
          <w:rFonts w:ascii="Arial" w:cs="Arial" w:eastAsia="Arial" w:hAnsi="Arial"/>
          <w:sz w:val="18"/>
          <w:szCs w:val="18"/>
          <w:color w:val="auto"/>
        </w:rPr>
        <w:t>A financial instrument's level within the fair value hierarchy is based on the lowest level of input that is significant to the fair value measurement. The financial instruments measured at fair value in the accompanying consolidated balance sheets consist of the following:</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940" w:type="dxa"/>
            <w:vAlign w:val="bottom"/>
            <w:gridSpan w:val="9"/>
          </w:tcPr>
          <w:p>
            <w:pPr>
              <w:jc w:val="center"/>
              <w:ind w:right="50"/>
              <w:spacing w:after="0"/>
              <w:rPr>
                <w:sz w:val="20"/>
                <w:szCs w:val="20"/>
                <w:color w:val="auto"/>
              </w:rPr>
            </w:pPr>
            <w:r>
              <w:rPr>
                <w:rFonts w:ascii="Arial" w:cs="Arial" w:eastAsia="Arial" w:hAnsi="Arial"/>
                <w:sz w:val="18"/>
                <w:szCs w:val="18"/>
                <w:b w:val="1"/>
                <w:bCs w:val="1"/>
                <w:color w:val="auto"/>
                <w:w w:val="91"/>
              </w:rPr>
              <w:t>Recurring Fair Value Measurements</w:t>
            </w:r>
          </w:p>
        </w:tc>
        <w:tc>
          <w:tcPr>
            <w:tcW w:w="900" w:type="dxa"/>
            <w:vAlign w:val="bottom"/>
          </w:tcPr>
          <w:p>
            <w:pPr>
              <w:spacing w:after="0"/>
              <w:rPr>
                <w:sz w:val="18"/>
                <w:szCs w:val="18"/>
                <w:color w:val="auto"/>
              </w:rPr>
            </w:pPr>
          </w:p>
        </w:tc>
      </w:tr>
      <w:tr>
        <w:trPr>
          <w:trHeight w:val="234"/>
        </w:trPr>
        <w:tc>
          <w:tcPr>
            <w:tcW w:w="6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8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87"/>
              </w:rPr>
              <w:t>as of June 30, 2016</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65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Level 1</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rPr>
              <w:t>Level 2</w:t>
            </w: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rPr>
              <w:t>Level 3</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Total</w:t>
            </w:r>
          </w:p>
        </w:tc>
      </w:tr>
      <w:tr>
        <w:trPr>
          <w:trHeight w:val="237"/>
        </w:trPr>
        <w:tc>
          <w:tcPr>
            <w:tcW w:w="652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r>
      <w:tr>
        <w:trPr>
          <w:trHeight w:val="27"/>
        </w:trPr>
        <w:tc>
          <w:tcPr>
            <w:tcW w:w="6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42,150</w:t>
            </w:r>
          </w:p>
        </w:tc>
        <w:tc>
          <w:tcPr>
            <w:tcW w:w="4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42,150</w:t>
            </w: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Money market funds (1)</w:t>
            </w: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137,824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137,824</w:t>
            </w:r>
          </w:p>
        </w:tc>
      </w:tr>
      <w:tr>
        <w:trPr>
          <w:trHeight w:val="27"/>
        </w:trPr>
        <w:tc>
          <w:tcPr>
            <w:tcW w:w="65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cash and cash equivalents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42,150</w:t>
            </w:r>
          </w:p>
        </w:tc>
        <w:tc>
          <w:tcPr>
            <w:tcW w:w="4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137,824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179,974</w:t>
            </w:r>
          </w:p>
        </w:tc>
      </w:tr>
      <w:tr>
        <w:trPr>
          <w:trHeight w:val="237"/>
        </w:trPr>
        <w:tc>
          <w:tcPr>
            <w:tcW w:w="6520" w:type="dxa"/>
            <w:vAlign w:val="bottom"/>
          </w:tcPr>
          <w:p>
            <w:pPr>
              <w:ind w:left="40"/>
              <w:spacing w:after="0"/>
              <w:rPr>
                <w:sz w:val="20"/>
                <w:szCs w:val="20"/>
                <w:color w:val="auto"/>
              </w:rPr>
            </w:pPr>
            <w:r>
              <w:rPr>
                <w:rFonts w:ascii="Arial" w:cs="Arial" w:eastAsia="Arial" w:hAnsi="Arial"/>
                <w:sz w:val="18"/>
                <w:szCs w:val="18"/>
                <w:color w:val="auto"/>
              </w:rPr>
              <w:t>Liabilities:</w:t>
            </w:r>
          </w:p>
        </w:tc>
        <w:tc>
          <w:tcPr>
            <w:tcW w:w="2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6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Contingent earnout liability (2)</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750</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750</w:t>
            </w:r>
          </w:p>
        </w:tc>
      </w:tr>
      <w:tr>
        <w:trPr>
          <w:trHeight w:val="27"/>
        </w:trPr>
        <w:tc>
          <w:tcPr>
            <w:tcW w:w="65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bl>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940" w:type="dxa"/>
            <w:vAlign w:val="bottom"/>
            <w:gridSpan w:val="9"/>
          </w:tcPr>
          <w:p>
            <w:pPr>
              <w:jc w:val="center"/>
              <w:ind w:right="50"/>
              <w:spacing w:after="0"/>
              <w:rPr>
                <w:sz w:val="20"/>
                <w:szCs w:val="20"/>
                <w:color w:val="auto"/>
              </w:rPr>
            </w:pPr>
            <w:r>
              <w:rPr>
                <w:rFonts w:ascii="Arial" w:cs="Arial" w:eastAsia="Arial" w:hAnsi="Arial"/>
                <w:sz w:val="18"/>
                <w:szCs w:val="18"/>
                <w:b w:val="1"/>
                <w:bCs w:val="1"/>
                <w:color w:val="auto"/>
                <w:w w:val="91"/>
              </w:rPr>
              <w:t>Recurring Fair Value Measurements</w:t>
            </w:r>
          </w:p>
        </w:tc>
        <w:tc>
          <w:tcPr>
            <w:tcW w:w="900" w:type="dxa"/>
            <w:vAlign w:val="bottom"/>
          </w:tcPr>
          <w:p>
            <w:pPr>
              <w:spacing w:after="0"/>
              <w:rPr>
                <w:sz w:val="18"/>
                <w:szCs w:val="18"/>
                <w:color w:val="auto"/>
              </w:rPr>
            </w:pPr>
          </w:p>
        </w:tc>
      </w:tr>
      <w:tr>
        <w:trPr>
          <w:trHeight w:val="234"/>
        </w:trPr>
        <w:tc>
          <w:tcPr>
            <w:tcW w:w="6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8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91"/>
              </w:rPr>
              <w:t>as of March 31, 2016</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65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Level 1</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rPr>
              <w:t>Level 2</w:t>
            </w: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rPr>
              <w:t>Level 3</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Total</w:t>
            </w:r>
          </w:p>
        </w:tc>
      </w:tr>
      <w:tr>
        <w:trPr>
          <w:trHeight w:val="237"/>
        </w:trPr>
        <w:tc>
          <w:tcPr>
            <w:tcW w:w="652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r>
      <w:tr>
        <w:trPr>
          <w:trHeight w:val="27"/>
        </w:trPr>
        <w:tc>
          <w:tcPr>
            <w:tcW w:w="6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42,102</w:t>
            </w:r>
          </w:p>
        </w:tc>
        <w:tc>
          <w:tcPr>
            <w:tcW w:w="4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42,102</w:t>
            </w: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Money market funds (1)</w:t>
            </w: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145,427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145,427</w:t>
            </w:r>
          </w:p>
        </w:tc>
      </w:tr>
      <w:tr>
        <w:trPr>
          <w:trHeight w:val="27"/>
        </w:trPr>
        <w:tc>
          <w:tcPr>
            <w:tcW w:w="65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6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cash and cash equivalents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42,102</w:t>
            </w:r>
          </w:p>
        </w:tc>
        <w:tc>
          <w:tcPr>
            <w:tcW w:w="4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145,427</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187,529</w:t>
            </w:r>
          </w:p>
        </w:tc>
      </w:tr>
      <w:tr>
        <w:trPr>
          <w:trHeight w:val="27"/>
        </w:trPr>
        <w:tc>
          <w:tcPr>
            <w:tcW w:w="65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bl>
    <w:p>
      <w:pPr>
        <w:spacing w:after="0" w:line="107" w:lineRule="exact"/>
        <w:rPr>
          <w:sz w:val="20"/>
          <w:szCs w:val="20"/>
          <w:color w:val="auto"/>
        </w:rPr>
      </w:pPr>
    </w:p>
    <w:p>
      <w:pPr>
        <w:ind w:left="300" w:hanging="292"/>
        <w:spacing w:after="0"/>
        <w:tabs>
          <w:tab w:leader="none" w:pos="300" w:val="left"/>
        </w:tabs>
        <w:numPr>
          <w:ilvl w:val="0"/>
          <w:numId w:val="12"/>
        </w:numPr>
        <w:rPr>
          <w:rFonts w:ascii="Arial" w:cs="Arial" w:eastAsia="Arial" w:hAnsi="Arial"/>
          <w:sz w:val="19"/>
          <w:szCs w:val="19"/>
          <w:color w:val="auto"/>
        </w:rPr>
      </w:pPr>
      <w:r>
        <w:rPr>
          <w:rFonts w:ascii="Arial" w:cs="Arial" w:eastAsia="Arial" w:hAnsi="Arial"/>
          <w:sz w:val="17"/>
          <w:szCs w:val="17"/>
          <w:color w:val="auto"/>
        </w:rPr>
        <w:t>Level 2 cash and cash equivalents are invested in money market funds that are intended to maintain a stable net asset value of $1.00 per share by</w:t>
      </w:r>
    </w:p>
    <w:p>
      <w:pPr>
        <w:spacing w:after="0" w:line="38" w:lineRule="exact"/>
        <w:rPr>
          <w:rFonts w:ascii="Arial" w:cs="Arial" w:eastAsia="Arial" w:hAnsi="Arial"/>
          <w:sz w:val="19"/>
          <w:szCs w:val="19"/>
          <w:color w:val="auto"/>
        </w:rPr>
      </w:pPr>
    </w:p>
    <w:p>
      <w:pPr>
        <w:ind w:right="60"/>
        <w:spacing w:after="0" w:line="293" w:lineRule="auto"/>
        <w:rPr>
          <w:rFonts w:ascii="Arial" w:cs="Arial" w:eastAsia="Arial" w:hAnsi="Arial"/>
          <w:sz w:val="19"/>
          <w:szCs w:val="19"/>
          <w:color w:val="auto"/>
        </w:rPr>
      </w:pPr>
      <w:r>
        <w:rPr>
          <w:rFonts w:ascii="Arial" w:cs="Arial" w:eastAsia="Arial" w:hAnsi="Arial"/>
          <w:sz w:val="18"/>
          <w:szCs w:val="18"/>
          <w:color w:val="auto"/>
        </w:rPr>
        <w:t>investing in liquid, high quality U.S. dollar-denominated money market instruments. Therefore, the fair value approximates the carrying value. Depending on our short-term liquidity needs, we make regular transfers between money market funds and other cash equivalents.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881" w:right="239" w:bottom="1440" w:gutter="0" w:footer="0" w:header="0"/>
        </w:sectPr>
      </w:pPr>
    </w:p>
    <w:bookmarkStart w:id="14" w:name="page15"/>
    <w:bookmarkEnd w:id="14"/>
    <w:p>
      <w:pPr>
        <w:ind w:right="60" w:firstLine="8"/>
        <w:spacing w:after="0" w:line="257" w:lineRule="auto"/>
        <w:tabs>
          <w:tab w:leader="none" w:pos="2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On October 9, 2014, the Company entered into a contingent consideration arrangement in connection with a business acquisition. Under the arrangement, the Company agreed to pay up to a maximum of $9 million in cash to the seller if certain financial performance thresholds are achieved in calendar years 2016 and 2017. As of June 30, 2016 and March 31, 2016, the estimated fair value of the contingent consideration liability was $0.8 million and $0.0 million, respectively which was classified as a Level 3 fair value measurement. The Company recognized a pre-tax loss of $0.8 millionin earnings as a result of the change in fair value during the quarter ended June 30, 2016.</w:t>
      </w:r>
    </w:p>
    <w:p>
      <w:pPr>
        <w:spacing w:after="0" w:line="80" w:lineRule="exact"/>
        <w:rPr>
          <w:sz w:val="20"/>
          <w:szCs w:val="20"/>
          <w:color w:val="auto"/>
        </w:rPr>
      </w:pPr>
    </w:p>
    <w:p>
      <w:pPr>
        <w:ind w:right="560" w:firstLine="405"/>
        <w:spacing w:after="0" w:line="342" w:lineRule="auto"/>
        <w:rPr>
          <w:sz w:val="20"/>
          <w:szCs w:val="20"/>
          <w:color w:val="auto"/>
        </w:rPr>
      </w:pPr>
      <w:r>
        <w:rPr>
          <w:rFonts w:ascii="Arial" w:cs="Arial" w:eastAsia="Arial" w:hAnsi="Arial"/>
          <w:sz w:val="16"/>
          <w:szCs w:val="16"/>
          <w:color w:val="auto"/>
        </w:rPr>
        <w:t>The fair value of the Company's debt instruments approximates its carrying value at June 30, 2016 and March 31, 2016. The fair value of debt is determined based on interest rates available for debt with terms and maturities similar to the Company's existing debt arrangements (Level 2 inputs).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RELATED-PARTY TRANSACTIONS</w:t>
      </w:r>
    </w:p>
    <w:p>
      <w:pPr>
        <w:spacing w:after="0" w:line="337" w:lineRule="exact"/>
        <w:rPr>
          <w:sz w:val="20"/>
          <w:szCs w:val="20"/>
          <w:color w:val="auto"/>
        </w:rPr>
      </w:pPr>
    </w:p>
    <w:p>
      <w:pPr>
        <w:ind w:right="100" w:firstLine="405"/>
        <w:spacing w:after="0" w:line="302" w:lineRule="auto"/>
        <w:rPr>
          <w:sz w:val="20"/>
          <w:szCs w:val="20"/>
          <w:color w:val="auto"/>
        </w:rPr>
      </w:pPr>
      <w:r>
        <w:rPr>
          <w:rFonts w:ascii="Arial" w:cs="Arial" w:eastAsia="Arial" w:hAnsi="Arial"/>
          <w:sz w:val="16"/>
          <w:szCs w:val="16"/>
          <w:color w:val="auto"/>
        </w:rPr>
        <w:t>The Carlyle Group is the largest shareholder of the Company. From time to time, and in the ordinary course of business: (1) other Carlyle portfolio companies engage the Company as a subcontractor or service provider, and (2) the Company engages other Carlyle portfolio companies as subcontractors or service providers. Revenue and cost associated with these related parties for the three months ended June 30, 2016 were $27,000 and $22,000, respectively. Revenue and cost associated with these related parties for the three months ended June 30, 2015 were $64,000 and $49,000 respectively.</w:t>
      </w:r>
    </w:p>
    <w:p>
      <w:pPr>
        <w:spacing w:after="0" w:line="46"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In addition, investment vehicles affiliated with The Carlyle Group participated in a lender syndicate in the Company’s outstanding debt in the amount of $45.0 million and $44.0 million at June 30, 2016 and March 31, 2016, respectively.</w:t>
      </w:r>
    </w:p>
    <w:p>
      <w:pPr>
        <w:spacing w:after="0" w:line="62"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color w:val="auto"/>
        </w:rPr>
        <w:t>On July 31, 2008, the Company entered into a management agreement, or Management Agreement, with TC Group V US, L.L.C., or TC Group, a company affiliated with Carlyle. On June 7, 2012, TC Group assigned all of its right, title and interest in, and obligations under, the Management Agreement to Carlyle Investment Management L.L.C., or Carlyle Investment Management. In accordance with the Management Agreement, Carlyle Investment Management provides the Company with advisory, consulting, and other services and the Company pays Carlyle Investment Management an aggregate annual fee of $1.0 million, plus expenses. For the three months ended June 30, 2016 and 2015, the Company incurred $250,000 in advisory fees in each period.</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COMMITMENTS AND CONTINGENCIES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right="160" w:firstLine="405"/>
        <w:spacing w:after="0" w:line="297" w:lineRule="auto"/>
        <w:rPr>
          <w:sz w:val="20"/>
          <w:szCs w:val="20"/>
          <w:color w:val="auto"/>
        </w:rPr>
      </w:pPr>
      <w:r>
        <w:rPr>
          <w:rFonts w:ascii="Arial" w:cs="Arial" w:eastAsia="Arial" w:hAnsi="Arial"/>
          <w:sz w:val="16"/>
          <w:szCs w:val="16"/>
          <w:color w:val="auto"/>
        </w:rPr>
        <w:t>As a result of the July 2008 Acquisition, the Company assigned a total of nine leases to Booz &amp; Co, which has subsequently changed its name to Strategy&amp;. The Company remains liable for one lease, which expires in March 2017, for a facility located in London under the terms of the original lease should Strategy&amp; default on its obligations. All other leases assigned to Strategy&amp; have expired. There were no events of default under these leases as of June 30, 2016 or March 31, 2016. The maximum potential amount of undiscounted future payments is $4.4 million. Based on the Company’s assessment of the likelihood of future payment, no amounts have been recorded related to the Company’s contingent liability on such leases.</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Letters of Credit and Third-Party Guarantees</w:t>
      </w:r>
    </w:p>
    <w:p>
      <w:pPr>
        <w:spacing w:after="0" w:line="117" w:lineRule="exact"/>
        <w:rPr>
          <w:sz w:val="20"/>
          <w:szCs w:val="20"/>
          <w:color w:val="auto"/>
        </w:rPr>
      </w:pPr>
    </w:p>
    <w:p>
      <w:pPr>
        <w:jc w:val="both"/>
        <w:ind w:right="80" w:firstLine="405"/>
        <w:spacing w:after="0" w:line="297" w:lineRule="auto"/>
        <w:rPr>
          <w:sz w:val="20"/>
          <w:szCs w:val="20"/>
          <w:color w:val="auto"/>
        </w:rPr>
      </w:pPr>
      <w:r>
        <w:rPr>
          <w:rFonts w:ascii="Arial" w:cs="Arial" w:eastAsia="Arial" w:hAnsi="Arial"/>
          <w:sz w:val="16"/>
          <w:szCs w:val="16"/>
          <w:color w:val="auto"/>
        </w:rPr>
        <w:t>As of June 30, 2016 and March 31, 2016, the Company was contingently liable under open standby letters of credit and bank guarantees issued by our banks in favor of third parties that totaled $6.7 million and $6.6 million, respectively. These letters of credit and bank guarantees primarily support insurance and bid and performance obligations. At June 30, 2016 and March 31, 2016, approximately $1.7 million and $1.8 million, respectively, of these instruments reduce the available borrowings under the revolving credit facility. The remainder are guaranteed under a separate $10.0 million facility established in fiscal 2016 of which $5.0 million and $5.2 million, respectively, was available to the Company at June 30, 2016 and March 31, 2016.</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Government Contracting Matters</w:t>
      </w:r>
    </w:p>
    <w:p>
      <w:pPr>
        <w:spacing w:after="0" w:line="117"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For the three months ended June 30, 2016 and 2015 approximately 98% and 97%, respectively, of the Company’s revenue was generated from contracts where the end client was an agency or department of the U.S. government, including contracts where Booz Allen performed in either a prime or subcontract position, and regardless of the geographic location in which the work was performed. Contracts with the U.S. government are subject to extensive legal and regulatory requirements. From time to time and in the ordinary course of business, agencies of the U.S. government audit our contract costs and conduct inquiries and investigations of our business practices with respect to government contracts to determine whether the Company’s operations are conducted in accordance with these requirements and the terms of the relevant contracts. U.S. government agencies, including the Defense Contract Audit Agency, routinely audit our contract costs, including allocated indirect costs for compliance with the Cost Accounting Standards and the Federal Acquisition Regulation. These agencies also conduct reviews</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881" w:right="279" w:bottom="1440" w:gutter="0" w:footer="0" w:header="0"/>
        </w:sectPr>
      </w:pPr>
    </w:p>
    <w:bookmarkStart w:id="15" w:name="page16"/>
    <w:bookmarkEnd w:id="15"/>
    <w:p>
      <w:pPr>
        <w:ind w:right="60"/>
        <w:spacing w:after="0" w:line="269" w:lineRule="auto"/>
        <w:rPr>
          <w:sz w:val="20"/>
          <w:szCs w:val="20"/>
          <w:color w:val="auto"/>
        </w:rPr>
      </w:pPr>
      <w:r>
        <w:rPr>
          <w:rFonts w:ascii="Arial" w:cs="Arial" w:eastAsia="Arial" w:hAnsi="Arial"/>
          <w:sz w:val="17"/>
          <w:szCs w:val="17"/>
          <w:color w:val="auto"/>
        </w:rPr>
        <w:t>and investigations and make inquiries regarding our accounting and other systems in connection with our performance and business practices with respect to our government contracts. U.S. government audits, inquiries, or investigations of the Company, whether related to the Company’s U.S. government contracts or conducted for other reasons, could result in administrative, civil, or criminal liabilities, including withholding of payments, suspension of payments, repayments, fines, or penalties being imposed upon the Company, or could lead to suspension or debarment from future U.S. government contracting. Management believes it has recorded the appropriate provision for any audit, inquiry, or investigation of which it is aware. The Defense Contract Management Agency Administrative Contracting Officer has negotiated annual final indirect cost rates through fiscal year 2009. Audits of subsequent years may result in future cost disallowances including cost reductions and/or penalties. Management believes it has recorded the appropriate provision for the estimated losses that may be experienced from any such reductions and/or penalties. As of June 30, 2016 and March 31, 2016, the Company has recorded a liability of approximately $192.0 million and $189.9 million, respectively, for its current best estimate of amounts to be refunded to customers for potential adjustments from such audits or reviews of contract costs incurred subsequent to fiscal year 2009, and for contracts not yet closed that are impacted by settlement of audits or reviews of contract costs incurred in prior fiscal years.</w:t>
      </w:r>
    </w:p>
    <w:p>
      <w:pPr>
        <w:spacing w:after="0" w:line="7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Litigation</w:t>
      </w:r>
    </w:p>
    <w:p>
      <w:pPr>
        <w:spacing w:after="0" w:line="117" w:lineRule="exact"/>
        <w:rPr>
          <w:sz w:val="20"/>
          <w:szCs w:val="20"/>
          <w:color w:val="auto"/>
        </w:rPr>
      </w:pPr>
    </w:p>
    <w:p>
      <w:pPr>
        <w:ind w:firstLine="405"/>
        <w:spacing w:after="0" w:line="293" w:lineRule="auto"/>
        <w:rPr>
          <w:sz w:val="20"/>
          <w:szCs w:val="20"/>
          <w:color w:val="auto"/>
        </w:rPr>
      </w:pPr>
      <w:r>
        <w:rPr>
          <w:rFonts w:ascii="Arial" w:cs="Arial" w:eastAsia="Arial" w:hAnsi="Arial"/>
          <w:sz w:val="16"/>
          <w:szCs w:val="16"/>
          <w:color w:val="auto"/>
        </w:rPr>
        <w:t>The Company is involved in legal proceedings and investigations arising in the ordinary course of business, including those relating to employment matters, relationships with clients and contractors, intellectual property disputes, and other business matters. These legal proceedings seek various remedies, including claims for monetary damages in varying amounts, none of which are considered material, or are unspecified as to amount. Although the outcome of any such matter is inherently uncertain and may be materially adverse, based on current information, management does not expect any of the currently ongoing audits, reviews, investigations, or litigation to have a material adverse effect on the Company’s financial condition and results of operations. As of June 30, 2016, there are no material amounts accrued in the condensed consolidated financial statements related to these proceedings.</w:t>
      </w:r>
    </w:p>
    <w:p>
      <w:pPr>
        <w:spacing w:after="0" w:line="57" w:lineRule="exact"/>
        <w:rPr>
          <w:sz w:val="20"/>
          <w:szCs w:val="20"/>
          <w:color w:val="auto"/>
        </w:rPr>
      </w:pPr>
    </w:p>
    <w:p>
      <w:pPr>
        <w:ind w:right="40" w:firstLine="405"/>
        <w:spacing w:after="0" w:line="268" w:lineRule="auto"/>
        <w:rPr>
          <w:sz w:val="20"/>
          <w:szCs w:val="20"/>
          <w:color w:val="auto"/>
        </w:rPr>
      </w:pPr>
      <w:r>
        <w:rPr>
          <w:rFonts w:ascii="Arial" w:cs="Arial" w:eastAsia="Arial" w:hAnsi="Arial"/>
          <w:sz w:val="17"/>
          <w:szCs w:val="17"/>
          <w:color w:val="auto"/>
        </w:rPr>
        <w:t>Six former officers and stockholders who had departed the company prior to the acquisition have filed a total of nine suits in various jurisdictions, with original filing dates ranging from July 3, 2008 through December 15, 2009, against us and certain of our current and former directors and officers. Three of these suits were amended on July 2, 2010 and then further amended into one consolidated complaint on September 7, 2010. Another two of the original nine suits were consolidated into one complaint on September 24, 2014. Each of the suits arises out of the Acquisition and alleges that the former stockholders are entitled to certain payments that they would have received if they had held their stock at the time of the Acquisition. Some of the suits also allege that the Acquisition price paid to stockholders was insufficient. The various suits assert claims for breach of contract, tortious interference with contract, breach of fiduciary duty, civil Racketeer Influenced and Corrupt Organizations Act, or RICO, violations, violations of the Employee Retirement Income Security Act, and/or securities and common law fraud. Three of these suits have been dismissed with all appeals exhausted. The two suits that were consolidated into one action on September 24, 2014 were settled on April 16, 2015. One of the remaining suits has been dismissed by the United States District Court for the Southern District of California and such dismissal was upheld by the United States Court of Appeals for the Ninth Circuit. The other three remaining suits that were previously consolidated on September 7, 2010 have been dismissed by the United States District Court for the Southern District of New York and are on appeal before the United States Court of Appeals for the Second Circuit. As of June 30, 2016 and March 31, 2016, the aggregate alleged damages sought in these four remaining suits was approximately $291.7 million (which is sought to be trebled pursuant to RICO) plus punitive damages, costs, and fees.</w:t>
      </w:r>
    </w:p>
    <w:p>
      <w:pPr>
        <w:spacing w:after="0" w:line="293"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Although the outcome of any of these cases is inherently uncertain and may be materially adverse, based on current information, management does not expect them to have a material adverse effect on our financial condition and results of operations.</w:t>
      </w: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881" w:right="27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17. SUBSEQUENT EVENTS</w:t>
      </w:r>
    </w:p>
    <w:p>
      <w:pPr>
        <w:spacing w:after="0" w:line="229" w:lineRule="exact"/>
        <w:rPr>
          <w:sz w:val="20"/>
          <w:szCs w:val="20"/>
          <w:color w:val="auto"/>
        </w:rPr>
      </w:pPr>
    </w:p>
    <w:p>
      <w:pPr>
        <w:ind w:right="20" w:firstLine="405"/>
        <w:spacing w:after="0" w:line="286" w:lineRule="auto"/>
        <w:rPr>
          <w:sz w:val="20"/>
          <w:szCs w:val="20"/>
          <w:color w:val="auto"/>
        </w:rPr>
      </w:pPr>
      <w:r>
        <w:rPr>
          <w:rFonts w:ascii="Arial" w:cs="Arial" w:eastAsia="Arial" w:hAnsi="Arial"/>
          <w:sz w:val="16"/>
          <w:szCs w:val="16"/>
          <w:color w:val="auto"/>
        </w:rPr>
        <w:t>On July 13, 2016, Booz Allen Hamilton, Investor and certain wholly-owned subsidiaries of Booz Allen Hamilton entered into the Third Amendment (the “Third Amendment”) to the Credit Agreement (the “Credit Agreement”), dated as of July 31, 2012, among Booz Allen Hamilton, Investor, certain wholly owned subsidiaries of Booz Allen Hamilton and Bank of America, N.A., as Administrative Agent, Collateral Agent and Issuing Lender (as previously amended by the First Amendment to the Credit Agreement, dated as of August 16, 2013 and the Second Amendment to the Credit Agreement, dated as of May 7, 2014). Prior to the Third Amendment, approximately $726 million of Term Loan A and $841 million of Term Loan B was outstanding. Pursuant to the Third Amendment, Booz Allen Hamilton borrowed additional Term Loan A of approximately $441 million, the proceeds of which were used to partially prepay outstanding principal of the Term Loan B facility. Following the Third Amendment, approximately $1,183 million of Term Loan A and $400 million of Term Loan B were outstanding under the Credit Agreement. Under the Third Amendment, the interest rate on borrowings under Term Loan A was reduced to LIBOR plus a spread that ranges from 1.50% to 2.25% based on Booz Allen Hamilton's total leverage ratio. The revolving credit facility margin was reduced to LIBOR plus a spread that ranges from 1.50% to 2.25% based on Booz Allen Hamilton's total leverage ratio and the revolving credit facility commitment fee was reduced to a spread ranging from 0.300% to 0.400%. The interest rate for borrowings under Term Loan B was reduced to LIBOR plus 2.75% with no LIBOR floor, with a spread that ranged from 1.75% to 2.75% based upon either an ABR or LIBOR borrowing. The Third Amendment also extends the maturity date of Term Loan A and the termination date of the revolving credit facility to June 30, 2021 and the maturity date of Term Loan B to June 30, 2023. The Third Amendment also amended certain existing debt covenants to provide for greater operational and financial flexibility.</w:t>
      </w:r>
    </w:p>
    <w:p>
      <w:pPr>
        <w:spacing w:after="0" w:line="172"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In connection with the Third Amendment the Company expects to accelerate the amortization of ratable portions of the DIC and OID that do not qualify for deferral of approximately $6 million. These expenses will be reflected in other expense, net in the three months ending September 30, 2016. Furthermore, the Company expects to expense third party debt issuance costs and creditor fees of approximately $3 million that did not qualify for deferral and will be reflected in general and administrative costs in the three months ending September 30, 2016.</w:t>
      </w:r>
    </w:p>
    <w:p>
      <w:pPr>
        <w:spacing w:after="0" w:line="18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94"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i w:val="1"/>
          <w:iCs w:val="1"/>
          <w:color w:val="auto"/>
        </w:rPr>
        <w:t>The following discussion and analysis is intended to help the reader understand our business, financial condition, results of operations, and liquidity and capital resources. You should read this discussion in conjunction with our condensed consolidated financial statements and the related notes contained elsewhere in this Quarterly Report on Form 10-Q, or Quarterly Report.</w:t>
      </w:r>
    </w:p>
    <w:p>
      <w:pPr>
        <w:spacing w:after="0" w:line="127"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i w:val="1"/>
          <w:iCs w:val="1"/>
          <w:color w:val="auto"/>
        </w:rPr>
        <w:t>The statements in this discussion regarding industry outlook, our expectations regarding our future performance, liquidity and capital resources, and other non-historical statements in this discussion are forward-looking statements. These forward-looking statements are subject to numerous risks and uncertainties, including, but not limited to, the risks and uncertainties described in our Annual Report on Form 10-K for the fiscal year ended March 31, 2016 filed with the Securities and Exchange Commission on May 19, 2016, or Annual Report, and under Part II, “Item 1A. Risk Factors,” and “— Special Note Regarding Forward Looking Statements” of this Quarterly Report. Our actual results may differ materially from those contained in or implied by any forward-looking statements.</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Our fiscal year ends March 31 and, unless otherwise noted, references to years or fiscal are for fiscal years ended March 31. See “—Results of Operations.”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180" w:firstLine="405"/>
        <w:spacing w:after="0" w:line="257" w:lineRule="auto"/>
        <w:rPr>
          <w:sz w:val="20"/>
          <w:szCs w:val="20"/>
          <w:color w:val="auto"/>
        </w:rPr>
      </w:pPr>
      <w:r>
        <w:rPr>
          <w:rFonts w:ascii="Arial" w:cs="Arial" w:eastAsia="Arial" w:hAnsi="Arial"/>
          <w:sz w:val="18"/>
          <w:szCs w:val="18"/>
          <w:color w:val="auto"/>
        </w:rPr>
        <w:t>We are a leading provider of management and technology, consulting, and engineering services to the U.S. and international governments, major corporations, and not-for-profit organizations. Our ability to deliver value to our clients has always been, and continues to be, a product of the character and expertise of our people. Our talent base of approximately 22,500 people deliver value and results to our clients by combining core consulting skills and domain expertise with functional expertise in areas such as engineering and science, systems delivery, cyber, and analytics, all fostered by a culture of innovation that extends to all reaches of the company.</w:t>
      </w:r>
    </w:p>
    <w:p>
      <w:pPr>
        <w:spacing w:after="0" w:line="188"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Through our dedication to our clients' missions, and a commitment to evolving our business to address client's needs, we have longstanding and deep relationships with our clients -- some more than 75 years. We support critical missions for a diverse base of federal government clients, including nearly all of the U.S. government's cabinet-level departments, and federal contract vehicles, as well as increasingly for top-tier commercial and international clients. We support these clients by addressing complex and pressing challenges such as combating global terrorism, improving cyber capabilities, transforming the healthcare system, improving efficiency and managing change within the government. Our U.S. commercial clients are primarily in the financial services, healthcare and life sciences, energy, high-tech manufacturing, retail, and automotive industries. Our international clients are primarily in the Middle East, along with a new and growing presence in Southeast Asia.</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877" w:right="25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Financial and Other Highlights</w:t>
      </w:r>
    </w:p>
    <w:p>
      <w:pPr>
        <w:spacing w:after="0" w:line="229"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During the first quarter of fiscal 2017, the Company generated year over year revenue growth, delivered improved earnings over the prior year period, and recorded seasonally strong contract awards.</w:t>
      </w:r>
    </w:p>
    <w:p>
      <w:pPr>
        <w:spacing w:after="0" w:line="62"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Revenue increased 5.3% from the three months ended June 30, 2015 to the three months ended June 30, 2016 as the Company increased client staff billability, and therefore direct labor to meet increased client demand. During the period, there was also an increase in billable expenses due to increased use of subcontractors on contracts. In addition, contracts which require the Company to incur direct expenses on behalf of our clients increased over the prior year period.</w:t>
      </w:r>
    </w:p>
    <w:p>
      <w:pPr>
        <w:spacing w:after="0" w:line="79" w:lineRule="exact"/>
        <w:rPr>
          <w:sz w:val="20"/>
          <w:szCs w:val="20"/>
          <w:color w:val="auto"/>
        </w:rPr>
      </w:pPr>
    </w:p>
    <w:p>
      <w:pPr>
        <w:ind w:right="260" w:firstLine="405"/>
        <w:spacing w:after="0" w:line="286" w:lineRule="auto"/>
        <w:rPr>
          <w:sz w:val="20"/>
          <w:szCs w:val="20"/>
          <w:color w:val="auto"/>
        </w:rPr>
      </w:pPr>
      <w:r>
        <w:rPr>
          <w:rFonts w:ascii="Arial" w:cs="Arial" w:eastAsia="Arial" w:hAnsi="Arial"/>
          <w:sz w:val="17"/>
          <w:szCs w:val="17"/>
          <w:color w:val="auto"/>
        </w:rPr>
        <w:t>Operating income increased 2.5% to $129.3 million in the three months ended June 30, 2016 from $126.1 million in the three months ended June 30, 2015, while operating margin reflected a 20 basis point decrease to 9.1% from 9.3% in the comparable period. The increase in operating income was attributable to the same factors driving gross revenue in addition to the Company managing indirect spending more efficiently.</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Measures</w:t>
      </w:r>
    </w:p>
    <w:p>
      <w:pPr>
        <w:spacing w:after="0" w:line="121" w:lineRule="exact"/>
        <w:rPr>
          <w:sz w:val="20"/>
          <w:szCs w:val="20"/>
          <w:color w:val="auto"/>
        </w:rPr>
      </w:pPr>
    </w:p>
    <w:p>
      <w:pPr>
        <w:ind w:firstLine="405"/>
        <w:spacing w:after="0" w:line="285" w:lineRule="auto"/>
        <w:rPr>
          <w:sz w:val="20"/>
          <w:szCs w:val="20"/>
          <w:color w:val="auto"/>
        </w:rPr>
      </w:pPr>
      <w:r>
        <w:rPr>
          <w:rFonts w:ascii="Arial" w:cs="Arial" w:eastAsia="Arial" w:hAnsi="Arial"/>
          <w:sz w:val="16"/>
          <w:szCs w:val="16"/>
          <w:color w:val="auto"/>
        </w:rPr>
        <w:t>We publicly disclose certain non-GAAP financial measurements, including Adjusted Operating Income, Adjusted EBITDA, Adjusted Net Income, and Adjusted Diluted Earnings Per Share, or Adjusted Diluted EPS, because management uses these measures for business planning purposes, including to manage our business against internal projected results of operations and measure our performance. We view Adjusted Operating Income, Adjusted EBITDA, Adjusted Net Income, and Adjusted Diluted EPS as measures of our core operating business, which exclude the impact of the items detailed below, as these items are generally not operational in nature. These non-GAAP measures also provide another basis for comparing period to period results by excluding potential differences caused by non-operational and unusual or non-recurring items. We also utilize and discuss Free Cash Flow, because management uses this measure for business planning purposes, measuring the cash generating ability of the operating business, and measuring liquidity generally. We present these supplemental measures because we believe that these measures provide investors and securities analysts with important supplemental information with which to evaluate our performance, long term earnings potential, or liquidity, as applicable, and to enable them to assess our performance on the same basis as management. These supplemental performance measurements may vary from and may not be comparable to similarly titled measures by other companies in our industry. Adjusted Operating Income, Adjusted EBITDA, Adjusted Net Income, Adjusted Diluted EPS, and Free Cash Flow are not recognized measurements under accounting principles generally accepted in the United States, or GAAP, and when analyzing our performance or liquidity, as applicable, investors should (i) evaluate each adjustment in our reconciliation of operating and net income to Adjusted Operating Income, Adjusted EBITDA and Adjusted Net Income, and net cash provided by operating activities to Free Cash Flows, and the explanatory footnotes regarding those adjustments, each as defined under GAAP, (ii) use Adjusted Operating Income, Adjusted EBITDA, Adjusted Net Income, and Adjusted Diluted EPS in addition to, and not as an alternative to, operating income, net income or diluted EPS, as measures of operating results, each as defined under GAAP, and (iii) use Free Cash Flows in addition to, and not as an alternative to, net cash provided by operating activities as a measure of liquidity, each as defined under GAAP. We have defined the aforementioned non-GAAP measures as follows:</w:t>
      </w:r>
    </w:p>
    <w:p>
      <w:pPr>
        <w:spacing w:after="0" w:line="65" w:lineRule="exact"/>
        <w:rPr>
          <w:sz w:val="20"/>
          <w:szCs w:val="20"/>
          <w:color w:val="auto"/>
        </w:rPr>
      </w:pPr>
    </w:p>
    <w:p>
      <w:pPr>
        <w:jc w:val="both"/>
        <w:ind w:left="1300" w:right="200" w:hanging="644"/>
        <w:spacing w:after="0" w:line="312" w:lineRule="auto"/>
        <w:tabs>
          <w:tab w:leader="none" w:pos="13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"Adjusted Operating Income" represents operating income before adjustments related to the amortization of intangible assets. We prepare Adjusted Operating Income to eliminate the impact of items we do not consider indicative of ongoing operating performance due to their inherent unusual, extraordinary, or non-recurring nature or because they result from an event of a similar nature.</w:t>
      </w:r>
    </w:p>
    <w:p>
      <w:pPr>
        <w:spacing w:after="0" w:line="38" w:lineRule="exact"/>
        <w:rPr>
          <w:rFonts w:ascii="Arial" w:cs="Arial" w:eastAsia="Arial" w:hAnsi="Arial"/>
          <w:sz w:val="16"/>
          <w:szCs w:val="16"/>
          <w:color w:val="auto"/>
        </w:rPr>
      </w:pPr>
    </w:p>
    <w:p>
      <w:pPr>
        <w:ind w:left="1300" w:right="20" w:hanging="644"/>
        <w:spacing w:after="0" w:line="259"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"Adjusted EBITDA" represents net income before income taxes, net interest and other expense, and depreciation and amortization and before certain other items. We prepare Adjusted EBITDA to eliminate the impact of items we do not consider indicative of ongoing operating performance due to their inherent unusual, extraordinary, or non-recurring nature or because they result from an event of a similar nature.</w:t>
      </w:r>
    </w:p>
    <w:p>
      <w:pPr>
        <w:spacing w:after="0" w:line="78" w:lineRule="exact"/>
        <w:rPr>
          <w:rFonts w:ascii="Arial" w:cs="Arial" w:eastAsia="Arial" w:hAnsi="Arial"/>
          <w:sz w:val="18"/>
          <w:szCs w:val="18"/>
          <w:color w:val="auto"/>
        </w:rPr>
      </w:pPr>
    </w:p>
    <w:p>
      <w:pPr>
        <w:ind w:left="1300" w:hanging="644"/>
        <w:spacing w:after="0" w:line="257"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"Adjusted Net Income" represents net income before: (i) adjustments related to the amortization of intangible assets, and (ii) amortization or write-off of debt issuance costs and write-off of original issue discount, net of the tax effect where appropriate calculated using an assumed effective tax rate. We prepare Adjusted Net Income to eliminate the impact of items, net of tax, we do not consider indicative of ongoing operating performance due to their inherent unusual, extraordinary, or non-recurring nature or because they result from an event of a similar nature.</w:t>
      </w:r>
    </w:p>
    <w:p>
      <w:pPr>
        <w:spacing w:after="0" w:line="80" w:lineRule="exact"/>
        <w:rPr>
          <w:rFonts w:ascii="Arial" w:cs="Arial" w:eastAsia="Arial" w:hAnsi="Arial"/>
          <w:sz w:val="18"/>
          <w:szCs w:val="18"/>
          <w:color w:val="auto"/>
        </w:rPr>
      </w:pPr>
    </w:p>
    <w:p>
      <w:pPr>
        <w:ind w:left="1300" w:hanging="644"/>
        <w:spacing w:after="0" w:line="264"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"Adjusted Diluted EPS" represents diluted EPS calculated using Adjusted Net Income as opposed to net income. Additionally, Adjusted Diluted EPS does not contemplate any adjustments to net income as required under the two-class method as disclosed in the footnotes to the financial statements.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1094" w:right="259" w:bottom="1440" w:gutter="0" w:footer="0" w:header="0"/>
        </w:sectPr>
      </w:pPr>
    </w:p>
    <w:bookmarkStart w:id="18" w:name="page19"/>
    <w:bookmarkEnd w:id="18"/>
    <w:p>
      <w:pPr>
        <w:ind w:left="1300" w:hanging="644"/>
        <w:spacing w:after="0"/>
        <w:tabs>
          <w:tab w:leader="none" w:pos="13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"Free Cash Flow" represents the net cash generated from operating activities less the impact of purchases of property and equipment.</w:t>
      </w:r>
    </w:p>
    <w:p>
      <w:pPr>
        <w:spacing w:after="0" w:line="129" w:lineRule="exact"/>
        <w:rPr>
          <w:sz w:val="20"/>
          <w:szCs w:val="20"/>
          <w:color w:val="auto"/>
        </w:rPr>
      </w:pPr>
    </w:p>
    <w:p>
      <w:pPr>
        <w:ind w:right="240" w:firstLine="405"/>
        <w:spacing w:after="0" w:line="277" w:lineRule="auto"/>
        <w:rPr>
          <w:sz w:val="20"/>
          <w:szCs w:val="20"/>
          <w:color w:val="auto"/>
        </w:rPr>
      </w:pPr>
      <w:r>
        <w:rPr>
          <w:rFonts w:ascii="Arial" w:cs="Arial" w:eastAsia="Arial" w:hAnsi="Arial"/>
          <w:sz w:val="18"/>
          <w:szCs w:val="18"/>
          <w:color w:val="auto"/>
        </w:rPr>
        <w:t>Below is a reconciliation of Adjusted Operating Income, Adjusted EBITDA, Adjusted Net Income, Adjusted Diluted EPS, and Free Cash Flow to the most directly comparable financial measure calculated and presented in accordance with GAAP.</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180" w:type="dxa"/>
            <w:vAlign w:val="bottom"/>
            <w:gridSpan w:val="3"/>
          </w:tcPr>
          <w:p>
            <w:pPr>
              <w:jc w:val="center"/>
              <w:ind w:left="653"/>
              <w:spacing w:after="0"/>
              <w:rPr>
                <w:sz w:val="20"/>
                <w:szCs w:val="20"/>
                <w:color w:val="auto"/>
              </w:rPr>
            </w:pPr>
            <w:r>
              <w:rPr>
                <w:rFonts w:ascii="Arial" w:cs="Arial" w:eastAsia="Arial" w:hAnsi="Arial"/>
                <w:sz w:val="14"/>
                <w:szCs w:val="14"/>
                <w:b w:val="1"/>
                <w:bCs w:val="1"/>
                <w:color w:val="auto"/>
                <w:w w:val="95"/>
              </w:rPr>
              <w:t>Three Months Ended</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766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3"/>
          </w:tcPr>
          <w:p>
            <w:pPr>
              <w:jc w:val="center"/>
              <w:ind w:left="653"/>
              <w:spacing w:after="0"/>
              <w:rPr>
                <w:sz w:val="20"/>
                <w:szCs w:val="20"/>
                <w:color w:val="auto"/>
              </w:rPr>
            </w:pPr>
            <w:r>
              <w:rPr>
                <w:rFonts w:ascii="Arial" w:cs="Arial" w:eastAsia="Arial" w:hAnsi="Arial"/>
                <w:sz w:val="14"/>
                <w:szCs w:val="14"/>
                <w:b w:val="1"/>
                <w:bCs w:val="1"/>
                <w:color w:val="auto"/>
                <w:w w:val="92"/>
              </w:rPr>
              <w:t>June 30,</w:t>
            </w: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660" w:type="dxa"/>
            <w:vAlign w:val="bottom"/>
          </w:tcPr>
          <w:p>
            <w:pPr>
              <w:ind w:left="40"/>
              <w:spacing w:after="0"/>
              <w:rPr>
                <w:sz w:val="20"/>
                <w:szCs w:val="20"/>
                <w:color w:val="auto"/>
              </w:rPr>
            </w:pPr>
            <w:r>
              <w:rPr>
                <w:rFonts w:ascii="Arial" w:cs="Arial" w:eastAsia="Arial" w:hAnsi="Arial"/>
                <w:sz w:val="14"/>
                <w:szCs w:val="14"/>
                <w:b w:val="1"/>
                <w:bCs w:val="1"/>
                <w:color w:val="auto"/>
              </w:rPr>
              <w:t>(Amounts in thousands, except share and per share data)</w:t>
            </w: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196"/>
        </w:trPr>
        <w:tc>
          <w:tcPr>
            <w:tcW w:w="7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180" w:type="dxa"/>
            <w:vAlign w:val="bottom"/>
            <w:gridSpan w:val="3"/>
          </w:tcPr>
          <w:p>
            <w:pPr>
              <w:jc w:val="center"/>
              <w:ind w:left="633"/>
              <w:spacing w:after="0"/>
              <w:rPr>
                <w:sz w:val="20"/>
                <w:szCs w:val="20"/>
                <w:color w:val="auto"/>
              </w:rPr>
            </w:pPr>
            <w:r>
              <w:rPr>
                <w:rFonts w:ascii="Arial" w:cs="Arial" w:eastAsia="Arial" w:hAnsi="Arial"/>
                <w:sz w:val="14"/>
                <w:szCs w:val="14"/>
                <w:b w:val="1"/>
                <w:bCs w:val="1"/>
                <w:color w:val="auto"/>
                <w:w w:val="95"/>
              </w:rPr>
              <w:t>(Unaudited)</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Adjusted Operating Income</w:t>
            </w:r>
          </w:p>
        </w:tc>
        <w:tc>
          <w:tcPr>
            <w:tcW w:w="4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Operating Income</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129,301</w:t>
            </w:r>
          </w:p>
        </w:tc>
        <w:tc>
          <w:tcPr>
            <w:tcW w:w="120" w:type="dxa"/>
            <w:vAlign w:val="bottom"/>
          </w:tcPr>
          <w:p>
            <w:pPr>
              <w:spacing w:after="0"/>
              <w:rPr>
                <w:sz w:val="21"/>
                <w:szCs w:val="21"/>
                <w:color w:val="auto"/>
              </w:rPr>
            </w:pPr>
          </w:p>
        </w:tc>
        <w:tc>
          <w:tcPr>
            <w:tcW w:w="680" w:type="dxa"/>
            <w:vAlign w:val="bottom"/>
          </w:tcPr>
          <w:p>
            <w:pPr>
              <w:jc w:val="right"/>
              <w:ind w:right="4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126,144</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Amortization of intangible assets (a)</w:t>
            </w: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1,126</w:t>
            </w:r>
          </w:p>
        </w:tc>
        <w:tc>
          <w:tcPr>
            <w:tcW w:w="1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1,056</w:t>
            </w:r>
          </w:p>
        </w:tc>
        <w:tc>
          <w:tcPr>
            <w:tcW w:w="0" w:type="dxa"/>
            <w:vAlign w:val="bottom"/>
          </w:tcPr>
          <w:p>
            <w:pPr>
              <w:spacing w:after="0"/>
              <w:rPr>
                <w:sz w:val="1"/>
                <w:szCs w:val="1"/>
                <w:color w:val="auto"/>
              </w:rPr>
            </w:pPr>
          </w:p>
        </w:tc>
      </w:tr>
      <w:tr>
        <w:trPr>
          <w:trHeight w:val="237"/>
        </w:trPr>
        <w:tc>
          <w:tcPr>
            <w:tcW w:w="7660" w:type="dxa"/>
            <w:vAlign w:val="bottom"/>
          </w:tcPr>
          <w:p>
            <w:pPr>
              <w:ind w:left="720"/>
              <w:spacing w:after="0"/>
              <w:rPr>
                <w:sz w:val="20"/>
                <w:szCs w:val="20"/>
                <w:color w:val="auto"/>
              </w:rPr>
            </w:pPr>
            <w:r>
              <w:rPr>
                <w:rFonts w:ascii="Arial" w:cs="Arial" w:eastAsia="Arial" w:hAnsi="Arial"/>
                <w:sz w:val="18"/>
                <w:szCs w:val="18"/>
                <w:color w:val="auto"/>
              </w:rPr>
              <w:t>Adjusted Operating Income</w:t>
            </w: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130,427</w:t>
            </w:r>
          </w:p>
        </w:tc>
        <w:tc>
          <w:tcPr>
            <w:tcW w:w="120" w:type="dxa"/>
            <w:vAlign w:val="bottom"/>
          </w:tcPr>
          <w:p>
            <w:pPr>
              <w:spacing w:after="0"/>
              <w:rPr>
                <w:sz w:val="20"/>
                <w:szCs w:val="20"/>
                <w:color w:val="auto"/>
              </w:rPr>
            </w:pPr>
          </w:p>
        </w:tc>
        <w:tc>
          <w:tcPr>
            <w:tcW w:w="68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127,200</w:t>
            </w:r>
          </w:p>
        </w:tc>
        <w:tc>
          <w:tcPr>
            <w:tcW w:w="0" w:type="dxa"/>
            <w:vAlign w:val="bottom"/>
          </w:tcPr>
          <w:p>
            <w:pPr>
              <w:spacing w:after="0"/>
              <w:rPr>
                <w:sz w:val="1"/>
                <w:szCs w:val="1"/>
                <w:color w:val="auto"/>
              </w:rPr>
            </w:pPr>
          </w:p>
        </w:tc>
      </w:tr>
      <w:tr>
        <w:trPr>
          <w:trHeight w:val="67"/>
        </w:trPr>
        <w:tc>
          <w:tcPr>
            <w:tcW w:w="766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76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i w:val="1"/>
                <w:iCs w:val="1"/>
                <w:color w:val="auto"/>
              </w:rPr>
              <w:t>EBITDA &amp; Adjusted EBITDA</w:t>
            </w:r>
          </w:p>
        </w:tc>
        <w:tc>
          <w:tcPr>
            <w:tcW w:w="4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67,817</w:t>
            </w:r>
          </w:p>
        </w:tc>
        <w:tc>
          <w:tcPr>
            <w:tcW w:w="120" w:type="dxa"/>
            <w:vAlign w:val="bottom"/>
          </w:tcPr>
          <w:p>
            <w:pPr>
              <w:spacing w:after="0"/>
              <w:rPr>
                <w:sz w:val="21"/>
                <w:szCs w:val="21"/>
                <w:color w:val="auto"/>
              </w:rPr>
            </w:pPr>
          </w:p>
        </w:tc>
        <w:tc>
          <w:tcPr>
            <w:tcW w:w="680" w:type="dxa"/>
            <w:vAlign w:val="bottom"/>
          </w:tcPr>
          <w:p>
            <w:pPr>
              <w:jc w:val="right"/>
              <w:ind w:right="4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64,306</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 expense</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45,547</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44,280</w:t>
            </w:r>
          </w:p>
        </w:tc>
        <w:tc>
          <w:tcPr>
            <w:tcW w:w="0" w:type="dxa"/>
            <w:vAlign w:val="bottom"/>
          </w:tcPr>
          <w:p>
            <w:pPr>
              <w:spacing w:after="0"/>
              <w:rPr>
                <w:sz w:val="1"/>
                <w:szCs w:val="1"/>
                <w:color w:val="auto"/>
              </w:rPr>
            </w:pP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Interest and other, net</w:t>
            </w:r>
          </w:p>
        </w:tc>
        <w:tc>
          <w:tcPr>
            <w:tcW w:w="44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15,937</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17,558</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14,501</w:t>
            </w:r>
          </w:p>
        </w:tc>
        <w:tc>
          <w:tcPr>
            <w:tcW w:w="1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15,117</w:t>
            </w:r>
          </w:p>
        </w:tc>
        <w:tc>
          <w:tcPr>
            <w:tcW w:w="0" w:type="dxa"/>
            <w:vAlign w:val="bottom"/>
          </w:tcPr>
          <w:p>
            <w:pPr>
              <w:spacing w:after="0"/>
              <w:rPr>
                <w:sz w:val="1"/>
                <w:szCs w:val="1"/>
                <w:color w:val="auto"/>
              </w:rPr>
            </w:pPr>
          </w:p>
        </w:tc>
      </w:tr>
      <w:tr>
        <w:trPr>
          <w:trHeight w:val="237"/>
        </w:trPr>
        <w:tc>
          <w:tcPr>
            <w:tcW w:w="7660" w:type="dxa"/>
            <w:vAlign w:val="bottom"/>
          </w:tcPr>
          <w:p>
            <w:pPr>
              <w:ind w:left="720"/>
              <w:spacing w:after="0"/>
              <w:rPr>
                <w:sz w:val="20"/>
                <w:szCs w:val="20"/>
                <w:color w:val="auto"/>
              </w:rPr>
            </w:pPr>
            <w:r>
              <w:rPr>
                <w:rFonts w:ascii="Arial" w:cs="Arial" w:eastAsia="Arial" w:hAnsi="Arial"/>
                <w:sz w:val="18"/>
                <w:szCs w:val="18"/>
                <w:color w:val="auto"/>
              </w:rPr>
              <w:t>EBITDA &amp; Adjusted EBITDA</w:t>
            </w: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143,802</w:t>
            </w:r>
          </w:p>
        </w:tc>
        <w:tc>
          <w:tcPr>
            <w:tcW w:w="120" w:type="dxa"/>
            <w:vAlign w:val="bottom"/>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141,261</w:t>
            </w:r>
          </w:p>
        </w:tc>
        <w:tc>
          <w:tcPr>
            <w:tcW w:w="0" w:type="dxa"/>
            <w:vAlign w:val="bottom"/>
          </w:tcPr>
          <w:p>
            <w:pPr>
              <w:spacing w:after="0"/>
              <w:rPr>
                <w:sz w:val="1"/>
                <w:szCs w:val="1"/>
                <w:color w:val="auto"/>
              </w:rPr>
            </w:pPr>
          </w:p>
        </w:tc>
      </w:tr>
      <w:tr>
        <w:trPr>
          <w:trHeight w:val="67"/>
        </w:trPr>
        <w:tc>
          <w:tcPr>
            <w:tcW w:w="766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76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i w:val="1"/>
                <w:iCs w:val="1"/>
                <w:color w:val="auto"/>
              </w:rPr>
              <w:t>Adjusted Net Income</w:t>
            </w:r>
          </w:p>
        </w:tc>
        <w:tc>
          <w:tcPr>
            <w:tcW w:w="4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67,817</w:t>
            </w:r>
          </w:p>
        </w:tc>
        <w:tc>
          <w:tcPr>
            <w:tcW w:w="120" w:type="dxa"/>
            <w:vAlign w:val="bottom"/>
          </w:tcPr>
          <w:p>
            <w:pPr>
              <w:spacing w:after="0"/>
              <w:rPr>
                <w:sz w:val="21"/>
                <w:szCs w:val="21"/>
                <w:color w:val="auto"/>
              </w:rPr>
            </w:pPr>
          </w:p>
        </w:tc>
        <w:tc>
          <w:tcPr>
            <w:tcW w:w="680" w:type="dxa"/>
            <w:vAlign w:val="bottom"/>
          </w:tcPr>
          <w:p>
            <w:pPr>
              <w:jc w:val="right"/>
              <w:ind w:right="4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64,306</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Amortization of intangible assets (a)</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1,126</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1,056</w:t>
            </w:r>
          </w:p>
        </w:tc>
        <w:tc>
          <w:tcPr>
            <w:tcW w:w="0" w:type="dxa"/>
            <w:vAlign w:val="bottom"/>
          </w:tcPr>
          <w:p>
            <w:pPr>
              <w:spacing w:after="0"/>
              <w:rPr>
                <w:sz w:val="1"/>
                <w:szCs w:val="1"/>
                <w:color w:val="auto"/>
              </w:rPr>
            </w:pP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Amortization or write-off of debt issuance costs and write-off of original issue discount</w:t>
            </w:r>
          </w:p>
        </w:tc>
        <w:tc>
          <w:tcPr>
            <w:tcW w:w="44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1,289</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1,294</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Adjustments for tax effect (b)</w:t>
            </w: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(966)</w:t>
            </w:r>
          </w:p>
        </w:tc>
        <w:tc>
          <w:tcPr>
            <w:tcW w:w="1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(940)</w:t>
            </w:r>
          </w:p>
        </w:tc>
        <w:tc>
          <w:tcPr>
            <w:tcW w:w="0" w:type="dxa"/>
            <w:vAlign w:val="bottom"/>
          </w:tcPr>
          <w:p>
            <w:pPr>
              <w:spacing w:after="0"/>
              <w:rPr>
                <w:sz w:val="1"/>
                <w:szCs w:val="1"/>
                <w:color w:val="auto"/>
              </w:rPr>
            </w:pPr>
          </w:p>
        </w:tc>
      </w:tr>
      <w:tr>
        <w:trPr>
          <w:trHeight w:val="237"/>
        </w:trPr>
        <w:tc>
          <w:tcPr>
            <w:tcW w:w="7660" w:type="dxa"/>
            <w:vAlign w:val="bottom"/>
          </w:tcPr>
          <w:p>
            <w:pPr>
              <w:ind w:left="720"/>
              <w:spacing w:after="0"/>
              <w:rPr>
                <w:sz w:val="20"/>
                <w:szCs w:val="20"/>
                <w:color w:val="auto"/>
              </w:rPr>
            </w:pPr>
            <w:r>
              <w:rPr>
                <w:rFonts w:ascii="Arial" w:cs="Arial" w:eastAsia="Arial" w:hAnsi="Arial"/>
                <w:sz w:val="18"/>
                <w:szCs w:val="18"/>
                <w:color w:val="auto"/>
              </w:rPr>
              <w:t>Adjusted Net Income</w:t>
            </w: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69,266</w:t>
            </w:r>
          </w:p>
        </w:tc>
        <w:tc>
          <w:tcPr>
            <w:tcW w:w="120" w:type="dxa"/>
            <w:vAlign w:val="bottom"/>
          </w:tcPr>
          <w:p>
            <w:pPr>
              <w:spacing w:after="0"/>
              <w:rPr>
                <w:sz w:val="20"/>
                <w:szCs w:val="20"/>
                <w:color w:val="auto"/>
              </w:rPr>
            </w:pPr>
          </w:p>
        </w:tc>
        <w:tc>
          <w:tcPr>
            <w:tcW w:w="68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65,716</w:t>
            </w:r>
          </w:p>
        </w:tc>
        <w:tc>
          <w:tcPr>
            <w:tcW w:w="0" w:type="dxa"/>
            <w:vAlign w:val="bottom"/>
          </w:tcPr>
          <w:p>
            <w:pPr>
              <w:spacing w:after="0"/>
              <w:rPr>
                <w:sz w:val="1"/>
                <w:szCs w:val="1"/>
                <w:color w:val="auto"/>
              </w:rPr>
            </w:pPr>
          </w:p>
        </w:tc>
      </w:tr>
      <w:tr>
        <w:trPr>
          <w:trHeight w:val="67"/>
        </w:trPr>
        <w:tc>
          <w:tcPr>
            <w:tcW w:w="766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76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i w:val="1"/>
                <w:iCs w:val="1"/>
                <w:color w:val="auto"/>
              </w:rPr>
              <w:t>Adjusted Diluted Earnings Per Share</w:t>
            </w:r>
          </w:p>
        </w:tc>
        <w:tc>
          <w:tcPr>
            <w:tcW w:w="4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Weighted-average number of diluted shares outstanding</w:t>
            </w:r>
          </w:p>
        </w:tc>
        <w:tc>
          <w:tcPr>
            <w:tcW w:w="44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149,634,592</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149,271,321</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Adjusted Net Income Per Diluted Share (c)</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0.46</w:t>
            </w: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i w:val="1"/>
                <w:iCs w:val="1"/>
                <w:color w:val="auto"/>
              </w:rPr>
              <w:t>Free Cash Flow</w:t>
            </w: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660" w:type="dxa"/>
            <w:vAlign w:val="bottom"/>
            <w:vMerge w:val="continue"/>
          </w:tcPr>
          <w:p>
            <w:pPr>
              <w:spacing w:after="0"/>
              <w:rPr>
                <w:sz w:val="17"/>
                <w:szCs w:val="17"/>
                <w:color w:val="auto"/>
              </w:rPr>
            </w:pPr>
          </w:p>
        </w:tc>
        <w:tc>
          <w:tcPr>
            <w:tcW w:w="4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76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cash provided by operating activities</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11,647</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19,096</w:t>
            </w:r>
          </w:p>
        </w:tc>
        <w:tc>
          <w:tcPr>
            <w:tcW w:w="0" w:type="dxa"/>
            <w:vAlign w:val="bottom"/>
          </w:tcPr>
          <w:p>
            <w:pPr>
              <w:spacing w:after="0"/>
              <w:rPr>
                <w:sz w:val="1"/>
                <w:szCs w:val="1"/>
                <w:color w:val="auto"/>
              </w:rPr>
            </w:pP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Less: Purchases of property and equipment</w:t>
            </w: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(6,171)</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(13,140)</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6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Free Cash Flow</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5,476</w:t>
            </w: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5,956</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660" w:hanging="65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Reflects amortization of intangible assets resulting from the Acquisition of our Company by The Carlyle Group.</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Reflects tax effect of adjustments at an assumed marginal tax rate of 40%.</w:t>
      </w:r>
    </w:p>
    <w:p>
      <w:pPr>
        <w:spacing w:after="0" w:line="117" w:lineRule="exact"/>
        <w:rPr>
          <w:rFonts w:ascii="Arial" w:cs="Arial" w:eastAsia="Arial" w:hAnsi="Arial"/>
          <w:sz w:val="18"/>
          <w:szCs w:val="18"/>
          <w:color w:val="auto"/>
        </w:rPr>
      </w:pPr>
    </w:p>
    <w:p>
      <w:pPr>
        <w:ind w:left="660" w:right="720" w:hanging="652"/>
        <w:spacing w:after="0" w:line="308"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Excludes an adjustment of approximately $0.6 million and $0.7 million of net earnings for the three months ended June 30, 2016 and 2015, respectively, associated with the application of the two-class method for computing diluted earnings per share.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881"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Factors and Trends Affecting Our Results of Operations</w:t>
      </w:r>
    </w:p>
    <w:p>
      <w:pPr>
        <w:spacing w:after="0" w:line="121" w:lineRule="exact"/>
        <w:rPr>
          <w:sz w:val="20"/>
          <w:szCs w:val="20"/>
          <w:color w:val="auto"/>
        </w:rPr>
      </w:pPr>
    </w:p>
    <w:p>
      <w:pPr>
        <w:ind w:right="440" w:firstLine="405"/>
        <w:spacing w:after="0" w:line="277" w:lineRule="auto"/>
        <w:rPr>
          <w:sz w:val="20"/>
          <w:szCs w:val="20"/>
          <w:color w:val="auto"/>
        </w:rPr>
      </w:pPr>
      <w:r>
        <w:rPr>
          <w:rFonts w:ascii="Arial" w:cs="Arial" w:eastAsia="Arial" w:hAnsi="Arial"/>
          <w:sz w:val="18"/>
          <w:szCs w:val="18"/>
          <w:color w:val="auto"/>
        </w:rPr>
        <w:t>Our results of operations have been, and we expect them to continue to be, affected by the following factors, which may cause our future results of operations to differ from our historical results of operations discussed under “— Results of Operations.”</w:t>
      </w:r>
    </w:p>
    <w:p>
      <w:pPr>
        <w:spacing w:after="0" w:line="6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Business Environment and Key Trends in Our Markets</w:t>
      </w:r>
    </w:p>
    <w:p>
      <w:pPr>
        <w:spacing w:after="0" w:line="117" w:lineRule="exact"/>
        <w:rPr>
          <w:sz w:val="20"/>
          <w:szCs w:val="20"/>
          <w:color w:val="auto"/>
        </w:rPr>
      </w:pPr>
    </w:p>
    <w:p>
      <w:pPr>
        <w:ind w:right="320" w:firstLine="405"/>
        <w:spacing w:after="0" w:line="277" w:lineRule="auto"/>
        <w:rPr>
          <w:sz w:val="20"/>
          <w:szCs w:val="20"/>
          <w:color w:val="auto"/>
        </w:rPr>
      </w:pPr>
      <w:r>
        <w:rPr>
          <w:rFonts w:ascii="Arial" w:cs="Arial" w:eastAsia="Arial" w:hAnsi="Arial"/>
          <w:sz w:val="18"/>
          <w:szCs w:val="18"/>
          <w:color w:val="auto"/>
        </w:rPr>
        <w:t>We believe that the following trends and developments in the U.S. government services industry and our markets may influence our future results of operations:</w:t>
      </w:r>
    </w:p>
    <w:p>
      <w:pPr>
        <w:spacing w:after="0" w:line="62" w:lineRule="exact"/>
        <w:rPr>
          <w:sz w:val="20"/>
          <w:szCs w:val="20"/>
          <w:color w:val="auto"/>
        </w:rPr>
      </w:pPr>
    </w:p>
    <w:p>
      <w:pPr>
        <w:ind w:left="1300" w:right="320" w:hanging="644"/>
        <w:spacing w:after="0" w:line="297" w:lineRule="auto"/>
        <w:tabs>
          <w:tab w:leader="none" w:pos="13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uncertainty around the timing, extent, nature and effect of Congressional and other U.S. government actions to address budgetary constraints, caps on the discretionary budget for defense non-defense departments and agencies, as established by the Bipartisan Budget Control Act 2011 and subsequently adjusted by the American Tax Payer Relief Act of 2012, the Bipartisan Budget Act of 2013 and the Bipartisan Budget Act of 2015, and the ability of Congress to determine how to allocate the available budget authority and pass appropriations bills to fund both U.S. government departments and agencies that are, and those that are not, subject to the caps;</w:t>
      </w:r>
    </w:p>
    <w:p>
      <w:pPr>
        <w:spacing w:after="0" w:line="50" w:lineRule="exact"/>
        <w:rPr>
          <w:rFonts w:ascii="Arial" w:cs="Arial" w:eastAsia="Arial" w:hAnsi="Arial"/>
          <w:sz w:val="16"/>
          <w:szCs w:val="16"/>
          <w:color w:val="auto"/>
        </w:rPr>
      </w:pPr>
    </w:p>
    <w:p>
      <w:pPr>
        <w:ind w:left="1300" w:right="80" w:hanging="644"/>
        <w:spacing w:after="0" w:line="277"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budget deficits and the growing U.S. national debt increasing pressure on the U.S. government to reduce federal spending across all federal agencies together with associated uncertainty about the size and timing of those reductions;</w:t>
      </w:r>
    </w:p>
    <w:p>
      <w:pPr>
        <w:spacing w:after="0" w:line="62" w:lineRule="exact"/>
        <w:rPr>
          <w:rFonts w:ascii="Arial" w:cs="Arial" w:eastAsia="Arial" w:hAnsi="Arial"/>
          <w:sz w:val="18"/>
          <w:szCs w:val="18"/>
          <w:color w:val="auto"/>
        </w:rPr>
      </w:pPr>
    </w:p>
    <w:p>
      <w:pPr>
        <w:ind w:left="1300" w:hanging="644"/>
        <w:spacing w:after="0" w:line="270" w:lineRule="auto"/>
        <w:tabs>
          <w:tab w:leader="none" w:pos="13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cost cutting and efficiency initiatives, current and future budget restrictions, continued implementation of Congressionally mandated automatic spending cuts and other efforts to reduce U.S. government spending, could cause clients to reduce or delay funding for orders for services or invest appropriated funds on a less consistent or rapid basis or not at all, particularly when considering long-term initiatives and in light of uncertainty around Congressional efforts to craft a long-term agreement on the U.S. government's ability to incur indebtedness in excess of its current limits and generally in the current political environment, there is a risk that clients will not issue task orders in sufficient volume to reach current contract ceilings, alter historical patterns of contract awards, including the typical increase in the award of task orders or completion of other contract actions by the U.S. government in the period before the end of the U.S. government's fiscal year on September 30, delay requests for new proposals and contract awards, rely on short-term extensions and funding of current contracts, or reduce staffing levels and hours of operation;</w:t>
      </w:r>
    </w:p>
    <w:p>
      <w:pPr>
        <w:spacing w:after="0" w:line="73" w:lineRule="exact"/>
        <w:rPr>
          <w:rFonts w:ascii="Arial" w:cs="Arial" w:eastAsia="Arial" w:hAnsi="Arial"/>
          <w:sz w:val="17"/>
          <w:szCs w:val="17"/>
          <w:color w:val="auto"/>
        </w:rPr>
      </w:pPr>
    </w:p>
    <w:p>
      <w:pPr>
        <w:ind w:left="1300" w:right="60" w:hanging="644"/>
        <w:spacing w:after="0" w:line="277"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delays in the completion of future U.S. government’s budget processes, which have in the past and could in the future delay procurement of the products, services, and solutions we provide;</w:t>
      </w:r>
    </w:p>
    <w:p>
      <w:pPr>
        <w:spacing w:after="0" w:line="62" w:lineRule="exact"/>
        <w:rPr>
          <w:rFonts w:ascii="Arial" w:cs="Arial" w:eastAsia="Arial" w:hAnsi="Arial"/>
          <w:sz w:val="18"/>
          <w:szCs w:val="18"/>
          <w:color w:val="auto"/>
        </w:rPr>
      </w:pPr>
    </w:p>
    <w:p>
      <w:pPr>
        <w:ind w:left="1300" w:right="60" w:hanging="644"/>
        <w:spacing w:after="0" w:line="259"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the relative mix of overall U.S. government spending and areas of spending growth, with lower spending on homeland security, intelligence and defense-related programs as certain overseas operations end, and continued increased spending on cyber-security, Command, Control, Communications, Computers, Intelligence, Surveillance, and Reconnaissance (C4ISR), advanced analytics, technology integration and healthcare;</w:t>
      </w:r>
    </w:p>
    <w:p>
      <w:pPr>
        <w:spacing w:after="0" w:line="78" w:lineRule="exact"/>
        <w:rPr>
          <w:rFonts w:ascii="Arial" w:cs="Arial" w:eastAsia="Arial" w:hAnsi="Arial"/>
          <w:sz w:val="18"/>
          <w:szCs w:val="18"/>
          <w:color w:val="auto"/>
        </w:rPr>
      </w:pPr>
    </w:p>
    <w:p>
      <w:pPr>
        <w:ind w:left="1300" w:hanging="644"/>
        <w:spacing w:after="0" w:line="259"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legislative and regulatory changes to limitations on the amount of allowable executive compensation permitted under flexibly priced contracts following implementation of interim rules adopted by federal agencies pursuant to the Bipartisan Budget Act of 2013 published on June 24, 2014, which substantially further reduce the amount of allowable executive compensation under these contracts and extend these limitations to a larger segment of our executives and our entire contract base;</w:t>
      </w:r>
    </w:p>
    <w:p>
      <w:pPr>
        <w:spacing w:after="0" w:line="78" w:lineRule="exact"/>
        <w:rPr>
          <w:rFonts w:ascii="Arial" w:cs="Arial" w:eastAsia="Arial" w:hAnsi="Arial"/>
          <w:sz w:val="18"/>
          <w:szCs w:val="18"/>
          <w:color w:val="auto"/>
        </w:rPr>
      </w:pPr>
    </w:p>
    <w:p>
      <w:pPr>
        <w:ind w:left="1300" w:right="40" w:hanging="644"/>
        <w:spacing w:after="0" w:line="277"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efforts by the U.S. government to address organizational conflicts of interest and related issues and the impact of those efforts on us and our competitors;</w:t>
      </w:r>
    </w:p>
    <w:p>
      <w:pPr>
        <w:spacing w:after="0" w:line="62"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increased audit, review, investigation and general scrutiny by U.S. government agencies of government contractors' performance under U.S. government contracts and compliance with the terms of those contracts and applicable laws;</w:t>
      </w:r>
    </w:p>
    <w:p>
      <w:pPr>
        <w:spacing w:after="0" w:line="62" w:lineRule="exact"/>
        <w:rPr>
          <w:rFonts w:ascii="Arial" w:cs="Arial" w:eastAsia="Arial" w:hAnsi="Arial"/>
          <w:sz w:val="18"/>
          <w:szCs w:val="18"/>
          <w:color w:val="auto"/>
        </w:rPr>
      </w:pPr>
    </w:p>
    <w:p>
      <w:pPr>
        <w:ind w:left="1300" w:right="80" w:hanging="644"/>
        <w:spacing w:after="0" w:line="264"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federal focus on refining the definition of “inherently governmental” work, including proposals to limit contractor access to sensitive or classified information and work assignments, which will continue to drive pockets of insourcing in various agencies, particularly in the intelligence market;</w:t>
      </w:r>
    </w:p>
    <w:p>
      <w:pPr>
        <w:spacing w:after="0" w:line="73" w:lineRule="exact"/>
        <w:rPr>
          <w:rFonts w:ascii="Arial" w:cs="Arial" w:eastAsia="Arial" w:hAnsi="Arial"/>
          <w:sz w:val="18"/>
          <w:szCs w:val="18"/>
          <w:color w:val="auto"/>
        </w:rPr>
      </w:pPr>
    </w:p>
    <w:p>
      <w:pPr>
        <w:ind w:left="1300" w:right="180" w:hanging="644"/>
        <w:spacing w:after="0" w:line="277"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negative publicity and increased scrutiny of government contractors in general, including us, relating to U.S. government expenditures for contractor services and incidents involving the mishandling of sensitive or classified information;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877" w:right="239" w:bottom="1440" w:gutter="0" w:footer="0" w:header="0"/>
        </w:sectPr>
      </w:pPr>
    </w:p>
    <w:bookmarkStart w:id="20" w:name="page21"/>
    <w:bookmarkEnd w:id="20"/>
    <w:p>
      <w:pPr>
        <w:ind w:left="1300" w:right="360" w:hanging="644"/>
        <w:spacing w:after="0" w:line="277"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U.S. government agencies awarding contracts on a technically acceptable/lowest cost basis, which could have a negative impact on our ability to win certain contracts;</w:t>
      </w:r>
    </w:p>
    <w:p>
      <w:pPr>
        <w:spacing w:after="0" w:line="62" w:lineRule="exact"/>
        <w:rPr>
          <w:rFonts w:ascii="Arial" w:cs="Arial" w:eastAsia="Arial" w:hAnsi="Arial"/>
          <w:sz w:val="18"/>
          <w:szCs w:val="18"/>
          <w:color w:val="auto"/>
        </w:rPr>
      </w:pPr>
    </w:p>
    <w:p>
      <w:pPr>
        <w:ind w:left="1300" w:hanging="644"/>
        <w:spacing w:after="0" w:line="342" w:lineRule="auto"/>
        <w:tabs>
          <w:tab w:leader="none" w:pos="13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increased competition from other government contractors and market entrants seeking to take advantage of certain of the trends identified above, and industry trend towards consolidation, which may result in the emergence of companies that are better able to compete against us;</w:t>
      </w:r>
    </w:p>
    <w:p>
      <w:pPr>
        <w:spacing w:after="0" w:line="15" w:lineRule="exact"/>
        <w:rPr>
          <w:rFonts w:ascii="Arial" w:cs="Arial" w:eastAsia="Arial" w:hAnsi="Arial"/>
          <w:sz w:val="16"/>
          <w:szCs w:val="16"/>
          <w:color w:val="auto"/>
        </w:rPr>
      </w:pPr>
    </w:p>
    <w:p>
      <w:pPr>
        <w:ind w:left="1300" w:right="200" w:hanging="644"/>
        <w:spacing w:after="0" w:line="312" w:lineRule="auto"/>
        <w:tabs>
          <w:tab w:leader="none" w:pos="13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cost cutting and efficiency and effectiveness efforts by U.S. civilian agencies with a focus on increased use of performance measurement, “program integrity” efforts to reduce waste, fraud and abuse in entitlement programs, and renewed focus on improving procurement practices for and interagency use of IT services, including through the use of cloud based options and data center consolidation;</w:t>
      </w:r>
    </w:p>
    <w:p>
      <w:pPr>
        <w:spacing w:after="0" w:line="38" w:lineRule="exact"/>
        <w:rPr>
          <w:rFonts w:ascii="Arial" w:cs="Arial" w:eastAsia="Arial" w:hAnsi="Arial"/>
          <w:sz w:val="16"/>
          <w:szCs w:val="16"/>
          <w:color w:val="auto"/>
        </w:rPr>
      </w:pPr>
    </w:p>
    <w:p>
      <w:pPr>
        <w:ind w:left="1300" w:right="400" w:hanging="644"/>
        <w:spacing w:after="0" w:line="342" w:lineRule="auto"/>
        <w:tabs>
          <w:tab w:leader="none" w:pos="13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restrictions by the U.S. government on the ability of federal agencies to use lead system integrators, in response to cost, schedule and performance problems with large defense acquisition programs where contractors were performing the lead system integrator role; and</w:t>
      </w:r>
    </w:p>
    <w:p>
      <w:pPr>
        <w:spacing w:after="0" w:line="15" w:lineRule="exact"/>
        <w:rPr>
          <w:rFonts w:ascii="Arial" w:cs="Arial" w:eastAsia="Arial" w:hAnsi="Arial"/>
          <w:sz w:val="16"/>
          <w:szCs w:val="16"/>
          <w:color w:val="auto"/>
        </w:rPr>
      </w:pPr>
    </w:p>
    <w:p>
      <w:pPr>
        <w:ind w:left="1300" w:right="40" w:hanging="644"/>
        <w:spacing w:after="0" w:line="264"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increasingly complex requirements of the Department of Defense and the U.S. Intelligence Community, including cyber-security, managing federal health care cost growth and focus on reforming existing government regulation of various sectors of the economy, such as financial regulation and healthcare.</w:t>
      </w:r>
    </w:p>
    <w:p>
      <w:pPr>
        <w:spacing w:after="0" w:line="7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Sources of Revenue</w:t>
      </w:r>
    </w:p>
    <w:p>
      <w:pPr>
        <w:spacing w:after="0" w:line="117" w:lineRule="exact"/>
        <w:rPr>
          <w:sz w:val="20"/>
          <w:szCs w:val="20"/>
          <w:color w:val="auto"/>
        </w:rPr>
      </w:pPr>
    </w:p>
    <w:p>
      <w:pPr>
        <w:ind w:firstLine="405"/>
        <w:spacing w:after="0" w:line="287" w:lineRule="auto"/>
        <w:rPr>
          <w:sz w:val="20"/>
          <w:szCs w:val="20"/>
          <w:color w:val="auto"/>
        </w:rPr>
      </w:pPr>
      <w:r>
        <w:rPr>
          <w:rFonts w:ascii="Arial" w:cs="Arial" w:eastAsia="Arial" w:hAnsi="Arial"/>
          <w:sz w:val="16"/>
          <w:szCs w:val="16"/>
          <w:color w:val="auto"/>
        </w:rPr>
        <w:t>Substantially all of our revenue is derived from services provided under contracts and task orders with the U.S. government, primarily by our consulting staff and, to a lesser extent, our subcontractors. Funding for our contracts and task orders is generally linked to trends in budgets and spending across various U.S. government agencies and departments. We provide services under a large portfolio of contracts and contract vehicles to a broad client base, and we believe that our diversified contract and client base lessens potential volatility in our business; however, a reduction in the amount of services that we are contracted to provide to the U.S. government or any of our significant U.S. government clients could have a material adverse effect on our business and results of operations. In particular, the Department of Defense is one of our significant clients, and the Budget Control Act of 2011 (as amended by the American Taxpayer Relief Act of 2012, the Bipartisan Budget Act of 2013 and the Bipartisan Budget Act of 2015), provides for automatic spending cuts totaling approximately $1.2 trillion between 2013 and 2021, and requires an estimated $500 billion in federal defense spending cuts over this time period. The Bipartisan Budget Act of 2015 raised existing spending caps on defense spending by $25 billion and $15 billion for government fiscal years 2016 and 2017, respectively, but did not address spending caps beyond fiscal 2017. A reduction in the amount of services that we are contracted to provide to the Department of Defense could have a material adverse effect on our business and results of operations, and given the uncertainty of when and how these automatic reductions may be applied, we are unable to predict the nature or magnitude of the potential adverse effect.</w:t>
      </w:r>
    </w:p>
    <w:p>
      <w:pPr>
        <w:spacing w:after="0" w:line="6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Contract Types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generate revenue under the following three basic types of contracts:</w:t>
      </w:r>
    </w:p>
    <w:p>
      <w:pPr>
        <w:spacing w:after="0" w:line="117" w:lineRule="exact"/>
        <w:rPr>
          <w:sz w:val="20"/>
          <w:szCs w:val="20"/>
          <w:color w:val="auto"/>
        </w:rPr>
      </w:pPr>
    </w:p>
    <w:p>
      <w:pPr>
        <w:ind w:left="1960" w:right="20" w:hanging="655"/>
        <w:spacing w:after="0" w:line="270" w:lineRule="auto"/>
        <w:tabs>
          <w:tab w:leader="none" w:pos="1960" w:val="left"/>
        </w:tabs>
        <w:numPr>
          <w:ilvl w:val="0"/>
          <w:numId w:val="19"/>
        </w:numPr>
        <w:rPr>
          <w:rFonts w:ascii="Arial" w:cs="Arial" w:eastAsia="Arial" w:hAnsi="Arial"/>
          <w:sz w:val="17"/>
          <w:szCs w:val="17"/>
          <w:color w:val="auto"/>
        </w:rPr>
      </w:pPr>
      <w:r>
        <w:rPr>
          <w:rFonts w:ascii="Arial" w:cs="Arial" w:eastAsia="Arial" w:hAnsi="Arial"/>
          <w:sz w:val="17"/>
          <w:szCs w:val="17"/>
          <w:i w:val="1"/>
          <w:iCs w:val="1"/>
          <w:color w:val="auto"/>
        </w:rPr>
        <w:t xml:space="preserve">Cost-Reimbursable Contracts. </w:t>
      </w:r>
      <w:r>
        <w:rPr>
          <w:rFonts w:ascii="Arial" w:cs="Arial" w:eastAsia="Arial" w:hAnsi="Arial"/>
          <w:sz w:val="17"/>
          <w:szCs w:val="17"/>
          <w:color w:val="auto"/>
        </w:rPr>
        <w:t>Cost-reimbursable contracts provide for the payment of allowable costs incurred during</w:t>
      </w:r>
      <w:r>
        <w:rPr>
          <w:rFonts w:ascii="Arial" w:cs="Arial" w:eastAsia="Arial" w:hAnsi="Arial"/>
          <w:sz w:val="17"/>
          <w:szCs w:val="17"/>
          <w:i w:val="1"/>
          <w:iCs w:val="1"/>
          <w:color w:val="auto"/>
        </w:rPr>
        <w:t xml:space="preserve"> </w:t>
      </w:r>
      <w:r>
        <w:rPr>
          <w:rFonts w:ascii="Arial" w:cs="Arial" w:eastAsia="Arial" w:hAnsi="Arial"/>
          <w:sz w:val="17"/>
          <w:szCs w:val="17"/>
          <w:color w:val="auto"/>
        </w:rPr>
        <w:t>performance of the contract, up to a ceiling based on the amount that has been funded, plus a fee. As we increase or decrease our spending on allowable costs, our revenue generated on cost-reimbursable contracts will increase, up to the ceiling and funded amounts, or decrease, respectively. We generate revenue under two general types of cost-reimbursable contracts: cost-plus-fixed-fee and cost-plus-award-fee, both of which reimburse allowable costs and provide for a fee. The fee under each type of cost-reimbursable contract is generally payable upon completion of services in accordance with the terms of the contract. Cost-plus-fixed-fee contracts offer no opportunity for payment beyond the fixed fee. Cost-plus-award-fee contracts also provide for an award fee that varies within specified limits based upon the client’s assessment of our performance against a predetermined set of criteria, such as targets for factors like cost, quality, schedule, and performance.</w:t>
      </w:r>
    </w:p>
    <w:p>
      <w:pPr>
        <w:spacing w:after="0" w:line="73" w:lineRule="exact"/>
        <w:rPr>
          <w:rFonts w:ascii="Arial" w:cs="Arial" w:eastAsia="Arial" w:hAnsi="Arial"/>
          <w:sz w:val="17"/>
          <w:szCs w:val="17"/>
          <w:color w:val="auto"/>
        </w:rPr>
      </w:pPr>
    </w:p>
    <w:p>
      <w:pPr>
        <w:ind w:left="1960" w:right="100" w:hanging="655"/>
        <w:spacing w:after="0" w:line="257" w:lineRule="auto"/>
        <w:tabs>
          <w:tab w:leader="none" w:pos="196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Time-and-Materials Contracts. </w:t>
      </w:r>
      <w:r>
        <w:rPr>
          <w:rFonts w:ascii="Arial" w:cs="Arial" w:eastAsia="Arial" w:hAnsi="Arial"/>
          <w:sz w:val="18"/>
          <w:szCs w:val="18"/>
          <w:color w:val="auto"/>
        </w:rPr>
        <w:t>Under a time-and-materials contract, we are paid a fixed hourly rate for each direct labor hour</w:t>
      </w:r>
      <w:r>
        <w:rPr>
          <w:rFonts w:ascii="Arial" w:cs="Arial" w:eastAsia="Arial" w:hAnsi="Arial"/>
          <w:sz w:val="18"/>
          <w:szCs w:val="18"/>
          <w:i w:val="1"/>
          <w:iCs w:val="1"/>
          <w:color w:val="auto"/>
        </w:rPr>
        <w:t xml:space="preserve"> </w:t>
      </w:r>
      <w:r>
        <w:rPr>
          <w:rFonts w:ascii="Arial" w:cs="Arial" w:eastAsia="Arial" w:hAnsi="Arial"/>
          <w:sz w:val="18"/>
          <w:szCs w:val="18"/>
          <w:color w:val="auto"/>
        </w:rPr>
        <w:t>expended, and we are reimbursed for billable material costs and billable out-of-pocket expenses inclusive of allocable indirect costs. To the extent our actual direct labor including allocated indirect costs, and associated billable expenses decrease or increase in relation to the fixed hourly billing rates provided in the contract, we will generate more or less profit, respectively, or could incur a loss.</w:t>
      </w:r>
    </w:p>
    <w:p>
      <w:pPr>
        <w:spacing w:after="0" w:line="80" w:lineRule="exact"/>
        <w:rPr>
          <w:rFonts w:ascii="Arial" w:cs="Arial" w:eastAsia="Arial" w:hAnsi="Arial"/>
          <w:sz w:val="18"/>
          <w:szCs w:val="18"/>
          <w:i w:val="1"/>
          <w:iCs w:val="1"/>
          <w:color w:val="auto"/>
        </w:rPr>
      </w:pPr>
    </w:p>
    <w:p>
      <w:pPr>
        <w:ind w:left="1960" w:right="320" w:hanging="655"/>
        <w:spacing w:after="0" w:line="277" w:lineRule="auto"/>
        <w:tabs>
          <w:tab w:leader="none" w:pos="196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Fixed-Price Contracts. </w:t>
      </w:r>
      <w:r>
        <w:rPr>
          <w:rFonts w:ascii="Arial" w:cs="Arial" w:eastAsia="Arial" w:hAnsi="Arial"/>
          <w:sz w:val="18"/>
          <w:szCs w:val="18"/>
          <w:color w:val="auto"/>
        </w:rPr>
        <w:t>Under a fixed-price contract, we agree to perform the specified work for a pre-determined price. To the</w:t>
      </w:r>
      <w:r>
        <w:rPr>
          <w:rFonts w:ascii="Arial" w:cs="Arial" w:eastAsia="Arial" w:hAnsi="Arial"/>
          <w:sz w:val="18"/>
          <w:szCs w:val="18"/>
          <w:i w:val="1"/>
          <w:iCs w:val="1"/>
          <w:color w:val="auto"/>
        </w:rPr>
        <w:t xml:space="preserve"> </w:t>
      </w:r>
      <w:r>
        <w:rPr>
          <w:rFonts w:ascii="Arial" w:cs="Arial" w:eastAsia="Arial" w:hAnsi="Arial"/>
          <w:sz w:val="18"/>
          <w:szCs w:val="18"/>
          <w:color w:val="auto"/>
        </w:rPr>
        <w:t>extent our actual direct and allocated indirect costs decrease or increase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881" w:right="259" w:bottom="1440" w:gutter="0" w:footer="0" w:header="0"/>
        </w:sectPr>
      </w:pPr>
    </w:p>
    <w:bookmarkStart w:id="21" w:name="page22"/>
    <w:bookmarkEnd w:id="21"/>
    <w:p>
      <w:pPr>
        <w:ind w:left="1960" w:right="200"/>
        <w:spacing w:after="0" w:line="306" w:lineRule="auto"/>
        <w:rPr>
          <w:sz w:val="20"/>
          <w:szCs w:val="20"/>
          <w:color w:val="auto"/>
        </w:rPr>
      </w:pPr>
      <w:r>
        <w:rPr>
          <w:rFonts w:ascii="Arial" w:cs="Arial" w:eastAsia="Arial" w:hAnsi="Arial"/>
          <w:sz w:val="18"/>
          <w:szCs w:val="18"/>
          <w:color w:val="auto"/>
        </w:rPr>
        <w:t>from the estimates upon which the price was negotiated, we will generate more or less profit, respectively, or could incur a loss. Some fixed-price contracts have a performance-based component, pursuant to which we can earn incentive payments or incur financial penalties based on our performance. Fixed-price level of effort contracts require us to provide a specified level of effort (i.e., labor hours), over a stated period of time, for a fixed price.</w:t>
      </w:r>
    </w:p>
    <w:p>
      <w:pPr>
        <w:spacing w:after="0" w:line="268"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The amount of risk and potential reward varies under each type of contract. Under cost-reimbursable contracts, there is limited financial risk, because we are reimbursed for all allowable costs up to a ceiling. However, profit margins on this type of contract tend to be lower than on time-and-materials and fixed-price contracts. Under time-and-materials contracts, we are reimbursed for the hours worked using the predetermined hourly rates for each labor category. In addition, we are typically reimbursed for other contract direct costs and expenses at cost. We assume financial risk on time-and-materials contracts because our labor costs may exceed the negotiated billing rates. Profit margins on well-managed time-and-materials contracts tend to be higher than profit margins on cost-reimbursable contracts as long as we are able to staff those contracts with people who have an appropriate skill set. Under fixed-price contracts, we are required to deliver the objectives under the contract for a pre-determined price. Compared to time-and-materials and cost-reimbursable contracts, fixed-price contracts generally offer higher profit margin opportunities because we receive the full benefit of any cost savings but generally involve greater financial risk because we bear the impact of any cost overruns. In the aggregate, the contract type mix in our revenue for any given period will affect that period's profitability. Changes in contract type as a result of re-competes and new business could influence the percentage/mix in an unanticipated way.</w:t>
      </w:r>
    </w:p>
    <w:p>
      <w:pPr>
        <w:spacing w:after="0" w:line="6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table below presents the percentage of total revenue for each type of contract:</w:t>
      </w:r>
    </w:p>
    <w:p>
      <w:pPr>
        <w:spacing w:after="0" w:line="352" w:lineRule="exact"/>
        <w:rPr>
          <w:sz w:val="20"/>
          <w:szCs w:val="20"/>
          <w:color w:val="auto"/>
        </w:rPr>
      </w:pPr>
    </w:p>
    <w:p>
      <w:pPr>
        <w:jc w:val="center"/>
        <w:ind w:left="458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458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13335</wp:posOffset>
            </wp:positionV>
            <wp:extent cx="188658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456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2016</w:t>
            </w:r>
          </w:p>
        </w:tc>
        <w:tc>
          <w:tcPr>
            <w:tcW w:w="12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2015</w:t>
            </w:r>
          </w:p>
        </w:tc>
      </w:tr>
      <w:tr>
        <w:trPr>
          <w:trHeight w:val="250"/>
        </w:trPr>
        <w:tc>
          <w:tcPr>
            <w:tcW w:w="2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Cost-reimbursable (1)</w:t>
            </w:r>
          </w:p>
        </w:tc>
        <w:tc>
          <w:tcPr>
            <w:tcW w:w="1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49%</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55%</w:t>
            </w:r>
          </w:p>
        </w:tc>
      </w:tr>
      <w:tr>
        <w:trPr>
          <w:trHeight w:val="243"/>
        </w:trPr>
        <w:tc>
          <w:tcPr>
            <w:tcW w:w="2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4560" w:type="dxa"/>
            <w:vAlign w:val="bottom"/>
          </w:tcPr>
          <w:p>
            <w:pPr>
              <w:ind w:left="20"/>
              <w:spacing w:after="0"/>
              <w:rPr>
                <w:sz w:val="20"/>
                <w:szCs w:val="20"/>
                <w:color w:val="auto"/>
              </w:rPr>
            </w:pPr>
            <w:r>
              <w:rPr>
                <w:rFonts w:ascii="Arial" w:cs="Arial" w:eastAsia="Arial" w:hAnsi="Arial"/>
                <w:sz w:val="18"/>
                <w:szCs w:val="18"/>
                <w:color w:val="auto"/>
              </w:rPr>
              <w:t>Time-and-materials</w:t>
            </w:r>
          </w:p>
        </w:tc>
        <w:tc>
          <w:tcPr>
            <w:tcW w:w="1420" w:type="dxa"/>
            <w:vAlign w:val="bottom"/>
          </w:tcPr>
          <w:p>
            <w:pPr>
              <w:jc w:val="center"/>
              <w:spacing w:after="0"/>
              <w:rPr>
                <w:sz w:val="20"/>
                <w:szCs w:val="20"/>
                <w:color w:val="auto"/>
              </w:rPr>
            </w:pPr>
            <w:r>
              <w:rPr>
                <w:rFonts w:ascii="Arial" w:cs="Arial" w:eastAsia="Arial" w:hAnsi="Arial"/>
                <w:sz w:val="18"/>
                <w:szCs w:val="18"/>
                <w:color w:val="auto"/>
                <w:w w:val="94"/>
              </w:rPr>
              <w:t>27%</w:t>
            </w:r>
          </w:p>
        </w:tc>
        <w:tc>
          <w:tcPr>
            <w:tcW w:w="120" w:type="dxa"/>
            <w:vAlign w:val="bottom"/>
          </w:tcPr>
          <w:p>
            <w:pPr>
              <w:spacing w:after="0"/>
              <w:rPr>
                <w:sz w:val="21"/>
                <w:szCs w:val="21"/>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4"/>
              </w:rPr>
              <w:t>24%</w:t>
            </w:r>
          </w:p>
        </w:tc>
      </w:tr>
      <w:tr>
        <w:trPr>
          <w:trHeight w:val="27"/>
        </w:trPr>
        <w:tc>
          <w:tcPr>
            <w:tcW w:w="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2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Fixed-price (2)</w:t>
            </w:r>
          </w:p>
        </w:tc>
        <w:tc>
          <w:tcPr>
            <w:tcW w:w="1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24%</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21%</w:t>
            </w:r>
          </w:p>
        </w:tc>
      </w:tr>
      <w:tr>
        <w:trPr>
          <w:trHeight w:val="540"/>
        </w:trPr>
        <w:tc>
          <w:tcPr>
            <w:tcW w:w="240" w:type="dxa"/>
            <w:vAlign w:val="bottom"/>
          </w:tcPr>
          <w:p>
            <w:pPr>
              <w:jc w:val="right"/>
              <w:spacing w:after="0"/>
              <w:rPr>
                <w:sz w:val="20"/>
                <w:szCs w:val="20"/>
                <w:color w:val="auto"/>
              </w:rPr>
            </w:pPr>
            <w:r>
              <w:rPr>
                <w:rFonts w:ascii="Arial" w:cs="Arial" w:eastAsia="Arial" w:hAnsi="Arial"/>
                <w:sz w:val="18"/>
                <w:szCs w:val="18"/>
                <w:color w:val="auto"/>
                <w:w w:val="90"/>
              </w:rPr>
              <w:t>(1)</w:t>
            </w:r>
          </w:p>
        </w:tc>
        <w:tc>
          <w:tcPr>
            <w:tcW w:w="6280" w:type="dxa"/>
            <w:vAlign w:val="bottom"/>
            <w:gridSpan w:val="2"/>
          </w:tcPr>
          <w:p>
            <w:pPr>
              <w:ind w:left="420"/>
              <w:spacing w:after="0"/>
              <w:rPr>
                <w:sz w:val="20"/>
                <w:szCs w:val="20"/>
                <w:color w:val="auto"/>
              </w:rPr>
            </w:pPr>
            <w:r>
              <w:rPr>
                <w:rFonts w:ascii="Arial" w:cs="Arial" w:eastAsia="Arial" w:hAnsi="Arial"/>
                <w:sz w:val="18"/>
                <w:szCs w:val="18"/>
                <w:color w:val="auto"/>
              </w:rPr>
              <w:t>Includes both cost-plus-fixed-fee and cost-plus-award-fee contracts.</w:t>
            </w: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324"/>
        </w:trPr>
        <w:tc>
          <w:tcPr>
            <w:tcW w:w="240" w:type="dxa"/>
            <w:vAlign w:val="bottom"/>
          </w:tcPr>
          <w:p>
            <w:pPr>
              <w:jc w:val="right"/>
              <w:spacing w:after="0"/>
              <w:rPr>
                <w:sz w:val="20"/>
                <w:szCs w:val="20"/>
                <w:color w:val="auto"/>
              </w:rPr>
            </w:pPr>
            <w:r>
              <w:rPr>
                <w:rFonts w:ascii="Arial" w:cs="Arial" w:eastAsia="Arial" w:hAnsi="Arial"/>
                <w:sz w:val="18"/>
                <w:szCs w:val="18"/>
                <w:color w:val="auto"/>
                <w:w w:val="90"/>
              </w:rPr>
              <w:t>(2)</w:t>
            </w:r>
          </w:p>
        </w:tc>
        <w:tc>
          <w:tcPr>
            <w:tcW w:w="6280" w:type="dxa"/>
            <w:vAlign w:val="bottom"/>
            <w:gridSpan w:val="2"/>
          </w:tcPr>
          <w:p>
            <w:pPr>
              <w:ind w:left="420"/>
              <w:spacing w:after="0"/>
              <w:rPr>
                <w:sz w:val="20"/>
                <w:szCs w:val="20"/>
                <w:color w:val="auto"/>
              </w:rPr>
            </w:pPr>
            <w:r>
              <w:rPr>
                <w:rFonts w:ascii="Arial" w:cs="Arial" w:eastAsia="Arial" w:hAnsi="Arial"/>
                <w:sz w:val="18"/>
                <w:szCs w:val="18"/>
                <w:color w:val="auto"/>
              </w:rPr>
              <w:t>Includes fixed-price level of effort contracts.</w:t>
            </w: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324"/>
        </w:trPr>
        <w:tc>
          <w:tcPr>
            <w:tcW w:w="240" w:type="dxa"/>
            <w:vAlign w:val="bottom"/>
          </w:tcPr>
          <w:p>
            <w:pPr>
              <w:spacing w:after="0"/>
              <w:rPr>
                <w:sz w:val="24"/>
                <w:szCs w:val="24"/>
                <w:color w:val="auto"/>
              </w:rPr>
            </w:pPr>
          </w:p>
        </w:tc>
        <w:tc>
          <w:tcPr>
            <w:tcW w:w="6280" w:type="dxa"/>
            <w:vAlign w:val="bottom"/>
            <w:gridSpan w:val="2"/>
          </w:tcPr>
          <w:p>
            <w:pPr>
              <w:ind w:left="20"/>
              <w:spacing w:after="0"/>
              <w:rPr>
                <w:sz w:val="20"/>
                <w:szCs w:val="20"/>
                <w:color w:val="auto"/>
              </w:rPr>
            </w:pPr>
            <w:r>
              <w:rPr>
                <w:rFonts w:ascii="Arial" w:cs="Arial" w:eastAsia="Arial" w:hAnsi="Arial"/>
                <w:sz w:val="18"/>
                <w:szCs w:val="18"/>
                <w:i w:val="1"/>
                <w:iCs w:val="1"/>
                <w:color w:val="auto"/>
              </w:rPr>
              <w:t>Contract Diversity and Revenue Mix</w:t>
            </w: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r>
    </w:tbl>
    <w:p>
      <w:pPr>
        <w:spacing w:after="0" w:line="94"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color w:val="auto"/>
        </w:rPr>
        <w:t>We provide services to our clients through a large number of single award contracts and contract vehicles and multiple award contract vehicles. Most of our revenue is generated under indefinite delivery/indefinite quantity, or ID/IQ, contract vehicles, which include multiple award government wide acquisition contract vehicles, or GWACs, and General Services Administration Multiple Award Schedule Contracts, or GSA schedules, and certain single award contracts. GWACs and GSA schedules are available to all U.S. government agencies. Any number of contractors typically compete under multiple award ID/IQ contract vehicles for task orders to provide particular services, and we earn revenue under these contract vehicles only to the extent that we are successful in the bidding process for task orders.</w:t>
      </w:r>
    </w:p>
    <w:p>
      <w:pPr>
        <w:spacing w:after="0" w:line="85" w:lineRule="exact"/>
        <w:rPr>
          <w:sz w:val="20"/>
          <w:szCs w:val="20"/>
          <w:color w:val="auto"/>
        </w:rPr>
      </w:pPr>
    </w:p>
    <w:p>
      <w:pPr>
        <w:ind w:right="40" w:firstLine="405"/>
        <w:spacing w:after="0" w:line="297" w:lineRule="auto"/>
        <w:rPr>
          <w:sz w:val="20"/>
          <w:szCs w:val="20"/>
          <w:color w:val="auto"/>
        </w:rPr>
      </w:pPr>
      <w:r>
        <w:rPr>
          <w:rFonts w:ascii="Arial" w:cs="Arial" w:eastAsia="Arial" w:hAnsi="Arial"/>
          <w:sz w:val="16"/>
          <w:szCs w:val="16"/>
          <w:color w:val="auto"/>
        </w:rPr>
        <w:t>We generate revenue under our contracts and task orders through our provision of services as both a prime contractor and subcontractor, as well as from the provision of services by subcontractors under contracts and task orders for which we act as the prime contractor. The mix of these types of revenue affects our operating margin. Substantially all of our operating margin is derived from direct consulting staff labor, as the portion of our operating margin derived from fees we earn on services provided by our subcontractors is not significant. We view growth in direct consulting staff labor as the primary driver of earnings growth. Direct consulting staff labor growth is driven by consulting staff headcount growth, after attrition, and total backlog growth.</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Our People</w:t>
      </w:r>
    </w:p>
    <w:p>
      <w:pPr>
        <w:spacing w:after="0" w:line="117" w:lineRule="exact"/>
        <w:rPr>
          <w:sz w:val="20"/>
          <w:szCs w:val="20"/>
          <w:color w:val="auto"/>
        </w:rPr>
      </w:pPr>
    </w:p>
    <w:p>
      <w:pPr>
        <w:ind w:firstLine="405"/>
        <w:spacing w:after="0" w:line="276" w:lineRule="auto"/>
        <w:rPr>
          <w:sz w:val="20"/>
          <w:szCs w:val="20"/>
          <w:color w:val="auto"/>
        </w:rPr>
      </w:pPr>
      <w:r>
        <w:rPr>
          <w:rFonts w:ascii="Arial" w:cs="Arial" w:eastAsia="Arial" w:hAnsi="Arial"/>
          <w:sz w:val="17"/>
          <w:szCs w:val="17"/>
          <w:color w:val="auto"/>
        </w:rPr>
        <w:t>Revenue from our contracts is derived from services delivered by consulting staff and, to a lesser extent, from our subcontractors. Our ability to hire, retain, and deploy talent with skills appropriately aligned with client needs is critical to our ability to grow our revenue. We continuously evaluate whether our talent base is properly sized and appropriately compensated, and contains an optimal mix of skills to be cost competitive and meet the rapidly evolving needs of our clients. We seek to achieve that result through recruitment and management of capacity and compensation. As of both June 30, 2016 and 2015, we employed approximately 22,500 people, of which approximately 20,200 and 20,300, respectively, were consulting staff.</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908" w:right="239" w:bottom="1440" w:gutter="0" w:footer="0" w:header="0"/>
        </w:sectPr>
      </w:pPr>
    </w:p>
    <w:bookmarkStart w:id="22" w:name="page23"/>
    <w:bookmarkEnd w:id="22"/>
    <w:p>
      <w:pPr>
        <w:ind w:left="260"/>
        <w:spacing w:after="0"/>
        <w:rPr>
          <w:sz w:val="20"/>
          <w:szCs w:val="20"/>
          <w:color w:val="auto"/>
        </w:rPr>
      </w:pPr>
      <w:r>
        <w:rPr>
          <w:rFonts w:ascii="Arial" w:cs="Arial" w:eastAsia="Arial" w:hAnsi="Arial"/>
          <w:sz w:val="18"/>
          <w:szCs w:val="18"/>
          <w:i w:val="1"/>
          <w:iCs w:val="1"/>
          <w:color w:val="auto"/>
        </w:rPr>
        <w:t>Contract Backlog</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define backlog to include the following three components:</w:t>
      </w:r>
    </w:p>
    <w:p>
      <w:pPr>
        <w:spacing w:after="0" w:line="117" w:lineRule="exact"/>
        <w:rPr>
          <w:sz w:val="20"/>
          <w:szCs w:val="20"/>
          <w:color w:val="auto"/>
        </w:rPr>
      </w:pPr>
    </w:p>
    <w:p>
      <w:pPr>
        <w:ind w:left="1300" w:right="760" w:hanging="644"/>
        <w:spacing w:after="0" w:line="277"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 xml:space="preserve">Funded Backlog. </w:t>
      </w:r>
      <w:r>
        <w:rPr>
          <w:rFonts w:ascii="Arial" w:cs="Arial" w:eastAsia="Arial" w:hAnsi="Arial"/>
          <w:sz w:val="18"/>
          <w:szCs w:val="18"/>
          <w:color w:val="auto"/>
        </w:rPr>
        <w:t>Funded backlog represents the revenue value of orders for services under existing contracts for which funding is</w:t>
      </w:r>
      <w:r>
        <w:rPr>
          <w:rFonts w:ascii="Arial" w:cs="Arial" w:eastAsia="Arial" w:hAnsi="Arial"/>
          <w:sz w:val="18"/>
          <w:szCs w:val="18"/>
          <w:i w:val="1"/>
          <w:iCs w:val="1"/>
          <w:color w:val="auto"/>
        </w:rPr>
        <w:t xml:space="preserve"> </w:t>
      </w:r>
      <w:r>
        <w:rPr>
          <w:rFonts w:ascii="Arial" w:cs="Arial" w:eastAsia="Arial" w:hAnsi="Arial"/>
          <w:sz w:val="18"/>
          <w:szCs w:val="18"/>
          <w:color w:val="auto"/>
        </w:rPr>
        <w:t>appropriated or otherwise authorized less revenue previously recognized on these contracts.</w:t>
      </w:r>
    </w:p>
    <w:p>
      <w:pPr>
        <w:spacing w:after="0" w:line="62"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 xml:space="preserve">Unfunded Backlog. </w:t>
      </w:r>
      <w:r>
        <w:rPr>
          <w:rFonts w:ascii="Arial" w:cs="Arial" w:eastAsia="Arial" w:hAnsi="Arial"/>
          <w:sz w:val="18"/>
          <w:szCs w:val="18"/>
          <w:color w:val="auto"/>
        </w:rPr>
        <w:t>Unfunded backlog represents the revenue value of orders for services under existing contracts for which funding has not</w:t>
      </w:r>
      <w:r>
        <w:rPr>
          <w:rFonts w:ascii="Arial" w:cs="Arial" w:eastAsia="Arial" w:hAnsi="Arial"/>
          <w:sz w:val="18"/>
          <w:szCs w:val="18"/>
          <w:i w:val="1"/>
          <w:iCs w:val="1"/>
          <w:color w:val="auto"/>
        </w:rPr>
        <w:t xml:space="preserve"> </w:t>
      </w:r>
      <w:r>
        <w:rPr>
          <w:rFonts w:ascii="Arial" w:cs="Arial" w:eastAsia="Arial" w:hAnsi="Arial"/>
          <w:sz w:val="18"/>
          <w:szCs w:val="18"/>
          <w:color w:val="auto"/>
        </w:rPr>
        <w:t>been appropriated or otherwise authorized.</w:t>
      </w:r>
    </w:p>
    <w:p>
      <w:pPr>
        <w:spacing w:after="0" w:line="62" w:lineRule="exact"/>
        <w:rPr>
          <w:rFonts w:ascii="Arial" w:cs="Arial" w:eastAsia="Arial" w:hAnsi="Arial"/>
          <w:sz w:val="18"/>
          <w:szCs w:val="18"/>
          <w:color w:val="auto"/>
        </w:rPr>
      </w:pPr>
    </w:p>
    <w:p>
      <w:pPr>
        <w:ind w:left="1300" w:right="220" w:hanging="644"/>
        <w:spacing w:after="0" w:line="308" w:lineRule="auto"/>
        <w:tabs>
          <w:tab w:leader="none" w:pos="1300" w:val="left"/>
        </w:tabs>
        <w:numPr>
          <w:ilvl w:val="0"/>
          <w:numId w:val="20"/>
        </w:numPr>
        <w:rPr>
          <w:rFonts w:ascii="Arial" w:cs="Arial" w:eastAsia="Arial" w:hAnsi="Arial"/>
          <w:sz w:val="17"/>
          <w:szCs w:val="17"/>
          <w:color w:val="auto"/>
        </w:rPr>
      </w:pPr>
      <w:r>
        <w:rPr>
          <w:rFonts w:ascii="Arial" w:cs="Arial" w:eastAsia="Arial" w:hAnsi="Arial"/>
          <w:sz w:val="17"/>
          <w:szCs w:val="17"/>
          <w:i w:val="1"/>
          <w:iCs w:val="1"/>
          <w:color w:val="auto"/>
        </w:rPr>
        <w:t xml:space="preserve">Priced Options. </w:t>
      </w:r>
      <w:r>
        <w:rPr>
          <w:rFonts w:ascii="Arial" w:cs="Arial" w:eastAsia="Arial" w:hAnsi="Arial"/>
          <w:sz w:val="17"/>
          <w:szCs w:val="17"/>
          <w:color w:val="auto"/>
        </w:rPr>
        <w:t>Priced contract options represent 100% of the revenue value of all future contract option periods under existing contracts</w:t>
      </w:r>
      <w:r>
        <w:rPr>
          <w:rFonts w:ascii="Arial" w:cs="Arial" w:eastAsia="Arial" w:hAnsi="Arial"/>
          <w:sz w:val="17"/>
          <w:szCs w:val="17"/>
          <w:i w:val="1"/>
          <w:iCs w:val="1"/>
          <w:color w:val="auto"/>
        </w:rPr>
        <w:t xml:space="preserve"> </w:t>
      </w:r>
      <w:r>
        <w:rPr>
          <w:rFonts w:ascii="Arial" w:cs="Arial" w:eastAsia="Arial" w:hAnsi="Arial"/>
          <w:sz w:val="17"/>
          <w:szCs w:val="17"/>
          <w:color w:val="auto"/>
        </w:rPr>
        <w:t>that may be exercised at our clients’ option and for which funding has not been appropriated or otherwise authorized.</w:t>
      </w:r>
    </w:p>
    <w:p>
      <w:pPr>
        <w:spacing w:after="0" w:line="38"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Backlog does not include any task orders under ID/IQ contracts, including GWACs and GSA schedules, except to the extent that task orders have been awarded to us under those contracts.</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value of our contract backlog at the respective dates presented:</w:t>
      </w:r>
    </w:p>
    <w:p>
      <w:pPr>
        <w:spacing w:after="0" w:line="271" w:lineRule="exact"/>
        <w:rPr>
          <w:sz w:val="20"/>
          <w:szCs w:val="20"/>
          <w:color w:val="auto"/>
        </w:rPr>
      </w:pPr>
    </w:p>
    <w:p>
      <w:pPr>
        <w:ind w:left="8220"/>
        <w:spacing w:after="0"/>
        <w:rPr>
          <w:sz w:val="20"/>
          <w:szCs w:val="20"/>
          <w:color w:val="auto"/>
        </w:rPr>
      </w:pPr>
      <w:r>
        <w:rPr>
          <w:rFonts w:ascii="Arial" w:cs="Arial" w:eastAsia="Arial" w:hAnsi="Arial"/>
          <w:sz w:val="14"/>
          <w:szCs w:val="14"/>
          <w:b w:val="1"/>
          <w:bCs w:val="1"/>
          <w:color w:val="auto"/>
        </w:rPr>
        <w:t>As of</w:t>
      </w:r>
    </w:p>
    <w:p>
      <w:pPr>
        <w:spacing w:after="0" w:line="4" w:lineRule="exact"/>
        <w:rPr>
          <w:sz w:val="20"/>
          <w:szCs w:val="20"/>
          <w:color w:val="auto"/>
        </w:rPr>
      </w:pPr>
    </w:p>
    <w:p>
      <w:pPr>
        <w:ind w:left="814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4301490</wp:posOffset>
            </wp:positionH>
            <wp:positionV relativeFrom="paragraph">
              <wp:posOffset>13335</wp:posOffset>
            </wp:positionV>
            <wp:extent cx="205803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058035" cy="8890"/>
                    </a:xfrm>
                    <a:prstGeom prst="rect">
                      <a:avLst/>
                    </a:prstGeom>
                    <a:noFill/>
                  </pic:spPr>
                </pic:pic>
              </a:graphicData>
            </a:graphic>
          </wp:anchor>
        </w:drawing>
      </w:r>
    </w:p>
    <w:p>
      <w:pPr>
        <w:spacing w:after="0" w:line="87" w:lineRule="exact"/>
        <w:rPr>
          <w:sz w:val="20"/>
          <w:szCs w:val="20"/>
          <w:color w:val="auto"/>
        </w:rPr>
      </w:pPr>
    </w:p>
    <w:p>
      <w:pPr>
        <w:ind w:left="7400"/>
        <w:spacing w:after="0"/>
        <w:tabs>
          <w:tab w:leader="none" w:pos="9060" w:val="left"/>
        </w:tabs>
        <w:rPr>
          <w:sz w:val="20"/>
          <w:szCs w:val="20"/>
          <w:color w:val="auto"/>
        </w:rPr>
      </w:pPr>
      <w:r>
        <w:rPr>
          <w:rFonts w:ascii="Arial" w:cs="Arial" w:eastAsia="Arial" w:hAnsi="Arial"/>
          <w:sz w:val="14"/>
          <w:szCs w:val="14"/>
          <w:b w:val="1"/>
          <w:bCs w:val="1"/>
          <w:color w:val="auto"/>
        </w:rPr>
        <w:t>2016</w:t>
      </w:r>
      <w:r>
        <w:rPr>
          <w:sz w:val="20"/>
          <w:szCs w:val="20"/>
          <w:color w:val="auto"/>
        </w:rPr>
        <w:tab/>
      </w:r>
      <w:r>
        <w:rPr>
          <w:rFonts w:ascii="Arial" w:cs="Arial" w:eastAsia="Arial" w:hAnsi="Arial"/>
          <w:sz w:val="14"/>
          <w:szCs w:val="14"/>
          <w:b w:val="1"/>
          <w:bCs w:val="1"/>
          <w:color w:val="auto"/>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4301490</wp:posOffset>
            </wp:positionH>
            <wp:positionV relativeFrom="paragraph">
              <wp:posOffset>23495</wp:posOffset>
            </wp:positionV>
            <wp:extent cx="205803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058035" cy="8890"/>
                    </a:xfrm>
                    <a:prstGeom prst="rect">
                      <a:avLst/>
                    </a:prstGeom>
                    <a:noFill/>
                  </pic:spPr>
                </pic:pic>
              </a:graphicData>
            </a:graphic>
          </wp:anchor>
        </w:drawing>
      </w:r>
    </w:p>
    <w:p>
      <w:pPr>
        <w:spacing w:after="0" w:line="35" w:lineRule="exact"/>
        <w:rPr>
          <w:sz w:val="20"/>
          <w:szCs w:val="20"/>
          <w:color w:val="auto"/>
        </w:rPr>
      </w:pPr>
    </w:p>
    <w:p>
      <w:pPr>
        <w:ind w:left="802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905510</wp:posOffset>
            </wp:positionH>
            <wp:positionV relativeFrom="paragraph">
              <wp:posOffset>23495</wp:posOffset>
            </wp:positionV>
            <wp:extent cx="5454015"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454015" cy="171450"/>
                    </a:xfrm>
                    <a:prstGeom prst="rect">
                      <a:avLst/>
                    </a:prstGeom>
                    <a:noFill/>
                  </pic:spPr>
                </pic:pic>
              </a:graphicData>
            </a:graphic>
          </wp:anchor>
        </w:drawing>
      </w:r>
    </w:p>
    <w:p>
      <w:pPr>
        <w:spacing w:after="0" w:line="30"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Backlog:</w:t>
      </w:r>
    </w:p>
    <w:p>
      <w:pPr>
        <w:spacing w:after="0" w:line="63" w:lineRule="exact"/>
        <w:rPr>
          <w:sz w:val="20"/>
          <w:szCs w:val="20"/>
          <w:color w:val="auto"/>
        </w:rPr>
      </w:pPr>
    </w:p>
    <w:tbl>
      <w:tblPr>
        <w:tblLayout w:type="fixed"/>
        <w:tblInd w:w="1420" w:type="dxa"/>
        <w:tblCellMar>
          <w:top w:w="0" w:type="dxa"/>
          <w:left w:w="0" w:type="dxa"/>
          <w:bottom w:w="0" w:type="dxa"/>
          <w:right w:w="0" w:type="dxa"/>
        </w:tblCellMar>
      </w:tblPr>
      <w:tr>
        <w:trPr>
          <w:trHeight w:val="230"/>
        </w:trPr>
        <w:tc>
          <w:tcPr>
            <w:tcW w:w="5360" w:type="dxa"/>
            <w:vAlign w:val="bottom"/>
          </w:tcPr>
          <w:p>
            <w:pPr>
              <w:ind w:left="380"/>
              <w:spacing w:after="0"/>
              <w:rPr>
                <w:sz w:val="20"/>
                <w:szCs w:val="20"/>
                <w:color w:val="auto"/>
              </w:rPr>
            </w:pPr>
            <w:r>
              <w:rPr>
                <w:rFonts w:ascii="Arial" w:cs="Arial" w:eastAsia="Arial" w:hAnsi="Arial"/>
                <w:sz w:val="18"/>
                <w:szCs w:val="18"/>
                <w:color w:val="auto"/>
              </w:rPr>
              <w:t>Funded</w:t>
            </w: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2,639</w:t>
            </w:r>
          </w:p>
        </w:tc>
        <w:tc>
          <w:tcPr>
            <w:tcW w:w="100" w:type="dxa"/>
            <w:vAlign w:val="bottom"/>
          </w:tcPr>
          <w:p>
            <w:pPr>
              <w:spacing w:after="0"/>
              <w:rPr>
                <w:sz w:val="20"/>
                <w:szCs w:val="20"/>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2,388</w:t>
            </w:r>
          </w:p>
        </w:tc>
      </w:tr>
      <w:tr>
        <w:trPr>
          <w:trHeight w:val="27"/>
        </w:trPr>
        <w:tc>
          <w:tcPr>
            <w:tcW w:w="53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Unfunded (1)</w:t>
            </w:r>
          </w:p>
        </w:tc>
        <w:tc>
          <w:tcPr>
            <w:tcW w:w="5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2,873</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2,493</w:t>
            </w:r>
          </w:p>
        </w:tc>
      </w:tr>
      <w:tr>
        <w:trPr>
          <w:trHeight w:val="243"/>
        </w:trPr>
        <w:tc>
          <w:tcPr>
            <w:tcW w:w="5360" w:type="dxa"/>
            <w:vAlign w:val="bottom"/>
          </w:tcPr>
          <w:p>
            <w:pPr>
              <w:ind w:left="380"/>
              <w:spacing w:after="0"/>
              <w:rPr>
                <w:sz w:val="20"/>
                <w:szCs w:val="20"/>
                <w:color w:val="auto"/>
              </w:rPr>
            </w:pPr>
            <w:r>
              <w:rPr>
                <w:rFonts w:ascii="Arial" w:cs="Arial" w:eastAsia="Arial" w:hAnsi="Arial"/>
                <w:sz w:val="18"/>
                <w:szCs w:val="18"/>
                <w:color w:val="auto"/>
              </w:rPr>
              <w:t>Priced options</w:t>
            </w:r>
          </w:p>
        </w:tc>
        <w:tc>
          <w:tcPr>
            <w:tcW w:w="5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6,504</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4,377</w:t>
            </w:r>
          </w:p>
        </w:tc>
      </w:tr>
      <w:tr>
        <w:trPr>
          <w:trHeight w:val="27"/>
        </w:trPr>
        <w:tc>
          <w:tcPr>
            <w:tcW w:w="536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53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Total backlog</w:t>
            </w:r>
          </w:p>
        </w:tc>
        <w:tc>
          <w:tcPr>
            <w:tcW w:w="5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12,016</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9,258</w:t>
            </w: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ind w:left="1300" w:right="200" w:hanging="644"/>
        <w:spacing w:after="0" w:line="264"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Amount as of June 30, 2015 reflects a reduction by management to the revenue value of orders for services under one then existing single award ID/IQ contract the Company had for several years, based on an established pattern of funding under this contract by the U.S. government.</w:t>
      </w:r>
    </w:p>
    <w:p>
      <w:pPr>
        <w:spacing w:after="0" w:line="73" w:lineRule="exact"/>
        <w:rPr>
          <w:sz w:val="20"/>
          <w:szCs w:val="20"/>
          <w:color w:val="auto"/>
        </w:rPr>
      </w:pPr>
    </w:p>
    <w:p>
      <w:pPr>
        <w:ind w:right="40" w:firstLine="405"/>
        <w:spacing w:after="0" w:line="279" w:lineRule="auto"/>
        <w:rPr>
          <w:sz w:val="20"/>
          <w:szCs w:val="20"/>
          <w:color w:val="auto"/>
        </w:rPr>
      </w:pPr>
      <w:r>
        <w:rPr>
          <w:rFonts w:ascii="Arial" w:cs="Arial" w:eastAsia="Arial" w:hAnsi="Arial"/>
          <w:sz w:val="17"/>
          <w:szCs w:val="17"/>
          <w:color w:val="auto"/>
        </w:rPr>
        <w:t>Our backlog includes orders under contracts that in some cases extend for several years. The U.S. Congress generally appropriates funds for our clients on a yearly basis, even though their contracts with us may call for performance that is expected to take a number of years. As a result, contracts typically are only partially funded at any point during their term and all or some of the work to be performed under the contracts may remain unfunded unless and until the U.S. Congress makes subsequent appropriations and the procuring agency allocates funding to the contract.</w:t>
      </w:r>
    </w:p>
    <w:p>
      <w:pPr>
        <w:spacing w:after="0" w:line="63"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We view growth in total backlog and consulting staff headcount as the two key measures of our potential business growth. Growing and deploying consulting staff is the primary means by which we are able to achieve profitable revenue growth. To the extent that we are able to hire additional consulting staff and deploy them against funded backlog, we generally recognize increased revenue. Total backlog increased by 29.8% from June 30, 2015 to June 30, 2016. Additions to funded backlog during the twelve months ended June 30, 2016 totaled $5.7 billion in comparison to $5.4 billion for the comparable period, as a result of the conversion of unfunded backlog to funded backlog, the award of new contracts and task orders under which funding was appropriated, and the exercise and subsequent funding of priced options. We report internally on our backlog on a monthly basis and review backlog upon occurrence of certain events to determine if any adjustments are necessary.</w:t>
      </w:r>
    </w:p>
    <w:p>
      <w:pPr>
        <w:spacing w:after="0" w:line="70" w:lineRule="exact"/>
        <w:rPr>
          <w:sz w:val="20"/>
          <w:szCs w:val="20"/>
          <w:color w:val="auto"/>
        </w:rPr>
      </w:pPr>
    </w:p>
    <w:p>
      <w:pPr>
        <w:ind w:right="40" w:firstLine="405"/>
        <w:spacing w:after="0" w:line="269" w:lineRule="auto"/>
        <w:rPr>
          <w:sz w:val="20"/>
          <w:szCs w:val="20"/>
          <w:color w:val="auto"/>
        </w:rPr>
      </w:pPr>
      <w:r>
        <w:rPr>
          <w:rFonts w:ascii="Arial" w:cs="Arial" w:eastAsia="Arial" w:hAnsi="Arial"/>
          <w:sz w:val="17"/>
          <w:szCs w:val="17"/>
          <w:color w:val="auto"/>
        </w:rPr>
        <w:t>We cannot predict with any certainty the portion of our backlog that we expect to recognize as revenue in any future period and we cannot guarantee that we will recognize any revenue from our backlog. The primary risks that could affect our ability to recognize such revenue on a timely basis or at all are: program schedule changes, contract modifications, and our ability to assimilate and deploy new consulting staff against funded backlog; cost cutting initiatives and other efforts to reduce U.S. government spending, which could reduce or delay funding for orders for services; and delayed funding of our contracts due to delays in the completion of the U.S. government's budgeting process and the use of continuing resolutions by the U.S. government to fund its operations. Funded backlog includes orders under contracts for which the period of performance has expired, and we may not recognize revenue on the funded backlog that includes such orders due to, among other reasons, the tardy submission of invoices by our subcontractors and the expiration of the relevant appropriated funding in accordance with a pre-determined expiration date such as the end of the U.S. government's fiscal year. The revenue value of orders included in funded backlog that has not been recognized as revenue due to period of performance expirations has not exceeded approximately 7.9% of funded backlog as of the end of any of the four fiscal quarters preceding the fiscal quarter ended June 30, 2016. In our recent experience, none of the following additional risks have had a material negative effect on our ability</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881" w:right="239" w:bottom="1440" w:gutter="0" w:footer="0" w:header="0"/>
        </w:sectPr>
      </w:pPr>
    </w:p>
    <w:bookmarkStart w:id="23" w:name="page24"/>
    <w:bookmarkEnd w:id="23"/>
    <w:p>
      <w:pPr>
        <w:ind w:right="60"/>
        <w:spacing w:after="0" w:line="264" w:lineRule="auto"/>
        <w:rPr>
          <w:sz w:val="20"/>
          <w:szCs w:val="20"/>
          <w:color w:val="auto"/>
        </w:rPr>
      </w:pPr>
      <w:r>
        <w:rPr>
          <w:rFonts w:ascii="Arial" w:cs="Arial" w:eastAsia="Arial" w:hAnsi="Arial"/>
          <w:sz w:val="18"/>
          <w:szCs w:val="18"/>
          <w:color w:val="auto"/>
        </w:rPr>
        <w:t>to realize revenue from our funded backlog: the unilateral right of the U.S. government to cancel multi-year contracts and related orders or to terminate existing contracts for convenience or default; in the case of unfunded backlog, the potential that funding will not be made available; and, in the case of priced options, the risk that our clients will not exercise their options.</w:t>
      </w:r>
    </w:p>
    <w:p>
      <w:pPr>
        <w:spacing w:after="0" w:line="7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Operating Costs and Expenses</w:t>
      </w:r>
    </w:p>
    <w:p>
      <w:pPr>
        <w:spacing w:after="0" w:line="198" w:lineRule="exact"/>
        <w:rPr>
          <w:sz w:val="20"/>
          <w:szCs w:val="20"/>
          <w:color w:val="auto"/>
        </w:rPr>
      </w:pPr>
    </w:p>
    <w:p>
      <w:pPr>
        <w:ind w:firstLine="405"/>
        <w:spacing w:after="0" w:line="286" w:lineRule="auto"/>
        <w:rPr>
          <w:sz w:val="20"/>
          <w:szCs w:val="20"/>
          <w:color w:val="auto"/>
        </w:rPr>
      </w:pPr>
      <w:r>
        <w:rPr>
          <w:rFonts w:ascii="Arial" w:cs="Arial" w:eastAsia="Arial" w:hAnsi="Arial"/>
          <w:sz w:val="17"/>
          <w:szCs w:val="17"/>
          <w:color w:val="auto"/>
        </w:rPr>
        <w:t>Costs associated with compensation and related expenses for our people are the most significant component of our operating costs and expenses. The principal factors that affect our costs are additional people as we grow our business and are awarded new contracts, task orders, and additional work under our existing contracts, and the hiring of people with specific skill sets and security clearances as required by our additional work.</w:t>
      </w:r>
    </w:p>
    <w:p>
      <w:pPr>
        <w:spacing w:after="0" w:line="5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most significant operating costs and expenses are described below.</w:t>
      </w:r>
    </w:p>
    <w:p>
      <w:pPr>
        <w:spacing w:after="0" w:line="117" w:lineRule="exact"/>
        <w:rPr>
          <w:sz w:val="20"/>
          <w:szCs w:val="20"/>
          <w:color w:val="auto"/>
        </w:rPr>
      </w:pPr>
    </w:p>
    <w:p>
      <w:pPr>
        <w:ind w:left="1300" w:right="560" w:hanging="644"/>
        <w:spacing w:after="0" w:line="277"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Cost of Revenue</w:t>
      </w:r>
      <w:r>
        <w:rPr>
          <w:rFonts w:ascii="Arial" w:cs="Arial" w:eastAsia="Arial" w:hAnsi="Arial"/>
          <w:sz w:val="18"/>
          <w:szCs w:val="18"/>
          <w:color w:val="auto"/>
        </w:rPr>
        <w:t>. Cost of revenue includes direct labor, related employee benefits, and overhead. Overhead consists of indirect costs,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indirect labor relating to infrastructure, management and administration, and other expenses.</w:t>
      </w:r>
    </w:p>
    <w:p>
      <w:pPr>
        <w:spacing w:after="0" w:line="62" w:lineRule="exact"/>
        <w:rPr>
          <w:rFonts w:ascii="Arial" w:cs="Arial" w:eastAsia="Arial" w:hAnsi="Arial"/>
          <w:sz w:val="18"/>
          <w:szCs w:val="18"/>
          <w:color w:val="auto"/>
        </w:rPr>
      </w:pPr>
    </w:p>
    <w:p>
      <w:pPr>
        <w:ind w:left="1300" w:right="380" w:hanging="644"/>
        <w:spacing w:after="0" w:line="277"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 xml:space="preserve">Billable Expenses. </w:t>
      </w:r>
      <w:r>
        <w:rPr>
          <w:rFonts w:ascii="Arial" w:cs="Arial" w:eastAsia="Arial" w:hAnsi="Arial"/>
          <w:sz w:val="18"/>
          <w:szCs w:val="18"/>
          <w:color w:val="auto"/>
        </w:rPr>
        <w:t>Billable expenses include direct subcontractor expenses, travel expenses, and other expenses incurred to perform on</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contracts.</w:t>
      </w:r>
    </w:p>
    <w:p>
      <w:pPr>
        <w:spacing w:after="0" w:line="62" w:lineRule="exact"/>
        <w:rPr>
          <w:rFonts w:ascii="Arial" w:cs="Arial" w:eastAsia="Arial" w:hAnsi="Arial"/>
          <w:sz w:val="18"/>
          <w:szCs w:val="18"/>
          <w:color w:val="auto"/>
        </w:rPr>
      </w:pPr>
    </w:p>
    <w:p>
      <w:pPr>
        <w:ind w:left="1300" w:right="120" w:hanging="644"/>
        <w:spacing w:after="0" w:line="277"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General and administrative expenses include indirect labor of executive management and corporate</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administrative functions, marketing and bid and proposal costs, and other discretionary spending.</w:t>
      </w:r>
    </w:p>
    <w:p>
      <w:pPr>
        <w:spacing w:after="0" w:line="62" w:lineRule="exact"/>
        <w:rPr>
          <w:rFonts w:ascii="Arial" w:cs="Arial" w:eastAsia="Arial" w:hAnsi="Arial"/>
          <w:sz w:val="18"/>
          <w:szCs w:val="18"/>
          <w:color w:val="auto"/>
        </w:rPr>
      </w:pPr>
    </w:p>
    <w:p>
      <w:pPr>
        <w:ind w:left="1300" w:right="180" w:hanging="644"/>
        <w:spacing w:after="0" w:line="264"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includes the depreciation of computers, leasehold improvements, furniture</w:t>
      </w:r>
      <w:r>
        <w:rPr>
          <w:rFonts w:ascii="Arial" w:cs="Arial" w:eastAsia="Arial" w:hAnsi="Arial"/>
          <w:sz w:val="18"/>
          <w:szCs w:val="18"/>
          <w:i w:val="1"/>
          <w:iCs w:val="1"/>
          <w:color w:val="auto"/>
        </w:rPr>
        <w:t xml:space="preserve"> </w:t>
      </w:r>
      <w:r>
        <w:rPr>
          <w:rFonts w:ascii="Arial" w:cs="Arial" w:eastAsia="Arial" w:hAnsi="Arial"/>
          <w:sz w:val="18"/>
          <w:szCs w:val="18"/>
          <w:color w:val="auto"/>
        </w:rPr>
        <w:t>and other equipment, and the amortization of internally developed software, as well as third-party software that we use internally, and of identifiable long-lived intangible assets over their estimated useful lives.</w:t>
      </w:r>
    </w:p>
    <w:p>
      <w:pPr>
        <w:spacing w:after="0" w:line="7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Seasonality</w:t>
      </w:r>
    </w:p>
    <w:p>
      <w:pPr>
        <w:spacing w:after="0" w:line="117"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The U.S. government's fiscal year ends on September 30 of each year. While not certain, it is not uncommon for U.S. government agencies to award extra tasks or complete other contract actions in the weeks before the end of its fiscal year in order to avoid the loss of unexpended fiscal year funds. In addition, we also have historically experienced higher bid and proposal costs in the months leading up to the U.S. government's fiscal year end as we pursue new contract opportunities being awarded shortly after the U.S. government fiscal year end as new opportunities are expected to have funding appropriated in the U.S. government's subsequent fiscal year. We may continue to experience this seasonality in future periods, and our future periods may be affected by it. While not certain, changes in the government's funding and spending patterns have altered historical seasonality trends, supporting our approach to managing the business on an annual basis.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 and Policies</w:t>
      </w:r>
    </w:p>
    <w:p>
      <w:pPr>
        <w:spacing w:after="0" w:line="121" w:lineRule="exact"/>
        <w:rPr>
          <w:sz w:val="20"/>
          <w:szCs w:val="20"/>
          <w:color w:val="auto"/>
        </w:rPr>
      </w:pPr>
    </w:p>
    <w:p>
      <w:pPr>
        <w:ind w:right="220" w:firstLine="405"/>
        <w:spacing w:after="0" w:line="264" w:lineRule="auto"/>
        <w:rPr>
          <w:sz w:val="20"/>
          <w:szCs w:val="20"/>
          <w:color w:val="auto"/>
        </w:rPr>
      </w:pPr>
      <w:r>
        <w:rPr>
          <w:rFonts w:ascii="Arial" w:cs="Arial" w:eastAsia="Arial" w:hAnsi="Arial"/>
          <w:sz w:val="18"/>
          <w:szCs w:val="18"/>
          <w:color w:val="auto"/>
        </w:rPr>
        <w:t>There have been no material changes during the period covered by this Quarterly Report to the information disclosed in the Critical Accounting Estimates and Policies section in Part II, “Item 7. Management’s Discussion and Analysis of Financial Condition and Results of Operations” of our Annual Report.</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firstLine="405"/>
        <w:spacing w:after="0" w:line="288" w:lineRule="auto"/>
        <w:rPr>
          <w:sz w:val="20"/>
          <w:szCs w:val="20"/>
          <w:color w:val="auto"/>
        </w:rPr>
      </w:pPr>
      <w:r>
        <w:rPr>
          <w:rFonts w:ascii="Arial" w:cs="Arial" w:eastAsia="Arial" w:hAnsi="Arial"/>
          <w:sz w:val="16"/>
          <w:szCs w:val="16"/>
          <w:color w:val="auto"/>
        </w:rPr>
        <w:t>In May 2014, the FASB issued a new standard that will replace existing revenue recognition standards and significantly expand the disclosure requirements for revenue arrangements. In July 2015, the FASB approved a one-year delay in the effective date of the standard to January 1, 2018, with an option that would permit companies to adopt the standard as early as the original effective date. Early adoption prior to the effective date is not permitted. With the one-year delay enacted, the new standard will be effective for the Company beginning on April 1, 2018 (i.e., beginning with the first quarter fiscal 2019 interim financial statements). The new standard may be adopted retrospectively for all periods presented, or adopted using a modified retrospective approach. Under the retrospective approach, the fiscal 2018 and 2017 financial statements would be adjusted to reflect the effects of adopting the new standard in those periods. Under the modified retrospective approach, the new standard would only be adopted for the period beginning April 1, 2018 to new contracts and those contracts that are not yet complete at April 1, 2018, with a cumulative catch-up adjustment recorded to beginning retained earnings for existing contracts that still require performance. Management is still in the process of determining which transition method to utilize in order to adopt the new standard and still assessing what effect the adoption of this standard may have on the timing of our revenue recognition and our financial statements.</w:t>
      </w:r>
    </w:p>
    <w:p>
      <w:pPr>
        <w:spacing w:after="0" w:line="61"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Other recent accounting pronouncements issued by the FASB during the three months ended June 30, 2016 and through the filing date did not or are not believed by management to have a material impact on the Company's present or historical</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881" w:right="25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t>condensed consolidated financial statements.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items from our condensed consolidated statements of operations for the periods indicated: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60" w:type="dxa"/>
            <w:vAlign w:val="bottom"/>
            <w:tcBorders>
              <w:right w:val="single" w:sz="8" w:color="auto"/>
            </w:tcBorders>
            <w:gridSpan w:val="4"/>
          </w:tcPr>
          <w:p>
            <w:pPr>
              <w:jc w:val="center"/>
              <w:ind w:right="93"/>
              <w:spacing w:after="0"/>
              <w:rPr>
                <w:sz w:val="20"/>
                <w:szCs w:val="20"/>
                <w:color w:val="auto"/>
              </w:rPr>
            </w:pPr>
            <w:r>
              <w:rPr>
                <w:rFonts w:ascii="Arial" w:cs="Arial" w:eastAsia="Arial" w:hAnsi="Arial"/>
                <w:sz w:val="14"/>
                <w:szCs w:val="14"/>
                <w:b w:val="1"/>
                <w:bCs w:val="1"/>
                <w:color w:val="auto"/>
                <w:w w:val="93"/>
              </w:rPr>
              <w:t>Three Months Ended</w:t>
            </w:r>
          </w:p>
        </w:tc>
        <w:tc>
          <w:tcPr>
            <w:tcW w:w="100" w:type="dxa"/>
            <w:vAlign w:val="bottom"/>
          </w:tcPr>
          <w:p>
            <w:pPr>
              <w:spacing w:after="0"/>
              <w:rPr>
                <w:sz w:val="14"/>
                <w:szCs w:val="14"/>
                <w:color w:val="auto"/>
              </w:rPr>
            </w:pPr>
          </w:p>
        </w:tc>
        <w:tc>
          <w:tcPr>
            <w:tcW w:w="132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2"/>
        </w:trPr>
        <w:tc>
          <w:tcPr>
            <w:tcW w:w="67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center"/>
              <w:ind w:left="795"/>
              <w:spacing w:after="0"/>
              <w:rPr>
                <w:sz w:val="20"/>
                <w:szCs w:val="20"/>
                <w:color w:val="auto"/>
              </w:rPr>
            </w:pPr>
            <w:r>
              <w:rPr>
                <w:rFonts w:ascii="Arial" w:cs="Arial" w:eastAsia="Arial" w:hAnsi="Arial"/>
                <w:sz w:val="14"/>
                <w:szCs w:val="14"/>
                <w:b w:val="1"/>
                <w:bCs w:val="1"/>
                <w:color w:val="auto"/>
                <w:w w:val="92"/>
              </w:rPr>
              <w:t>June 30,</w:t>
            </w:r>
          </w:p>
        </w:tc>
        <w:tc>
          <w:tcPr>
            <w:tcW w:w="1080" w:type="dxa"/>
            <w:vAlign w:val="bottom"/>
            <w:tcBorders>
              <w:bottom w:val="single" w:sz="8" w:color="auto"/>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74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80" w:type="dxa"/>
            <w:vAlign w:val="bottom"/>
            <w:tcBorders>
              <w:bottom w:val="single" w:sz="8" w:color="auto"/>
              <w:right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13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44"/>
        </w:trPr>
        <w:tc>
          <w:tcPr>
            <w:tcW w:w="6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gridSpan w:val="2"/>
          </w:tcPr>
          <w:p>
            <w:pPr>
              <w:ind w:left="100"/>
              <w:spacing w:after="0"/>
              <w:rPr>
                <w:sz w:val="20"/>
                <w:szCs w:val="20"/>
                <w:color w:val="auto"/>
              </w:rPr>
            </w:pPr>
            <w:r>
              <w:rPr>
                <w:rFonts w:ascii="Arial" w:cs="Arial" w:eastAsia="Arial" w:hAnsi="Arial"/>
                <w:sz w:val="14"/>
                <w:szCs w:val="14"/>
                <w:b w:val="1"/>
                <w:bCs w:val="1"/>
                <w:color w:val="auto"/>
              </w:rPr>
              <w:t>(Unaudited)</w:t>
            </w:r>
          </w:p>
        </w:tc>
        <w:tc>
          <w:tcPr>
            <w:tcW w:w="260" w:type="dxa"/>
            <w:vAlign w:val="bottom"/>
          </w:tcPr>
          <w:p>
            <w:pPr>
              <w:spacing w:after="0"/>
              <w:rPr>
                <w:sz w:val="21"/>
                <w:szCs w:val="21"/>
                <w:color w:val="auto"/>
              </w:rPr>
            </w:pPr>
          </w:p>
        </w:tc>
        <w:tc>
          <w:tcPr>
            <w:tcW w:w="1080" w:type="dxa"/>
            <w:vAlign w:val="bottom"/>
            <w:tcBorders>
              <w:right w:val="single" w:sz="8" w:color="auto"/>
            </w:tcBorders>
          </w:tcPr>
          <w:p>
            <w:pPr>
              <w:jc w:val="right"/>
              <w:ind w:right="213"/>
              <w:spacing w:after="0"/>
              <w:rPr>
                <w:sz w:val="20"/>
                <w:szCs w:val="20"/>
                <w:color w:val="auto"/>
              </w:rPr>
            </w:pPr>
            <w:r>
              <w:rPr>
                <w:rFonts w:ascii="Arial" w:cs="Arial" w:eastAsia="Arial" w:hAnsi="Arial"/>
                <w:sz w:val="14"/>
                <w:szCs w:val="14"/>
                <w:b w:val="1"/>
                <w:bCs w:val="1"/>
                <w:color w:val="auto"/>
                <w:w w:val="97"/>
              </w:rPr>
              <w:t>(Unaudited)</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6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60" w:type="dxa"/>
            <w:vAlign w:val="bottom"/>
            <w:tcBorders>
              <w:right w:val="single" w:sz="8" w:color="auto"/>
            </w:tcBorders>
            <w:gridSpan w:val="4"/>
          </w:tcPr>
          <w:p>
            <w:pPr>
              <w:jc w:val="center"/>
              <w:ind w:right="93"/>
              <w:spacing w:after="0"/>
              <w:rPr>
                <w:sz w:val="20"/>
                <w:szCs w:val="20"/>
                <w:color w:val="auto"/>
              </w:rPr>
            </w:pPr>
            <w:r>
              <w:rPr>
                <w:rFonts w:ascii="Arial" w:cs="Arial" w:eastAsia="Arial" w:hAnsi="Arial"/>
                <w:sz w:val="14"/>
                <w:szCs w:val="14"/>
                <w:b w:val="1"/>
                <w:bCs w:val="1"/>
                <w:color w:val="auto"/>
                <w:w w:val="93"/>
              </w:rPr>
              <w:t>(In thousands)</w:t>
            </w: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1,422,722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right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1,351,604</w:t>
            </w: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5.3 %</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Operating costs and expenses:</w:t>
            </w: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Cost of revenue</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656,954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right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643,032</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0" w:type="dxa"/>
            <w:vAlign w:val="bottom"/>
          </w:tcPr>
          <w:p>
            <w:pPr>
              <w:spacing w:after="0"/>
              <w:rPr>
                <w:sz w:val="1"/>
                <w:szCs w:val="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Billable expenses</w:t>
            </w:r>
          </w:p>
        </w:tc>
        <w:tc>
          <w:tcPr>
            <w:tcW w:w="200" w:type="dxa"/>
            <w:vAlign w:val="bottom"/>
          </w:tcPr>
          <w:p>
            <w:pPr>
              <w:spacing w:after="0"/>
              <w:rPr>
                <w:sz w:val="21"/>
                <w:szCs w:val="21"/>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432,265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Borders>
              <w:right w:val="single" w:sz="8" w:color="auto"/>
            </w:tcBorders>
          </w:tcPr>
          <w:p>
            <w:pPr>
              <w:jc w:val="right"/>
              <w:ind w:right="53"/>
              <w:spacing w:after="0"/>
              <w:rPr>
                <w:sz w:val="20"/>
                <w:szCs w:val="20"/>
                <w:color w:val="auto"/>
              </w:rPr>
            </w:pPr>
            <w:r>
              <w:rPr>
                <w:rFonts w:ascii="Arial" w:cs="Arial" w:eastAsia="Arial" w:hAnsi="Arial"/>
                <w:sz w:val="18"/>
                <w:szCs w:val="18"/>
                <w:color w:val="auto"/>
              </w:rPr>
              <w:t>378,650</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14.2 %</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General and administrative expenses</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189,701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right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188,661</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0.6 %</w:t>
            </w:r>
          </w:p>
        </w:tc>
        <w:tc>
          <w:tcPr>
            <w:tcW w:w="0" w:type="dxa"/>
            <w:vAlign w:val="bottom"/>
          </w:tcPr>
          <w:p>
            <w:pPr>
              <w:spacing w:after="0"/>
              <w:rPr>
                <w:sz w:val="1"/>
                <w:szCs w:val="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21"/>
                <w:szCs w:val="21"/>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14,501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Borders>
              <w:right w:val="single" w:sz="8" w:color="auto"/>
            </w:tcBorders>
          </w:tcPr>
          <w:p>
            <w:pPr>
              <w:jc w:val="right"/>
              <w:ind w:right="53"/>
              <w:spacing w:after="0"/>
              <w:rPr>
                <w:sz w:val="20"/>
                <w:szCs w:val="20"/>
                <w:color w:val="auto"/>
              </w:rPr>
            </w:pPr>
            <w:r>
              <w:rPr>
                <w:rFonts w:ascii="Arial" w:cs="Arial" w:eastAsia="Arial" w:hAnsi="Arial"/>
                <w:sz w:val="18"/>
                <w:szCs w:val="18"/>
                <w:color w:val="auto"/>
              </w:rPr>
              <w:t>15,117</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operating costs and expenses</w:t>
            </w:r>
          </w:p>
        </w:tc>
        <w:tc>
          <w:tcPr>
            <w:tcW w:w="2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1,293,421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right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1,225,460</w:t>
            </w: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5.5 %</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2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129,301</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80" w:type="dxa"/>
            <w:vAlign w:val="bottom"/>
            <w:tcBorders>
              <w:top w:val="single" w:sz="8" w:color="auto"/>
              <w:right w:val="single" w:sz="8" w:color="auto"/>
            </w:tcBorders>
          </w:tcPr>
          <w:p>
            <w:pPr>
              <w:jc w:val="right"/>
              <w:ind w:right="53"/>
              <w:spacing w:after="0"/>
              <w:rPr>
                <w:sz w:val="20"/>
                <w:szCs w:val="20"/>
                <w:color w:val="auto"/>
              </w:rPr>
            </w:pPr>
            <w:r>
              <w:rPr>
                <w:rFonts w:ascii="Arial" w:cs="Arial" w:eastAsia="Arial" w:hAnsi="Arial"/>
                <w:sz w:val="18"/>
                <w:szCs w:val="18"/>
                <w:color w:val="auto"/>
              </w:rPr>
              <w:t>126,144</w:t>
            </w:r>
          </w:p>
        </w:tc>
        <w:tc>
          <w:tcPr>
            <w:tcW w:w="100" w:type="dxa"/>
            <w:vAlign w:val="bottom"/>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2.5 %</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(17,828)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(17,490)</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 net</w:t>
            </w:r>
          </w:p>
        </w:tc>
        <w:tc>
          <w:tcPr>
            <w:tcW w:w="200" w:type="dxa"/>
            <w:vAlign w:val="bottom"/>
          </w:tcPr>
          <w:p>
            <w:pPr>
              <w:spacing w:after="0"/>
              <w:rPr>
                <w:sz w:val="21"/>
                <w:szCs w:val="21"/>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1,891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(2,880.9)%</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113,364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right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108,586</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4.4 %</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200" w:type="dxa"/>
            <w:vAlign w:val="bottom"/>
          </w:tcPr>
          <w:p>
            <w:pPr>
              <w:spacing w:after="0"/>
              <w:rPr>
                <w:sz w:val="21"/>
                <w:szCs w:val="21"/>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45,547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Borders>
              <w:right w:val="single" w:sz="8" w:color="auto"/>
            </w:tcBorders>
          </w:tcPr>
          <w:p>
            <w:pPr>
              <w:jc w:val="right"/>
              <w:ind w:right="53"/>
              <w:spacing w:after="0"/>
              <w:rPr>
                <w:sz w:val="20"/>
                <w:szCs w:val="20"/>
                <w:color w:val="auto"/>
              </w:rPr>
            </w:pPr>
            <w:r>
              <w:rPr>
                <w:rFonts w:ascii="Arial" w:cs="Arial" w:eastAsia="Arial" w:hAnsi="Arial"/>
                <w:sz w:val="18"/>
                <w:szCs w:val="18"/>
                <w:color w:val="auto"/>
              </w:rPr>
              <w:t>44,280</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2.9 %</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67,817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right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64,306</w:t>
            </w: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5.5 %</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260" w:right="4740"/>
        <w:spacing w:after="0" w:line="375" w:lineRule="auto"/>
        <w:rPr>
          <w:sz w:val="20"/>
          <w:szCs w:val="20"/>
          <w:color w:val="auto"/>
        </w:rPr>
      </w:pPr>
      <w:r>
        <w:rPr>
          <w:rFonts w:ascii="Arial" w:cs="Arial" w:eastAsia="Arial" w:hAnsi="Arial"/>
          <w:sz w:val="18"/>
          <w:szCs w:val="18"/>
          <w:b w:val="1"/>
          <w:bCs w:val="1"/>
          <w:i w:val="1"/>
          <w:iCs w:val="1"/>
          <w:color w:val="auto"/>
        </w:rPr>
        <w:t xml:space="preserve">Three Months Ended June 30, 2016 Compared to Three Months Ended June 30, 2015 </w:t>
      </w:r>
      <w:r>
        <w:rPr>
          <w:rFonts w:ascii="Arial" w:cs="Arial" w:eastAsia="Arial" w:hAnsi="Arial"/>
          <w:sz w:val="18"/>
          <w:szCs w:val="18"/>
          <w:i w:val="1"/>
          <w:iCs w:val="1"/>
          <w:color w:val="auto"/>
        </w:rPr>
        <w:t>Revenue</w:t>
      </w:r>
    </w:p>
    <w:p>
      <w:pPr>
        <w:spacing w:after="0" w:line="1" w:lineRule="exact"/>
        <w:rPr>
          <w:sz w:val="20"/>
          <w:szCs w:val="20"/>
          <w:color w:val="auto"/>
        </w:rPr>
      </w:pPr>
    </w:p>
    <w:p>
      <w:pPr>
        <w:ind w:right="200" w:firstLine="405"/>
        <w:spacing w:after="0" w:line="259" w:lineRule="auto"/>
        <w:rPr>
          <w:sz w:val="20"/>
          <w:szCs w:val="20"/>
          <w:color w:val="auto"/>
        </w:rPr>
      </w:pPr>
      <w:r>
        <w:rPr>
          <w:rFonts w:ascii="Arial" w:cs="Arial" w:eastAsia="Arial" w:hAnsi="Arial"/>
          <w:sz w:val="18"/>
          <w:szCs w:val="18"/>
          <w:color w:val="auto"/>
        </w:rPr>
        <w:t>Revenue increased to $1,422.7 million from $1,351.6 million, or 5.3%, as the Company increased client staff billability, and therefore direct labor to meet increased client demand. During the period, there was also an increase in billable expenses due to increased use of subcontractors on contracts, which includes the impact of an increase in small business procurement goals set by the government. In addition, contracts which require the Company to incur direct expenses on behalf of our clients increased over the prior year period.</w:t>
      </w:r>
    </w:p>
    <w:p>
      <w:pPr>
        <w:spacing w:after="0" w:line="7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Cost of Revenue</w:t>
      </w:r>
    </w:p>
    <w:p>
      <w:pPr>
        <w:spacing w:after="0" w:line="117" w:lineRule="exact"/>
        <w:rPr>
          <w:sz w:val="20"/>
          <w:szCs w:val="20"/>
          <w:color w:val="auto"/>
        </w:rPr>
      </w:pPr>
    </w:p>
    <w:p>
      <w:pPr>
        <w:ind w:right="140" w:firstLine="405"/>
        <w:spacing w:after="0" w:line="259" w:lineRule="auto"/>
        <w:rPr>
          <w:sz w:val="20"/>
          <w:szCs w:val="20"/>
          <w:color w:val="auto"/>
        </w:rPr>
      </w:pPr>
      <w:r>
        <w:rPr>
          <w:rFonts w:ascii="Arial" w:cs="Arial" w:eastAsia="Arial" w:hAnsi="Arial"/>
          <w:sz w:val="18"/>
          <w:szCs w:val="18"/>
          <w:color w:val="auto"/>
        </w:rPr>
        <w:t>Cost of revenue increased to $657.0 million from $643.0 million, or a 2.2% increase. The increase was primarily due to an increase in salaries and salary-related benefits of $12.3 million. The increase was primarily due to general market salary increases as consulting staff headcount remained generally consistent as compared to the prior year period. Cost of revenue as a percentage of revenue was 46.2% and 47.6% for the three months ended June 30, 2016 and 2015, respectively.</w:t>
      </w:r>
    </w:p>
    <w:p>
      <w:pPr>
        <w:spacing w:after="0" w:line="7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Billable Expenses</w:t>
      </w:r>
    </w:p>
    <w:p>
      <w:pPr>
        <w:spacing w:after="0" w:line="117" w:lineRule="exact"/>
        <w:rPr>
          <w:sz w:val="20"/>
          <w:szCs w:val="20"/>
          <w:color w:val="auto"/>
        </w:rPr>
      </w:pPr>
    </w:p>
    <w:p>
      <w:pPr>
        <w:ind w:firstLine="405"/>
        <w:spacing w:after="0" w:line="279" w:lineRule="auto"/>
        <w:rPr>
          <w:sz w:val="20"/>
          <w:szCs w:val="20"/>
          <w:color w:val="auto"/>
        </w:rPr>
      </w:pPr>
      <w:r>
        <w:rPr>
          <w:rFonts w:ascii="Arial" w:cs="Arial" w:eastAsia="Arial" w:hAnsi="Arial"/>
          <w:sz w:val="17"/>
          <w:szCs w:val="17"/>
          <w:color w:val="auto"/>
        </w:rPr>
        <w:t>Billable expenses increased to $432.3 million from $378.7 million, or a 14.2% increase. The overall increase was primarily attributable to an increase in small business procurement goals set by the government which required the Company to utilize more subcontractors in the current year. In addition, contracts which require the Company to incur direct expenses on behalf of our clients has increased over the prior year period. Billable expenses as a percentage of revenue were 30.4% and 28.0% for the three months ended June 30, 2016 and 2015, respectively.</w:t>
      </w:r>
    </w:p>
    <w:p>
      <w:pPr>
        <w:spacing w:after="0" w:line="6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44" w:lineRule="exact"/>
        <w:rPr>
          <w:sz w:val="20"/>
          <w:szCs w:val="20"/>
          <w:color w:val="auto"/>
        </w:rPr>
      </w:pPr>
    </w:p>
    <w:p>
      <w:pPr>
        <w:ind w:firstLine="405"/>
        <w:spacing w:after="0" w:line="344" w:lineRule="auto"/>
        <w:rPr>
          <w:sz w:val="20"/>
          <w:szCs w:val="20"/>
          <w:color w:val="auto"/>
        </w:rPr>
      </w:pPr>
      <w:r>
        <w:rPr>
          <w:rFonts w:ascii="Arial" w:cs="Arial" w:eastAsia="Arial" w:hAnsi="Arial"/>
          <w:sz w:val="17"/>
          <w:szCs w:val="17"/>
          <w:color w:val="auto"/>
        </w:rPr>
        <w:t>General and administrative expenses increased to $189.7 million from $188.7 million, or a 0.6% increase. The increase was primarily due to an increase in other indirect business related expenses of $5.1 million in support of corporate administrative functions. General and administrative expenses as a percentage of revenue were 13.3% and 14.0% for the three months ended June 30, 2016 and 2015, respectively.</w:t>
      </w:r>
    </w:p>
    <w:p>
      <w:pPr>
        <w:spacing w:after="0" w:line="15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881" w:right="279" w:bottom="1440" w:gutter="0" w:footer="0" w:header="0"/>
        </w:sectPr>
      </w:pPr>
    </w:p>
    <w:bookmarkStart w:id="25" w:name="page26"/>
    <w:bookmarkEnd w:id="25"/>
    <w:p>
      <w:pPr>
        <w:ind w:left="260"/>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Depreciation and amortization decreased to $14.5 million from $15.1 million, or a 4.1% decrease, primarily due to a decrease in depreciation expense resulting from the effect of lower capital expenditures in recent years.</w:t>
      </w:r>
    </w:p>
    <w:p>
      <w:pPr>
        <w:spacing w:after="0" w:line="6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Interest expense increased to $17.8 million from $17.5 million, or a 1.9% increase.</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Income Tax Expense</w:t>
      </w:r>
    </w:p>
    <w:p>
      <w:pPr>
        <w:spacing w:after="0" w:line="117" w:lineRule="exact"/>
        <w:rPr>
          <w:sz w:val="20"/>
          <w:szCs w:val="20"/>
          <w:color w:val="auto"/>
        </w:rPr>
      </w:pPr>
    </w:p>
    <w:p>
      <w:pPr>
        <w:jc w:val="both"/>
        <w:ind w:right="60" w:firstLine="405"/>
        <w:spacing w:after="0" w:line="312" w:lineRule="auto"/>
        <w:rPr>
          <w:sz w:val="20"/>
          <w:szCs w:val="20"/>
          <w:color w:val="auto"/>
        </w:rPr>
      </w:pPr>
      <w:r>
        <w:rPr>
          <w:rFonts w:ascii="Arial" w:cs="Arial" w:eastAsia="Arial" w:hAnsi="Arial"/>
          <w:sz w:val="16"/>
          <w:szCs w:val="16"/>
          <w:color w:val="auto"/>
        </w:rPr>
        <w:t>Income tax expense increased to $45.5 million from $44.3 million, or a 2.9% increase. This increase was primarily due to an increase in the year to date pre-tax income as compared to the same prior year period, partially offset by the decrease in the effective tax rate in the current quarter. The effective tax rate decreased to 40.2% from 40.8% primarily due to the reinstatement of the federal research and development tax credit and the work opportunity tax credit.</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Indebtedness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presents selected financial information as of June 30, 2016 and March 31, 2016 and for the first three months of fiscal 2017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2016:</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2"/>
              </w:rPr>
              <w:t>June 30,</w:t>
            </w:r>
          </w:p>
        </w:tc>
        <w:tc>
          <w:tcPr>
            <w:tcW w:w="540" w:type="dxa"/>
            <w:vAlign w:val="bottom"/>
          </w:tcPr>
          <w:p>
            <w:pPr>
              <w:spacing w:after="0"/>
              <w:rPr>
                <w:sz w:val="14"/>
                <w:szCs w:val="14"/>
                <w:color w:val="auto"/>
              </w:rPr>
            </w:pPr>
          </w:p>
        </w:tc>
        <w:tc>
          <w:tcPr>
            <w:tcW w:w="1400" w:type="dxa"/>
            <w:vAlign w:val="bottom"/>
          </w:tcPr>
          <w:p>
            <w:pPr>
              <w:jc w:val="center"/>
              <w:ind w:right="477"/>
              <w:spacing w:after="0"/>
              <w:rPr>
                <w:sz w:val="20"/>
                <w:szCs w:val="20"/>
                <w:color w:val="auto"/>
              </w:rPr>
            </w:pPr>
            <w:r>
              <w:rPr>
                <w:rFonts w:ascii="Arial" w:cs="Arial" w:eastAsia="Arial" w:hAnsi="Arial"/>
                <w:sz w:val="14"/>
                <w:szCs w:val="14"/>
                <w:b w:val="1"/>
                <w:bCs w:val="1"/>
                <w:color w:val="auto"/>
                <w:w w:val="99"/>
              </w:rPr>
              <w:t>March 31,</w:t>
            </w:r>
          </w:p>
        </w:tc>
      </w:tr>
      <w:tr>
        <w:trPr>
          <w:trHeight w:val="192"/>
        </w:trPr>
        <w:tc>
          <w:tcPr>
            <w:tcW w:w="75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ind w:right="261"/>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437"/>
              <w:spacing w:after="0"/>
              <w:rPr>
                <w:sz w:val="20"/>
                <w:szCs w:val="20"/>
                <w:color w:val="auto"/>
              </w:rPr>
            </w:pPr>
            <w:r>
              <w:rPr>
                <w:rFonts w:ascii="Arial" w:cs="Arial" w:eastAsia="Arial" w:hAnsi="Arial"/>
                <w:sz w:val="14"/>
                <w:szCs w:val="14"/>
                <w:b w:val="1"/>
                <w:bCs w:val="1"/>
                <w:color w:val="auto"/>
                <w:w w:val="89"/>
              </w:rPr>
              <w:t>2016</w:t>
            </w:r>
          </w:p>
        </w:tc>
      </w:tr>
      <w:tr>
        <w:trPr>
          <w:trHeight w:val="244"/>
        </w:trPr>
        <w:tc>
          <w:tcPr>
            <w:tcW w:w="75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(Unaudited)</w:t>
            </w:r>
          </w:p>
        </w:tc>
        <w:tc>
          <w:tcPr>
            <w:tcW w:w="54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09"/>
        </w:trPr>
        <w:tc>
          <w:tcPr>
            <w:tcW w:w="7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40" w:type="dxa"/>
            <w:vAlign w:val="bottom"/>
            <w:gridSpan w:val="3"/>
          </w:tcPr>
          <w:p>
            <w:pPr>
              <w:jc w:val="center"/>
              <w:ind w:left="1001"/>
              <w:spacing w:after="0"/>
              <w:rPr>
                <w:sz w:val="20"/>
                <w:szCs w:val="20"/>
                <w:color w:val="auto"/>
              </w:rPr>
            </w:pPr>
            <w:r>
              <w:rPr>
                <w:rFonts w:ascii="Arial" w:cs="Arial" w:eastAsia="Arial" w:hAnsi="Arial"/>
                <w:sz w:val="14"/>
                <w:szCs w:val="14"/>
                <w:b w:val="1"/>
                <w:bCs w:val="1"/>
                <w:color w:val="auto"/>
                <w:w w:val="93"/>
              </w:rPr>
              <w:t>(In thousands)</w:t>
            </w:r>
          </w:p>
        </w:tc>
        <w:tc>
          <w:tcPr>
            <w:tcW w:w="1400" w:type="dxa"/>
            <w:vAlign w:val="bottom"/>
          </w:tcPr>
          <w:p>
            <w:pPr>
              <w:spacing w:after="0"/>
              <w:rPr>
                <w:sz w:val="18"/>
                <w:szCs w:val="18"/>
                <w:color w:val="auto"/>
              </w:rPr>
            </w:pPr>
          </w:p>
        </w:tc>
      </w:tr>
      <w:tr>
        <w:trPr>
          <w:trHeight w:val="256"/>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179,974</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187,529</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Total debt</w:t>
            </w:r>
          </w:p>
        </w:tc>
        <w:tc>
          <w:tcPr>
            <w:tcW w:w="340" w:type="dxa"/>
            <w:vAlign w:val="bottom"/>
          </w:tcPr>
          <w:p>
            <w:pPr>
              <w:spacing w:after="0"/>
              <w:rPr>
                <w:sz w:val="21"/>
                <w:szCs w:val="21"/>
                <w:color w:val="auto"/>
              </w:rPr>
            </w:pPr>
          </w:p>
        </w:tc>
        <w:tc>
          <w:tcPr>
            <w:tcW w:w="1500" w:type="dxa"/>
            <w:vAlign w:val="bottom"/>
          </w:tcPr>
          <w:p>
            <w:pPr>
              <w:jc w:val="right"/>
              <w:ind w:right="21"/>
              <w:spacing w:after="0"/>
              <w:rPr>
                <w:sz w:val="20"/>
                <w:szCs w:val="20"/>
                <w:color w:val="auto"/>
              </w:rPr>
            </w:pPr>
            <w:r>
              <w:rPr>
                <w:rFonts w:ascii="Arial" w:cs="Arial" w:eastAsia="Arial" w:hAnsi="Arial"/>
                <w:sz w:val="18"/>
                <w:szCs w:val="18"/>
                <w:color w:val="auto"/>
              </w:rPr>
              <w:t>1,608,319</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00" w:type="dxa"/>
            <w:vAlign w:val="bottom"/>
          </w:tcPr>
          <w:p>
            <w:pPr>
              <w:jc w:val="right"/>
              <w:ind w:right="17"/>
              <w:spacing w:after="0"/>
              <w:rPr>
                <w:sz w:val="20"/>
                <w:szCs w:val="20"/>
                <w:color w:val="auto"/>
              </w:rPr>
            </w:pPr>
            <w:r>
              <w:rPr>
                <w:rFonts w:ascii="Arial" w:cs="Arial" w:eastAsia="Arial" w:hAnsi="Arial"/>
                <w:sz w:val="18"/>
                <w:szCs w:val="18"/>
                <w:color w:val="auto"/>
              </w:rPr>
              <w:t>1,597,261</w:t>
            </w:r>
          </w:p>
        </w:tc>
      </w:tr>
      <w:tr>
        <w:trPr>
          <w:trHeight w:val="477"/>
        </w:trPr>
        <w:tc>
          <w:tcPr>
            <w:tcW w:w="7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540" w:type="dxa"/>
            <w:vAlign w:val="bottom"/>
            <w:gridSpan w:val="4"/>
          </w:tcPr>
          <w:p>
            <w:pPr>
              <w:jc w:val="center"/>
              <w:ind w:right="237"/>
              <w:spacing w:after="0"/>
              <w:rPr>
                <w:sz w:val="20"/>
                <w:szCs w:val="20"/>
                <w:color w:val="auto"/>
              </w:rPr>
            </w:pPr>
            <w:r>
              <w:rPr>
                <w:rFonts w:ascii="Arial" w:cs="Arial" w:eastAsia="Arial" w:hAnsi="Arial"/>
                <w:sz w:val="14"/>
                <w:szCs w:val="14"/>
                <w:b w:val="1"/>
                <w:bCs w:val="1"/>
                <w:color w:val="auto"/>
                <w:w w:val="93"/>
              </w:rPr>
              <w:t>Three Months Ended</w:t>
            </w:r>
          </w:p>
        </w:tc>
      </w:tr>
      <w:tr>
        <w:trPr>
          <w:trHeight w:val="192"/>
        </w:trPr>
        <w:tc>
          <w:tcPr>
            <w:tcW w:w="75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3"/>
          </w:tcPr>
          <w:p>
            <w:pPr>
              <w:jc w:val="center"/>
              <w:ind w:left="1021"/>
              <w:spacing w:after="0"/>
              <w:rPr>
                <w:sz w:val="20"/>
                <w:szCs w:val="20"/>
                <w:color w:val="auto"/>
              </w:rPr>
            </w:pPr>
            <w:r>
              <w:rPr>
                <w:rFonts w:ascii="Arial" w:cs="Arial" w:eastAsia="Arial" w:hAnsi="Arial"/>
                <w:sz w:val="14"/>
                <w:szCs w:val="14"/>
                <w:b w:val="1"/>
                <w:bCs w:val="1"/>
                <w:color w:val="auto"/>
                <w:w w:val="92"/>
              </w:rPr>
              <w:t>June 30,</w:t>
            </w:r>
          </w:p>
        </w:tc>
        <w:tc>
          <w:tcPr>
            <w:tcW w:w="1400" w:type="dxa"/>
            <w:vAlign w:val="bottom"/>
            <w:tcBorders>
              <w:bottom w:val="single" w:sz="8" w:color="auto"/>
            </w:tcBorders>
          </w:tcPr>
          <w:p>
            <w:pPr>
              <w:spacing w:after="0"/>
              <w:rPr>
                <w:sz w:val="16"/>
                <w:szCs w:val="16"/>
                <w:color w:val="auto"/>
              </w:rPr>
            </w:pPr>
          </w:p>
        </w:tc>
      </w:tr>
      <w:tr>
        <w:trPr>
          <w:trHeight w:val="264"/>
        </w:trPr>
        <w:tc>
          <w:tcPr>
            <w:tcW w:w="75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center"/>
              <w:ind w:right="261"/>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center"/>
              <w:ind w:right="437"/>
              <w:spacing w:after="0"/>
              <w:rPr>
                <w:sz w:val="20"/>
                <w:szCs w:val="20"/>
                <w:color w:val="auto"/>
              </w:rPr>
            </w:pPr>
            <w:r>
              <w:rPr>
                <w:rFonts w:ascii="Arial" w:cs="Arial" w:eastAsia="Arial" w:hAnsi="Arial"/>
                <w:sz w:val="14"/>
                <w:szCs w:val="14"/>
                <w:b w:val="1"/>
                <w:bCs w:val="1"/>
                <w:color w:val="auto"/>
                <w:w w:val="89"/>
              </w:rPr>
              <w:t>2015</w:t>
            </w:r>
          </w:p>
        </w:tc>
      </w:tr>
      <w:tr>
        <w:trPr>
          <w:trHeight w:val="244"/>
        </w:trPr>
        <w:tc>
          <w:tcPr>
            <w:tcW w:w="75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(Unaudited)</w:t>
            </w:r>
          </w:p>
        </w:tc>
        <w:tc>
          <w:tcPr>
            <w:tcW w:w="540" w:type="dxa"/>
            <w:vAlign w:val="bottom"/>
          </w:tcPr>
          <w:p>
            <w:pPr>
              <w:spacing w:after="0"/>
              <w:rPr>
                <w:sz w:val="21"/>
                <w:szCs w:val="21"/>
                <w:color w:val="auto"/>
              </w:rPr>
            </w:pPr>
          </w:p>
        </w:tc>
        <w:tc>
          <w:tcPr>
            <w:tcW w:w="1400" w:type="dxa"/>
            <w:vAlign w:val="bottom"/>
          </w:tcPr>
          <w:p>
            <w:pPr>
              <w:jc w:val="center"/>
              <w:ind w:right="457"/>
              <w:spacing w:after="0"/>
              <w:rPr>
                <w:sz w:val="20"/>
                <w:szCs w:val="20"/>
                <w:color w:val="auto"/>
              </w:rPr>
            </w:pPr>
            <w:r>
              <w:rPr>
                <w:rFonts w:ascii="Arial" w:cs="Arial" w:eastAsia="Arial" w:hAnsi="Arial"/>
                <w:sz w:val="14"/>
                <w:szCs w:val="14"/>
                <w:b w:val="1"/>
                <w:bCs w:val="1"/>
                <w:color w:val="auto"/>
                <w:w w:val="95"/>
              </w:rPr>
              <w:t>(Unaudited)</w:t>
            </w:r>
          </w:p>
        </w:tc>
      </w:tr>
      <w:tr>
        <w:trPr>
          <w:trHeight w:val="276"/>
        </w:trPr>
        <w:tc>
          <w:tcPr>
            <w:tcW w:w="7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40" w:type="dxa"/>
            <w:vAlign w:val="bottom"/>
            <w:gridSpan w:val="3"/>
          </w:tcPr>
          <w:p>
            <w:pPr>
              <w:jc w:val="center"/>
              <w:ind w:left="1001"/>
              <w:spacing w:after="0"/>
              <w:rPr>
                <w:sz w:val="20"/>
                <w:szCs w:val="20"/>
                <w:color w:val="auto"/>
              </w:rPr>
            </w:pPr>
            <w:r>
              <w:rPr>
                <w:rFonts w:ascii="Arial" w:cs="Arial" w:eastAsia="Arial" w:hAnsi="Arial"/>
                <w:sz w:val="14"/>
                <w:szCs w:val="14"/>
                <w:b w:val="1"/>
                <w:bCs w:val="1"/>
                <w:color w:val="auto"/>
                <w:w w:val="93"/>
              </w:rPr>
              <w:t>(In thousands)</w:t>
            </w:r>
          </w:p>
        </w:tc>
        <w:tc>
          <w:tcPr>
            <w:tcW w:w="1400" w:type="dxa"/>
            <w:vAlign w:val="bottom"/>
          </w:tcPr>
          <w:p>
            <w:pPr>
              <w:spacing w:after="0"/>
              <w:rPr>
                <w:sz w:val="24"/>
                <w:szCs w:val="24"/>
                <w:color w:val="auto"/>
              </w:rPr>
            </w:pPr>
          </w:p>
        </w:tc>
      </w:tr>
      <w:tr>
        <w:trPr>
          <w:trHeight w:val="256"/>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11,647</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19,096</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(7,022)</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(13,140)</w:t>
            </w:r>
          </w:p>
        </w:tc>
      </w:tr>
      <w:tr>
        <w:trPr>
          <w:trHeight w:val="27"/>
        </w:trPr>
        <w:tc>
          <w:tcPr>
            <w:tcW w:w="7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financing activities</w:t>
            </w:r>
          </w:p>
        </w:tc>
        <w:tc>
          <w:tcPr>
            <w:tcW w:w="34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(12,180)</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(61,697)</w:t>
            </w:r>
          </w:p>
        </w:tc>
      </w:tr>
      <w:tr>
        <w:trPr>
          <w:trHeight w:val="237"/>
        </w:trPr>
        <w:tc>
          <w:tcPr>
            <w:tcW w:w="7540" w:type="dxa"/>
            <w:vAlign w:val="bottom"/>
          </w:tcPr>
          <w:p>
            <w:pPr>
              <w:ind w:left="40"/>
              <w:spacing w:after="0"/>
              <w:rPr>
                <w:sz w:val="20"/>
                <w:szCs w:val="20"/>
                <w:color w:val="auto"/>
              </w:rPr>
            </w:pPr>
            <w:r>
              <w:rPr>
                <w:rFonts w:ascii="Arial" w:cs="Arial" w:eastAsia="Arial" w:hAnsi="Arial"/>
                <w:sz w:val="18"/>
                <w:szCs w:val="18"/>
                <w:color w:val="auto"/>
              </w:rPr>
              <w:t>Total decrease in cash and cash equivalents</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(7,555)</w:t>
            </w:r>
          </w:p>
        </w:tc>
        <w:tc>
          <w:tcPr>
            <w:tcW w:w="100" w:type="dxa"/>
            <w:vAlign w:val="bottom"/>
          </w:tcPr>
          <w:p>
            <w:pPr>
              <w:spacing w:after="0"/>
              <w:rPr>
                <w:sz w:val="20"/>
                <w:szCs w:val="20"/>
                <w:color w:val="auto"/>
              </w:rPr>
            </w:pPr>
          </w:p>
        </w:tc>
        <w:tc>
          <w:tcPr>
            <w:tcW w:w="5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(55,741)</w:t>
            </w:r>
          </w:p>
        </w:tc>
      </w:tr>
      <w:tr>
        <w:trPr>
          <w:trHeight w:val="27"/>
        </w:trPr>
        <w:tc>
          <w:tcPr>
            <w:tcW w:w="75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
        </w:trPr>
        <w:tc>
          <w:tcPr>
            <w:tcW w:w="75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From time to time we evaluate alternative uses for excess cash resources once our operating cash flow needs and required debt amortization have been met. Some of the possible uses of our remaining excess cash at any point in time may include funding acquisitions, further investment in our business and voluntary debt prepayments, as well as initiatives intended to return value to shareholders in the form of payment of recurring and special dividends and share repurchases.</w:t>
      </w:r>
    </w:p>
    <w:p>
      <w:pPr>
        <w:spacing w:after="0" w:line="187" w:lineRule="exact"/>
        <w:rPr>
          <w:sz w:val="20"/>
          <w:szCs w:val="20"/>
          <w:color w:val="auto"/>
        </w:rPr>
      </w:pPr>
    </w:p>
    <w:p>
      <w:pPr>
        <w:ind w:right="60" w:firstLine="405"/>
        <w:spacing w:after="0" w:line="273" w:lineRule="auto"/>
        <w:rPr>
          <w:sz w:val="20"/>
          <w:szCs w:val="20"/>
          <w:color w:val="auto"/>
        </w:rPr>
      </w:pPr>
      <w:r>
        <w:rPr>
          <w:rFonts w:ascii="Arial" w:cs="Arial" w:eastAsia="Arial" w:hAnsi="Arial"/>
          <w:sz w:val="17"/>
          <w:szCs w:val="17"/>
          <w:color w:val="auto"/>
        </w:rPr>
        <w:t>We have historically been able to generate sufficient cash to fund our operations, debt payments, capital expenditures, and discretionary funding needs. However, due to fluctuations in cash flows, including as a result of the trends and developments described above under "—Factors and Trends Affecting Our Results of Operations" relating to U.S. government cost-cutting, reductions or delays in the U.S. government appropriations and spending process and other budgetary matters, it may be necessary from time-to-time in the future to borrow under our senior secured loan facilities to meet cash demands. We anticipate that cash provided by operating activities, existing cash and cash equivalents, and borrowing capacity under our revolving credit facility will be sufficient to meet our anticipated cash requirements for the next twelve months, which primarily include:</w:t>
      </w:r>
    </w:p>
    <w:p>
      <w:pPr>
        <w:spacing w:after="0" w:line="70" w:lineRule="exact"/>
        <w:rPr>
          <w:sz w:val="20"/>
          <w:szCs w:val="20"/>
          <w:color w:val="auto"/>
        </w:rPr>
      </w:pPr>
    </w:p>
    <w:p>
      <w:pPr>
        <w:ind w:left="1300" w:hanging="64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operating expenses, including salaries;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working capital requirements to fund the growth of our business;</w:t>
      </w:r>
    </w:p>
    <w:p>
      <w:pPr>
        <w:spacing w:after="0" w:line="117" w:lineRule="exact"/>
        <w:rPr>
          <w:rFonts w:ascii="Arial" w:cs="Arial" w:eastAsia="Arial" w:hAnsi="Arial"/>
          <w:sz w:val="18"/>
          <w:szCs w:val="18"/>
          <w:color w:val="auto"/>
        </w:rPr>
      </w:pPr>
    </w:p>
    <w:p>
      <w:pPr>
        <w:ind w:left="1300" w:right="580" w:hanging="644"/>
        <w:spacing w:after="0" w:line="277"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capital expenditures which primarily relate to the purchase of computers, business systems, furniture and leasehold improvements to support our operations;</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debt service requirements for borrowings under our senior secured loan facilities; and</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cash taxes to be paid.</w:t>
      </w:r>
    </w:p>
    <w:p>
      <w:pPr>
        <w:sectPr>
          <w:pgSz w:w="11900" w:h="16838" w:orient="portrait"/>
          <w:cols w:equalWidth="0" w:num="1">
            <w:col w:w="11420"/>
          </w:cols>
          <w:pgMar w:left="240" w:top="881"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881" w:right="239" w:bottom="1440" w:gutter="0" w:footer="0" w:header="0"/>
          <w:type w:val="continuous"/>
        </w:sectPr>
      </w:pPr>
    </w:p>
    <w:bookmarkStart w:id="26" w:name="page27"/>
    <w:bookmarkEnd w:id="26"/>
    <w:p>
      <w:pPr>
        <w:ind w:left="260"/>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right="40" w:firstLine="405"/>
        <w:spacing w:after="0" w:line="293" w:lineRule="auto"/>
        <w:rPr>
          <w:sz w:val="20"/>
          <w:szCs w:val="20"/>
          <w:color w:val="auto"/>
        </w:rPr>
      </w:pPr>
      <w:r>
        <w:rPr>
          <w:rFonts w:ascii="Arial" w:cs="Arial" w:eastAsia="Arial" w:hAnsi="Arial"/>
          <w:sz w:val="16"/>
          <w:szCs w:val="16"/>
          <w:color w:val="auto"/>
        </w:rPr>
        <w:t>Cash received from clients, either from the payment of invoices for work performed or for advances in excess of costs incurred, is our primary source of cash. We generally do not begin work on contracts until funding is appropriated by the client. Billing timetables and payment terms on our contracts vary based on a number of factors, including whether the contract type is cost-reimbursable, time-and-materials, or fixed-price. We generally bill and collect cash more frequently under cost-reimbursable and time-and-materials contracts, as we are authorized to bill as the costs are incurred or work is performed. In contrast, we may be limited to bill certain fixed-price contracts only when specified milestones, including deliveries, are achieved. In addition, a number of our contracts may provide for performance-based payments, which allow us to bill and collect cash prior to completing the work.</w:t>
      </w:r>
    </w:p>
    <w:p>
      <w:pPr>
        <w:spacing w:after="0" w:line="57" w:lineRule="exact"/>
        <w:rPr>
          <w:sz w:val="20"/>
          <w:szCs w:val="20"/>
          <w:color w:val="auto"/>
        </w:rPr>
      </w:pPr>
    </w:p>
    <w:p>
      <w:pPr>
        <w:ind w:firstLine="405"/>
        <w:spacing w:after="0" w:line="290" w:lineRule="auto"/>
        <w:rPr>
          <w:sz w:val="20"/>
          <w:szCs w:val="20"/>
          <w:color w:val="auto"/>
        </w:rPr>
      </w:pPr>
      <w:r>
        <w:rPr>
          <w:rFonts w:ascii="Arial" w:cs="Arial" w:eastAsia="Arial" w:hAnsi="Arial"/>
          <w:sz w:val="16"/>
          <w:szCs w:val="16"/>
          <w:color w:val="auto"/>
        </w:rPr>
        <w:t>Accounts receivable is the principal component of our working capital and is generally driven by revenue growth with other short-term fluctuations such as the payment practices of our clients, and the government's authorization to bill for indirect rates that have not yet been settled. Our accounts receivable reflect amounts billed to our clients as of each balance sheet date. Our clients generally pay our invoices within 30 days of the invoice date. At any month-end, we also include in accounts receivable the revenue that was recognized in the preceding month, which is generally billed early in the following month. Finally, we include in accounts receivable amounts related to revenue accrued in excess of amounts billed, primarily on our fixed-price and cost-plus-award-fee contracts. The total amount of our accounts receivable can vary significantly over time, but is generally sensitive to revenue levels. Total accounts receivable (billed and unbilled combined, net of allowance for doubtful accounts) days sales outstanding or DSO, which we calculate by dividing total accounts receivable by revenue per day during the relevant fiscal quarter, was 65 as of June 30, 2016 and 60 as of March 31, 2016.</w:t>
      </w:r>
    </w:p>
    <w:p>
      <w:pPr>
        <w:spacing w:after="0" w:line="5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Net Cash from Operating Activities</w:t>
      </w:r>
    </w:p>
    <w:p>
      <w:pPr>
        <w:spacing w:after="0" w:line="117"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Net cash from operations is primarily affected by the overall profitability of our contracts, our ability to invoice and collect from clients in a timely manner, and our ability to manage our vendor payments. Net cash provided by operations was $11.6 million in the three months ended June 30, 2016 compared to $19.1 million in the prior year period, or a 39.0% decrease. The decrease in net cash provided by operations was driven primarily by an increase in accounts receivable tied to the residual effect of higher indirect spending in fiscal 2016.</w:t>
      </w:r>
    </w:p>
    <w:p>
      <w:pPr>
        <w:spacing w:after="0" w:line="7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Net Cash from Investing Activities</w:t>
      </w:r>
    </w:p>
    <w:p>
      <w:pPr>
        <w:spacing w:after="0" w:line="117" w:lineRule="exact"/>
        <w:rPr>
          <w:sz w:val="20"/>
          <w:szCs w:val="20"/>
          <w:color w:val="auto"/>
        </w:rPr>
      </w:pPr>
    </w:p>
    <w:p>
      <w:pPr>
        <w:jc w:val="both"/>
        <w:ind w:right="120" w:firstLine="405"/>
        <w:spacing w:after="0" w:line="264" w:lineRule="auto"/>
        <w:rPr>
          <w:sz w:val="20"/>
          <w:szCs w:val="20"/>
          <w:color w:val="auto"/>
        </w:rPr>
      </w:pPr>
      <w:r>
        <w:rPr>
          <w:rFonts w:ascii="Arial" w:cs="Arial" w:eastAsia="Arial" w:hAnsi="Arial"/>
          <w:sz w:val="18"/>
          <w:szCs w:val="18"/>
          <w:color w:val="auto"/>
        </w:rPr>
        <w:t>Net cash used in investing activities was $7.0 million in the three months ended June 30, 2016 compared to $13.1 million in the prior year period, or a 46.6% decrease. The decrease in net cash used in investing activities was due to a decrease in capital expenditures over the prior year primarily related to the timing of the leasehold improvements related to the reconfiguration of our facilities footprint.</w:t>
      </w:r>
    </w:p>
    <w:p>
      <w:pPr>
        <w:spacing w:after="0" w:line="7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Net Cash from Financing Activities</w:t>
      </w:r>
    </w:p>
    <w:p>
      <w:pPr>
        <w:spacing w:after="0" w:line="117" w:lineRule="exact"/>
        <w:rPr>
          <w:sz w:val="20"/>
          <w:szCs w:val="20"/>
          <w:color w:val="auto"/>
        </w:rPr>
      </w:pPr>
    </w:p>
    <w:p>
      <w:pPr>
        <w:ind w:firstLine="405"/>
        <w:spacing w:after="0" w:line="297" w:lineRule="auto"/>
        <w:rPr>
          <w:sz w:val="20"/>
          <w:szCs w:val="20"/>
          <w:color w:val="auto"/>
        </w:rPr>
      </w:pPr>
      <w:r>
        <w:rPr>
          <w:rFonts w:ascii="Arial" w:cs="Arial" w:eastAsia="Arial" w:hAnsi="Arial"/>
          <w:sz w:val="16"/>
          <w:szCs w:val="16"/>
          <w:color w:val="auto"/>
        </w:rPr>
        <w:t>Net cash used in financing activities was $12.2 million in the three months ended June 30, 2016 compared to $61.7 million in the prior year period, or an 80.3% decrease. In the first quarter of fiscal 2016 the Company repurchased $1.2 million shares of our Class A Common Stock for $30.5 million on the open market with no similar transaction occurring in the first quarter of fiscal 2017. Conversely, during the first quarter of fiscal 2017, the Company borrowed $185.0 million on its revolving credit facility of which $160.0 million was repaid as of June 30, 2016, with no similar activity in the first quarter of fiscal 2016. In addition, starting in September of fiscal 2016 the quarterly principal payment on our debt increased by an additional $5.0 million.</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Dividends and Share Repurchases</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summarizes the cash distributions recognized in the condensed consolidated statement of cash flows:</w:t>
      </w:r>
    </w:p>
    <w:p>
      <w:pPr>
        <w:spacing w:after="0" w:line="379"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5516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2015</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Recurring dividends (1)</w:t>
            </w: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22,349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19,052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Dividend equivalents (2)</w:t>
            </w:r>
          </w:p>
        </w:tc>
        <w:tc>
          <w:tcPr>
            <w:tcW w:w="9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2,157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3,593</w:t>
            </w:r>
          </w:p>
        </w:tc>
      </w:tr>
      <w:tr>
        <w:trPr>
          <w:trHeight w:val="27"/>
        </w:trPr>
        <w:tc>
          <w:tcPr>
            <w:tcW w:w="83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distributions</w:t>
            </w:r>
          </w:p>
        </w:tc>
        <w:tc>
          <w:tcPr>
            <w:tcW w:w="900" w:type="dxa"/>
            <w:vAlign w:val="bottom"/>
            <w:tcBorders>
              <w:bottom w:val="single" w:sz="8" w:color="auto"/>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24,506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22,645</w:t>
            </w:r>
          </w:p>
        </w:tc>
      </w:tr>
      <w:tr>
        <w:trPr>
          <w:trHeight w:val="20"/>
        </w:trPr>
        <w:tc>
          <w:tcPr>
            <w:tcW w:w="83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80" w:firstLine="8"/>
        <w:spacing w:after="0" w:line="277" w:lineRule="auto"/>
        <w:tabs>
          <w:tab w:leader="none" w:pos="2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Amounts represent recurring dividends of $0.15 per share and $0.13 per share that were declared and paid during the first quarter of fiscal 2017 and fiscal 2016, respectively.</w:t>
      </w:r>
    </w:p>
    <w:p>
      <w:pPr>
        <w:spacing w:after="0" w:line="62" w:lineRule="exact"/>
        <w:rPr>
          <w:rFonts w:ascii="Arial" w:cs="Arial" w:eastAsia="Arial" w:hAnsi="Arial"/>
          <w:sz w:val="18"/>
          <w:szCs w:val="18"/>
          <w:color w:val="auto"/>
        </w:rPr>
      </w:pPr>
    </w:p>
    <w:p>
      <w:pPr>
        <w:ind w:left="260" w:hanging="252"/>
        <w:spacing w:after="0"/>
        <w:tabs>
          <w:tab w:leader="none" w:pos="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Dividend equivalents are distributions made to option holders equal to the previously declared special dividends.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881" w:right="239" w:bottom="1440" w:gutter="0" w:footer="0" w:header="0"/>
        </w:sectPr>
      </w:pPr>
    </w:p>
    <w:bookmarkStart w:id="27" w:name="page28"/>
    <w:bookmarkEnd w:id="27"/>
    <w:p>
      <w:pPr>
        <w:ind w:right="720" w:firstLine="405"/>
        <w:spacing w:after="0" w:line="277" w:lineRule="auto"/>
        <w:rPr>
          <w:sz w:val="20"/>
          <w:szCs w:val="20"/>
          <w:color w:val="auto"/>
        </w:rPr>
      </w:pPr>
      <w:r>
        <w:rPr>
          <w:rFonts w:ascii="Arial" w:cs="Arial" w:eastAsia="Arial" w:hAnsi="Arial"/>
          <w:sz w:val="18"/>
          <w:szCs w:val="18"/>
          <w:color w:val="auto"/>
        </w:rPr>
        <w:t>On July 27, 2016, the Company announced a regular quarterly cash dividend in the amount of $0.15 per share, payable on August 31, 2016 to stockholders of record on August 10, 2016.</w:t>
      </w:r>
    </w:p>
    <w:p>
      <w:pPr>
        <w:spacing w:after="0" w:line="143" w:lineRule="exact"/>
        <w:rPr>
          <w:sz w:val="20"/>
          <w:szCs w:val="20"/>
          <w:color w:val="auto"/>
        </w:rPr>
      </w:pPr>
    </w:p>
    <w:p>
      <w:pPr>
        <w:ind w:right="100" w:firstLine="405"/>
        <w:spacing w:after="0" w:line="276" w:lineRule="auto"/>
        <w:rPr>
          <w:sz w:val="20"/>
          <w:szCs w:val="20"/>
          <w:color w:val="auto"/>
        </w:rPr>
      </w:pPr>
      <w:r>
        <w:rPr>
          <w:rFonts w:ascii="Arial" w:cs="Arial" w:eastAsia="Arial" w:hAnsi="Arial"/>
          <w:sz w:val="17"/>
          <w:szCs w:val="17"/>
          <w:color w:val="auto"/>
        </w:rPr>
        <w:t>On December 12, 2011, the Board of Directors authorized the repurchase of up to $30.0 million of our shares. On January 27, 2015, the share repurchase authorization was increased to $180.0 million. The Company currently has $71.7 million remaining under the repurchase program. Any determination to pursue one or more of the above alternative uses for excess cash is subject to the discretion of our Board of Directors, and will depend upon various factors, including our results of operations, financial condition, liquidity requirements, restrictions that may be imposed by applicable law, our contracts, and our senior secured credit agreement, as amended, and other factors deemed relevant by our Board of Directors.</w:t>
      </w:r>
    </w:p>
    <w:p>
      <w:pPr>
        <w:spacing w:after="0" w:line="14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Indebtedness</w:t>
      </w:r>
    </w:p>
    <w:p>
      <w:pPr>
        <w:spacing w:after="0" w:line="19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On May 7, 2014, Booz Allen Hamilton Inc. ("Booz Allen Hamilton"), Booz Allen Hamilton Investor Corporation ("Investor") and certain wholly-</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owned subsidiaries of Booz Allen Hamilton entered into the Second Amendment (the "Second Amendment") to the Credit Agreement (the "Credit</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Agreement"), dated as of July 31, 2012, among Booz Allen Hamilton, Investor, certain wholly-owned subsidiaries of Booz Allen Hamilton and Bank of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America, N.A., as Administrative Agent, Collateral Agent and Issuing Lender (as previously amended by the First Amendment to the Credit Agreement,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dated as of August 16, 2013). As of June 30, 2016, the Credit Agreement, as amended by the Second Amendment, provided Booz Allen Hamilton with an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$830.0 million Term Loan A facility, an $841.2 million Term Loan B facility, and a $500.0 million revolving credit facility, with a $100.0 million sublimit for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letters of credit. As of June 30, 2016, the maturity date of the Term Loan A facility and the termination date of the revolving credit facility was May 31, 2019</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the maturity date of the Term Loan B facility was July 31, 2019.</w:t>
      </w:r>
    </w:p>
    <w:p>
      <w:pPr>
        <w:spacing w:after="0" w:line="103" w:lineRule="exact"/>
        <w:rPr>
          <w:sz w:val="20"/>
          <w:szCs w:val="20"/>
          <w:color w:val="auto"/>
        </w:rPr>
      </w:pPr>
    </w:p>
    <w:p>
      <w:pPr>
        <w:ind w:right="220" w:firstLine="405"/>
        <w:spacing w:after="0" w:line="264" w:lineRule="auto"/>
        <w:rPr>
          <w:sz w:val="20"/>
          <w:szCs w:val="20"/>
          <w:color w:val="auto"/>
        </w:rPr>
      </w:pPr>
      <w:r>
        <w:rPr>
          <w:rFonts w:ascii="Arial" w:cs="Arial" w:eastAsia="Arial" w:hAnsi="Arial"/>
          <w:sz w:val="18"/>
          <w:szCs w:val="18"/>
          <w:color w:val="auto"/>
        </w:rPr>
        <w:t>Booz Allen Hamilton occasionally borrows under our revolving credit facility in anticipation of cash demands. During the first quarter of fiscal 2017, Booz Allen Hamilton accessed a total of $185.0 million of its $500.0 million revolving credit facility. As of June 30, 2016 and March 31, 2016, there was $60.0 million and $35.0 million, respectively, outstanding on the revolving credit facility.</w:t>
      </w:r>
    </w:p>
    <w:p>
      <w:pPr>
        <w:spacing w:after="0" w:line="73" w:lineRule="exact"/>
        <w:rPr>
          <w:sz w:val="20"/>
          <w:szCs w:val="20"/>
          <w:color w:val="auto"/>
        </w:rPr>
      </w:pPr>
    </w:p>
    <w:p>
      <w:pPr>
        <w:jc w:val="both"/>
        <w:ind w:right="120" w:firstLine="405"/>
        <w:spacing w:after="0" w:line="279" w:lineRule="auto"/>
        <w:rPr>
          <w:sz w:val="20"/>
          <w:szCs w:val="20"/>
          <w:color w:val="auto"/>
        </w:rPr>
      </w:pPr>
      <w:r>
        <w:rPr>
          <w:rFonts w:ascii="Arial" w:cs="Arial" w:eastAsia="Arial" w:hAnsi="Arial"/>
          <w:sz w:val="17"/>
          <w:szCs w:val="17"/>
          <w:color w:val="auto"/>
        </w:rPr>
        <w:t>The Credit Agreement, as amended by the Second Amendment, required quarterly principal payments of 1.25% of the stated principal amount of Term Loan A, with annual incremental increases to 1.875%, 2.50%, 3.125%, and 13.0%, prior to maturity, and quarterly principal payments of 0.25% of the stated principal amount of Term Loan B. As a result of paying approximately $168.4 million of Term Loan B principal in connection with Second Amendment, no additional principal payments were required until the remaining balance was due on Term Loan B's maturity.</w:t>
      </w:r>
    </w:p>
    <w:p>
      <w:pPr>
        <w:spacing w:after="0" w:line="63"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As of June 30, 2016, the Credit Agreement, as amended by the Second Amendment, provided that the interest rate on borrowings under Term Loan A was LIBOR plus a 2.50% spread, with a spread that ranged from 2.00% to 2.75% based on Booz Allen Hamilton's total leverage ratio, and the interest rate on borrowings under Term Loan B was LIBOR plus a 3.00% spread with a 0.75% floor, with a spread that ranged from 2.00% to 3.00% based upon either an ABR or LIBOR borrowing. The revolving credit facility margin was LIBOR plus a 2.5% spread, with a spread that ranged from 2.00% to 2.75%, and commitment fee was 0.375%, with a spread that ranged from 0.375% to 0.500%.</w:t>
      </w:r>
    </w:p>
    <w:p>
      <w:pPr>
        <w:spacing w:after="0" w:line="80"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As of June 30, 2016 and March 31, 2016, we were contingently liable under open standby letters of credit and bank guarantees issued by our banks in favor of third parties that totaled $6.7 million and $6.6 million, respectively. These letters of credit and bank guarantees primarily support insurance and bid and performance obligations. At June 30, 2016 and March 31, 2016, approximately $1.7 million and $1.8 million, respectively, of these instruments reduce the available borrowings under the revolving credit facility. The remainder was guaranteed under a separate $10.0 million facility established in fiscal 2016 of which $5.0 million and $5.2 million, respectively, was available to us at June 30, 2016 and March 31, 2016. As of June 30, 2016, we had $438.3 million of capacity available for additional borrowings under the revolving credit facility.</w:t>
      </w:r>
    </w:p>
    <w:p>
      <w:pPr>
        <w:spacing w:after="0" w:line="70" w:lineRule="exact"/>
        <w:rPr>
          <w:sz w:val="20"/>
          <w:szCs w:val="20"/>
          <w:color w:val="auto"/>
        </w:rPr>
      </w:pPr>
    </w:p>
    <w:p>
      <w:pPr>
        <w:ind w:right="60" w:firstLine="405"/>
        <w:spacing w:after="0" w:line="254" w:lineRule="auto"/>
        <w:rPr>
          <w:sz w:val="20"/>
          <w:szCs w:val="20"/>
          <w:color w:val="auto"/>
        </w:rPr>
      </w:pPr>
      <w:r>
        <w:rPr>
          <w:rFonts w:ascii="Arial" w:cs="Arial" w:eastAsia="Arial" w:hAnsi="Arial"/>
          <w:sz w:val="18"/>
          <w:szCs w:val="18"/>
          <w:color w:val="auto"/>
        </w:rPr>
        <w:t>On July 13, 2016, Booz Allen Hamilton, Investor and certain wholly-owned subsidiaries of Booz Allen Hamilton entered into the Third Amendment (the "Third Amendment") to the Credit Agreement (the "Credit Agreement"), whereby Booz Allen Hamilton borrowed $441 million of additional Term Loan A, with such funds used to pay off a portion of the outstanding principal of the Term Loan B facility. Under the Third Amendment, the interest rate on borrowings under Term Loan A was reduced to LIBOR plus a spread that ranges from 1.50% to 2.25% based on Booz Allen Hamilton's total leverage ratio. The revolving credit facility margin was reduced to LIBOR plus a spread that ranges from 1.50% to 2.25% based on Booz Allen Hamilton's total leverage ratio, and the revolving credit facility commitment fee was reduced to a spread ranging from 0.300% to 0.400%. The interest rate for borrowings under Term Loan B was reduced to LIBOR plus 2.75% with no LIBOR floor, with a spread that ranged from 1.75% to 2.75% based upon either an ABR or LIBOR borrowing.</w:t>
      </w:r>
    </w:p>
    <w:p>
      <w:pPr>
        <w:spacing w:after="0" w:line="84"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Under the Third Amendment, the maturity date of Term Loan A and the termination date for the revolving credit facility was extended to June 30, 2021 and the maturity date of Term Loan B was extended to to June 30, 2023. The Credit Agreement, as amended by the Third Amendment, requires quarterly principal payments of 1.25% of the stated principal amount of Term Loan A until maturity and quarterly principal payments of 0.25% of the stated principal amount of Term Loan B until maturity.</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881" w:right="259" w:bottom="1440" w:gutter="0" w:footer="0" w:header="0"/>
        </w:sectPr>
      </w:pPr>
    </w:p>
    <w:bookmarkStart w:id="28" w:name="page29"/>
    <w:bookmarkEnd w:id="28"/>
    <w:p>
      <w:pPr>
        <w:ind w:firstLine="405"/>
        <w:spacing w:after="0" w:line="279" w:lineRule="auto"/>
        <w:rPr>
          <w:sz w:val="20"/>
          <w:szCs w:val="20"/>
          <w:color w:val="auto"/>
        </w:rPr>
      </w:pPr>
      <w:r>
        <w:rPr>
          <w:rFonts w:ascii="Arial" w:cs="Arial" w:eastAsia="Arial" w:hAnsi="Arial"/>
          <w:sz w:val="17"/>
          <w:szCs w:val="17"/>
          <w:color w:val="auto"/>
        </w:rPr>
        <w:t>The Third Amendment increased the amount of additional secured indebtedness that we may incur under incremental credit facilities from $300 million to $400 million and amended our financial maintenance covenants by changing the maximum consolidated net total leverage ratio to (i) 4.50:1.00 through December 31, 2016 and (ii) 4.00:1:00 thereafter. Mandatory prepayments of Term Loan A were also reduced to 5.00% per annum. The Third Amendment also amended certain existing debt covenants to provide us with greater operational and financial flexibility.</w:t>
      </w:r>
    </w:p>
    <w:p>
      <w:pPr>
        <w:spacing w:after="0" w:line="63" w:lineRule="exact"/>
        <w:rPr>
          <w:sz w:val="20"/>
          <w:szCs w:val="20"/>
          <w:color w:val="auto"/>
        </w:rPr>
      </w:pPr>
    </w:p>
    <w:p>
      <w:pPr>
        <w:ind w:right="20" w:firstLine="405"/>
        <w:spacing w:after="0" w:line="297" w:lineRule="auto"/>
        <w:rPr>
          <w:sz w:val="20"/>
          <w:szCs w:val="20"/>
          <w:color w:val="auto"/>
        </w:rPr>
      </w:pPr>
      <w:r>
        <w:rPr>
          <w:rFonts w:ascii="Arial" w:cs="Arial" w:eastAsia="Arial" w:hAnsi="Arial"/>
          <w:sz w:val="16"/>
          <w:szCs w:val="16"/>
          <w:color w:val="auto"/>
        </w:rPr>
        <w:t>Based on the terms of the Third Amendment, the Company expects approximately $5 million to $10 million of interest expense savings during fiscal 2017, subject to future LIBOR movements. The Company also expects to accelerate the amortization of ratable portions of the debt issuance costs and original issue discount that do not qualify for deferral of approximately $6 million. These expenses will be reflected in other expense, net in the three months ended September 30, 2016. Furthermore, the Company expects to expense third party debt issuance costs and creditor fees of approximately $3 million that did not qualify for deferral and will be reflected in general and administrative costs in the three months ended September 30, 2016.</w:t>
      </w:r>
    </w:p>
    <w:p>
      <w:pPr>
        <w:spacing w:after="0" w:line="50"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The loans under the Credit Agreement, as amended, are secured by substantially all of our assets and none of such assets will be available to satisfy the claims of our general creditors. The Credit Agreement, as amended, contains customary representations and warranties and customary affirmative and negative covenants. The negative covenants are limited to the following, in each case subject to certain exceptions: a maximum net total leverage ratio; a minimum net interest coverage ratio; limitations on indebtedness and liens; mergers, consolidations or amalgamations, or liquidations, wind-ups or dissolutions; dispositions of property; restricted payments; investments; transactions with affiliates; sale and lease back transactions; change in fiscal periods; negative pledges; restrictive agreements; limitations on line of business; limitations on speculative hedging and limitations on changes of names and jurisdictions. In addition, we are required to meet certain financial covenants at each quarter end, namely Consolidated Net Total Leverage and Consolidated Net Interest Coverage Ratios. As of June 30, 2016, we were compliant with these covenants.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Structure and Resources</w:t>
      </w:r>
    </w:p>
    <w:p>
      <w:pPr>
        <w:spacing w:after="0" w:line="121" w:lineRule="exact"/>
        <w:rPr>
          <w:sz w:val="20"/>
          <w:szCs w:val="20"/>
          <w:color w:val="auto"/>
        </w:rPr>
      </w:pPr>
    </w:p>
    <w:p>
      <w:pPr>
        <w:ind w:right="260" w:firstLine="405"/>
        <w:spacing w:after="0" w:line="279" w:lineRule="auto"/>
        <w:rPr>
          <w:sz w:val="20"/>
          <w:szCs w:val="20"/>
          <w:color w:val="auto"/>
        </w:rPr>
      </w:pPr>
      <w:r>
        <w:rPr>
          <w:rFonts w:ascii="Arial" w:cs="Arial" w:eastAsia="Arial" w:hAnsi="Arial"/>
          <w:sz w:val="17"/>
          <w:szCs w:val="17"/>
          <w:color w:val="auto"/>
        </w:rPr>
        <w:t>Our stockholders’ equity amounted to $462.3 million as of June 30, 2016, an increase of $53.8 million compared to stockholders’ equity of $408.5 million as of March 31, 2016. The increase is primarily due to net income of $67.8 million in the three months ended June 30, 2016 and stock-based compensation expense of $5.9 million, partially offset by $22.3 million in recurring and special dividend payments and a $4.6 million increase in treasury stock resulting from the repurchase of shares of our Class A Common Stock during the three months ended June 30, 2016.</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June 30, 2016, we did not have any off-balance sheet arrangements.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121"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Since we do not own any of our facilities, our capital expenditure requirements primarily relate to the purchase of computers, business systems, furniture, and leasehold improvements to support our operations. Direct facility and equipment costs billed to clients are not treated as capital expenses. Our capital expenditures for the three months ended June 30, 2016 and 2015 were $6.2 million and $13.1 million, respectively, and the majority of such capital expenditures related to facilities infrastructure, equipment, and information technology. Expenditures for facilities infrastructure and equipment are generally incurred to support new and existing programs across our business. We also incur capital expenditures for information technology to support programs and general enterprise information technology infrastructure.</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Contingencies</w:t>
      </w:r>
    </w:p>
    <w:p>
      <w:pPr>
        <w:spacing w:after="0" w:line="121"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We are subject to a number of reviews, investigations, claims, lawsuits, and other uncertainties related to our business. For a discussion of these items, refer to Note 16 to our condensed consolidated financial statements.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Forward Looking Statements</w:t>
      </w:r>
    </w:p>
    <w:p>
      <w:pPr>
        <w:spacing w:after="0" w:line="121" w:lineRule="exact"/>
        <w:rPr>
          <w:sz w:val="20"/>
          <w:szCs w:val="20"/>
          <w:color w:val="auto"/>
        </w:rPr>
      </w:pPr>
    </w:p>
    <w:p>
      <w:pPr>
        <w:ind w:right="120" w:firstLine="405"/>
        <w:spacing w:after="0" w:line="272" w:lineRule="auto"/>
        <w:rPr>
          <w:sz w:val="20"/>
          <w:szCs w:val="20"/>
          <w:color w:val="auto"/>
        </w:rPr>
      </w:pPr>
      <w:r>
        <w:rPr>
          <w:rFonts w:ascii="Arial" w:cs="Arial" w:eastAsia="Arial" w:hAnsi="Arial"/>
          <w:sz w:val="17"/>
          <w:szCs w:val="17"/>
          <w:color w:val="auto"/>
        </w:rPr>
        <w:t>This Quarterly Report on Form 10-Q, or Quarterly Report, contains forward-looking statements. In some cases, you can identify forward-looking statements by terminology such as “may,” “will,” “could,” “should,” “forecasts,” “expects,” “intends,” “plans,” “anticipates,” “projects,” “outlook,” “believes,” “estimates,” “predicts,” “potential,” “continue,” “preliminary,” or the negative of these terms or other comparable terminology. Although we believe that the expectations reflected in the forward-looking statements are reasonable, we can give you no assurance these expectations will prove to have been correct. These forward-looking statements relate to future events or our future financial performance and involve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w:t>
      </w:r>
    </w:p>
    <w:p>
      <w:pPr>
        <w:spacing w:after="0" w:line="2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40"/>
          </w:cols>
          <w:pgMar w:left="240" w:top="881" w:right="319" w:bottom="1440" w:gutter="0" w:footer="0" w:header="0"/>
        </w:sectPr>
      </w:pPr>
    </w:p>
    <w:bookmarkStart w:id="29" w:name="page30"/>
    <w:bookmarkEnd w:id="29"/>
    <w:p>
      <w:pPr>
        <w:ind w:firstLine="405"/>
        <w:spacing w:after="0" w:line="283" w:lineRule="auto"/>
        <w:rPr>
          <w:sz w:val="20"/>
          <w:szCs w:val="20"/>
          <w:color w:val="auto"/>
        </w:rPr>
      </w:pPr>
      <w:r>
        <w:rPr>
          <w:rFonts w:ascii="Arial" w:cs="Arial" w:eastAsia="Arial" w:hAnsi="Arial"/>
          <w:sz w:val="16"/>
          <w:szCs w:val="16"/>
          <w:color w:val="auto"/>
        </w:rPr>
        <w:t>These risks and other factors include: cost cutting and efficiency initiatives, budget reductions, Congressionally mandated automatic spending cuts, and other efforts to reduce U.S. government spending, including automatic sequestration required by the Budget Control Act of 2011 (as amended by the American Taxpayer Relief Act of 2012 and the Bipartisan Budget Act of 2013 and the Bipartisan Budget Act of 2015)), which have reduced and delayed contract awards and funding for orders for services especially in the current political environment or otherwise negatively affect our ability to generate revenue under contract awards, including as a result of reduced staffing and hours of operation at U.S. government clients; delayed funding of our contracts due to uncertainty relating to and a possible failure of Congressional efforts to craft a long-term agreement on the U.S. government’s ability to incur indebtedness in excess of its current limits, or changes in the pattern or timing of government funding and spending (including those resulting from or related to cuts associated with sequestration or other budgetary cuts made in lieu of sequestration); current and continued uncertainty around the timing, extent, nature, and effect of ongoing Congressional and other U.S. government action to address budgetary constraints, including, but not limited to, uncertainty around the outcome of Congressional efforts to craft a long-term agreement on the U.S. government’s ability to incur indebtedness in excess of its current limits, and the U.S. deficit; any issue that compromises our relationships with the U.S. government or damages our professional reputation, including negative publicity concerning government contractors in general or us in particular; changes in U.S. government spending, including a continuation of efforts by the U.S. government to decrease spending for management support service contracts, and mission priorities that shift expenditures away from agencies or programs that we support; the size of our addressable markets and the amount of U.S. government spending on private contractors; failure to comply with numerous laws and regulations; our ability to compete effectively in the competitive bidding process and delays or losses of contract awards caused by competitors' protests of major contract awards received by us; the loss of General Services Administration Multiple Award schedule contracts, or GSA schedules, or our position as prime contractor on government-wide acquisition contract vehicles, or GWACs; changes in the mix of our contracts and our ability to accurately estimate or otherwise recover expenses, time, and resources for our contracts; our ability to generate revenue under certain of our contracts; our ability to realize the full value of and replenish our backlog and the timing of our receipt of revenue under contracts included in backlog; changes in estimates used in recognizing revenue; an inability to attract, train, or retain employees with the requisite skills, experience, and security clearances; an inability to hire, assimilate, and deploy enough employees to serve our clients under existing contracts; an inability to timely and effectively utilize our employees; failure by us or our employees to obtain and maintain necessary security clearances; the loss of members of senior management or failure to develop new leaders; misconduct or other improper activities from our employees or subcontractors, including the improper use or release of our clients' sensitive or classified information; increased insourcing by various U.S. government agencies due to changes in the definition of “inherently governmental” work, including proposals to limit contractor access to sensitive or classified information and work assignments; increased competition from other companies in our industry; failure to maintain strong relationships with other contractors; inherent uncertainties and potential adverse developments in legal or regulatory proceedings, including litigation, audits, reviews, and investigations, which may result in materially adverse judgments, settlements, withheld payments, penalties, or other unfavorable outcomes including debarment, as well as disputes over the availability of insurance or indemnification; continued efforts to change how the U.S. government reimburses compensation related and other expenses or otherwise limit such reimbursements, including recent rules that expand the scope of existing reimbursement limitations, such as a reduction in allowable annual employee compensation to certain contractors as a result of the Bipartisan Budget Act of 2013, and an increased risk of compensation being deemed unallowable or payments being withheld as a result of U.S. government audit, review or investigation; internal system or service failures and security breaches, including, but not limited to, those resulting from external cyber attacks on our network and internal systems; risks related to changes to our operating structure, capabilities, or strategy intended to address client needs, grow our business or respond to market developments; risks associated with new relationships, clients, capabilities, and service offerings in our U.S. and international businesses; failure to comply with special U.S. government laws and regulations relating to our international operations; risks related to our indebtedness and credit facilities which contain financial and operating covenants; the adoption by the U.S. government of new laws, rules, and regulations, such as those relating to organizational conflicts of interest issues or limits; risks related to completed and future acquisitions, including our ability to realize the expected benefits from such acquisitions; an inability to utilize existing or future tax benefits, including those related to our stock-based compensation expense, for any reason, including a change in law; variable purchasing patterns under U.S. government GSA schedules, blanket purchase agreements and indefinite delivery, indefinite quantity, or ID/IQ, contracts; and other risks and factors described in Part II, “Item 1A. Risk Factors” and elsewhere in this Quarterly Report.</w:t>
      </w:r>
    </w:p>
    <w:p>
      <w:pPr>
        <w:spacing w:after="0" w:line="289" w:lineRule="exact"/>
        <w:rPr>
          <w:sz w:val="20"/>
          <w:szCs w:val="20"/>
          <w:color w:val="auto"/>
        </w:rPr>
      </w:pPr>
    </w:p>
    <w:p>
      <w:pPr>
        <w:jc w:val="both"/>
        <w:ind w:right="80" w:firstLine="405"/>
        <w:spacing w:after="0" w:line="286" w:lineRule="auto"/>
        <w:rPr>
          <w:sz w:val="20"/>
          <w:szCs w:val="20"/>
          <w:color w:val="auto"/>
        </w:rPr>
      </w:pPr>
      <w:r>
        <w:rPr>
          <w:rFonts w:ascii="Arial" w:cs="Arial" w:eastAsia="Arial" w:hAnsi="Arial"/>
          <w:sz w:val="17"/>
          <w:szCs w:val="17"/>
          <w:color w:val="auto"/>
        </w:rPr>
        <w:t>In light of these risks, uncertainties and other factors, the forward-looking statements contained in this Quarterly Report might not prove to be accurate and you should not place undue reliance upon them. All forward-looking statements speak only as of the date made and we undertake no obligation to update or revise publicly any forward-looking statements, whether as a result of new information, future events or otherwise.</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881" w:right="239" w:bottom="1440" w:gutter="0" w:footer="0" w:header="0"/>
        </w:sectPr>
      </w:pPr>
    </w:p>
    <w:bookmarkStart w:id="30" w:name="page31"/>
    <w:bookmarkEnd w:id="30"/>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There have been no material changes during the period covered by this Quarterly Report on Form 10-Q to the information disclosed in the Quantitative and Qualitative Disclosures about Market Risk section in Part II, “Item 7. Management’s Discussion and Analysis of Financial Condition and Results of Operations” of our Annual Report on Form 10-K for the fiscal year ended March 31, 2016 filed with the Securities and Exchange Commission on May 19, 2016.</w:t>
      </w:r>
    </w:p>
    <w:p>
      <w:pPr>
        <w:spacing w:after="0" w:line="18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21" w:lineRule="exact"/>
        <w:rPr>
          <w:sz w:val="20"/>
          <w:szCs w:val="20"/>
          <w:color w:val="auto"/>
        </w:rPr>
      </w:pPr>
    </w:p>
    <w:p>
      <w:pPr>
        <w:ind w:firstLine="405"/>
        <w:spacing w:after="0" w:line="302" w:lineRule="auto"/>
        <w:rPr>
          <w:sz w:val="20"/>
          <w:szCs w:val="20"/>
          <w:color w:val="auto"/>
        </w:rPr>
      </w:pPr>
      <w:r>
        <w:rPr>
          <w:rFonts w:ascii="Arial" w:cs="Arial" w:eastAsia="Arial" w:hAnsi="Arial"/>
          <w:sz w:val="16"/>
          <w:szCs w:val="16"/>
          <w:color w:val="auto"/>
        </w:rPr>
        <w:t>Management, with the participation of our Chief Executive Officer and Chief Financial Officer, has evaluated the effectiveness of our disclosure controls and procedures, as defined in Rules 13a-15(e) and 15d-15(e) of the Securities Exchange Act of 1934, as amended, or Exchange Act, as of the end of the period covered by this Quarterly Report on Form 10-Q, or Quarterly Report. Based on that evaluation, our Chief Executive Officer and Chief Financial Officer concluded that, as of the end of the period covered by this Quarterly Report, our disclosure controls and procedures were effective.</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260" w:firstLine="405"/>
        <w:spacing w:after="0" w:line="264" w:lineRule="auto"/>
        <w:rPr>
          <w:sz w:val="20"/>
          <w:szCs w:val="20"/>
          <w:color w:val="auto"/>
        </w:rPr>
      </w:pPr>
      <w:r>
        <w:rPr>
          <w:rFonts w:ascii="Arial" w:cs="Arial" w:eastAsia="Arial" w:hAnsi="Arial"/>
          <w:sz w:val="18"/>
          <w:szCs w:val="18"/>
          <w:color w:val="auto"/>
        </w:rPr>
        <w:t>There have not been any changes in our internal control over financial reporting (as such term is defined in Rules 13a-15(f) and 15d-15(f) under the Exchange Act) during the last fiscal quarter that have materially affected, or are reasonably likely to materially affect, our internal control over financial reporting.</w:t>
      </w:r>
    </w:p>
    <w:p>
      <w:pPr>
        <w:spacing w:after="0" w:line="20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00"/>
          </w:cols>
          <w:pgMar w:left="240" w:top="877" w:right="359" w:bottom="1440" w:gutter="0" w:footer="0" w:header="0"/>
        </w:sectPr>
      </w:pPr>
    </w:p>
    <w:bookmarkStart w:id="31" w:name="page32"/>
    <w:bookmarkEnd w:id="31"/>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30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Our performance under U.S. government contracts and compliance with the terms of those contracts and applicable laws and regulations are subject to continuous audit, review, and investigation by the U.S. government which may include such investigative techniques as subpoenas or civil investigative demands. Given the nature of our business, these audits, reviews, and investigations may focus, among other areas, on various aspects of procurement integrity, labor time reporting, sensitive and/or classified information access and control, executive compensation, and post government employment restrictions. We are not always aware of our status in such matters, but we are currently aware of certain pending audits and investigations involving labor time reporting, procurement integrity, and classified information access. In addition, from time to time, we are also involved in legal proceedings and investigations arising in the ordinary course of business, including those relating to employment matters, relationships with clients and contractors, intellectual property disputes, and other business matters. These legal proceedings seek various remedies, including claims for monetary damages in varying amounts, none of which are considered material, or are unspecified as to amount. Although the outcome of any such matter is inherently uncertain and may be materially adverse, based on current information, we do not expect any of the currently ongoing audits, reviews, investigations, or litigation to have a material adverse effect on our financial condition and results of operations. As of June 30, 2016 and March 31, 2016, there were no material amounts accrued in the condensed consolidated financial statements related to these proceedings.</w:t>
      </w:r>
    </w:p>
    <w:p>
      <w:pPr>
        <w:spacing w:after="0" w:line="153" w:lineRule="exact"/>
        <w:rPr>
          <w:sz w:val="20"/>
          <w:szCs w:val="20"/>
          <w:color w:val="auto"/>
        </w:rPr>
      </w:pPr>
    </w:p>
    <w:p>
      <w:pPr>
        <w:ind w:right="20" w:firstLine="405"/>
        <w:spacing w:after="0" w:line="268" w:lineRule="auto"/>
        <w:rPr>
          <w:sz w:val="20"/>
          <w:szCs w:val="20"/>
          <w:color w:val="auto"/>
        </w:rPr>
      </w:pPr>
      <w:r>
        <w:rPr>
          <w:rFonts w:ascii="Arial" w:cs="Arial" w:eastAsia="Arial" w:hAnsi="Arial"/>
          <w:sz w:val="17"/>
          <w:szCs w:val="17"/>
          <w:color w:val="auto"/>
        </w:rPr>
        <w:t>Six former officers and stockholders who had departed the company prior to the Acquisition have filed a total of nine suits in various jurisdictions, with original filing dates ranging from July 3, 2008 through December 15, 2009, against us and certain of our current and former directors and officers. Three of these suits were amended on July 2, 2010 and then further amended into one consolidated complaint on September 7, 2010. Another two of the original nine suits were consolidated into one complaint on September 24, 2014. Each of the suits arises out of the Acquisition and alleges that the former stockholders are entitled to certain payments that they would have received if they had held their stock at the time of the Acquisition. Some of the suits also allege that the acquisition price paid to stockholders was insufficient. The various suits assert claims for breach of contract, tortious interference with contract, breach of fiduciary duty, civil Racketeer Influenced and Corrupt Organizations Act, or RICO, violations, violations of the Employee Retirement Income Security Act, or ERISA, and/or securities and common law fraud. Three of these suits have been dismissed with all appeals exhausted. The two suits that were consolidated into one action on September 24, 2014 were settled on April 16, 2015. One of the remaining suits has been dismissed by the United States District Court for the Southern District of California and such dismissal was upheld by the United States Court of Appeals for the Ninth Circuit. The other three remaining suits that were previously consolidated on September 7, 2010 have been dismissed by the United States District Court for the Southern District of New York and are on appeal before the United States Court of Appeals for the Second Circuit. The aggregate alleged damages sought in these four remaining suits is approximately $291.7 million (which is sought to be trebled pursuant to RICO), plus punitive damages, costs, and fees. Although the outcome of any of these cases is inherently uncertain and may be materially adverse, based on current information, we do not expect them to have a material adverse effect on our financial condition and results of operations.</w:t>
      </w:r>
    </w:p>
    <w:p>
      <w:pPr>
        <w:spacing w:after="0" w:line="15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ind w:right="180" w:firstLine="405"/>
        <w:spacing w:after="0" w:line="342" w:lineRule="auto"/>
        <w:rPr>
          <w:sz w:val="20"/>
          <w:szCs w:val="20"/>
          <w:color w:val="auto"/>
        </w:rPr>
      </w:pPr>
      <w:r>
        <w:rPr>
          <w:rFonts w:ascii="Arial" w:cs="Arial" w:eastAsia="Arial" w:hAnsi="Arial"/>
          <w:sz w:val="16"/>
          <w:szCs w:val="16"/>
          <w:color w:val="auto"/>
        </w:rPr>
        <w:t>There have been no material changes during the period covered by this Quarterly Report on Form 10-Q to the risk factors disclosed in Part I, Item 1A, of our Annual Report on Form 10-K for the fiscal year ended March 31, 2016 filed with the Securities and Exchange Commission on May 19, 2016.</w:t>
      </w:r>
    </w:p>
    <w:p>
      <w:pPr>
        <w:spacing w:after="0" w:line="1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9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769" w:right="2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34"/>
        </w:trPr>
        <w:tc>
          <w:tcPr>
            <w:tcW w:w="800" w:type="dxa"/>
            <w:vAlign w:val="bottom"/>
            <w:gridSpan w:val="4"/>
          </w:tcPr>
          <w:p>
            <w:pPr>
              <w:spacing w:after="0"/>
              <w:rPr>
                <w:sz w:val="20"/>
                <w:szCs w:val="20"/>
                <w:color w:val="auto"/>
              </w:rPr>
            </w:pPr>
            <w:r>
              <w:rPr>
                <w:rFonts w:ascii="Arial" w:cs="Arial" w:eastAsia="Arial" w:hAnsi="Arial"/>
                <w:sz w:val="18"/>
                <w:szCs w:val="18"/>
                <w:b w:val="1"/>
                <w:bCs w:val="1"/>
                <w:color w:val="auto"/>
              </w:rPr>
              <w:t>Item 6.</w:t>
            </w:r>
          </w:p>
        </w:tc>
        <w:tc>
          <w:tcPr>
            <w:tcW w:w="160" w:type="dxa"/>
            <w:vAlign w:val="bottom"/>
          </w:tcPr>
          <w:p>
            <w:pPr>
              <w:spacing w:after="0"/>
              <w:rPr>
                <w:sz w:val="20"/>
                <w:szCs w:val="20"/>
                <w:color w:val="auto"/>
              </w:rPr>
            </w:pPr>
          </w:p>
        </w:tc>
        <w:tc>
          <w:tcPr>
            <w:tcW w:w="10440" w:type="dxa"/>
            <w:vAlign w:val="bottom"/>
            <w:gridSpan w:val="2"/>
          </w:tcPr>
          <w:p>
            <w:pPr>
              <w:ind w:left="2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297"/>
        </w:trPr>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gridSpan w:val="2"/>
          </w:tcPr>
          <w:p>
            <w:pPr>
              <w:spacing w:after="0"/>
              <w:rPr>
                <w:sz w:val="20"/>
                <w:szCs w:val="20"/>
                <w:color w:val="auto"/>
              </w:rPr>
            </w:pPr>
            <w:r>
              <w:rPr>
                <w:rFonts w:ascii="Arial" w:cs="Arial" w:eastAsia="Arial" w:hAnsi="Arial"/>
                <w:sz w:val="14"/>
                <w:szCs w:val="14"/>
                <w:color w:val="auto"/>
              </w:rPr>
              <w:t>Exhibit</w:t>
            </w:r>
          </w:p>
        </w:tc>
        <w:tc>
          <w:tcPr>
            <w:tcW w:w="10600" w:type="dxa"/>
            <w:vAlign w:val="bottom"/>
            <w:gridSpan w:val="3"/>
            <w:vMerge w:val="restart"/>
          </w:tcPr>
          <w:p>
            <w:pPr>
              <w:ind w:left="160"/>
              <w:spacing w:after="0"/>
              <w:rPr>
                <w:sz w:val="20"/>
                <w:szCs w:val="20"/>
                <w:color w:val="auto"/>
              </w:rPr>
            </w:pPr>
            <w:r>
              <w:rPr>
                <w:rFonts w:ascii="Arial" w:cs="Arial" w:eastAsia="Arial" w:hAnsi="Arial"/>
                <w:sz w:val="14"/>
                <w:szCs w:val="14"/>
                <w:color w:val="auto"/>
              </w:rPr>
              <w:t>Description</w:t>
            </w:r>
          </w:p>
        </w:tc>
        <w:tc>
          <w:tcPr>
            <w:tcW w:w="0" w:type="dxa"/>
            <w:vAlign w:val="bottom"/>
          </w:tcPr>
          <w:p>
            <w:pPr>
              <w:spacing w:after="0"/>
              <w:rPr>
                <w:sz w:val="1"/>
                <w:szCs w:val="1"/>
                <w:color w:val="auto"/>
              </w:rPr>
            </w:pPr>
          </w:p>
        </w:tc>
      </w:tr>
      <w:tr>
        <w:trPr>
          <w:trHeight w:val="129"/>
        </w:trPr>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Borders>
              <w:top w:val="single" w:sz="8" w:color="auto"/>
            </w:tcBorders>
          </w:tcPr>
          <w:p>
            <w:pPr>
              <w:spacing w:after="0" w:line="129" w:lineRule="exact"/>
              <w:rPr>
                <w:sz w:val="20"/>
                <w:szCs w:val="20"/>
                <w:color w:val="auto"/>
              </w:rPr>
            </w:pPr>
            <w:r>
              <w:rPr>
                <w:rFonts w:ascii="Arial" w:cs="Arial" w:eastAsia="Arial" w:hAnsi="Arial"/>
                <w:sz w:val="14"/>
                <w:szCs w:val="14"/>
                <w:color w:val="auto"/>
                <w:w w:val="80"/>
              </w:rPr>
              <w:t>Number</w:t>
            </w:r>
          </w:p>
        </w:tc>
        <w:tc>
          <w:tcPr>
            <w:tcW w:w="160" w:type="dxa"/>
            <w:vAlign w:val="bottom"/>
          </w:tcPr>
          <w:p>
            <w:pPr>
              <w:spacing w:after="0"/>
              <w:rPr>
                <w:sz w:val="11"/>
                <w:szCs w:val="11"/>
                <w:color w:val="auto"/>
              </w:rPr>
            </w:pPr>
          </w:p>
        </w:tc>
        <w:tc>
          <w:tcPr>
            <w:tcW w:w="1060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60" w:type="dxa"/>
            <w:vAlign w:val="bottom"/>
            <w:tcBorders>
              <w:right w:val="single" w:sz="8" w:color="auto"/>
            </w:tcBorders>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9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640" w:type="dxa"/>
            <w:vAlign w:val="bottom"/>
            <w:gridSpan w:val="3"/>
          </w:tcPr>
          <w:p>
            <w:pPr>
              <w:ind w:left="40"/>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24"/>
                <w:szCs w:val="24"/>
                <w:color w:val="auto"/>
              </w:rPr>
            </w:pPr>
          </w:p>
        </w:tc>
        <w:tc>
          <w:tcPr>
            <w:tcW w:w="10600" w:type="dxa"/>
            <w:vAlign w:val="bottom"/>
            <w:gridSpan w:val="3"/>
          </w:tcPr>
          <w:p>
            <w:pPr>
              <w:ind w:left="160"/>
              <w:spacing w:after="0"/>
              <w:rPr>
                <w:sz w:val="20"/>
                <w:szCs w:val="20"/>
                <w:color w:val="auto"/>
              </w:rPr>
            </w:pPr>
            <w:r>
              <w:rPr>
                <w:rFonts w:ascii="Arial" w:cs="Arial" w:eastAsia="Arial" w:hAnsi="Arial"/>
                <w:sz w:val="18"/>
                <w:szCs w:val="18"/>
                <w:color w:val="auto"/>
                <w:w w:val="92"/>
              </w:rPr>
              <w:t>Agreement and Plan of Merger, dated as of May 15, 2008, by and among Booz Allen Hamilton Inc., Booz Allen Hamilton Holding Corporation</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0" w:type="dxa"/>
            <w:vAlign w:val="bottom"/>
            <w:gridSpan w:val="3"/>
          </w:tcPr>
          <w:p>
            <w:pPr>
              <w:ind w:left="160"/>
              <w:spacing w:after="0"/>
              <w:rPr>
                <w:sz w:val="20"/>
                <w:szCs w:val="20"/>
                <w:color w:val="auto"/>
              </w:rPr>
            </w:pPr>
            <w:r>
              <w:rPr>
                <w:rFonts w:ascii="Arial" w:cs="Arial" w:eastAsia="Arial" w:hAnsi="Arial"/>
                <w:sz w:val="18"/>
                <w:szCs w:val="18"/>
                <w:color w:val="auto"/>
              </w:rPr>
              <w:t>(formerly known as Explorer Holding Corporation), Booz Allen Hamilton Investor Corporation (formerly known as Explorer Investor</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0" w:type="dxa"/>
            <w:vAlign w:val="bottom"/>
            <w:gridSpan w:val="3"/>
          </w:tcPr>
          <w:p>
            <w:pPr>
              <w:ind w:left="160"/>
              <w:spacing w:after="0"/>
              <w:rPr>
                <w:sz w:val="20"/>
                <w:szCs w:val="20"/>
                <w:color w:val="auto"/>
              </w:rPr>
            </w:pPr>
            <w:r>
              <w:rPr>
                <w:rFonts w:ascii="Arial" w:cs="Arial" w:eastAsia="Arial" w:hAnsi="Arial"/>
                <w:sz w:val="18"/>
                <w:szCs w:val="18"/>
                <w:color w:val="auto"/>
                <w:w w:val="98"/>
              </w:rPr>
              <w:t>Corporation), Explorer Merger Sub Corporation and Booz &amp; Company Inc. (Incorporated by reference to Exhibit 2.1 to the Company’s</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0" w:type="dxa"/>
            <w:vAlign w:val="bottom"/>
            <w:gridSpan w:val="3"/>
          </w:tcPr>
          <w:p>
            <w:pPr>
              <w:ind w:left="160"/>
              <w:spacing w:after="0"/>
              <w:rPr>
                <w:sz w:val="20"/>
                <w:szCs w:val="20"/>
                <w:color w:val="auto"/>
              </w:rPr>
            </w:pPr>
            <w:r>
              <w:rPr>
                <w:rFonts w:ascii="Arial" w:cs="Arial" w:eastAsia="Arial" w:hAnsi="Arial"/>
                <w:sz w:val="18"/>
                <w:szCs w:val="18"/>
                <w:color w:val="auto"/>
              </w:rPr>
              <w:t>Registration Statement on Form S-1 (File No. 333- 167645))</w:t>
            </w:r>
          </w:p>
        </w:tc>
        <w:tc>
          <w:tcPr>
            <w:tcW w:w="0" w:type="dxa"/>
            <w:vAlign w:val="bottom"/>
          </w:tcPr>
          <w:p>
            <w:pPr>
              <w:spacing w:after="0"/>
              <w:rPr>
                <w:sz w:val="1"/>
                <w:szCs w:val="1"/>
                <w:color w:val="auto"/>
              </w:rPr>
            </w:pPr>
          </w:p>
        </w:tc>
      </w:tr>
      <w:tr>
        <w:trPr>
          <w:trHeight w:val="377"/>
        </w:trPr>
        <w:tc>
          <w:tcPr>
            <w:tcW w:w="640" w:type="dxa"/>
            <w:vAlign w:val="bottom"/>
            <w:gridSpan w:val="3"/>
          </w:tcPr>
          <w:p>
            <w:pPr>
              <w:ind w:left="40"/>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24"/>
                <w:szCs w:val="24"/>
                <w:color w:val="auto"/>
              </w:rPr>
            </w:pPr>
          </w:p>
        </w:tc>
        <w:tc>
          <w:tcPr>
            <w:tcW w:w="10600" w:type="dxa"/>
            <w:vAlign w:val="bottom"/>
            <w:gridSpan w:val="3"/>
          </w:tcPr>
          <w:p>
            <w:pPr>
              <w:ind w:left="160"/>
              <w:spacing w:after="0"/>
              <w:rPr>
                <w:sz w:val="20"/>
                <w:szCs w:val="20"/>
                <w:color w:val="auto"/>
              </w:rPr>
            </w:pPr>
            <w:r>
              <w:rPr>
                <w:rFonts w:ascii="Arial" w:cs="Arial" w:eastAsia="Arial" w:hAnsi="Arial"/>
                <w:sz w:val="18"/>
                <w:szCs w:val="18"/>
                <w:color w:val="auto"/>
                <w:w w:val="93"/>
              </w:rPr>
              <w:t>Spin Off Agreement, dated as of May 15, 2008, by and among Booz Allen Hamilton Inc., Booz &amp; Company Holdings, LLC, Booz &amp; Company</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0" w:type="dxa"/>
            <w:vAlign w:val="bottom"/>
            <w:gridSpan w:val="3"/>
          </w:tcPr>
          <w:p>
            <w:pPr>
              <w:ind w:left="160"/>
              <w:spacing w:after="0"/>
              <w:rPr>
                <w:sz w:val="20"/>
                <w:szCs w:val="20"/>
                <w:color w:val="auto"/>
              </w:rPr>
            </w:pPr>
            <w:r>
              <w:rPr>
                <w:rFonts w:ascii="Arial" w:cs="Arial" w:eastAsia="Arial" w:hAnsi="Arial"/>
                <w:sz w:val="18"/>
                <w:szCs w:val="18"/>
                <w:color w:val="auto"/>
              </w:rPr>
              <w:t>Inc., Booz &amp; Company Intermediate I Inc. and Booz &amp; Company Intermediate II Inc. (Incorporated by reference to Exhibit 2.2 to the</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0" w:type="dxa"/>
            <w:vAlign w:val="bottom"/>
            <w:gridSpan w:val="3"/>
          </w:tcPr>
          <w:p>
            <w:pPr>
              <w:ind w:left="160"/>
              <w:spacing w:after="0"/>
              <w:rPr>
                <w:sz w:val="20"/>
                <w:szCs w:val="20"/>
                <w:color w:val="auto"/>
              </w:rPr>
            </w:pPr>
            <w:r>
              <w:rPr>
                <w:rFonts w:ascii="Arial" w:cs="Arial" w:eastAsia="Arial" w:hAnsi="Arial"/>
                <w:sz w:val="18"/>
                <w:szCs w:val="18"/>
                <w:color w:val="auto"/>
              </w:rPr>
              <w:t>Company’s Registration Statement on Form S-1 (File No. 333-167645))</w:t>
            </w:r>
          </w:p>
        </w:tc>
        <w:tc>
          <w:tcPr>
            <w:tcW w:w="0" w:type="dxa"/>
            <w:vAlign w:val="bottom"/>
          </w:tcPr>
          <w:p>
            <w:pPr>
              <w:spacing w:after="0"/>
              <w:rPr>
                <w:sz w:val="1"/>
                <w:szCs w:val="1"/>
                <w:color w:val="auto"/>
              </w:rPr>
            </w:pPr>
          </w:p>
        </w:tc>
      </w:tr>
      <w:tr>
        <w:trPr>
          <w:trHeight w:val="377"/>
        </w:trPr>
        <w:tc>
          <w:tcPr>
            <w:tcW w:w="640" w:type="dxa"/>
            <w:vAlign w:val="bottom"/>
            <w:gridSpan w:val="3"/>
          </w:tcPr>
          <w:p>
            <w:pPr>
              <w:ind w:left="40"/>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24"/>
                <w:szCs w:val="24"/>
                <w:color w:val="auto"/>
              </w:rPr>
            </w:pPr>
          </w:p>
        </w:tc>
        <w:tc>
          <w:tcPr>
            <w:tcW w:w="10600" w:type="dxa"/>
            <w:vAlign w:val="bottom"/>
            <w:gridSpan w:val="3"/>
          </w:tcPr>
          <w:p>
            <w:pPr>
              <w:ind w:left="160"/>
              <w:spacing w:after="0"/>
              <w:rPr>
                <w:sz w:val="20"/>
                <w:szCs w:val="20"/>
                <w:color w:val="auto"/>
              </w:rPr>
            </w:pPr>
            <w:r>
              <w:rPr>
                <w:rFonts w:ascii="Arial" w:cs="Arial" w:eastAsia="Arial" w:hAnsi="Arial"/>
                <w:sz w:val="18"/>
                <w:szCs w:val="18"/>
                <w:color w:val="auto"/>
                <w:w w:val="92"/>
              </w:rPr>
              <w:t>Amendment to the Agreement and Plan of Merger and the Spin Off Agreement, dated as of July 30, 2008, by and among Booz Allen Hamilton</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0" w:type="dxa"/>
            <w:vAlign w:val="bottom"/>
            <w:gridSpan w:val="3"/>
          </w:tcPr>
          <w:p>
            <w:pPr>
              <w:ind w:left="160"/>
              <w:spacing w:after="0"/>
              <w:rPr>
                <w:sz w:val="20"/>
                <w:szCs w:val="20"/>
                <w:color w:val="auto"/>
              </w:rPr>
            </w:pPr>
            <w:r>
              <w:rPr>
                <w:rFonts w:ascii="Arial" w:cs="Arial" w:eastAsia="Arial" w:hAnsi="Arial"/>
                <w:sz w:val="18"/>
                <w:szCs w:val="18"/>
                <w:color w:val="auto"/>
                <w:w w:val="93"/>
              </w:rPr>
              <w:t>Inc., Booz Allen Hamilton Investor Corporation (formerly known as Explorer Investor Corporation), Explorer Merger Sub Corporation, Booz &amp;</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0" w:type="dxa"/>
            <w:vAlign w:val="bottom"/>
            <w:gridSpan w:val="3"/>
          </w:tcPr>
          <w:p>
            <w:pPr>
              <w:ind w:left="160"/>
              <w:spacing w:after="0"/>
              <w:rPr>
                <w:sz w:val="20"/>
                <w:szCs w:val="20"/>
                <w:color w:val="auto"/>
              </w:rPr>
            </w:pPr>
            <w:r>
              <w:rPr>
                <w:rFonts w:ascii="Arial" w:cs="Arial" w:eastAsia="Arial" w:hAnsi="Arial"/>
                <w:sz w:val="18"/>
                <w:szCs w:val="18"/>
                <w:color w:val="auto"/>
              </w:rPr>
              <w:t>Company Holdings, LLC, Booz &amp; Company Inc., Booz &amp; Company Intermediate I Inc. and Booz &amp; Company Intermediate II Inc.</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0" w:type="dxa"/>
            <w:vAlign w:val="bottom"/>
            <w:gridSpan w:val="3"/>
          </w:tcPr>
          <w:p>
            <w:pPr>
              <w:ind w:left="160"/>
              <w:spacing w:after="0"/>
              <w:rPr>
                <w:sz w:val="20"/>
                <w:szCs w:val="20"/>
                <w:color w:val="auto"/>
              </w:rPr>
            </w:pPr>
            <w:r>
              <w:rPr>
                <w:rFonts w:ascii="Arial" w:cs="Arial" w:eastAsia="Arial" w:hAnsi="Arial"/>
                <w:sz w:val="18"/>
                <w:szCs w:val="18"/>
                <w:color w:val="auto"/>
              </w:rPr>
              <w:t>(Incorporated by reference to Exhibit 2.3 to the Company’s Registration Statement on Form S-1 (File No. 333-167645))</w:t>
            </w:r>
          </w:p>
        </w:tc>
        <w:tc>
          <w:tcPr>
            <w:tcW w:w="0" w:type="dxa"/>
            <w:vAlign w:val="bottom"/>
          </w:tcPr>
          <w:p>
            <w:pPr>
              <w:spacing w:after="0"/>
              <w:rPr>
                <w:sz w:val="1"/>
                <w:szCs w:val="1"/>
                <w:color w:val="auto"/>
              </w:rPr>
            </w:pPr>
          </w:p>
        </w:tc>
      </w:tr>
      <w:tr>
        <w:trPr>
          <w:trHeight w:val="377"/>
        </w:trPr>
        <w:tc>
          <w:tcPr>
            <w:tcW w:w="640" w:type="dxa"/>
            <w:vAlign w:val="bottom"/>
            <w:gridSpan w:val="3"/>
          </w:tcPr>
          <w:p>
            <w:pPr>
              <w:ind w:left="40"/>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24"/>
                <w:szCs w:val="24"/>
                <w:color w:val="auto"/>
              </w:rPr>
            </w:pPr>
          </w:p>
        </w:tc>
        <w:tc>
          <w:tcPr>
            <w:tcW w:w="10600" w:type="dxa"/>
            <w:vAlign w:val="bottom"/>
            <w:gridSpan w:val="3"/>
          </w:tcPr>
          <w:p>
            <w:pPr>
              <w:ind w:left="160"/>
              <w:spacing w:after="0"/>
              <w:rPr>
                <w:sz w:val="20"/>
                <w:szCs w:val="20"/>
                <w:color w:val="auto"/>
              </w:rPr>
            </w:pPr>
            <w:r>
              <w:rPr>
                <w:rFonts w:ascii="Arial" w:cs="Arial" w:eastAsia="Arial" w:hAnsi="Arial"/>
                <w:sz w:val="18"/>
                <w:szCs w:val="18"/>
                <w:color w:val="auto"/>
                <w:w w:val="94"/>
              </w:rPr>
              <w:t>Third Amended and Restated Certificate of Incorporation of Booz Allen Hamilton Holding Corporation (Incorporated by reference to Exhibit</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0" w:type="dxa"/>
            <w:vAlign w:val="bottom"/>
            <w:gridSpan w:val="3"/>
          </w:tcPr>
          <w:p>
            <w:pPr>
              <w:ind w:left="160"/>
              <w:spacing w:after="0"/>
              <w:rPr>
                <w:sz w:val="20"/>
                <w:szCs w:val="20"/>
                <w:color w:val="auto"/>
              </w:rPr>
            </w:pPr>
            <w:r>
              <w:rPr>
                <w:rFonts w:ascii="Arial" w:cs="Arial" w:eastAsia="Arial" w:hAnsi="Arial"/>
                <w:sz w:val="18"/>
                <w:szCs w:val="18"/>
                <w:color w:val="auto"/>
              </w:rPr>
              <w:t>3.1 to the Company’s Quarterly Report for the period ended September 30, 2014 on Form 10-Q (File No. 001-34972))</w:t>
            </w:r>
          </w:p>
        </w:tc>
        <w:tc>
          <w:tcPr>
            <w:tcW w:w="0" w:type="dxa"/>
            <w:vAlign w:val="bottom"/>
          </w:tcPr>
          <w:p>
            <w:pPr>
              <w:spacing w:after="0"/>
              <w:rPr>
                <w:sz w:val="1"/>
                <w:szCs w:val="1"/>
                <w:color w:val="auto"/>
              </w:rPr>
            </w:pPr>
          </w:p>
        </w:tc>
      </w:tr>
      <w:tr>
        <w:trPr>
          <w:trHeight w:val="377"/>
        </w:trPr>
        <w:tc>
          <w:tcPr>
            <w:tcW w:w="640" w:type="dxa"/>
            <w:vAlign w:val="bottom"/>
            <w:gridSpan w:val="3"/>
          </w:tcPr>
          <w:p>
            <w:pPr>
              <w:ind w:left="40"/>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24"/>
                <w:szCs w:val="24"/>
                <w:color w:val="auto"/>
              </w:rPr>
            </w:pPr>
          </w:p>
        </w:tc>
        <w:tc>
          <w:tcPr>
            <w:tcW w:w="10600" w:type="dxa"/>
            <w:vAlign w:val="bottom"/>
            <w:gridSpan w:val="3"/>
          </w:tcPr>
          <w:p>
            <w:pPr>
              <w:ind w:left="160"/>
              <w:spacing w:after="0"/>
              <w:rPr>
                <w:sz w:val="20"/>
                <w:szCs w:val="20"/>
                <w:color w:val="auto"/>
              </w:rPr>
            </w:pPr>
            <w:r>
              <w:rPr>
                <w:rFonts w:ascii="Arial" w:cs="Arial" w:eastAsia="Arial" w:hAnsi="Arial"/>
                <w:sz w:val="18"/>
                <w:szCs w:val="18"/>
                <w:color w:val="auto"/>
                <w:w w:val="99"/>
              </w:rPr>
              <w:t>Second Amended and Restated Bylaws of Booz Allen Hamilton Holding Corporation (Incorporated by reference to Exhibit 3.2 to the</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0" w:type="dxa"/>
            <w:vAlign w:val="bottom"/>
            <w:gridSpan w:val="3"/>
          </w:tcPr>
          <w:p>
            <w:pPr>
              <w:ind w:left="160"/>
              <w:spacing w:after="0"/>
              <w:rPr>
                <w:sz w:val="20"/>
                <w:szCs w:val="20"/>
                <w:color w:val="auto"/>
              </w:rPr>
            </w:pPr>
            <w:r>
              <w:rPr>
                <w:rFonts w:ascii="Arial" w:cs="Arial" w:eastAsia="Arial" w:hAnsi="Arial"/>
                <w:sz w:val="18"/>
                <w:szCs w:val="18"/>
                <w:color w:val="auto"/>
              </w:rPr>
              <w:t>Company’s Quarterly Report for the period ended December 31, 2010 on Form 10-Q (File No. 001-34972))</w:t>
            </w:r>
          </w:p>
        </w:tc>
        <w:tc>
          <w:tcPr>
            <w:tcW w:w="0" w:type="dxa"/>
            <w:vAlign w:val="bottom"/>
          </w:tcPr>
          <w:p>
            <w:pPr>
              <w:spacing w:after="0"/>
              <w:rPr>
                <w:sz w:val="1"/>
                <w:szCs w:val="1"/>
                <w:color w:val="auto"/>
              </w:rPr>
            </w:pPr>
          </w:p>
        </w:tc>
      </w:tr>
      <w:tr>
        <w:trPr>
          <w:trHeight w:val="392"/>
        </w:trPr>
        <w:tc>
          <w:tcPr>
            <w:tcW w:w="640" w:type="dxa"/>
            <w:vAlign w:val="bottom"/>
            <w:gridSpan w:val="3"/>
          </w:tcPr>
          <w:p>
            <w:pPr>
              <w:ind w:left="40"/>
              <w:spacing w:after="0"/>
              <w:rPr>
                <w:sz w:val="20"/>
                <w:szCs w:val="20"/>
                <w:color w:val="auto"/>
              </w:rPr>
            </w:pPr>
            <w:r>
              <w:rPr>
                <w:rFonts w:ascii="Arial" w:cs="Arial" w:eastAsia="Arial" w:hAnsi="Arial"/>
                <w:sz w:val="18"/>
                <w:szCs w:val="18"/>
                <w:color w:val="auto"/>
              </w:rPr>
              <w:t>4.1</w:t>
            </w:r>
          </w:p>
        </w:tc>
        <w:tc>
          <w:tcPr>
            <w:tcW w:w="160" w:type="dxa"/>
            <w:vAlign w:val="bottom"/>
          </w:tcPr>
          <w:p>
            <w:pPr>
              <w:spacing w:after="0"/>
              <w:rPr>
                <w:sz w:val="24"/>
                <w:szCs w:val="24"/>
                <w:color w:val="auto"/>
              </w:rPr>
            </w:pPr>
          </w:p>
        </w:tc>
        <w:tc>
          <w:tcPr>
            <w:tcW w:w="10600" w:type="dxa"/>
            <w:vAlign w:val="bottom"/>
            <w:gridSpan w:val="3"/>
            <w:vMerge w:val="restart"/>
          </w:tcPr>
          <w:p>
            <w:pPr>
              <w:ind w:left="160"/>
              <w:spacing w:after="0"/>
              <w:rPr>
                <w:sz w:val="20"/>
                <w:szCs w:val="20"/>
                <w:color w:val="auto"/>
              </w:rPr>
            </w:pPr>
            <w:r>
              <w:rPr>
                <w:rFonts w:ascii="Arial" w:cs="Arial" w:eastAsia="Arial" w:hAnsi="Arial"/>
                <w:sz w:val="18"/>
                <w:szCs w:val="18"/>
                <w:color w:val="auto"/>
                <w:w w:val="91"/>
              </w:rPr>
              <w:t>Amended and Restated Stockholders Agreement (Incorporated by reference to Exhibit 10.1 to the Company’s Periodic Report on Form 8-K filed</w:t>
            </w:r>
          </w:p>
        </w:tc>
        <w:tc>
          <w:tcPr>
            <w:tcW w:w="0" w:type="dxa"/>
            <w:vAlign w:val="bottom"/>
          </w:tcPr>
          <w:p>
            <w:pPr>
              <w:spacing w:after="0"/>
              <w:rPr>
                <w:sz w:val="1"/>
                <w:szCs w:val="1"/>
                <w:color w:val="auto"/>
              </w:rPr>
            </w:pPr>
          </w:p>
        </w:tc>
      </w:tr>
      <w:tr>
        <w:trPr>
          <w:trHeight w:val="67"/>
        </w:trPr>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60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0" w:type="dxa"/>
            <w:vAlign w:val="bottom"/>
            <w:gridSpan w:val="3"/>
          </w:tcPr>
          <w:p>
            <w:pPr>
              <w:ind w:left="160"/>
              <w:spacing w:after="0"/>
              <w:rPr>
                <w:sz w:val="20"/>
                <w:szCs w:val="20"/>
                <w:color w:val="auto"/>
              </w:rPr>
            </w:pPr>
            <w:r>
              <w:rPr>
                <w:rFonts w:ascii="Arial" w:cs="Arial" w:eastAsia="Arial" w:hAnsi="Arial"/>
                <w:sz w:val="18"/>
                <w:szCs w:val="18"/>
                <w:color w:val="auto"/>
              </w:rPr>
              <w:t>on January 30, 2015) (File No. 001-34972))</w:t>
            </w:r>
          </w:p>
        </w:tc>
        <w:tc>
          <w:tcPr>
            <w:tcW w:w="0" w:type="dxa"/>
            <w:vAlign w:val="bottom"/>
          </w:tcPr>
          <w:p>
            <w:pPr>
              <w:spacing w:after="0"/>
              <w:rPr>
                <w:sz w:val="1"/>
                <w:szCs w:val="1"/>
                <w:color w:val="auto"/>
              </w:rPr>
            </w:pPr>
          </w:p>
        </w:tc>
      </w:tr>
      <w:tr>
        <w:trPr>
          <w:trHeight w:val="458"/>
        </w:trPr>
        <w:tc>
          <w:tcPr>
            <w:tcW w:w="640" w:type="dxa"/>
            <w:vAlign w:val="bottom"/>
            <w:gridSpan w:val="3"/>
          </w:tcPr>
          <w:p>
            <w:pPr>
              <w:ind w:left="40"/>
              <w:spacing w:after="0"/>
              <w:rPr>
                <w:sz w:val="20"/>
                <w:szCs w:val="20"/>
                <w:color w:val="auto"/>
              </w:rPr>
            </w:pPr>
            <w:r>
              <w:rPr>
                <w:rFonts w:ascii="Arial" w:cs="Arial" w:eastAsia="Arial" w:hAnsi="Arial"/>
                <w:sz w:val="18"/>
                <w:szCs w:val="18"/>
                <w:color w:val="auto"/>
              </w:rPr>
              <w:t>4.2</w:t>
            </w:r>
          </w:p>
        </w:tc>
        <w:tc>
          <w:tcPr>
            <w:tcW w:w="160" w:type="dxa"/>
            <w:vAlign w:val="bottom"/>
          </w:tcPr>
          <w:p>
            <w:pPr>
              <w:spacing w:after="0"/>
              <w:rPr>
                <w:sz w:val="24"/>
                <w:szCs w:val="24"/>
                <w:color w:val="auto"/>
              </w:rPr>
            </w:pPr>
          </w:p>
        </w:tc>
        <w:tc>
          <w:tcPr>
            <w:tcW w:w="10600" w:type="dxa"/>
            <w:vAlign w:val="bottom"/>
            <w:gridSpan w:val="3"/>
          </w:tcPr>
          <w:p>
            <w:pPr>
              <w:ind w:left="160"/>
              <w:spacing w:after="0"/>
              <w:rPr>
                <w:sz w:val="20"/>
                <w:szCs w:val="20"/>
                <w:color w:val="auto"/>
              </w:rPr>
            </w:pPr>
            <w:r>
              <w:rPr>
                <w:rFonts w:ascii="Arial" w:cs="Arial" w:eastAsia="Arial" w:hAnsi="Arial"/>
                <w:sz w:val="18"/>
                <w:szCs w:val="18"/>
                <w:color w:val="auto"/>
                <w:w w:val="96"/>
              </w:rPr>
              <w:t>Form of Stock Certificate (Incorporated by reference to Exhibit 4.5 to the Company’s Registration Statement on Form S-1 (File No. 333-</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ind w:left="160"/>
              <w:spacing w:after="0"/>
              <w:rPr>
                <w:sz w:val="20"/>
                <w:szCs w:val="20"/>
                <w:color w:val="auto"/>
              </w:rPr>
            </w:pPr>
            <w:r>
              <w:rPr>
                <w:rFonts w:ascii="Arial" w:cs="Arial" w:eastAsia="Arial" w:hAnsi="Arial"/>
                <w:sz w:val="18"/>
                <w:szCs w:val="18"/>
                <w:color w:val="auto"/>
                <w:w w:val="88"/>
              </w:rPr>
              <w:t>167645))</w:t>
            </w:r>
          </w:p>
        </w:tc>
        <w:tc>
          <w:tcPr>
            <w:tcW w:w="9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640" w:type="dxa"/>
            <w:vAlign w:val="bottom"/>
            <w:gridSpan w:val="3"/>
          </w:tcPr>
          <w:p>
            <w:pPr>
              <w:ind w:left="40"/>
              <w:spacing w:after="0"/>
              <w:rPr>
                <w:sz w:val="20"/>
                <w:szCs w:val="20"/>
                <w:color w:val="auto"/>
              </w:rPr>
            </w:pPr>
            <w:r>
              <w:rPr>
                <w:rFonts w:ascii="Arial" w:cs="Arial" w:eastAsia="Arial" w:hAnsi="Arial"/>
                <w:sz w:val="18"/>
                <w:szCs w:val="18"/>
                <w:color w:val="auto"/>
              </w:rPr>
              <w:t>10.1</w:t>
            </w:r>
          </w:p>
        </w:tc>
        <w:tc>
          <w:tcPr>
            <w:tcW w:w="160" w:type="dxa"/>
            <w:vAlign w:val="bottom"/>
          </w:tcPr>
          <w:p>
            <w:pPr>
              <w:spacing w:after="0"/>
              <w:rPr>
                <w:sz w:val="24"/>
                <w:szCs w:val="24"/>
                <w:color w:val="auto"/>
              </w:rPr>
            </w:pPr>
          </w:p>
        </w:tc>
        <w:tc>
          <w:tcPr>
            <w:tcW w:w="10600" w:type="dxa"/>
            <w:vAlign w:val="bottom"/>
            <w:gridSpan w:val="3"/>
          </w:tcPr>
          <w:p>
            <w:pPr>
              <w:ind w:left="160"/>
              <w:spacing w:after="0"/>
              <w:rPr>
                <w:sz w:val="20"/>
                <w:szCs w:val="20"/>
                <w:color w:val="auto"/>
              </w:rPr>
            </w:pPr>
            <w:r>
              <w:rPr>
                <w:rFonts w:ascii="Arial" w:cs="Arial" w:eastAsia="Arial" w:hAnsi="Arial"/>
                <w:sz w:val="18"/>
                <w:szCs w:val="18"/>
                <w:color w:val="auto"/>
                <w:w w:val="94"/>
              </w:rPr>
              <w:t>Management Agreement, by and among Booz Allen Hamilton Holding Corporation (formerly known as Explorer Holding Corporation), Booz</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0" w:type="dxa"/>
            <w:vAlign w:val="bottom"/>
            <w:gridSpan w:val="3"/>
          </w:tcPr>
          <w:p>
            <w:pPr>
              <w:ind w:left="160"/>
              <w:spacing w:after="0"/>
              <w:rPr>
                <w:sz w:val="20"/>
                <w:szCs w:val="20"/>
                <w:color w:val="auto"/>
              </w:rPr>
            </w:pPr>
            <w:r>
              <w:rPr>
                <w:rFonts w:ascii="Arial" w:cs="Arial" w:eastAsia="Arial" w:hAnsi="Arial"/>
                <w:sz w:val="18"/>
                <w:szCs w:val="18"/>
                <w:color w:val="auto"/>
                <w:w w:val="98"/>
              </w:rPr>
              <w:t>Allen Hamilton Inc., and TC Group V US, LLC, dated as of July 31, 2008 (Incorporated by reference to Exhibit 10.6 to the Company’s</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0" w:type="dxa"/>
            <w:vAlign w:val="bottom"/>
            <w:gridSpan w:val="3"/>
          </w:tcPr>
          <w:p>
            <w:pPr>
              <w:ind w:left="160"/>
              <w:spacing w:after="0"/>
              <w:rPr>
                <w:sz w:val="20"/>
                <w:szCs w:val="20"/>
                <w:color w:val="auto"/>
              </w:rPr>
            </w:pPr>
            <w:r>
              <w:rPr>
                <w:rFonts w:ascii="Arial" w:cs="Arial" w:eastAsia="Arial" w:hAnsi="Arial"/>
                <w:sz w:val="18"/>
                <w:szCs w:val="18"/>
                <w:color w:val="auto"/>
              </w:rPr>
              <w:t>Registration Statement on Form S-1 (File No. 333-167645))</w:t>
            </w:r>
          </w:p>
        </w:tc>
        <w:tc>
          <w:tcPr>
            <w:tcW w:w="0" w:type="dxa"/>
            <w:vAlign w:val="bottom"/>
          </w:tcPr>
          <w:p>
            <w:pPr>
              <w:spacing w:after="0"/>
              <w:rPr>
                <w:sz w:val="1"/>
                <w:szCs w:val="1"/>
                <w:color w:val="auto"/>
              </w:rPr>
            </w:pPr>
          </w:p>
        </w:tc>
      </w:tr>
      <w:tr>
        <w:trPr>
          <w:trHeight w:val="377"/>
        </w:trPr>
        <w:tc>
          <w:tcPr>
            <w:tcW w:w="800" w:type="dxa"/>
            <w:vAlign w:val="bottom"/>
            <w:gridSpan w:val="4"/>
          </w:tcPr>
          <w:p>
            <w:pPr>
              <w:ind w:left="40"/>
              <w:spacing w:after="0"/>
              <w:rPr>
                <w:sz w:val="20"/>
                <w:szCs w:val="20"/>
                <w:color w:val="auto"/>
              </w:rPr>
            </w:pPr>
            <w:r>
              <w:rPr>
                <w:rFonts w:ascii="Arial" w:cs="Arial" w:eastAsia="Arial" w:hAnsi="Arial"/>
                <w:sz w:val="18"/>
                <w:szCs w:val="18"/>
                <w:color w:val="auto"/>
              </w:rPr>
              <w:t>10.2†</w:t>
            </w:r>
          </w:p>
        </w:tc>
        <w:tc>
          <w:tcPr>
            <w:tcW w:w="10600" w:type="dxa"/>
            <w:vAlign w:val="bottom"/>
            <w:gridSpan w:val="3"/>
          </w:tcPr>
          <w:p>
            <w:pPr>
              <w:ind w:left="160"/>
              <w:spacing w:after="0"/>
              <w:rPr>
                <w:sz w:val="20"/>
                <w:szCs w:val="20"/>
                <w:color w:val="auto"/>
              </w:rPr>
            </w:pPr>
            <w:r>
              <w:rPr>
                <w:rFonts w:ascii="Arial" w:cs="Arial" w:eastAsia="Arial" w:hAnsi="Arial"/>
                <w:sz w:val="18"/>
                <w:szCs w:val="18"/>
                <w:color w:val="auto"/>
                <w:w w:val="93"/>
              </w:rPr>
              <w:t>Second Amended and Restated Equity Incentive Plan of Booz Allen Hamilton Holding Corporation (Incorporated by reference to Exhibit 10.2</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0" w:type="dxa"/>
            <w:vAlign w:val="bottom"/>
            <w:gridSpan w:val="3"/>
          </w:tcPr>
          <w:p>
            <w:pPr>
              <w:ind w:left="160"/>
              <w:spacing w:after="0"/>
              <w:rPr>
                <w:sz w:val="20"/>
                <w:szCs w:val="20"/>
                <w:color w:val="auto"/>
              </w:rPr>
            </w:pPr>
            <w:r>
              <w:rPr>
                <w:rFonts w:ascii="Arial" w:cs="Arial" w:eastAsia="Arial" w:hAnsi="Arial"/>
                <w:sz w:val="18"/>
                <w:szCs w:val="18"/>
                <w:color w:val="auto"/>
              </w:rPr>
              <w:t>to the Company’s Quarterly Report for the period ended September 30, 2014 on Form 10-Q (File No. 001-34972))</w:t>
            </w:r>
          </w:p>
        </w:tc>
        <w:tc>
          <w:tcPr>
            <w:tcW w:w="0" w:type="dxa"/>
            <w:vAlign w:val="bottom"/>
          </w:tcPr>
          <w:p>
            <w:pPr>
              <w:spacing w:after="0"/>
              <w:rPr>
                <w:sz w:val="1"/>
                <w:szCs w:val="1"/>
                <w:color w:val="auto"/>
              </w:rPr>
            </w:pPr>
          </w:p>
        </w:tc>
      </w:tr>
      <w:tr>
        <w:trPr>
          <w:trHeight w:val="377"/>
        </w:trPr>
        <w:tc>
          <w:tcPr>
            <w:tcW w:w="800" w:type="dxa"/>
            <w:vAlign w:val="bottom"/>
            <w:gridSpan w:val="4"/>
          </w:tcPr>
          <w:p>
            <w:pPr>
              <w:ind w:left="40"/>
              <w:spacing w:after="0"/>
              <w:rPr>
                <w:sz w:val="20"/>
                <w:szCs w:val="20"/>
                <w:color w:val="auto"/>
              </w:rPr>
            </w:pPr>
            <w:r>
              <w:rPr>
                <w:rFonts w:ascii="Arial" w:cs="Arial" w:eastAsia="Arial" w:hAnsi="Arial"/>
                <w:sz w:val="18"/>
                <w:szCs w:val="18"/>
                <w:color w:val="auto"/>
              </w:rPr>
              <w:t>10.3†</w:t>
            </w:r>
          </w:p>
        </w:tc>
        <w:tc>
          <w:tcPr>
            <w:tcW w:w="10600" w:type="dxa"/>
            <w:vAlign w:val="bottom"/>
            <w:gridSpan w:val="3"/>
          </w:tcPr>
          <w:p>
            <w:pPr>
              <w:ind w:left="160"/>
              <w:spacing w:after="0"/>
              <w:rPr>
                <w:sz w:val="20"/>
                <w:szCs w:val="20"/>
                <w:color w:val="auto"/>
              </w:rPr>
            </w:pPr>
            <w:r>
              <w:rPr>
                <w:rFonts w:ascii="Arial" w:cs="Arial" w:eastAsia="Arial" w:hAnsi="Arial"/>
                <w:sz w:val="18"/>
                <w:szCs w:val="18"/>
                <w:color w:val="auto"/>
                <w:w w:val="94"/>
              </w:rPr>
              <w:t>Form of Stock Option Agreement under the Equity Incentive Plan of Booz Allen Hamilton Holding Corporation (Incorporated by reference to</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0" w:type="dxa"/>
            <w:vAlign w:val="bottom"/>
            <w:gridSpan w:val="3"/>
          </w:tcPr>
          <w:p>
            <w:pPr>
              <w:ind w:left="160"/>
              <w:spacing w:after="0"/>
              <w:rPr>
                <w:sz w:val="20"/>
                <w:szCs w:val="20"/>
                <w:color w:val="auto"/>
              </w:rPr>
            </w:pPr>
            <w:r>
              <w:rPr>
                <w:rFonts w:ascii="Arial" w:cs="Arial" w:eastAsia="Arial" w:hAnsi="Arial"/>
                <w:sz w:val="18"/>
                <w:szCs w:val="18"/>
                <w:color w:val="auto"/>
              </w:rPr>
              <w:t>Exhibit 10.10 to the Company’s Registration Statement on Form S-1 (File No. 333-167645))</w:t>
            </w:r>
          </w:p>
        </w:tc>
        <w:tc>
          <w:tcPr>
            <w:tcW w:w="0" w:type="dxa"/>
            <w:vAlign w:val="bottom"/>
          </w:tcPr>
          <w:p>
            <w:pPr>
              <w:spacing w:after="0"/>
              <w:rPr>
                <w:sz w:val="1"/>
                <w:szCs w:val="1"/>
                <w:color w:val="auto"/>
              </w:rPr>
            </w:pPr>
          </w:p>
        </w:tc>
      </w:tr>
      <w:tr>
        <w:trPr>
          <w:trHeight w:val="377"/>
        </w:trPr>
        <w:tc>
          <w:tcPr>
            <w:tcW w:w="800" w:type="dxa"/>
            <w:vAlign w:val="bottom"/>
            <w:gridSpan w:val="4"/>
          </w:tcPr>
          <w:p>
            <w:pPr>
              <w:ind w:left="40"/>
              <w:spacing w:after="0"/>
              <w:rPr>
                <w:sz w:val="20"/>
                <w:szCs w:val="20"/>
                <w:color w:val="auto"/>
              </w:rPr>
            </w:pPr>
            <w:r>
              <w:rPr>
                <w:rFonts w:ascii="Arial" w:cs="Arial" w:eastAsia="Arial" w:hAnsi="Arial"/>
                <w:sz w:val="18"/>
                <w:szCs w:val="18"/>
                <w:color w:val="auto"/>
              </w:rPr>
              <w:t>10.4†</w:t>
            </w:r>
          </w:p>
        </w:tc>
        <w:tc>
          <w:tcPr>
            <w:tcW w:w="10600" w:type="dxa"/>
            <w:vAlign w:val="bottom"/>
            <w:gridSpan w:val="3"/>
          </w:tcPr>
          <w:p>
            <w:pPr>
              <w:ind w:left="160"/>
              <w:spacing w:after="0"/>
              <w:rPr>
                <w:sz w:val="20"/>
                <w:szCs w:val="20"/>
                <w:color w:val="auto"/>
              </w:rPr>
            </w:pPr>
            <w:r>
              <w:rPr>
                <w:rFonts w:ascii="Arial" w:cs="Arial" w:eastAsia="Arial" w:hAnsi="Arial"/>
                <w:sz w:val="18"/>
                <w:szCs w:val="18"/>
                <w:color w:val="auto"/>
                <w:w w:val="94"/>
              </w:rPr>
              <w:t>Form of Stock Option Agreement under the Equity Incentive Plan of Booz Allen Hamilton Holding Corporation (Incorporated by reference to</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0" w:type="dxa"/>
            <w:vAlign w:val="bottom"/>
            <w:gridSpan w:val="3"/>
          </w:tcPr>
          <w:p>
            <w:pPr>
              <w:ind w:left="160"/>
              <w:spacing w:after="0"/>
              <w:rPr>
                <w:sz w:val="20"/>
                <w:szCs w:val="20"/>
                <w:color w:val="auto"/>
              </w:rPr>
            </w:pPr>
            <w:r>
              <w:rPr>
                <w:rFonts w:ascii="Arial" w:cs="Arial" w:eastAsia="Arial" w:hAnsi="Arial"/>
                <w:sz w:val="18"/>
                <w:szCs w:val="18"/>
                <w:color w:val="auto"/>
              </w:rPr>
              <w:t>Exhibit 10.11 to the Company’s Registration Statement on Form S-1 (File No. 333-167645))</w:t>
            </w:r>
          </w:p>
        </w:tc>
        <w:tc>
          <w:tcPr>
            <w:tcW w:w="0" w:type="dxa"/>
            <w:vAlign w:val="bottom"/>
          </w:tcPr>
          <w:p>
            <w:pPr>
              <w:spacing w:after="0"/>
              <w:rPr>
                <w:sz w:val="1"/>
                <w:szCs w:val="1"/>
                <w:color w:val="auto"/>
              </w:rPr>
            </w:pPr>
          </w:p>
        </w:tc>
      </w:tr>
      <w:tr>
        <w:trPr>
          <w:trHeight w:val="377"/>
        </w:trPr>
        <w:tc>
          <w:tcPr>
            <w:tcW w:w="800" w:type="dxa"/>
            <w:vAlign w:val="bottom"/>
            <w:gridSpan w:val="4"/>
          </w:tcPr>
          <w:p>
            <w:pPr>
              <w:ind w:left="40"/>
              <w:spacing w:after="0"/>
              <w:rPr>
                <w:sz w:val="20"/>
                <w:szCs w:val="20"/>
                <w:color w:val="auto"/>
              </w:rPr>
            </w:pPr>
            <w:r>
              <w:rPr>
                <w:rFonts w:ascii="Arial" w:cs="Arial" w:eastAsia="Arial" w:hAnsi="Arial"/>
                <w:sz w:val="18"/>
                <w:szCs w:val="18"/>
                <w:color w:val="auto"/>
              </w:rPr>
              <w:t>10.5†</w:t>
            </w:r>
          </w:p>
        </w:tc>
        <w:tc>
          <w:tcPr>
            <w:tcW w:w="10600" w:type="dxa"/>
            <w:vAlign w:val="bottom"/>
            <w:gridSpan w:val="3"/>
          </w:tcPr>
          <w:p>
            <w:pPr>
              <w:ind w:left="160"/>
              <w:spacing w:after="0"/>
              <w:rPr>
                <w:sz w:val="20"/>
                <w:szCs w:val="20"/>
                <w:color w:val="auto"/>
              </w:rPr>
            </w:pPr>
            <w:r>
              <w:rPr>
                <w:rFonts w:ascii="Arial" w:cs="Arial" w:eastAsia="Arial" w:hAnsi="Arial"/>
                <w:sz w:val="18"/>
                <w:szCs w:val="18"/>
                <w:color w:val="auto"/>
                <w:w w:val="93"/>
              </w:rPr>
              <w:t>Form of Subscription Agreement (Incorporated by reference to Exhibit 10.12 to the Company’s Registration Statement on Form S-1 (File No.</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0" w:type="dxa"/>
            <w:vAlign w:val="bottom"/>
            <w:gridSpan w:val="3"/>
          </w:tcPr>
          <w:p>
            <w:pPr>
              <w:ind w:left="160"/>
              <w:spacing w:after="0"/>
              <w:rPr>
                <w:sz w:val="20"/>
                <w:szCs w:val="20"/>
                <w:color w:val="auto"/>
              </w:rPr>
            </w:pPr>
            <w:r>
              <w:rPr>
                <w:rFonts w:ascii="Arial" w:cs="Arial" w:eastAsia="Arial" w:hAnsi="Arial"/>
                <w:sz w:val="18"/>
                <w:szCs w:val="18"/>
                <w:color w:val="auto"/>
              </w:rPr>
              <w:t>333-167645))</w:t>
            </w:r>
          </w:p>
        </w:tc>
        <w:tc>
          <w:tcPr>
            <w:tcW w:w="0" w:type="dxa"/>
            <w:vAlign w:val="bottom"/>
          </w:tcPr>
          <w:p>
            <w:pPr>
              <w:spacing w:after="0"/>
              <w:rPr>
                <w:sz w:val="1"/>
                <w:szCs w:val="1"/>
                <w:color w:val="auto"/>
              </w:rPr>
            </w:pPr>
          </w:p>
        </w:tc>
      </w:tr>
      <w:tr>
        <w:trPr>
          <w:trHeight w:val="377"/>
        </w:trPr>
        <w:tc>
          <w:tcPr>
            <w:tcW w:w="800" w:type="dxa"/>
            <w:vAlign w:val="bottom"/>
            <w:gridSpan w:val="4"/>
          </w:tcPr>
          <w:p>
            <w:pPr>
              <w:ind w:left="40"/>
              <w:spacing w:after="0"/>
              <w:rPr>
                <w:sz w:val="20"/>
                <w:szCs w:val="20"/>
                <w:color w:val="auto"/>
              </w:rPr>
            </w:pPr>
            <w:r>
              <w:rPr>
                <w:rFonts w:ascii="Arial" w:cs="Arial" w:eastAsia="Arial" w:hAnsi="Arial"/>
                <w:sz w:val="18"/>
                <w:szCs w:val="18"/>
                <w:color w:val="auto"/>
              </w:rPr>
              <w:t>10.6†</w:t>
            </w:r>
          </w:p>
        </w:tc>
        <w:tc>
          <w:tcPr>
            <w:tcW w:w="10600" w:type="dxa"/>
            <w:vAlign w:val="bottom"/>
            <w:gridSpan w:val="3"/>
          </w:tcPr>
          <w:p>
            <w:pPr>
              <w:ind w:left="160"/>
              <w:spacing w:after="0"/>
              <w:rPr>
                <w:sz w:val="20"/>
                <w:szCs w:val="20"/>
                <w:color w:val="auto"/>
              </w:rPr>
            </w:pPr>
            <w:r>
              <w:rPr>
                <w:rFonts w:ascii="Arial" w:cs="Arial" w:eastAsia="Arial" w:hAnsi="Arial"/>
                <w:sz w:val="18"/>
                <w:szCs w:val="18"/>
                <w:color w:val="auto"/>
                <w:w w:val="93"/>
              </w:rPr>
              <w:t>Form of Restricted Stock Agreement for Directors under the Equity Incentive Plan of Booz Allen Hamilton Holding Corporation (Incorporated</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0" w:type="dxa"/>
            <w:vAlign w:val="bottom"/>
            <w:gridSpan w:val="3"/>
          </w:tcPr>
          <w:p>
            <w:pPr>
              <w:ind w:left="160"/>
              <w:spacing w:after="0"/>
              <w:rPr>
                <w:sz w:val="20"/>
                <w:szCs w:val="20"/>
                <w:color w:val="auto"/>
              </w:rPr>
            </w:pPr>
            <w:r>
              <w:rPr>
                <w:rFonts w:ascii="Arial" w:cs="Arial" w:eastAsia="Arial" w:hAnsi="Arial"/>
                <w:sz w:val="18"/>
                <w:szCs w:val="18"/>
                <w:color w:val="auto"/>
              </w:rPr>
              <w:t>by reference to Exhibit 10.13 to the Company’s Registration Statement on Form S-1 (File No. 333-167645))</w:t>
            </w:r>
          </w:p>
        </w:tc>
        <w:tc>
          <w:tcPr>
            <w:tcW w:w="0" w:type="dxa"/>
            <w:vAlign w:val="bottom"/>
          </w:tcPr>
          <w:p>
            <w:pPr>
              <w:spacing w:after="0"/>
              <w:rPr>
                <w:sz w:val="1"/>
                <w:szCs w:val="1"/>
                <w:color w:val="auto"/>
              </w:rPr>
            </w:pPr>
          </w:p>
        </w:tc>
      </w:tr>
      <w:tr>
        <w:trPr>
          <w:trHeight w:val="377"/>
        </w:trPr>
        <w:tc>
          <w:tcPr>
            <w:tcW w:w="800" w:type="dxa"/>
            <w:vAlign w:val="bottom"/>
            <w:gridSpan w:val="4"/>
          </w:tcPr>
          <w:p>
            <w:pPr>
              <w:ind w:left="40"/>
              <w:spacing w:after="0"/>
              <w:rPr>
                <w:sz w:val="20"/>
                <w:szCs w:val="20"/>
                <w:color w:val="auto"/>
              </w:rPr>
            </w:pPr>
            <w:r>
              <w:rPr>
                <w:rFonts w:ascii="Arial" w:cs="Arial" w:eastAsia="Arial" w:hAnsi="Arial"/>
                <w:sz w:val="18"/>
                <w:szCs w:val="18"/>
                <w:color w:val="auto"/>
              </w:rPr>
              <w:t>10.7†</w:t>
            </w:r>
          </w:p>
        </w:tc>
        <w:tc>
          <w:tcPr>
            <w:tcW w:w="10600" w:type="dxa"/>
            <w:vAlign w:val="bottom"/>
            <w:gridSpan w:val="3"/>
          </w:tcPr>
          <w:p>
            <w:pPr>
              <w:ind w:left="160"/>
              <w:spacing w:after="0"/>
              <w:rPr>
                <w:sz w:val="20"/>
                <w:szCs w:val="20"/>
                <w:color w:val="auto"/>
              </w:rPr>
            </w:pPr>
            <w:r>
              <w:rPr>
                <w:rFonts w:ascii="Arial" w:cs="Arial" w:eastAsia="Arial" w:hAnsi="Arial"/>
                <w:sz w:val="18"/>
                <w:szCs w:val="18"/>
                <w:color w:val="auto"/>
              </w:rPr>
              <w:t>Form of Restricted Stock Agreement for Employees under the Equity Incentive Plan of Booz Allen Hamilton Holding Corporation</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0" w:type="dxa"/>
            <w:vAlign w:val="bottom"/>
            <w:gridSpan w:val="3"/>
          </w:tcPr>
          <w:p>
            <w:pPr>
              <w:ind w:left="160"/>
              <w:spacing w:after="0"/>
              <w:rPr>
                <w:sz w:val="20"/>
                <w:szCs w:val="20"/>
                <w:color w:val="auto"/>
              </w:rPr>
            </w:pPr>
            <w:r>
              <w:rPr>
                <w:rFonts w:ascii="Arial" w:cs="Arial" w:eastAsia="Arial" w:hAnsi="Arial"/>
                <w:sz w:val="18"/>
                <w:szCs w:val="18"/>
                <w:color w:val="auto"/>
              </w:rPr>
              <w:t>(Incorporated by reference to Exhibit 10.14 to the Company’s Registration Statement on Form S-1 (File No. 333-167645))</w:t>
            </w:r>
          </w:p>
        </w:tc>
        <w:tc>
          <w:tcPr>
            <w:tcW w:w="0" w:type="dxa"/>
            <w:vAlign w:val="bottom"/>
          </w:tcPr>
          <w:p>
            <w:pPr>
              <w:spacing w:after="0"/>
              <w:rPr>
                <w:sz w:val="1"/>
                <w:szCs w:val="1"/>
                <w:color w:val="auto"/>
              </w:rPr>
            </w:pPr>
          </w:p>
        </w:tc>
      </w:tr>
      <w:tr>
        <w:trPr>
          <w:trHeight w:val="377"/>
        </w:trPr>
        <w:tc>
          <w:tcPr>
            <w:tcW w:w="800" w:type="dxa"/>
            <w:vAlign w:val="bottom"/>
            <w:gridSpan w:val="4"/>
          </w:tcPr>
          <w:p>
            <w:pPr>
              <w:ind w:left="40"/>
              <w:spacing w:after="0"/>
              <w:rPr>
                <w:sz w:val="20"/>
                <w:szCs w:val="20"/>
                <w:color w:val="auto"/>
              </w:rPr>
            </w:pPr>
            <w:r>
              <w:rPr>
                <w:rFonts w:ascii="Arial" w:cs="Arial" w:eastAsia="Arial" w:hAnsi="Arial"/>
                <w:sz w:val="18"/>
                <w:szCs w:val="18"/>
                <w:color w:val="auto"/>
              </w:rPr>
              <w:t>10.8†</w:t>
            </w:r>
          </w:p>
        </w:tc>
        <w:tc>
          <w:tcPr>
            <w:tcW w:w="10600" w:type="dxa"/>
            <w:vAlign w:val="bottom"/>
            <w:gridSpan w:val="3"/>
          </w:tcPr>
          <w:p>
            <w:pPr>
              <w:ind w:left="160"/>
              <w:spacing w:after="0"/>
              <w:rPr>
                <w:sz w:val="20"/>
                <w:szCs w:val="20"/>
                <w:color w:val="auto"/>
              </w:rPr>
            </w:pPr>
            <w:r>
              <w:rPr>
                <w:rFonts w:ascii="Arial" w:cs="Arial" w:eastAsia="Arial" w:hAnsi="Arial"/>
                <w:sz w:val="18"/>
                <w:szCs w:val="18"/>
                <w:color w:val="auto"/>
                <w:w w:val="95"/>
              </w:rPr>
              <w:t>Amended and Restated Booz Allen Hamilton Holding Corporation Annual Incentive Plan (Incorporated by reference to Exhibit 10.10 to the</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0" w:type="dxa"/>
            <w:vAlign w:val="bottom"/>
            <w:gridSpan w:val="3"/>
          </w:tcPr>
          <w:p>
            <w:pPr>
              <w:ind w:left="160"/>
              <w:spacing w:after="0"/>
              <w:rPr>
                <w:sz w:val="20"/>
                <w:szCs w:val="20"/>
                <w:color w:val="auto"/>
              </w:rPr>
            </w:pPr>
            <w:r>
              <w:rPr>
                <w:rFonts w:ascii="Arial" w:cs="Arial" w:eastAsia="Arial" w:hAnsi="Arial"/>
                <w:sz w:val="18"/>
                <w:szCs w:val="18"/>
                <w:color w:val="auto"/>
              </w:rPr>
              <w:t>Company’s Quarterly Report for the period ended September 30, 2014 on Form 10-Q (File No. 001-34972))</w:t>
            </w:r>
          </w:p>
        </w:tc>
        <w:tc>
          <w:tcPr>
            <w:tcW w:w="0" w:type="dxa"/>
            <w:vAlign w:val="bottom"/>
          </w:tcPr>
          <w:p>
            <w:pPr>
              <w:spacing w:after="0"/>
              <w:rPr>
                <w:sz w:val="1"/>
                <w:szCs w:val="1"/>
                <w:color w:val="auto"/>
              </w:rPr>
            </w:pPr>
          </w:p>
        </w:tc>
      </w:tr>
      <w:tr>
        <w:trPr>
          <w:trHeight w:val="377"/>
        </w:trPr>
        <w:tc>
          <w:tcPr>
            <w:tcW w:w="800" w:type="dxa"/>
            <w:vAlign w:val="bottom"/>
            <w:gridSpan w:val="4"/>
          </w:tcPr>
          <w:p>
            <w:pPr>
              <w:ind w:left="40"/>
              <w:spacing w:after="0"/>
              <w:rPr>
                <w:sz w:val="20"/>
                <w:szCs w:val="20"/>
                <w:color w:val="auto"/>
              </w:rPr>
            </w:pPr>
            <w:r>
              <w:rPr>
                <w:rFonts w:ascii="Arial" w:cs="Arial" w:eastAsia="Arial" w:hAnsi="Arial"/>
                <w:sz w:val="18"/>
                <w:szCs w:val="18"/>
                <w:color w:val="auto"/>
              </w:rPr>
              <w:t>10.9†</w:t>
            </w:r>
          </w:p>
        </w:tc>
        <w:tc>
          <w:tcPr>
            <w:tcW w:w="10600" w:type="dxa"/>
            <w:vAlign w:val="bottom"/>
            <w:gridSpan w:val="3"/>
          </w:tcPr>
          <w:p>
            <w:pPr>
              <w:ind w:left="160"/>
              <w:spacing w:after="0"/>
              <w:rPr>
                <w:sz w:val="20"/>
                <w:szCs w:val="20"/>
                <w:color w:val="auto"/>
              </w:rPr>
            </w:pPr>
            <w:r>
              <w:rPr>
                <w:rFonts w:ascii="Arial" w:cs="Arial" w:eastAsia="Arial" w:hAnsi="Arial"/>
                <w:sz w:val="18"/>
                <w:szCs w:val="18"/>
                <w:color w:val="auto"/>
                <w:w w:val="92"/>
              </w:rPr>
              <w:t>Booz Allen Hamilton Holding Corporation Officers’ Retirement Plan (Incorporated by reference to Exhibit 10.16 to the Company’s Registration</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0" w:type="dxa"/>
            <w:vAlign w:val="bottom"/>
            <w:gridSpan w:val="3"/>
          </w:tcPr>
          <w:p>
            <w:pPr>
              <w:ind w:left="160"/>
              <w:spacing w:after="0"/>
              <w:rPr>
                <w:sz w:val="20"/>
                <w:szCs w:val="20"/>
                <w:color w:val="auto"/>
              </w:rPr>
            </w:pPr>
            <w:r>
              <w:rPr>
                <w:rFonts w:ascii="Arial" w:cs="Arial" w:eastAsia="Arial" w:hAnsi="Arial"/>
                <w:sz w:val="18"/>
                <w:szCs w:val="18"/>
                <w:color w:val="auto"/>
              </w:rPr>
              <w:t>Statement on Form S-1 (File No. 333-167645))</w:t>
            </w:r>
          </w:p>
        </w:tc>
        <w:tc>
          <w:tcPr>
            <w:tcW w:w="0" w:type="dxa"/>
            <w:vAlign w:val="bottom"/>
          </w:tcPr>
          <w:p>
            <w:pPr>
              <w:spacing w:after="0"/>
              <w:rPr>
                <w:sz w:val="1"/>
                <w:szCs w:val="1"/>
                <w:color w:val="auto"/>
              </w:rPr>
            </w:pPr>
          </w:p>
        </w:tc>
      </w:tr>
      <w:tr>
        <w:trPr>
          <w:trHeight w:val="608"/>
        </w:trPr>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0" w:type="dxa"/>
            <w:vAlign w:val="bottom"/>
            <w:gridSpan w:val="3"/>
          </w:tcPr>
          <w:p>
            <w:pPr>
              <w:ind w:left="48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bl>
    <w:p>
      <w:pPr>
        <w:sectPr>
          <w:pgSz w:w="11900" w:h="16838" w:orient="portrait"/>
          <w:cols w:equalWidth="0" w:num="1">
            <w:col w:w="11400"/>
          </w:cols>
          <w:pgMar w:left="240" w:top="769" w:right="259" w:bottom="1440" w:gutter="0" w:footer="0" w:header="0"/>
        </w:sectPr>
      </w:pPr>
    </w:p>
    <w:bookmarkStart w:id="33" w:name="page34"/>
    <w:bookmarkEnd w:id="3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10.10†</w:t>
            </w:r>
          </w:p>
        </w:tc>
        <w:tc>
          <w:tcPr>
            <w:tcW w:w="10640" w:type="dxa"/>
            <w:vAlign w:val="bottom"/>
          </w:tcPr>
          <w:p>
            <w:pPr>
              <w:ind w:left="220"/>
              <w:spacing w:after="0"/>
              <w:rPr>
                <w:sz w:val="20"/>
                <w:szCs w:val="20"/>
                <w:color w:val="auto"/>
              </w:rPr>
            </w:pPr>
            <w:r>
              <w:rPr>
                <w:rFonts w:ascii="Arial" w:cs="Arial" w:eastAsia="Arial" w:hAnsi="Arial"/>
                <w:sz w:val="18"/>
                <w:szCs w:val="18"/>
                <w:color w:val="auto"/>
                <w:w w:val="98"/>
              </w:rPr>
              <w:t>Officer’s Comprehensive Medical and Dental Choice Plans (Incorporated by reference to Exhibit 10.17 to the Company’s Registration</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10640" w:type="dxa"/>
            <w:vAlign w:val="bottom"/>
          </w:tcPr>
          <w:p>
            <w:pPr>
              <w:ind w:left="220"/>
              <w:spacing w:after="0"/>
              <w:rPr>
                <w:sz w:val="20"/>
                <w:szCs w:val="20"/>
                <w:color w:val="auto"/>
              </w:rPr>
            </w:pPr>
            <w:r>
              <w:rPr>
                <w:rFonts w:ascii="Arial" w:cs="Arial" w:eastAsia="Arial" w:hAnsi="Arial"/>
                <w:sz w:val="18"/>
                <w:szCs w:val="18"/>
                <w:color w:val="auto"/>
              </w:rPr>
              <w:t>Statement on Form S-1 (File No. 333-167645))</w:t>
            </w:r>
          </w:p>
        </w:tc>
        <w:tc>
          <w:tcPr>
            <w:tcW w:w="0" w:type="dxa"/>
            <w:vAlign w:val="bottom"/>
          </w:tcPr>
          <w:p>
            <w:pPr>
              <w:spacing w:after="0"/>
              <w:rPr>
                <w:sz w:val="1"/>
                <w:szCs w:val="1"/>
                <w:color w:val="auto"/>
              </w:rPr>
            </w:pPr>
          </w:p>
        </w:tc>
      </w:tr>
      <w:tr>
        <w:trPr>
          <w:trHeight w:val="377"/>
        </w:trPr>
        <w:tc>
          <w:tcPr>
            <w:tcW w:w="700" w:type="dxa"/>
            <w:vAlign w:val="bottom"/>
          </w:tcPr>
          <w:p>
            <w:pPr>
              <w:spacing w:after="0"/>
              <w:rPr>
                <w:sz w:val="20"/>
                <w:szCs w:val="20"/>
                <w:color w:val="auto"/>
              </w:rPr>
            </w:pPr>
            <w:r>
              <w:rPr>
                <w:rFonts w:ascii="Arial" w:cs="Arial" w:eastAsia="Arial" w:hAnsi="Arial"/>
                <w:sz w:val="18"/>
                <w:szCs w:val="18"/>
                <w:color w:val="auto"/>
              </w:rPr>
              <w:t>10.11†</w:t>
            </w:r>
          </w:p>
        </w:tc>
        <w:tc>
          <w:tcPr>
            <w:tcW w:w="10640" w:type="dxa"/>
            <w:vAlign w:val="bottom"/>
          </w:tcPr>
          <w:p>
            <w:pPr>
              <w:ind w:left="220"/>
              <w:spacing w:after="0"/>
              <w:rPr>
                <w:sz w:val="20"/>
                <w:szCs w:val="20"/>
                <w:color w:val="auto"/>
              </w:rPr>
            </w:pPr>
            <w:r>
              <w:rPr>
                <w:rFonts w:ascii="Arial" w:cs="Arial" w:eastAsia="Arial" w:hAnsi="Arial"/>
                <w:sz w:val="18"/>
                <w:szCs w:val="18"/>
                <w:color w:val="auto"/>
                <w:w w:val="92"/>
              </w:rPr>
              <w:t>Retired Officer’s Comprehensive Medical and Dental Choice Plans (Incorporated by reference to Exhibit 10.18 to the Company’s Registration</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10640" w:type="dxa"/>
            <w:vAlign w:val="bottom"/>
          </w:tcPr>
          <w:p>
            <w:pPr>
              <w:ind w:left="220"/>
              <w:spacing w:after="0"/>
              <w:rPr>
                <w:sz w:val="20"/>
                <w:szCs w:val="20"/>
                <w:color w:val="auto"/>
              </w:rPr>
            </w:pPr>
            <w:r>
              <w:rPr>
                <w:rFonts w:ascii="Arial" w:cs="Arial" w:eastAsia="Arial" w:hAnsi="Arial"/>
                <w:sz w:val="18"/>
                <w:szCs w:val="18"/>
                <w:color w:val="auto"/>
              </w:rPr>
              <w:t>Statement on Form S-1 (File No. 333-167645))</w:t>
            </w:r>
          </w:p>
        </w:tc>
        <w:tc>
          <w:tcPr>
            <w:tcW w:w="0" w:type="dxa"/>
            <w:vAlign w:val="bottom"/>
          </w:tcPr>
          <w:p>
            <w:pPr>
              <w:spacing w:after="0"/>
              <w:rPr>
                <w:sz w:val="1"/>
                <w:szCs w:val="1"/>
                <w:color w:val="auto"/>
              </w:rPr>
            </w:pPr>
          </w:p>
        </w:tc>
      </w:tr>
      <w:tr>
        <w:trPr>
          <w:trHeight w:val="377"/>
        </w:trPr>
        <w:tc>
          <w:tcPr>
            <w:tcW w:w="700" w:type="dxa"/>
            <w:vAlign w:val="bottom"/>
          </w:tcPr>
          <w:p>
            <w:pPr>
              <w:spacing w:after="0"/>
              <w:rPr>
                <w:sz w:val="20"/>
                <w:szCs w:val="20"/>
                <w:color w:val="auto"/>
              </w:rPr>
            </w:pPr>
            <w:r>
              <w:rPr>
                <w:rFonts w:ascii="Arial" w:cs="Arial" w:eastAsia="Arial" w:hAnsi="Arial"/>
                <w:sz w:val="18"/>
                <w:szCs w:val="18"/>
                <w:color w:val="auto"/>
              </w:rPr>
              <w:t>10.12†</w:t>
            </w:r>
          </w:p>
        </w:tc>
        <w:tc>
          <w:tcPr>
            <w:tcW w:w="10640" w:type="dxa"/>
            <w:vAlign w:val="bottom"/>
          </w:tcPr>
          <w:p>
            <w:pPr>
              <w:ind w:left="220"/>
              <w:spacing w:after="0"/>
              <w:rPr>
                <w:sz w:val="20"/>
                <w:szCs w:val="20"/>
                <w:color w:val="auto"/>
              </w:rPr>
            </w:pPr>
            <w:r>
              <w:rPr>
                <w:rFonts w:ascii="Arial" w:cs="Arial" w:eastAsia="Arial" w:hAnsi="Arial"/>
                <w:sz w:val="18"/>
                <w:szCs w:val="18"/>
                <w:color w:val="auto"/>
                <w:w w:val="91"/>
              </w:rPr>
              <w:t>Group Variable Universal Life Insurance (Incorporated by reference to Exhibit 10.14 to the Company’s Annual Report for the year ended March</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10640" w:type="dxa"/>
            <w:vAlign w:val="bottom"/>
          </w:tcPr>
          <w:p>
            <w:pPr>
              <w:ind w:left="220"/>
              <w:spacing w:after="0"/>
              <w:rPr>
                <w:sz w:val="20"/>
                <w:szCs w:val="20"/>
                <w:color w:val="auto"/>
              </w:rPr>
            </w:pPr>
            <w:r>
              <w:rPr>
                <w:rFonts w:ascii="Arial" w:cs="Arial" w:eastAsia="Arial" w:hAnsi="Arial"/>
                <w:sz w:val="18"/>
                <w:szCs w:val="18"/>
                <w:color w:val="auto"/>
              </w:rPr>
              <w:t>31, 2015 on Form 10-K (File No. 001-34972))</w:t>
            </w:r>
          </w:p>
        </w:tc>
        <w:tc>
          <w:tcPr>
            <w:tcW w:w="0" w:type="dxa"/>
            <w:vAlign w:val="bottom"/>
          </w:tcPr>
          <w:p>
            <w:pPr>
              <w:spacing w:after="0"/>
              <w:rPr>
                <w:sz w:val="1"/>
                <w:szCs w:val="1"/>
                <w:color w:val="auto"/>
              </w:rPr>
            </w:pPr>
          </w:p>
        </w:tc>
      </w:tr>
      <w:tr>
        <w:trPr>
          <w:trHeight w:val="377"/>
        </w:trPr>
        <w:tc>
          <w:tcPr>
            <w:tcW w:w="700" w:type="dxa"/>
            <w:vAlign w:val="bottom"/>
          </w:tcPr>
          <w:p>
            <w:pPr>
              <w:spacing w:after="0"/>
              <w:rPr>
                <w:sz w:val="20"/>
                <w:szCs w:val="20"/>
                <w:color w:val="auto"/>
              </w:rPr>
            </w:pPr>
            <w:r>
              <w:rPr>
                <w:rFonts w:ascii="Arial" w:cs="Arial" w:eastAsia="Arial" w:hAnsi="Arial"/>
                <w:sz w:val="18"/>
                <w:szCs w:val="18"/>
                <w:color w:val="auto"/>
              </w:rPr>
              <w:t>10.13†</w:t>
            </w:r>
          </w:p>
        </w:tc>
        <w:tc>
          <w:tcPr>
            <w:tcW w:w="10640" w:type="dxa"/>
            <w:vAlign w:val="bottom"/>
          </w:tcPr>
          <w:p>
            <w:pPr>
              <w:ind w:left="220"/>
              <w:spacing w:after="0"/>
              <w:rPr>
                <w:sz w:val="20"/>
                <w:szCs w:val="20"/>
                <w:color w:val="auto"/>
              </w:rPr>
            </w:pPr>
            <w:r>
              <w:rPr>
                <w:rFonts w:ascii="Arial" w:cs="Arial" w:eastAsia="Arial" w:hAnsi="Arial"/>
                <w:sz w:val="18"/>
                <w:szCs w:val="18"/>
                <w:color w:val="auto"/>
                <w:w w:val="92"/>
              </w:rPr>
              <w:t>Group Personal Excess Liability Insurance (Incorporated by reference to Exhibit 10.21 to the Company’s Registration Statement on Form S-1</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10640" w:type="dxa"/>
            <w:vAlign w:val="bottom"/>
          </w:tcPr>
          <w:p>
            <w:pPr>
              <w:ind w:left="220"/>
              <w:spacing w:after="0"/>
              <w:rPr>
                <w:sz w:val="20"/>
                <w:szCs w:val="20"/>
                <w:color w:val="auto"/>
              </w:rPr>
            </w:pPr>
            <w:r>
              <w:rPr>
                <w:rFonts w:ascii="Arial" w:cs="Arial" w:eastAsia="Arial" w:hAnsi="Arial"/>
                <w:sz w:val="18"/>
                <w:szCs w:val="18"/>
                <w:color w:val="auto"/>
              </w:rPr>
              <w:t>(File No. 333-167645))</w:t>
            </w:r>
          </w:p>
        </w:tc>
        <w:tc>
          <w:tcPr>
            <w:tcW w:w="0" w:type="dxa"/>
            <w:vAlign w:val="bottom"/>
          </w:tcPr>
          <w:p>
            <w:pPr>
              <w:spacing w:after="0"/>
              <w:rPr>
                <w:sz w:val="1"/>
                <w:szCs w:val="1"/>
                <w:color w:val="auto"/>
              </w:rPr>
            </w:pPr>
          </w:p>
        </w:tc>
      </w:tr>
      <w:tr>
        <w:trPr>
          <w:trHeight w:val="377"/>
        </w:trPr>
        <w:tc>
          <w:tcPr>
            <w:tcW w:w="700" w:type="dxa"/>
            <w:vAlign w:val="bottom"/>
          </w:tcPr>
          <w:p>
            <w:pPr>
              <w:spacing w:after="0"/>
              <w:rPr>
                <w:sz w:val="20"/>
                <w:szCs w:val="20"/>
                <w:color w:val="auto"/>
              </w:rPr>
            </w:pPr>
            <w:r>
              <w:rPr>
                <w:rFonts w:ascii="Arial" w:cs="Arial" w:eastAsia="Arial" w:hAnsi="Arial"/>
                <w:sz w:val="18"/>
                <w:szCs w:val="18"/>
                <w:color w:val="auto"/>
              </w:rPr>
              <w:t>10.14†</w:t>
            </w:r>
          </w:p>
        </w:tc>
        <w:tc>
          <w:tcPr>
            <w:tcW w:w="10640" w:type="dxa"/>
            <w:vAlign w:val="bottom"/>
          </w:tcPr>
          <w:p>
            <w:pPr>
              <w:ind w:left="220"/>
              <w:spacing w:after="0"/>
              <w:rPr>
                <w:sz w:val="20"/>
                <w:szCs w:val="20"/>
                <w:color w:val="auto"/>
              </w:rPr>
            </w:pPr>
            <w:r>
              <w:rPr>
                <w:rFonts w:ascii="Arial" w:cs="Arial" w:eastAsia="Arial" w:hAnsi="Arial"/>
                <w:sz w:val="18"/>
                <w:szCs w:val="18"/>
                <w:color w:val="auto"/>
                <w:w w:val="92"/>
              </w:rPr>
              <w:t>Annual Performance Bonus Program (Incorporated by reference to Exhibit 10.22 to the Company’s Registration Statement on Form S-1 (File</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10640" w:type="dxa"/>
            <w:vAlign w:val="bottom"/>
          </w:tcPr>
          <w:p>
            <w:pPr>
              <w:ind w:left="220"/>
              <w:spacing w:after="0"/>
              <w:rPr>
                <w:sz w:val="20"/>
                <w:szCs w:val="20"/>
                <w:color w:val="auto"/>
              </w:rPr>
            </w:pPr>
            <w:r>
              <w:rPr>
                <w:rFonts w:ascii="Arial" w:cs="Arial" w:eastAsia="Arial" w:hAnsi="Arial"/>
                <w:sz w:val="18"/>
                <w:szCs w:val="18"/>
                <w:color w:val="auto"/>
              </w:rPr>
              <w:t>No. 333-167645))</w:t>
            </w:r>
          </w:p>
        </w:tc>
        <w:tc>
          <w:tcPr>
            <w:tcW w:w="0" w:type="dxa"/>
            <w:vAlign w:val="bottom"/>
          </w:tcPr>
          <w:p>
            <w:pPr>
              <w:spacing w:after="0"/>
              <w:rPr>
                <w:sz w:val="1"/>
                <w:szCs w:val="1"/>
                <w:color w:val="auto"/>
              </w:rPr>
            </w:pPr>
          </w:p>
        </w:tc>
      </w:tr>
      <w:tr>
        <w:trPr>
          <w:trHeight w:val="377"/>
        </w:trPr>
        <w:tc>
          <w:tcPr>
            <w:tcW w:w="700" w:type="dxa"/>
            <w:vAlign w:val="bottom"/>
          </w:tcPr>
          <w:p>
            <w:pPr>
              <w:spacing w:after="0"/>
              <w:rPr>
                <w:sz w:val="20"/>
                <w:szCs w:val="20"/>
                <w:color w:val="auto"/>
              </w:rPr>
            </w:pPr>
            <w:r>
              <w:rPr>
                <w:rFonts w:ascii="Arial" w:cs="Arial" w:eastAsia="Arial" w:hAnsi="Arial"/>
                <w:sz w:val="18"/>
                <w:szCs w:val="18"/>
                <w:color w:val="auto"/>
              </w:rPr>
              <w:t>10.15†</w:t>
            </w:r>
          </w:p>
        </w:tc>
        <w:tc>
          <w:tcPr>
            <w:tcW w:w="10640" w:type="dxa"/>
            <w:vAlign w:val="bottom"/>
          </w:tcPr>
          <w:p>
            <w:pPr>
              <w:ind w:left="220"/>
              <w:spacing w:after="0"/>
              <w:rPr>
                <w:sz w:val="20"/>
                <w:szCs w:val="20"/>
                <w:color w:val="auto"/>
              </w:rPr>
            </w:pPr>
            <w:r>
              <w:rPr>
                <w:rFonts w:ascii="Arial" w:cs="Arial" w:eastAsia="Arial" w:hAnsi="Arial"/>
                <w:sz w:val="18"/>
                <w:szCs w:val="18"/>
                <w:color w:val="auto"/>
                <w:w w:val="97"/>
              </w:rPr>
              <w:t>Form of Booz Allen Hamilton Holding Corporation Director and Officer Indemnification Agreement (Incorporated by reference to Exhibit</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10640" w:type="dxa"/>
            <w:vAlign w:val="bottom"/>
          </w:tcPr>
          <w:p>
            <w:pPr>
              <w:ind w:left="220"/>
              <w:spacing w:after="0"/>
              <w:rPr>
                <w:sz w:val="20"/>
                <w:szCs w:val="20"/>
                <w:color w:val="auto"/>
              </w:rPr>
            </w:pPr>
            <w:r>
              <w:rPr>
                <w:rFonts w:ascii="Arial" w:cs="Arial" w:eastAsia="Arial" w:hAnsi="Arial"/>
                <w:sz w:val="18"/>
                <w:szCs w:val="18"/>
                <w:color w:val="auto"/>
              </w:rPr>
              <w:t>10.23 to the Company’s Registration Statement on Form S-1 (File No. 333-167645))</w:t>
            </w:r>
          </w:p>
        </w:tc>
        <w:tc>
          <w:tcPr>
            <w:tcW w:w="0" w:type="dxa"/>
            <w:vAlign w:val="bottom"/>
          </w:tcPr>
          <w:p>
            <w:pPr>
              <w:spacing w:after="0"/>
              <w:rPr>
                <w:sz w:val="1"/>
                <w:szCs w:val="1"/>
                <w:color w:val="auto"/>
              </w:rPr>
            </w:pPr>
          </w:p>
        </w:tc>
      </w:tr>
      <w:tr>
        <w:trPr>
          <w:trHeight w:val="377"/>
        </w:trPr>
        <w:tc>
          <w:tcPr>
            <w:tcW w:w="700" w:type="dxa"/>
            <w:vAlign w:val="bottom"/>
          </w:tcPr>
          <w:p>
            <w:pPr>
              <w:spacing w:after="0"/>
              <w:rPr>
                <w:sz w:val="20"/>
                <w:szCs w:val="20"/>
                <w:color w:val="auto"/>
              </w:rPr>
            </w:pPr>
            <w:r>
              <w:rPr>
                <w:rFonts w:ascii="Arial" w:cs="Arial" w:eastAsia="Arial" w:hAnsi="Arial"/>
                <w:sz w:val="18"/>
                <w:szCs w:val="18"/>
                <w:color w:val="auto"/>
              </w:rPr>
              <w:t>10.16†</w:t>
            </w:r>
          </w:p>
        </w:tc>
        <w:tc>
          <w:tcPr>
            <w:tcW w:w="10640" w:type="dxa"/>
            <w:vAlign w:val="bottom"/>
          </w:tcPr>
          <w:p>
            <w:pPr>
              <w:ind w:left="220"/>
              <w:spacing w:after="0"/>
              <w:rPr>
                <w:sz w:val="20"/>
                <w:szCs w:val="20"/>
                <w:color w:val="auto"/>
              </w:rPr>
            </w:pPr>
            <w:r>
              <w:rPr>
                <w:rFonts w:ascii="Arial" w:cs="Arial" w:eastAsia="Arial" w:hAnsi="Arial"/>
                <w:sz w:val="18"/>
                <w:szCs w:val="18"/>
                <w:color w:val="auto"/>
                <w:w w:val="93"/>
              </w:rPr>
              <w:t>Form of Stock Option Agreement under the Equity Incentive Plan of Booz Allen Hamilton Holding Corporation (Incorporated by reference to</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10640" w:type="dxa"/>
            <w:vAlign w:val="bottom"/>
          </w:tcPr>
          <w:p>
            <w:pPr>
              <w:ind w:left="220"/>
              <w:spacing w:after="0"/>
              <w:rPr>
                <w:sz w:val="20"/>
                <w:szCs w:val="20"/>
                <w:color w:val="auto"/>
              </w:rPr>
            </w:pPr>
            <w:r>
              <w:rPr>
                <w:rFonts w:ascii="Arial" w:cs="Arial" w:eastAsia="Arial" w:hAnsi="Arial"/>
                <w:sz w:val="18"/>
                <w:szCs w:val="18"/>
                <w:color w:val="auto"/>
              </w:rPr>
              <w:t>Exhibit 10.23 to the Company’s Annual Report for the year ended March 31, 2011 on Form 10-K (File No. 001-34972))</w:t>
            </w:r>
          </w:p>
        </w:tc>
        <w:tc>
          <w:tcPr>
            <w:tcW w:w="0" w:type="dxa"/>
            <w:vAlign w:val="bottom"/>
          </w:tcPr>
          <w:p>
            <w:pPr>
              <w:spacing w:after="0"/>
              <w:rPr>
                <w:sz w:val="1"/>
                <w:szCs w:val="1"/>
                <w:color w:val="auto"/>
              </w:rPr>
            </w:pPr>
          </w:p>
        </w:tc>
      </w:tr>
      <w:tr>
        <w:trPr>
          <w:trHeight w:val="377"/>
        </w:trPr>
        <w:tc>
          <w:tcPr>
            <w:tcW w:w="700" w:type="dxa"/>
            <w:vAlign w:val="bottom"/>
          </w:tcPr>
          <w:p>
            <w:pPr>
              <w:spacing w:after="0"/>
              <w:rPr>
                <w:sz w:val="20"/>
                <w:szCs w:val="20"/>
                <w:color w:val="auto"/>
              </w:rPr>
            </w:pPr>
            <w:r>
              <w:rPr>
                <w:rFonts w:ascii="Arial" w:cs="Arial" w:eastAsia="Arial" w:hAnsi="Arial"/>
                <w:sz w:val="18"/>
                <w:szCs w:val="18"/>
                <w:color w:val="auto"/>
              </w:rPr>
              <w:t>10.17†</w:t>
            </w:r>
          </w:p>
        </w:tc>
        <w:tc>
          <w:tcPr>
            <w:tcW w:w="10640" w:type="dxa"/>
            <w:vAlign w:val="bottom"/>
          </w:tcPr>
          <w:p>
            <w:pPr>
              <w:ind w:left="220"/>
              <w:spacing w:after="0"/>
              <w:rPr>
                <w:sz w:val="20"/>
                <w:szCs w:val="20"/>
                <w:color w:val="auto"/>
              </w:rPr>
            </w:pPr>
            <w:r>
              <w:rPr>
                <w:rFonts w:ascii="Arial" w:cs="Arial" w:eastAsia="Arial" w:hAnsi="Arial"/>
                <w:sz w:val="18"/>
                <w:szCs w:val="18"/>
                <w:color w:val="auto"/>
                <w:w w:val="93"/>
              </w:rPr>
              <w:t>Officer Transition Policy (Incorporated by reference to Exhibit 10.24 to the Company’s Annual Report for the year ended March 31, 2011 on</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10640" w:type="dxa"/>
            <w:vAlign w:val="bottom"/>
          </w:tcPr>
          <w:p>
            <w:pPr>
              <w:ind w:left="220"/>
              <w:spacing w:after="0"/>
              <w:rPr>
                <w:sz w:val="20"/>
                <w:szCs w:val="20"/>
                <w:color w:val="auto"/>
              </w:rPr>
            </w:pPr>
            <w:r>
              <w:rPr>
                <w:rFonts w:ascii="Arial" w:cs="Arial" w:eastAsia="Arial" w:hAnsi="Arial"/>
                <w:sz w:val="18"/>
                <w:szCs w:val="18"/>
                <w:color w:val="auto"/>
              </w:rPr>
              <w:t>Form 10-K (File No. 001-34972))</w:t>
            </w:r>
          </w:p>
        </w:tc>
        <w:tc>
          <w:tcPr>
            <w:tcW w:w="0" w:type="dxa"/>
            <w:vAlign w:val="bottom"/>
          </w:tcPr>
          <w:p>
            <w:pPr>
              <w:spacing w:after="0"/>
              <w:rPr>
                <w:sz w:val="1"/>
                <w:szCs w:val="1"/>
                <w:color w:val="auto"/>
              </w:rPr>
            </w:pPr>
          </w:p>
        </w:tc>
      </w:tr>
      <w:tr>
        <w:trPr>
          <w:trHeight w:val="377"/>
        </w:trPr>
        <w:tc>
          <w:tcPr>
            <w:tcW w:w="700" w:type="dxa"/>
            <w:vAlign w:val="bottom"/>
          </w:tcPr>
          <w:p>
            <w:pPr>
              <w:spacing w:after="0"/>
              <w:rPr>
                <w:sz w:val="20"/>
                <w:szCs w:val="20"/>
                <w:color w:val="auto"/>
              </w:rPr>
            </w:pPr>
            <w:r>
              <w:rPr>
                <w:rFonts w:ascii="Arial" w:cs="Arial" w:eastAsia="Arial" w:hAnsi="Arial"/>
                <w:sz w:val="18"/>
                <w:szCs w:val="18"/>
                <w:color w:val="auto"/>
              </w:rPr>
              <w:t>10.18†</w:t>
            </w:r>
          </w:p>
        </w:tc>
        <w:tc>
          <w:tcPr>
            <w:tcW w:w="10640" w:type="dxa"/>
            <w:vAlign w:val="bottom"/>
          </w:tcPr>
          <w:p>
            <w:pPr>
              <w:ind w:left="220"/>
              <w:spacing w:after="0"/>
              <w:rPr>
                <w:sz w:val="20"/>
                <w:szCs w:val="20"/>
                <w:color w:val="auto"/>
              </w:rPr>
            </w:pPr>
            <w:r>
              <w:rPr>
                <w:rFonts w:ascii="Arial" w:cs="Arial" w:eastAsia="Arial" w:hAnsi="Arial"/>
                <w:sz w:val="18"/>
                <w:szCs w:val="18"/>
                <w:color w:val="auto"/>
                <w:w w:val="93"/>
              </w:rPr>
              <w:t>Form of Stock Option Agreement under the Equity Incentive Plan of Booz Allen Hamilton Holding Corporation (Incorporated by reference to</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10640" w:type="dxa"/>
            <w:vAlign w:val="bottom"/>
          </w:tcPr>
          <w:p>
            <w:pPr>
              <w:ind w:left="220"/>
              <w:spacing w:after="0"/>
              <w:rPr>
                <w:sz w:val="20"/>
                <w:szCs w:val="20"/>
                <w:color w:val="auto"/>
              </w:rPr>
            </w:pPr>
            <w:r>
              <w:rPr>
                <w:rFonts w:ascii="Arial" w:cs="Arial" w:eastAsia="Arial" w:hAnsi="Arial"/>
                <w:sz w:val="18"/>
                <w:szCs w:val="18"/>
                <w:color w:val="auto"/>
              </w:rPr>
              <w:t>Exhibit 10.25 to the Company’s Quarterly Report for the period ended December 31, 2011 on Form 10-Q (File No. 001-34972))</w:t>
            </w:r>
          </w:p>
        </w:tc>
        <w:tc>
          <w:tcPr>
            <w:tcW w:w="0" w:type="dxa"/>
            <w:vAlign w:val="bottom"/>
          </w:tcPr>
          <w:p>
            <w:pPr>
              <w:spacing w:after="0"/>
              <w:rPr>
                <w:sz w:val="1"/>
                <w:szCs w:val="1"/>
                <w:color w:val="auto"/>
              </w:rPr>
            </w:pPr>
          </w:p>
        </w:tc>
      </w:tr>
      <w:tr>
        <w:trPr>
          <w:trHeight w:val="377"/>
        </w:trPr>
        <w:tc>
          <w:tcPr>
            <w:tcW w:w="700" w:type="dxa"/>
            <w:vAlign w:val="bottom"/>
          </w:tcPr>
          <w:p>
            <w:pPr>
              <w:spacing w:after="0"/>
              <w:rPr>
                <w:sz w:val="20"/>
                <w:szCs w:val="20"/>
                <w:color w:val="auto"/>
              </w:rPr>
            </w:pPr>
            <w:r>
              <w:rPr>
                <w:rFonts w:ascii="Arial" w:cs="Arial" w:eastAsia="Arial" w:hAnsi="Arial"/>
                <w:sz w:val="18"/>
                <w:szCs w:val="18"/>
                <w:color w:val="auto"/>
              </w:rPr>
              <w:t>10.19</w:t>
            </w:r>
          </w:p>
        </w:tc>
        <w:tc>
          <w:tcPr>
            <w:tcW w:w="10640" w:type="dxa"/>
            <w:vAlign w:val="bottom"/>
          </w:tcPr>
          <w:p>
            <w:pPr>
              <w:ind w:left="220"/>
              <w:spacing w:after="0"/>
              <w:rPr>
                <w:sz w:val="20"/>
                <w:szCs w:val="20"/>
                <w:color w:val="auto"/>
              </w:rPr>
            </w:pPr>
            <w:r>
              <w:rPr>
                <w:rFonts w:ascii="Arial" w:cs="Arial" w:eastAsia="Arial" w:hAnsi="Arial"/>
                <w:sz w:val="18"/>
                <w:szCs w:val="18"/>
                <w:color w:val="auto"/>
                <w:w w:val="91"/>
              </w:rPr>
              <w:t>Amendment No. 1 to the Amended and Restated Stockholders Agreement (Incorporated by reference to Exhibit 10.1 to the Company's Periodic</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10640" w:type="dxa"/>
            <w:vAlign w:val="bottom"/>
          </w:tcPr>
          <w:p>
            <w:pPr>
              <w:ind w:left="220"/>
              <w:spacing w:after="0"/>
              <w:rPr>
                <w:sz w:val="20"/>
                <w:szCs w:val="20"/>
                <w:color w:val="auto"/>
              </w:rPr>
            </w:pPr>
            <w:r>
              <w:rPr>
                <w:rFonts w:ascii="Arial" w:cs="Arial" w:eastAsia="Arial" w:hAnsi="Arial"/>
                <w:sz w:val="18"/>
                <w:szCs w:val="18"/>
                <w:color w:val="auto"/>
              </w:rPr>
              <w:t>Report on Form 8-K filed on June 14, 2012 (File No. 001-34972))</w:t>
            </w:r>
          </w:p>
        </w:tc>
        <w:tc>
          <w:tcPr>
            <w:tcW w:w="0" w:type="dxa"/>
            <w:vAlign w:val="bottom"/>
          </w:tcPr>
          <w:p>
            <w:pPr>
              <w:spacing w:after="0"/>
              <w:rPr>
                <w:sz w:val="1"/>
                <w:szCs w:val="1"/>
                <w:color w:val="auto"/>
              </w:rPr>
            </w:pPr>
          </w:p>
        </w:tc>
      </w:tr>
      <w:tr>
        <w:trPr>
          <w:trHeight w:val="377"/>
        </w:trPr>
        <w:tc>
          <w:tcPr>
            <w:tcW w:w="700" w:type="dxa"/>
            <w:vAlign w:val="bottom"/>
          </w:tcPr>
          <w:p>
            <w:pPr>
              <w:spacing w:after="0"/>
              <w:rPr>
                <w:sz w:val="20"/>
                <w:szCs w:val="20"/>
                <w:color w:val="auto"/>
              </w:rPr>
            </w:pPr>
            <w:r>
              <w:rPr>
                <w:rFonts w:ascii="Arial" w:cs="Arial" w:eastAsia="Arial" w:hAnsi="Arial"/>
                <w:sz w:val="18"/>
                <w:szCs w:val="18"/>
                <w:color w:val="auto"/>
              </w:rPr>
              <w:t>10.20</w:t>
            </w:r>
          </w:p>
        </w:tc>
        <w:tc>
          <w:tcPr>
            <w:tcW w:w="10640" w:type="dxa"/>
            <w:vAlign w:val="bottom"/>
          </w:tcPr>
          <w:p>
            <w:pPr>
              <w:ind w:left="220"/>
              <w:spacing w:after="0"/>
              <w:rPr>
                <w:sz w:val="20"/>
                <w:szCs w:val="20"/>
                <w:color w:val="auto"/>
              </w:rPr>
            </w:pPr>
            <w:r>
              <w:rPr>
                <w:rFonts w:ascii="Arial" w:cs="Arial" w:eastAsia="Arial" w:hAnsi="Arial"/>
                <w:sz w:val="18"/>
                <w:szCs w:val="18"/>
                <w:color w:val="auto"/>
                <w:w w:val="94"/>
              </w:rPr>
              <w:t>Credit Agreement, by and among Booz Allen Hamilton Inc., as the Borrower, the several lenders from time to time parties thereto, Bank of</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10640" w:type="dxa"/>
            <w:vAlign w:val="bottom"/>
          </w:tcPr>
          <w:p>
            <w:pPr>
              <w:ind w:left="220"/>
              <w:spacing w:after="0"/>
              <w:rPr>
                <w:sz w:val="20"/>
                <w:szCs w:val="20"/>
                <w:color w:val="auto"/>
              </w:rPr>
            </w:pPr>
            <w:r>
              <w:rPr>
                <w:rFonts w:ascii="Arial" w:cs="Arial" w:eastAsia="Arial" w:hAnsi="Arial"/>
                <w:sz w:val="18"/>
                <w:szCs w:val="18"/>
                <w:color w:val="auto"/>
                <w:w w:val="93"/>
              </w:rPr>
              <w:t>America, N.A., as Administrative Agent, Collateral Agent and Issuing Lender, Merrill Lynch, Pierce, Fenner &amp; Smith Incorporated and Credit</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10640" w:type="dxa"/>
            <w:vAlign w:val="bottom"/>
          </w:tcPr>
          <w:p>
            <w:pPr>
              <w:ind w:left="220"/>
              <w:spacing w:after="0"/>
              <w:rPr>
                <w:sz w:val="20"/>
                <w:szCs w:val="20"/>
                <w:color w:val="auto"/>
              </w:rPr>
            </w:pPr>
            <w:r>
              <w:rPr>
                <w:rFonts w:ascii="Arial" w:cs="Arial" w:eastAsia="Arial" w:hAnsi="Arial"/>
                <w:sz w:val="18"/>
                <w:szCs w:val="18"/>
                <w:color w:val="auto"/>
                <w:w w:val="94"/>
              </w:rPr>
              <w:t>Suisse Securities (USA) LLC, as Joint Lead Arrangers, Merrill Lynch, Pierce, Fenner &amp; Smith Incorporated, Credit Suisse Securities (USA)</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10640" w:type="dxa"/>
            <w:vAlign w:val="bottom"/>
          </w:tcPr>
          <w:p>
            <w:pPr>
              <w:ind w:left="220"/>
              <w:spacing w:after="0"/>
              <w:rPr>
                <w:sz w:val="20"/>
                <w:szCs w:val="20"/>
                <w:color w:val="auto"/>
              </w:rPr>
            </w:pPr>
            <w:r>
              <w:rPr>
                <w:rFonts w:ascii="Arial" w:cs="Arial" w:eastAsia="Arial" w:hAnsi="Arial"/>
                <w:sz w:val="18"/>
                <w:szCs w:val="18"/>
                <w:color w:val="auto"/>
                <w:w w:val="95"/>
              </w:rPr>
              <w:t>LLC, Barclays Bank PLC, Citigroup Global Markets Inc., HSBC Securities (USA) Inc., J.P. Morgan Securities LLC, Morgan Stanley Senior</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10640" w:type="dxa"/>
            <w:vAlign w:val="bottom"/>
          </w:tcPr>
          <w:p>
            <w:pPr>
              <w:ind w:left="220"/>
              <w:spacing w:after="0"/>
              <w:rPr>
                <w:sz w:val="20"/>
                <w:szCs w:val="20"/>
                <w:color w:val="auto"/>
              </w:rPr>
            </w:pPr>
            <w:r>
              <w:rPr>
                <w:rFonts w:ascii="Arial" w:cs="Arial" w:eastAsia="Arial" w:hAnsi="Arial"/>
                <w:sz w:val="18"/>
                <w:szCs w:val="18"/>
                <w:color w:val="auto"/>
                <w:w w:val="94"/>
              </w:rPr>
              <w:t>Funding, Inc. and Sumimoto Mitsui Banking Corporation, as Joint Bookrunners, Credit Suisse Securities (USA) LLC, as Syndication Agent,</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10640" w:type="dxa"/>
            <w:vAlign w:val="bottom"/>
          </w:tcPr>
          <w:p>
            <w:pPr>
              <w:ind w:left="220"/>
              <w:spacing w:after="0"/>
              <w:rPr>
                <w:sz w:val="20"/>
                <w:szCs w:val="20"/>
                <w:color w:val="auto"/>
              </w:rPr>
            </w:pPr>
            <w:r>
              <w:rPr>
                <w:rFonts w:ascii="Arial" w:cs="Arial" w:eastAsia="Arial" w:hAnsi="Arial"/>
                <w:sz w:val="18"/>
                <w:szCs w:val="18"/>
                <w:color w:val="auto"/>
                <w:w w:val="92"/>
              </w:rPr>
              <w:t>Barclays Bank PLC, Citigroup Global Markets Inc., HSBC Securities (USA) Inc., J.P. Morgan Securities LLC, Morgan Stanley Senior Funding,</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10640" w:type="dxa"/>
            <w:vAlign w:val="bottom"/>
          </w:tcPr>
          <w:p>
            <w:pPr>
              <w:ind w:left="220"/>
              <w:spacing w:after="0"/>
              <w:rPr>
                <w:sz w:val="20"/>
                <w:szCs w:val="20"/>
                <w:color w:val="auto"/>
              </w:rPr>
            </w:pPr>
            <w:r>
              <w:rPr>
                <w:rFonts w:ascii="Arial" w:cs="Arial" w:eastAsia="Arial" w:hAnsi="Arial"/>
                <w:sz w:val="18"/>
                <w:szCs w:val="18"/>
                <w:color w:val="auto"/>
                <w:w w:val="93"/>
              </w:rPr>
              <w:t>Inc., Sumimoto Mitsui Banking Corporation and The Bank of Tokyo-Mitsubishi UFJ, Ltd., as Co-Documentation Agents, dated as of July 31,</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10640" w:type="dxa"/>
            <w:vAlign w:val="bottom"/>
          </w:tcPr>
          <w:p>
            <w:pPr>
              <w:ind w:left="220"/>
              <w:spacing w:after="0"/>
              <w:rPr>
                <w:sz w:val="20"/>
                <w:szCs w:val="20"/>
                <w:color w:val="auto"/>
              </w:rPr>
            </w:pPr>
            <w:r>
              <w:rPr>
                <w:rFonts w:ascii="Arial" w:cs="Arial" w:eastAsia="Arial" w:hAnsi="Arial"/>
                <w:sz w:val="18"/>
                <w:szCs w:val="18"/>
                <w:color w:val="auto"/>
                <w:w w:val="92"/>
              </w:rPr>
              <w:t>2012 (Incorporated by reference to Exhibit 10.1 to the Company’s Periodic Report on Form 8-K filed on August 1, 2012 (File No. 001-34972))</w:t>
            </w:r>
          </w:p>
        </w:tc>
        <w:tc>
          <w:tcPr>
            <w:tcW w:w="0" w:type="dxa"/>
            <w:vAlign w:val="bottom"/>
          </w:tcPr>
          <w:p>
            <w:pPr>
              <w:spacing w:after="0"/>
              <w:rPr>
                <w:sz w:val="1"/>
                <w:szCs w:val="1"/>
                <w:color w:val="auto"/>
              </w:rPr>
            </w:pPr>
          </w:p>
        </w:tc>
      </w:tr>
      <w:tr>
        <w:trPr>
          <w:trHeight w:val="377"/>
        </w:trPr>
        <w:tc>
          <w:tcPr>
            <w:tcW w:w="700" w:type="dxa"/>
            <w:vAlign w:val="bottom"/>
          </w:tcPr>
          <w:p>
            <w:pPr>
              <w:spacing w:after="0"/>
              <w:rPr>
                <w:sz w:val="20"/>
                <w:szCs w:val="20"/>
                <w:color w:val="auto"/>
              </w:rPr>
            </w:pPr>
            <w:r>
              <w:rPr>
                <w:rFonts w:ascii="Arial" w:cs="Arial" w:eastAsia="Arial" w:hAnsi="Arial"/>
                <w:sz w:val="18"/>
                <w:szCs w:val="18"/>
                <w:color w:val="auto"/>
              </w:rPr>
              <w:t>10.21</w:t>
            </w:r>
          </w:p>
        </w:tc>
        <w:tc>
          <w:tcPr>
            <w:tcW w:w="10640" w:type="dxa"/>
            <w:vAlign w:val="bottom"/>
          </w:tcPr>
          <w:p>
            <w:pPr>
              <w:ind w:left="220"/>
              <w:spacing w:after="0"/>
              <w:rPr>
                <w:sz w:val="20"/>
                <w:szCs w:val="20"/>
                <w:color w:val="auto"/>
              </w:rPr>
            </w:pPr>
            <w:r>
              <w:rPr>
                <w:rFonts w:ascii="Arial" w:cs="Arial" w:eastAsia="Arial" w:hAnsi="Arial"/>
                <w:sz w:val="18"/>
                <w:szCs w:val="18"/>
                <w:color w:val="auto"/>
                <w:w w:val="98"/>
              </w:rPr>
              <w:t>Guarantee and Collateral Agreement, among Booz Allen Hamilton Investor Corporation, Booz Allen Hamilton Inc., and the Subsidiary</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10640" w:type="dxa"/>
            <w:vAlign w:val="bottom"/>
          </w:tcPr>
          <w:p>
            <w:pPr>
              <w:ind w:left="220"/>
              <w:spacing w:after="0"/>
              <w:rPr>
                <w:sz w:val="20"/>
                <w:szCs w:val="20"/>
                <w:color w:val="auto"/>
              </w:rPr>
            </w:pPr>
            <w:r>
              <w:rPr>
                <w:rFonts w:ascii="Arial" w:cs="Arial" w:eastAsia="Arial" w:hAnsi="Arial"/>
                <w:sz w:val="18"/>
                <w:szCs w:val="18"/>
                <w:color w:val="auto"/>
                <w:w w:val="91"/>
              </w:rPr>
              <w:t>Guarantors party thereto, in favor of Bank of America, N.A., as Collateral Agent, dated as of July 31, 2012 (Incorporated by reference to Exhibit</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10640" w:type="dxa"/>
            <w:vAlign w:val="bottom"/>
          </w:tcPr>
          <w:p>
            <w:pPr>
              <w:ind w:left="220"/>
              <w:spacing w:after="0"/>
              <w:rPr>
                <w:sz w:val="20"/>
                <w:szCs w:val="20"/>
                <w:color w:val="auto"/>
              </w:rPr>
            </w:pPr>
            <w:r>
              <w:rPr>
                <w:rFonts w:ascii="Arial" w:cs="Arial" w:eastAsia="Arial" w:hAnsi="Arial"/>
                <w:sz w:val="18"/>
                <w:szCs w:val="18"/>
                <w:color w:val="auto"/>
              </w:rPr>
              <w:t>10.2 to the Company’s Periodic Report on Form 8-K filed on August 1, 2012 (File No. 001-34972))</w:t>
            </w:r>
          </w:p>
        </w:tc>
        <w:tc>
          <w:tcPr>
            <w:tcW w:w="0" w:type="dxa"/>
            <w:vAlign w:val="bottom"/>
          </w:tcPr>
          <w:p>
            <w:pPr>
              <w:spacing w:after="0"/>
              <w:rPr>
                <w:sz w:val="1"/>
                <w:szCs w:val="1"/>
                <w:color w:val="auto"/>
              </w:rPr>
            </w:pPr>
          </w:p>
        </w:tc>
      </w:tr>
      <w:tr>
        <w:trPr>
          <w:trHeight w:val="392"/>
        </w:trPr>
        <w:tc>
          <w:tcPr>
            <w:tcW w:w="700" w:type="dxa"/>
            <w:vAlign w:val="bottom"/>
          </w:tcPr>
          <w:p>
            <w:pPr>
              <w:spacing w:after="0"/>
              <w:rPr>
                <w:sz w:val="20"/>
                <w:szCs w:val="20"/>
                <w:color w:val="auto"/>
              </w:rPr>
            </w:pPr>
            <w:r>
              <w:rPr>
                <w:rFonts w:ascii="Arial" w:cs="Arial" w:eastAsia="Arial" w:hAnsi="Arial"/>
                <w:sz w:val="18"/>
                <w:szCs w:val="18"/>
                <w:color w:val="auto"/>
              </w:rPr>
              <w:t>10.22</w:t>
            </w:r>
          </w:p>
        </w:tc>
        <w:tc>
          <w:tcPr>
            <w:tcW w:w="10640" w:type="dxa"/>
            <w:vAlign w:val="bottom"/>
            <w:vMerge w:val="restart"/>
          </w:tcPr>
          <w:p>
            <w:pPr>
              <w:ind w:left="220"/>
              <w:spacing w:after="0"/>
              <w:rPr>
                <w:sz w:val="20"/>
                <w:szCs w:val="20"/>
                <w:color w:val="auto"/>
              </w:rPr>
            </w:pPr>
            <w:r>
              <w:rPr>
                <w:rFonts w:ascii="Arial" w:cs="Arial" w:eastAsia="Arial" w:hAnsi="Arial"/>
                <w:sz w:val="18"/>
                <w:szCs w:val="18"/>
                <w:color w:val="auto"/>
                <w:w w:val="97"/>
              </w:rPr>
              <w:t>First Amendment to Credit Agreement, dated as of August 16, 2013, by and among Booz Allen Hamilton Inc., as Borrower, Booz Allen</w:t>
            </w:r>
          </w:p>
        </w:tc>
        <w:tc>
          <w:tcPr>
            <w:tcW w:w="0" w:type="dxa"/>
            <w:vAlign w:val="bottom"/>
          </w:tcPr>
          <w:p>
            <w:pPr>
              <w:spacing w:after="0"/>
              <w:rPr>
                <w:sz w:val="1"/>
                <w:szCs w:val="1"/>
                <w:color w:val="auto"/>
              </w:rPr>
            </w:pPr>
          </w:p>
        </w:tc>
      </w:tr>
      <w:tr>
        <w:trPr>
          <w:trHeight w:val="67"/>
        </w:trPr>
        <w:tc>
          <w:tcPr>
            <w:tcW w:w="700" w:type="dxa"/>
            <w:vAlign w:val="bottom"/>
          </w:tcPr>
          <w:p>
            <w:pPr>
              <w:spacing w:after="0"/>
              <w:rPr>
                <w:sz w:val="5"/>
                <w:szCs w:val="5"/>
                <w:color w:val="auto"/>
              </w:rPr>
            </w:pPr>
          </w:p>
        </w:tc>
        <w:tc>
          <w:tcPr>
            <w:tcW w:w="106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10640" w:type="dxa"/>
            <w:vAlign w:val="bottom"/>
          </w:tcPr>
          <w:p>
            <w:pPr>
              <w:ind w:left="220"/>
              <w:spacing w:after="0"/>
              <w:rPr>
                <w:sz w:val="20"/>
                <w:szCs w:val="20"/>
                <w:color w:val="auto"/>
              </w:rPr>
            </w:pPr>
            <w:r>
              <w:rPr>
                <w:rFonts w:ascii="Arial" w:cs="Arial" w:eastAsia="Arial" w:hAnsi="Arial"/>
                <w:sz w:val="18"/>
                <w:szCs w:val="18"/>
                <w:color w:val="auto"/>
                <w:w w:val="95"/>
              </w:rPr>
              <w:t>Hamilton Investor Corporation, Booz Allen Hamilton Engineering Holding Co., LLC, Booz Allen Hamilton Engineering Services, LLC, SDI</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10640" w:type="dxa"/>
            <w:vAlign w:val="bottom"/>
          </w:tcPr>
          <w:p>
            <w:pPr>
              <w:ind w:left="220"/>
              <w:spacing w:after="0"/>
              <w:rPr>
                <w:sz w:val="20"/>
                <w:szCs w:val="20"/>
                <w:color w:val="auto"/>
              </w:rPr>
            </w:pPr>
            <w:r>
              <w:rPr>
                <w:rFonts w:ascii="Arial" w:cs="Arial" w:eastAsia="Arial" w:hAnsi="Arial"/>
                <w:sz w:val="18"/>
                <w:szCs w:val="18"/>
                <w:color w:val="auto"/>
                <w:w w:val="95"/>
              </w:rPr>
              <w:t>Technology Corporation, ASE, Inc. and, Booz Allen Hamilton International, Inc., as Guarantors, Bank of America, N.A., as Administrative</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10640" w:type="dxa"/>
            <w:vAlign w:val="bottom"/>
          </w:tcPr>
          <w:p>
            <w:pPr>
              <w:ind w:left="220"/>
              <w:spacing w:after="0"/>
              <w:rPr>
                <w:sz w:val="20"/>
                <w:szCs w:val="20"/>
                <w:color w:val="auto"/>
              </w:rPr>
            </w:pPr>
            <w:r>
              <w:rPr>
                <w:rFonts w:ascii="Arial" w:cs="Arial" w:eastAsia="Arial" w:hAnsi="Arial"/>
                <w:sz w:val="18"/>
                <w:szCs w:val="18"/>
                <w:color w:val="auto"/>
                <w:w w:val="92"/>
              </w:rPr>
              <w:t>Agent, Collateral Agent and New Refinancing Tranche B Term Lender, and the other Lenders and financial institutions from time to time party</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10640" w:type="dxa"/>
            <w:vAlign w:val="bottom"/>
          </w:tcPr>
          <w:p>
            <w:pPr>
              <w:ind w:left="220"/>
              <w:spacing w:after="0"/>
              <w:rPr>
                <w:sz w:val="20"/>
                <w:szCs w:val="20"/>
                <w:color w:val="auto"/>
              </w:rPr>
            </w:pPr>
            <w:r>
              <w:rPr>
                <w:rFonts w:ascii="Arial" w:cs="Arial" w:eastAsia="Arial" w:hAnsi="Arial"/>
                <w:sz w:val="18"/>
                <w:szCs w:val="18"/>
                <w:color w:val="auto"/>
                <w:w w:val="95"/>
              </w:rPr>
              <w:t>thereto (Incorporated by reference to Exhibit 10.1 to the Company’s Periodic Report on Form 8-K filed on August 20, 2013 (File No. 001-</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10640" w:type="dxa"/>
            <w:vAlign w:val="bottom"/>
          </w:tcPr>
          <w:p>
            <w:pPr>
              <w:ind w:left="220"/>
              <w:spacing w:after="0"/>
              <w:rPr>
                <w:sz w:val="20"/>
                <w:szCs w:val="20"/>
                <w:color w:val="auto"/>
              </w:rPr>
            </w:pPr>
            <w:r>
              <w:rPr>
                <w:rFonts w:ascii="Arial" w:cs="Arial" w:eastAsia="Arial" w:hAnsi="Arial"/>
                <w:sz w:val="18"/>
                <w:szCs w:val="18"/>
                <w:color w:val="auto"/>
              </w:rPr>
              <w:t>34972))</w:t>
            </w:r>
          </w:p>
        </w:tc>
        <w:tc>
          <w:tcPr>
            <w:tcW w:w="0" w:type="dxa"/>
            <w:vAlign w:val="bottom"/>
          </w:tcPr>
          <w:p>
            <w:pPr>
              <w:spacing w:after="0"/>
              <w:rPr>
                <w:sz w:val="1"/>
                <w:szCs w:val="1"/>
                <w:color w:val="auto"/>
              </w:rPr>
            </w:pPr>
          </w:p>
        </w:tc>
      </w:tr>
      <w:tr>
        <w:trPr>
          <w:trHeight w:val="458"/>
        </w:trPr>
        <w:tc>
          <w:tcPr>
            <w:tcW w:w="700" w:type="dxa"/>
            <w:vAlign w:val="bottom"/>
          </w:tcPr>
          <w:p>
            <w:pPr>
              <w:spacing w:after="0"/>
              <w:rPr>
                <w:sz w:val="20"/>
                <w:szCs w:val="20"/>
                <w:color w:val="auto"/>
              </w:rPr>
            </w:pPr>
            <w:r>
              <w:rPr>
                <w:rFonts w:ascii="Arial" w:cs="Arial" w:eastAsia="Arial" w:hAnsi="Arial"/>
                <w:sz w:val="18"/>
                <w:szCs w:val="18"/>
                <w:color w:val="auto"/>
              </w:rPr>
              <w:t>10.23†</w:t>
            </w:r>
          </w:p>
        </w:tc>
        <w:tc>
          <w:tcPr>
            <w:tcW w:w="10640" w:type="dxa"/>
            <w:vAlign w:val="bottom"/>
          </w:tcPr>
          <w:p>
            <w:pPr>
              <w:ind w:left="220"/>
              <w:spacing w:after="0"/>
              <w:rPr>
                <w:sz w:val="20"/>
                <w:szCs w:val="20"/>
                <w:color w:val="auto"/>
              </w:rPr>
            </w:pPr>
            <w:r>
              <w:rPr>
                <w:rFonts w:ascii="Arial" w:cs="Arial" w:eastAsia="Arial" w:hAnsi="Arial"/>
                <w:sz w:val="18"/>
                <w:szCs w:val="18"/>
                <w:color w:val="auto"/>
                <w:w w:val="93"/>
              </w:rPr>
              <w:t>Form of Employment Agreement (Incorporated by reference to Exhibit 10.27 to the Company’s Annual Report for the year ended March 31,</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10640" w:type="dxa"/>
            <w:vAlign w:val="bottom"/>
          </w:tcPr>
          <w:p>
            <w:pPr>
              <w:ind w:left="220"/>
              <w:spacing w:after="0"/>
              <w:rPr>
                <w:sz w:val="20"/>
                <w:szCs w:val="20"/>
                <w:color w:val="auto"/>
              </w:rPr>
            </w:pPr>
            <w:r>
              <w:rPr>
                <w:rFonts w:ascii="Arial" w:cs="Arial" w:eastAsia="Arial" w:hAnsi="Arial"/>
                <w:sz w:val="18"/>
                <w:szCs w:val="18"/>
                <w:color w:val="auto"/>
              </w:rPr>
              <w:t>2014 on Form 10-K (File No. 001-34972))</w:t>
            </w:r>
          </w:p>
        </w:tc>
        <w:tc>
          <w:tcPr>
            <w:tcW w:w="0" w:type="dxa"/>
            <w:vAlign w:val="bottom"/>
          </w:tcPr>
          <w:p>
            <w:pPr>
              <w:spacing w:after="0"/>
              <w:rPr>
                <w:sz w:val="1"/>
                <w:szCs w:val="1"/>
                <w:color w:val="auto"/>
              </w:rPr>
            </w:pPr>
          </w:p>
        </w:tc>
      </w:tr>
      <w:tr>
        <w:trPr>
          <w:trHeight w:val="593"/>
        </w:trPr>
        <w:tc>
          <w:tcPr>
            <w:tcW w:w="700" w:type="dxa"/>
            <w:vAlign w:val="bottom"/>
          </w:tcPr>
          <w:p>
            <w:pPr>
              <w:spacing w:after="0"/>
              <w:rPr>
                <w:sz w:val="20"/>
                <w:szCs w:val="20"/>
                <w:color w:val="auto"/>
              </w:rPr>
            </w:pPr>
            <w:r>
              <w:rPr>
                <w:rFonts w:ascii="Arial" w:cs="Arial" w:eastAsia="Arial" w:hAnsi="Arial"/>
                <w:sz w:val="18"/>
                <w:szCs w:val="18"/>
                <w:color w:val="auto"/>
              </w:rPr>
              <w:t>10.24†</w:t>
            </w:r>
          </w:p>
        </w:tc>
        <w:tc>
          <w:tcPr>
            <w:tcW w:w="10640" w:type="dxa"/>
            <w:vAlign w:val="bottom"/>
          </w:tcPr>
          <w:p>
            <w:pPr>
              <w:ind w:left="220"/>
              <w:spacing w:after="0"/>
              <w:rPr>
                <w:sz w:val="20"/>
                <w:szCs w:val="20"/>
                <w:color w:val="auto"/>
              </w:rPr>
            </w:pPr>
            <w:r>
              <w:rPr>
                <w:rFonts w:ascii="Arial" w:cs="Arial" w:eastAsia="Arial" w:hAnsi="Arial"/>
                <w:sz w:val="18"/>
                <w:szCs w:val="18"/>
                <w:color w:val="auto"/>
                <w:w w:val="95"/>
              </w:rPr>
              <w:t>Form of Restricted Stock Agreement under the Amended and Restated Equity Incentive Plan of Booz Allen Hamilton Holding Corporation</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10640" w:type="dxa"/>
            <w:vAlign w:val="bottom"/>
          </w:tcPr>
          <w:p>
            <w:pPr>
              <w:ind w:left="220"/>
              <w:spacing w:after="0"/>
              <w:rPr>
                <w:sz w:val="20"/>
                <w:szCs w:val="20"/>
                <w:color w:val="auto"/>
              </w:rPr>
            </w:pPr>
            <w:r>
              <w:rPr>
                <w:rFonts w:ascii="Arial" w:cs="Arial" w:eastAsia="Arial" w:hAnsi="Arial"/>
                <w:sz w:val="18"/>
                <w:szCs w:val="18"/>
                <w:color w:val="auto"/>
                <w:w w:val="93"/>
              </w:rPr>
              <w:t>(Incorporated by reference to Exhibit 10.28 to the Company’s Annual Report for the year ended March 31, 2014 on Form 10-K (File No. 001-</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10640" w:type="dxa"/>
            <w:vAlign w:val="bottom"/>
          </w:tcPr>
          <w:p>
            <w:pPr>
              <w:ind w:left="220"/>
              <w:spacing w:after="0"/>
              <w:rPr>
                <w:sz w:val="20"/>
                <w:szCs w:val="20"/>
                <w:color w:val="auto"/>
              </w:rPr>
            </w:pPr>
            <w:r>
              <w:rPr>
                <w:rFonts w:ascii="Arial" w:cs="Arial" w:eastAsia="Arial" w:hAnsi="Arial"/>
                <w:sz w:val="18"/>
                <w:szCs w:val="18"/>
                <w:color w:val="auto"/>
              </w:rPr>
              <w:t>34972))</w:t>
            </w:r>
          </w:p>
        </w:tc>
        <w:tc>
          <w:tcPr>
            <w:tcW w:w="0" w:type="dxa"/>
            <w:vAlign w:val="bottom"/>
          </w:tcPr>
          <w:p>
            <w:pPr>
              <w:spacing w:after="0"/>
              <w:rPr>
                <w:sz w:val="1"/>
                <w:szCs w:val="1"/>
                <w:color w:val="auto"/>
              </w:rPr>
            </w:pPr>
          </w:p>
        </w:tc>
      </w:tr>
      <w:tr>
        <w:trPr>
          <w:trHeight w:val="377"/>
        </w:trPr>
        <w:tc>
          <w:tcPr>
            <w:tcW w:w="700" w:type="dxa"/>
            <w:vAlign w:val="bottom"/>
          </w:tcPr>
          <w:p>
            <w:pPr>
              <w:spacing w:after="0"/>
              <w:rPr>
                <w:sz w:val="20"/>
                <w:szCs w:val="20"/>
                <w:color w:val="auto"/>
              </w:rPr>
            </w:pPr>
            <w:r>
              <w:rPr>
                <w:rFonts w:ascii="Arial" w:cs="Arial" w:eastAsia="Arial" w:hAnsi="Arial"/>
                <w:sz w:val="18"/>
                <w:szCs w:val="18"/>
                <w:color w:val="auto"/>
              </w:rPr>
              <w:t>10.25†</w:t>
            </w:r>
          </w:p>
        </w:tc>
        <w:tc>
          <w:tcPr>
            <w:tcW w:w="10640" w:type="dxa"/>
            <w:vAlign w:val="bottom"/>
          </w:tcPr>
          <w:p>
            <w:pPr>
              <w:ind w:left="220"/>
              <w:spacing w:after="0"/>
              <w:rPr>
                <w:sz w:val="20"/>
                <w:szCs w:val="20"/>
                <w:color w:val="auto"/>
              </w:rPr>
            </w:pPr>
            <w:r>
              <w:rPr>
                <w:rFonts w:ascii="Arial" w:cs="Arial" w:eastAsia="Arial" w:hAnsi="Arial"/>
                <w:sz w:val="18"/>
                <w:szCs w:val="18"/>
                <w:color w:val="auto"/>
                <w:w w:val="92"/>
              </w:rPr>
              <w:t>Form of Restricted Stock Unit Agreement under the Amended and Restated Equity Incentive Plan of Booz Allen Hamilton Holding Corporation</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10640" w:type="dxa"/>
            <w:vAlign w:val="bottom"/>
          </w:tcPr>
          <w:p>
            <w:pPr>
              <w:ind w:left="220"/>
              <w:spacing w:after="0"/>
              <w:rPr>
                <w:sz w:val="20"/>
                <w:szCs w:val="20"/>
                <w:color w:val="auto"/>
              </w:rPr>
            </w:pPr>
            <w:r>
              <w:rPr>
                <w:rFonts w:ascii="Arial" w:cs="Arial" w:eastAsia="Arial" w:hAnsi="Arial"/>
                <w:sz w:val="18"/>
                <w:szCs w:val="18"/>
                <w:color w:val="auto"/>
                <w:w w:val="93"/>
              </w:rPr>
              <w:t>(Incorporated by reference to Exhibit 10.29 to the Company’s Annual Report for the year ended March 31, 2014 on Form 10-K (File No. 001-</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10640" w:type="dxa"/>
            <w:vAlign w:val="bottom"/>
          </w:tcPr>
          <w:p>
            <w:pPr>
              <w:ind w:left="220"/>
              <w:spacing w:after="0"/>
              <w:rPr>
                <w:sz w:val="20"/>
                <w:szCs w:val="20"/>
                <w:color w:val="auto"/>
              </w:rPr>
            </w:pPr>
            <w:r>
              <w:rPr>
                <w:rFonts w:ascii="Arial" w:cs="Arial" w:eastAsia="Arial" w:hAnsi="Arial"/>
                <w:sz w:val="18"/>
                <w:szCs w:val="18"/>
                <w:color w:val="auto"/>
              </w:rPr>
              <w:t>34972))</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340"/>
          </w:cols>
          <w:pgMar w:left="280" w:top="935" w:right="279" w:bottom="1440" w:gutter="0" w:footer="0" w:header="0"/>
        </w:sectPr>
      </w:pP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340"/>
          </w:cols>
          <w:pgMar w:left="280" w:top="935" w:right="279" w:bottom="1440" w:gutter="0" w:footer="0" w:header="0"/>
          <w:type w:val="continuous"/>
        </w:sectPr>
      </w:pPr>
    </w:p>
    <w:bookmarkStart w:id="34" w:name="page35"/>
    <w:bookmarkEnd w:id="34"/>
    <w:tbl>
      <w:tblPr>
        <w:tblLayout w:type="fixed"/>
        <w:tblInd w:w="40" w:type="dxa"/>
        <w:tblCellMar>
          <w:top w:w="0" w:type="dxa"/>
          <w:left w:w="0" w:type="dxa"/>
          <w:bottom w:w="0" w:type="dxa"/>
          <w:right w:w="0" w:type="dxa"/>
        </w:tblCellMar>
      </w:tblP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10.26</w:t>
            </w:r>
          </w:p>
        </w:tc>
        <w:tc>
          <w:tcPr>
            <w:tcW w:w="10620" w:type="dxa"/>
            <w:vAlign w:val="bottom"/>
          </w:tcPr>
          <w:p>
            <w:pPr>
              <w:ind w:left="220"/>
              <w:spacing w:after="0"/>
              <w:rPr>
                <w:sz w:val="20"/>
                <w:szCs w:val="20"/>
                <w:color w:val="auto"/>
              </w:rPr>
            </w:pPr>
            <w:r>
              <w:rPr>
                <w:rFonts w:ascii="Arial" w:cs="Arial" w:eastAsia="Arial" w:hAnsi="Arial"/>
                <w:sz w:val="18"/>
                <w:szCs w:val="18"/>
                <w:color w:val="auto"/>
                <w:w w:val="96"/>
              </w:rPr>
              <w:t>Second Amendment to Credit Agreement, dated as of May 7, 2014, among Booz Allen Hamilton Inc., as Borrower, Booz Allen Hamilton</w:t>
            </w:r>
          </w:p>
        </w:tc>
      </w:tr>
      <w:tr>
        <w:trPr>
          <w:trHeight w:val="216"/>
        </w:trPr>
        <w:tc>
          <w:tcPr>
            <w:tcW w:w="700" w:type="dxa"/>
            <w:vAlign w:val="bottom"/>
          </w:tcPr>
          <w:p>
            <w:pPr>
              <w:spacing w:after="0"/>
              <w:rPr>
                <w:sz w:val="18"/>
                <w:szCs w:val="18"/>
                <w:color w:val="auto"/>
              </w:rPr>
            </w:pPr>
          </w:p>
        </w:tc>
        <w:tc>
          <w:tcPr>
            <w:tcW w:w="10620" w:type="dxa"/>
            <w:vAlign w:val="bottom"/>
          </w:tcPr>
          <w:p>
            <w:pPr>
              <w:ind w:left="220"/>
              <w:spacing w:after="0"/>
              <w:rPr>
                <w:sz w:val="20"/>
                <w:szCs w:val="20"/>
                <w:color w:val="auto"/>
              </w:rPr>
            </w:pPr>
            <w:r>
              <w:rPr>
                <w:rFonts w:ascii="Arial" w:cs="Arial" w:eastAsia="Arial" w:hAnsi="Arial"/>
                <w:sz w:val="18"/>
                <w:szCs w:val="18"/>
                <w:color w:val="auto"/>
                <w:w w:val="93"/>
              </w:rPr>
              <w:t>Investor Corporation, Booz Allen Hamilton Engineering Holding Co., LLC, Booz Allen Hamilton Engineering Services, LLC, SDI Technology</w:t>
            </w:r>
          </w:p>
        </w:tc>
      </w:tr>
      <w:tr>
        <w:trPr>
          <w:trHeight w:val="216"/>
        </w:trPr>
        <w:tc>
          <w:tcPr>
            <w:tcW w:w="700" w:type="dxa"/>
            <w:vAlign w:val="bottom"/>
          </w:tcPr>
          <w:p>
            <w:pPr>
              <w:spacing w:after="0"/>
              <w:rPr>
                <w:sz w:val="18"/>
                <w:szCs w:val="18"/>
                <w:color w:val="auto"/>
              </w:rPr>
            </w:pPr>
          </w:p>
        </w:tc>
        <w:tc>
          <w:tcPr>
            <w:tcW w:w="10620" w:type="dxa"/>
            <w:vAlign w:val="bottom"/>
          </w:tcPr>
          <w:p>
            <w:pPr>
              <w:ind w:left="220"/>
              <w:spacing w:after="0"/>
              <w:rPr>
                <w:sz w:val="20"/>
                <w:szCs w:val="20"/>
                <w:color w:val="auto"/>
              </w:rPr>
            </w:pPr>
            <w:r>
              <w:rPr>
                <w:rFonts w:ascii="Arial" w:cs="Arial" w:eastAsia="Arial" w:hAnsi="Arial"/>
                <w:sz w:val="18"/>
                <w:szCs w:val="18"/>
                <w:color w:val="auto"/>
                <w:w w:val="92"/>
              </w:rPr>
              <w:t>Corporation, ASE, Inc. and Booz Allen Hamilton International, Inc., as Guarantors, Bank of America, N.A., as Administrative Agent, Collateral</w:t>
            </w:r>
          </w:p>
        </w:tc>
      </w:tr>
      <w:tr>
        <w:trPr>
          <w:trHeight w:val="216"/>
        </w:trPr>
        <w:tc>
          <w:tcPr>
            <w:tcW w:w="700" w:type="dxa"/>
            <w:vAlign w:val="bottom"/>
          </w:tcPr>
          <w:p>
            <w:pPr>
              <w:spacing w:after="0"/>
              <w:rPr>
                <w:sz w:val="18"/>
                <w:szCs w:val="18"/>
                <w:color w:val="auto"/>
              </w:rPr>
            </w:pPr>
          </w:p>
        </w:tc>
        <w:tc>
          <w:tcPr>
            <w:tcW w:w="10620" w:type="dxa"/>
            <w:vAlign w:val="bottom"/>
          </w:tcPr>
          <w:p>
            <w:pPr>
              <w:ind w:left="220"/>
              <w:spacing w:after="0"/>
              <w:rPr>
                <w:sz w:val="20"/>
                <w:szCs w:val="20"/>
                <w:color w:val="auto"/>
              </w:rPr>
            </w:pPr>
            <w:r>
              <w:rPr>
                <w:rFonts w:ascii="Arial" w:cs="Arial" w:eastAsia="Arial" w:hAnsi="Arial"/>
                <w:sz w:val="18"/>
                <w:szCs w:val="18"/>
                <w:color w:val="auto"/>
                <w:w w:val="91"/>
              </w:rPr>
              <w:t>Agent and Issuing Lender, and the other Lenders and financial institutions from time to time party thereto. (Incorporated by reference to Exhibit</w:t>
            </w:r>
          </w:p>
        </w:tc>
      </w:tr>
      <w:tr>
        <w:trPr>
          <w:trHeight w:val="230"/>
        </w:trPr>
        <w:tc>
          <w:tcPr>
            <w:tcW w:w="700" w:type="dxa"/>
            <w:vAlign w:val="bottom"/>
          </w:tcPr>
          <w:p>
            <w:pPr>
              <w:spacing w:after="0"/>
              <w:rPr>
                <w:sz w:val="20"/>
                <w:szCs w:val="20"/>
                <w:color w:val="auto"/>
              </w:rPr>
            </w:pPr>
          </w:p>
        </w:tc>
        <w:tc>
          <w:tcPr>
            <w:tcW w:w="10620" w:type="dxa"/>
            <w:vAlign w:val="bottom"/>
          </w:tcPr>
          <w:p>
            <w:pPr>
              <w:ind w:left="220"/>
              <w:spacing w:after="0"/>
              <w:rPr>
                <w:sz w:val="20"/>
                <w:szCs w:val="20"/>
                <w:color w:val="auto"/>
              </w:rPr>
            </w:pPr>
            <w:r>
              <w:rPr>
                <w:rFonts w:ascii="Arial" w:cs="Arial" w:eastAsia="Arial" w:hAnsi="Arial"/>
                <w:sz w:val="18"/>
                <w:szCs w:val="18"/>
                <w:color w:val="auto"/>
              </w:rPr>
              <w:t>10.1 to the Company’s Periodic Report on Form 8-K filed on May 13, 2014 (File No. 001-34972))</w:t>
            </w:r>
          </w:p>
        </w:tc>
      </w:tr>
      <w:tr>
        <w:trPr>
          <w:trHeight w:val="377"/>
        </w:trPr>
        <w:tc>
          <w:tcPr>
            <w:tcW w:w="700" w:type="dxa"/>
            <w:vAlign w:val="bottom"/>
          </w:tcPr>
          <w:p>
            <w:pPr>
              <w:spacing w:after="0"/>
              <w:rPr>
                <w:sz w:val="20"/>
                <w:szCs w:val="20"/>
                <w:color w:val="auto"/>
              </w:rPr>
            </w:pPr>
            <w:r>
              <w:rPr>
                <w:rFonts w:ascii="Arial" w:cs="Arial" w:eastAsia="Arial" w:hAnsi="Arial"/>
                <w:sz w:val="18"/>
                <w:szCs w:val="18"/>
                <w:color w:val="auto"/>
              </w:rPr>
              <w:t>10.27†</w:t>
            </w:r>
          </w:p>
        </w:tc>
        <w:tc>
          <w:tcPr>
            <w:tcW w:w="10620" w:type="dxa"/>
            <w:vAlign w:val="bottom"/>
          </w:tcPr>
          <w:p>
            <w:pPr>
              <w:ind w:left="220"/>
              <w:spacing w:after="0"/>
              <w:rPr>
                <w:sz w:val="20"/>
                <w:szCs w:val="20"/>
                <w:color w:val="auto"/>
              </w:rPr>
            </w:pPr>
            <w:r>
              <w:rPr>
                <w:rFonts w:ascii="Arial" w:cs="Arial" w:eastAsia="Arial" w:hAnsi="Arial"/>
                <w:sz w:val="18"/>
                <w:szCs w:val="18"/>
                <w:color w:val="auto"/>
                <w:w w:val="94"/>
              </w:rPr>
              <w:t>Form of Restricted Stock Unit Agreement under the Second Amended and Restated Equity Incentive Plan of Booz Allen Hamilton Holding</w:t>
            </w:r>
          </w:p>
        </w:tc>
      </w:tr>
      <w:tr>
        <w:trPr>
          <w:trHeight w:val="216"/>
        </w:trPr>
        <w:tc>
          <w:tcPr>
            <w:tcW w:w="700" w:type="dxa"/>
            <w:vAlign w:val="bottom"/>
          </w:tcPr>
          <w:p>
            <w:pPr>
              <w:spacing w:after="0"/>
              <w:rPr>
                <w:sz w:val="18"/>
                <w:szCs w:val="18"/>
                <w:color w:val="auto"/>
              </w:rPr>
            </w:pPr>
          </w:p>
        </w:tc>
        <w:tc>
          <w:tcPr>
            <w:tcW w:w="10620" w:type="dxa"/>
            <w:vAlign w:val="bottom"/>
          </w:tcPr>
          <w:p>
            <w:pPr>
              <w:ind w:left="220"/>
              <w:spacing w:after="0"/>
              <w:rPr>
                <w:sz w:val="20"/>
                <w:szCs w:val="20"/>
                <w:color w:val="auto"/>
              </w:rPr>
            </w:pPr>
            <w:r>
              <w:rPr>
                <w:rFonts w:ascii="Arial" w:cs="Arial" w:eastAsia="Arial" w:hAnsi="Arial"/>
                <w:sz w:val="18"/>
                <w:szCs w:val="18"/>
                <w:color w:val="auto"/>
                <w:w w:val="92"/>
              </w:rPr>
              <w:t>Corporation (Incorporated by reference to Exhibit 10.29 to the Company’s Quarterly Report for the period ended June 30, 2015 on Form 10-Q</w:t>
            </w:r>
          </w:p>
        </w:tc>
      </w:tr>
      <w:tr>
        <w:trPr>
          <w:trHeight w:val="230"/>
        </w:trPr>
        <w:tc>
          <w:tcPr>
            <w:tcW w:w="700" w:type="dxa"/>
            <w:vAlign w:val="bottom"/>
          </w:tcPr>
          <w:p>
            <w:pPr>
              <w:spacing w:after="0"/>
              <w:rPr>
                <w:sz w:val="20"/>
                <w:szCs w:val="20"/>
                <w:color w:val="auto"/>
              </w:rPr>
            </w:pPr>
          </w:p>
        </w:tc>
        <w:tc>
          <w:tcPr>
            <w:tcW w:w="10620" w:type="dxa"/>
            <w:vAlign w:val="bottom"/>
          </w:tcPr>
          <w:p>
            <w:pPr>
              <w:ind w:left="220"/>
              <w:spacing w:after="0"/>
              <w:rPr>
                <w:sz w:val="20"/>
                <w:szCs w:val="20"/>
                <w:color w:val="auto"/>
              </w:rPr>
            </w:pPr>
            <w:r>
              <w:rPr>
                <w:rFonts w:ascii="Arial" w:cs="Arial" w:eastAsia="Arial" w:hAnsi="Arial"/>
                <w:sz w:val="18"/>
                <w:szCs w:val="18"/>
                <w:color w:val="auto"/>
              </w:rPr>
              <w:t>(File No. 001-34972))</w:t>
            </w:r>
          </w:p>
        </w:tc>
      </w:tr>
      <w:tr>
        <w:trPr>
          <w:trHeight w:val="377"/>
        </w:trPr>
        <w:tc>
          <w:tcPr>
            <w:tcW w:w="700" w:type="dxa"/>
            <w:vAlign w:val="bottom"/>
          </w:tcPr>
          <w:p>
            <w:pPr>
              <w:spacing w:after="0"/>
              <w:rPr>
                <w:sz w:val="20"/>
                <w:szCs w:val="20"/>
                <w:color w:val="auto"/>
              </w:rPr>
            </w:pPr>
            <w:r>
              <w:rPr>
                <w:rFonts w:ascii="Arial" w:cs="Arial" w:eastAsia="Arial" w:hAnsi="Arial"/>
                <w:sz w:val="18"/>
                <w:szCs w:val="18"/>
                <w:color w:val="auto"/>
              </w:rPr>
              <w:t>10.28</w:t>
            </w:r>
          </w:p>
        </w:tc>
        <w:tc>
          <w:tcPr>
            <w:tcW w:w="10620" w:type="dxa"/>
            <w:vAlign w:val="bottom"/>
          </w:tcPr>
          <w:p>
            <w:pPr>
              <w:ind w:left="220"/>
              <w:spacing w:after="0"/>
              <w:rPr>
                <w:sz w:val="20"/>
                <w:szCs w:val="20"/>
                <w:color w:val="auto"/>
              </w:rPr>
            </w:pPr>
            <w:r>
              <w:rPr>
                <w:rFonts w:ascii="Arial" w:cs="Arial" w:eastAsia="Arial" w:hAnsi="Arial"/>
                <w:sz w:val="18"/>
                <w:szCs w:val="18"/>
                <w:color w:val="auto"/>
                <w:w w:val="97"/>
              </w:rPr>
              <w:t>Third Amendment to Credit Agreement, dated as of July 13, 2016, among Booz Allen Hamilton Inc., as Borrower, Booz Allen Hamilton</w:t>
            </w:r>
          </w:p>
        </w:tc>
      </w:tr>
      <w:tr>
        <w:trPr>
          <w:trHeight w:val="216"/>
        </w:trPr>
        <w:tc>
          <w:tcPr>
            <w:tcW w:w="700" w:type="dxa"/>
            <w:vAlign w:val="bottom"/>
          </w:tcPr>
          <w:p>
            <w:pPr>
              <w:spacing w:after="0"/>
              <w:rPr>
                <w:sz w:val="18"/>
                <w:szCs w:val="18"/>
                <w:color w:val="auto"/>
              </w:rPr>
            </w:pPr>
          </w:p>
        </w:tc>
        <w:tc>
          <w:tcPr>
            <w:tcW w:w="10620" w:type="dxa"/>
            <w:vAlign w:val="bottom"/>
          </w:tcPr>
          <w:p>
            <w:pPr>
              <w:ind w:left="220"/>
              <w:spacing w:after="0"/>
              <w:rPr>
                <w:sz w:val="20"/>
                <w:szCs w:val="20"/>
                <w:color w:val="auto"/>
              </w:rPr>
            </w:pPr>
            <w:r>
              <w:rPr>
                <w:rFonts w:ascii="Arial" w:cs="Arial" w:eastAsia="Arial" w:hAnsi="Arial"/>
                <w:sz w:val="18"/>
                <w:szCs w:val="18"/>
                <w:color w:val="auto"/>
                <w:w w:val="93"/>
              </w:rPr>
              <w:t>Investor Corporation, Booz Allen Hamilton Engineering Holding Co., LLC, Booz Allen Hamilton Engineering Services, LLC, SDI Technology</w:t>
            </w:r>
          </w:p>
        </w:tc>
      </w:tr>
      <w:tr>
        <w:trPr>
          <w:trHeight w:val="216"/>
        </w:trPr>
        <w:tc>
          <w:tcPr>
            <w:tcW w:w="700" w:type="dxa"/>
            <w:vAlign w:val="bottom"/>
          </w:tcPr>
          <w:p>
            <w:pPr>
              <w:spacing w:after="0"/>
              <w:rPr>
                <w:sz w:val="18"/>
                <w:szCs w:val="18"/>
                <w:color w:val="auto"/>
              </w:rPr>
            </w:pPr>
          </w:p>
        </w:tc>
        <w:tc>
          <w:tcPr>
            <w:tcW w:w="10620" w:type="dxa"/>
            <w:vAlign w:val="bottom"/>
          </w:tcPr>
          <w:p>
            <w:pPr>
              <w:ind w:left="220"/>
              <w:spacing w:after="0"/>
              <w:rPr>
                <w:sz w:val="20"/>
                <w:szCs w:val="20"/>
                <w:color w:val="auto"/>
              </w:rPr>
            </w:pPr>
            <w:r>
              <w:rPr>
                <w:rFonts w:ascii="Arial" w:cs="Arial" w:eastAsia="Arial" w:hAnsi="Arial"/>
                <w:sz w:val="18"/>
                <w:szCs w:val="18"/>
                <w:color w:val="auto"/>
                <w:w w:val="92"/>
              </w:rPr>
              <w:t>Corporation and Booz Allen Hamilton International, Inc., as Guarantors, Bank of America, N.A., as Administrative Agent, Collateral Agent and</w:t>
            </w:r>
          </w:p>
        </w:tc>
      </w:tr>
      <w:tr>
        <w:trPr>
          <w:trHeight w:val="216"/>
        </w:trPr>
        <w:tc>
          <w:tcPr>
            <w:tcW w:w="700" w:type="dxa"/>
            <w:vAlign w:val="bottom"/>
          </w:tcPr>
          <w:p>
            <w:pPr>
              <w:spacing w:after="0"/>
              <w:rPr>
                <w:sz w:val="18"/>
                <w:szCs w:val="18"/>
                <w:color w:val="auto"/>
              </w:rPr>
            </w:pPr>
          </w:p>
        </w:tc>
        <w:tc>
          <w:tcPr>
            <w:tcW w:w="10620" w:type="dxa"/>
            <w:vAlign w:val="bottom"/>
          </w:tcPr>
          <w:p>
            <w:pPr>
              <w:ind w:left="220"/>
              <w:spacing w:after="0"/>
              <w:rPr>
                <w:sz w:val="20"/>
                <w:szCs w:val="20"/>
                <w:color w:val="auto"/>
              </w:rPr>
            </w:pPr>
            <w:r>
              <w:rPr>
                <w:rFonts w:ascii="Arial" w:cs="Arial" w:eastAsia="Arial" w:hAnsi="Arial"/>
                <w:sz w:val="18"/>
                <w:szCs w:val="18"/>
                <w:color w:val="auto"/>
                <w:w w:val="91"/>
              </w:rPr>
              <w:t>Issuing Lender, and the other Lenders and financial institutions from time to time party thereto (Incorporated by reference to Exhibit 10.1 to the</w:t>
            </w:r>
          </w:p>
        </w:tc>
      </w:tr>
      <w:tr>
        <w:trPr>
          <w:trHeight w:val="230"/>
        </w:trPr>
        <w:tc>
          <w:tcPr>
            <w:tcW w:w="700" w:type="dxa"/>
            <w:vAlign w:val="bottom"/>
          </w:tcPr>
          <w:p>
            <w:pPr>
              <w:spacing w:after="0"/>
              <w:rPr>
                <w:sz w:val="20"/>
                <w:szCs w:val="20"/>
                <w:color w:val="auto"/>
              </w:rPr>
            </w:pPr>
          </w:p>
        </w:tc>
        <w:tc>
          <w:tcPr>
            <w:tcW w:w="10620" w:type="dxa"/>
            <w:vAlign w:val="bottom"/>
          </w:tcPr>
          <w:p>
            <w:pPr>
              <w:ind w:left="220"/>
              <w:spacing w:after="0"/>
              <w:rPr>
                <w:sz w:val="20"/>
                <w:szCs w:val="20"/>
                <w:color w:val="auto"/>
              </w:rPr>
            </w:pPr>
            <w:r>
              <w:rPr>
                <w:rFonts w:ascii="Arial" w:cs="Arial" w:eastAsia="Arial" w:hAnsi="Arial"/>
                <w:sz w:val="18"/>
                <w:szCs w:val="18"/>
                <w:color w:val="auto"/>
              </w:rPr>
              <w:t>Company’s Periodic Report on Form 8-K filed on July 18, 2016 (File No. 001-34972))</w:t>
            </w:r>
          </w:p>
        </w:tc>
      </w:tr>
      <w:tr>
        <w:trPr>
          <w:trHeight w:val="608"/>
        </w:trPr>
        <w:tc>
          <w:tcPr>
            <w:tcW w:w="700" w:type="dxa"/>
            <w:vAlign w:val="bottom"/>
          </w:tcPr>
          <w:p>
            <w:pPr>
              <w:spacing w:after="0"/>
              <w:rPr>
                <w:sz w:val="20"/>
                <w:szCs w:val="20"/>
                <w:color w:val="auto"/>
              </w:rPr>
            </w:pPr>
            <w:r>
              <w:rPr>
                <w:rFonts w:ascii="Arial" w:cs="Arial" w:eastAsia="Arial" w:hAnsi="Arial"/>
                <w:sz w:val="18"/>
                <w:szCs w:val="18"/>
                <w:color w:val="auto"/>
              </w:rPr>
              <w:t>31.1</w:t>
            </w:r>
          </w:p>
        </w:tc>
        <w:tc>
          <w:tcPr>
            <w:tcW w:w="10620" w:type="dxa"/>
            <w:vAlign w:val="bottom"/>
          </w:tcPr>
          <w:p>
            <w:pPr>
              <w:ind w:left="220"/>
              <w:spacing w:after="0"/>
              <w:rPr>
                <w:sz w:val="20"/>
                <w:szCs w:val="20"/>
                <w:color w:val="auto"/>
              </w:rPr>
            </w:pPr>
            <w:r>
              <w:rPr>
                <w:rFonts w:ascii="Arial" w:cs="Arial" w:eastAsia="Arial" w:hAnsi="Arial"/>
                <w:sz w:val="18"/>
                <w:szCs w:val="18"/>
                <w:color w:val="auto"/>
              </w:rPr>
              <w:t>Rule 13a-14(a)/15d-14(a) Certification of the Chief Executive Officer*</w:t>
            </w:r>
          </w:p>
        </w:tc>
      </w:tr>
      <w:tr>
        <w:trPr>
          <w:trHeight w:val="392"/>
        </w:trPr>
        <w:tc>
          <w:tcPr>
            <w:tcW w:w="700" w:type="dxa"/>
            <w:vAlign w:val="bottom"/>
          </w:tcPr>
          <w:p>
            <w:pPr>
              <w:spacing w:after="0"/>
              <w:rPr>
                <w:sz w:val="20"/>
                <w:szCs w:val="20"/>
                <w:color w:val="auto"/>
              </w:rPr>
            </w:pPr>
            <w:r>
              <w:rPr>
                <w:rFonts w:ascii="Arial" w:cs="Arial" w:eastAsia="Arial" w:hAnsi="Arial"/>
                <w:sz w:val="18"/>
                <w:szCs w:val="18"/>
                <w:color w:val="auto"/>
              </w:rPr>
              <w:t>31.2</w:t>
            </w:r>
          </w:p>
        </w:tc>
        <w:tc>
          <w:tcPr>
            <w:tcW w:w="10620" w:type="dxa"/>
            <w:vAlign w:val="bottom"/>
          </w:tcPr>
          <w:p>
            <w:pPr>
              <w:ind w:left="220"/>
              <w:spacing w:after="0"/>
              <w:rPr>
                <w:sz w:val="20"/>
                <w:szCs w:val="20"/>
                <w:color w:val="auto"/>
              </w:rPr>
            </w:pPr>
            <w:r>
              <w:rPr>
                <w:rFonts w:ascii="Arial" w:cs="Arial" w:eastAsia="Arial" w:hAnsi="Arial"/>
                <w:sz w:val="18"/>
                <w:szCs w:val="18"/>
                <w:color w:val="auto"/>
              </w:rPr>
              <w:t>Rule 13a-14(a)/15d-14(a) Certification of the Chief Financial Officer*</w:t>
            </w:r>
          </w:p>
        </w:tc>
      </w:tr>
      <w:tr>
        <w:trPr>
          <w:trHeight w:val="377"/>
        </w:trPr>
        <w:tc>
          <w:tcPr>
            <w:tcW w:w="700" w:type="dxa"/>
            <w:vAlign w:val="bottom"/>
          </w:tcPr>
          <w:p>
            <w:pPr>
              <w:spacing w:after="0"/>
              <w:rPr>
                <w:sz w:val="20"/>
                <w:szCs w:val="20"/>
                <w:color w:val="auto"/>
              </w:rPr>
            </w:pPr>
            <w:r>
              <w:rPr>
                <w:rFonts w:ascii="Arial" w:cs="Arial" w:eastAsia="Arial" w:hAnsi="Arial"/>
                <w:sz w:val="18"/>
                <w:szCs w:val="18"/>
                <w:color w:val="auto"/>
              </w:rPr>
              <w:t>32.1</w:t>
            </w:r>
          </w:p>
        </w:tc>
        <w:tc>
          <w:tcPr>
            <w:tcW w:w="10620" w:type="dxa"/>
            <w:vAlign w:val="bottom"/>
          </w:tcPr>
          <w:p>
            <w:pPr>
              <w:ind w:left="220"/>
              <w:spacing w:after="0"/>
              <w:rPr>
                <w:sz w:val="20"/>
                <w:szCs w:val="20"/>
                <w:color w:val="auto"/>
              </w:rPr>
            </w:pPr>
            <w:r>
              <w:rPr>
                <w:rFonts w:ascii="Arial" w:cs="Arial" w:eastAsia="Arial" w:hAnsi="Arial"/>
                <w:sz w:val="18"/>
                <w:szCs w:val="18"/>
                <w:color w:val="auto"/>
                <w:w w:val="95"/>
              </w:rPr>
              <w:t>Certification of the Chief Executive Officer required by Rule 13a-14(b) or Rule 15d-14(b) and Section 1350 of Chapter 63 of Title 18 of the</w:t>
            </w:r>
          </w:p>
        </w:tc>
      </w:tr>
      <w:tr>
        <w:trPr>
          <w:trHeight w:val="230"/>
        </w:trPr>
        <w:tc>
          <w:tcPr>
            <w:tcW w:w="700" w:type="dxa"/>
            <w:vAlign w:val="bottom"/>
          </w:tcPr>
          <w:p>
            <w:pPr>
              <w:spacing w:after="0"/>
              <w:rPr>
                <w:sz w:val="20"/>
                <w:szCs w:val="20"/>
                <w:color w:val="auto"/>
              </w:rPr>
            </w:pPr>
          </w:p>
        </w:tc>
        <w:tc>
          <w:tcPr>
            <w:tcW w:w="10620" w:type="dxa"/>
            <w:vAlign w:val="bottom"/>
          </w:tcPr>
          <w:p>
            <w:pPr>
              <w:ind w:left="220"/>
              <w:spacing w:after="0"/>
              <w:rPr>
                <w:sz w:val="20"/>
                <w:szCs w:val="20"/>
                <w:color w:val="auto"/>
              </w:rPr>
            </w:pPr>
            <w:r>
              <w:rPr>
                <w:rFonts w:ascii="Arial" w:cs="Arial" w:eastAsia="Arial" w:hAnsi="Arial"/>
                <w:sz w:val="18"/>
                <w:szCs w:val="18"/>
                <w:color w:val="auto"/>
              </w:rPr>
              <w:t>United States Code (18 U.S.C. 1350)*</w:t>
            </w:r>
          </w:p>
        </w:tc>
      </w:tr>
      <w:tr>
        <w:trPr>
          <w:trHeight w:val="377"/>
        </w:trPr>
        <w:tc>
          <w:tcPr>
            <w:tcW w:w="700" w:type="dxa"/>
            <w:vAlign w:val="bottom"/>
          </w:tcPr>
          <w:p>
            <w:pPr>
              <w:spacing w:after="0"/>
              <w:rPr>
                <w:sz w:val="20"/>
                <w:szCs w:val="20"/>
                <w:color w:val="auto"/>
              </w:rPr>
            </w:pPr>
            <w:r>
              <w:rPr>
                <w:rFonts w:ascii="Arial" w:cs="Arial" w:eastAsia="Arial" w:hAnsi="Arial"/>
                <w:sz w:val="18"/>
                <w:szCs w:val="18"/>
                <w:color w:val="auto"/>
              </w:rPr>
              <w:t>32.2</w:t>
            </w:r>
          </w:p>
        </w:tc>
        <w:tc>
          <w:tcPr>
            <w:tcW w:w="10620" w:type="dxa"/>
            <w:vAlign w:val="bottom"/>
          </w:tcPr>
          <w:p>
            <w:pPr>
              <w:ind w:left="220"/>
              <w:spacing w:after="0"/>
              <w:rPr>
                <w:sz w:val="20"/>
                <w:szCs w:val="20"/>
                <w:color w:val="auto"/>
              </w:rPr>
            </w:pPr>
            <w:r>
              <w:rPr>
                <w:rFonts w:ascii="Arial" w:cs="Arial" w:eastAsia="Arial" w:hAnsi="Arial"/>
                <w:sz w:val="18"/>
                <w:szCs w:val="18"/>
                <w:color w:val="auto"/>
                <w:w w:val="95"/>
              </w:rPr>
              <w:t>Certification of the Chief Financial Officer required by Rule 13a-14(b) or Rule 15d-14(b) and Section 1350 of Chapter 63 of Title 18 of the</w:t>
            </w:r>
          </w:p>
        </w:tc>
      </w:tr>
      <w:tr>
        <w:trPr>
          <w:trHeight w:val="230"/>
        </w:trPr>
        <w:tc>
          <w:tcPr>
            <w:tcW w:w="700" w:type="dxa"/>
            <w:vAlign w:val="bottom"/>
          </w:tcPr>
          <w:p>
            <w:pPr>
              <w:spacing w:after="0"/>
              <w:rPr>
                <w:sz w:val="20"/>
                <w:szCs w:val="20"/>
                <w:color w:val="auto"/>
              </w:rPr>
            </w:pPr>
          </w:p>
        </w:tc>
        <w:tc>
          <w:tcPr>
            <w:tcW w:w="10620" w:type="dxa"/>
            <w:vAlign w:val="bottom"/>
          </w:tcPr>
          <w:p>
            <w:pPr>
              <w:ind w:left="220"/>
              <w:spacing w:after="0"/>
              <w:rPr>
                <w:sz w:val="20"/>
                <w:szCs w:val="20"/>
                <w:color w:val="auto"/>
              </w:rPr>
            </w:pPr>
            <w:r>
              <w:rPr>
                <w:rFonts w:ascii="Arial" w:cs="Arial" w:eastAsia="Arial" w:hAnsi="Arial"/>
                <w:sz w:val="18"/>
                <w:szCs w:val="18"/>
                <w:color w:val="auto"/>
              </w:rPr>
              <w:t>United States Code (18 U.S.C. 1350)*</w:t>
            </w:r>
          </w:p>
        </w:tc>
      </w:tr>
    </w:tbl>
    <w:p>
      <w:pPr>
        <w:spacing w:after="0" w:line="161" w:lineRule="exact"/>
        <w:rPr>
          <w:sz w:val="20"/>
          <w:szCs w:val="20"/>
          <w:color w:val="auto"/>
        </w:rPr>
      </w:pPr>
    </w:p>
    <w:p>
      <w:pPr>
        <w:ind w:left="960" w:right="60" w:hanging="925"/>
        <w:spacing w:after="0" w:line="288" w:lineRule="auto"/>
        <w:tabs>
          <w:tab w:leader="none" w:pos="9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following materials from Booz Allen Hamilton Holding Corporation’s Quarterly Report on Form 10-Q for the three months ended June 30, 2016 formatted in XBRL (eXtensible Business Reporting Language): (i) Condensed Consolidated Balance Sheets at June 30, 2016 and March 31, 2016; (ii) Condensed Consolidated Statements of Operations for the three months ended June 30, 2016 and 2015; (iii) Condensed Consolidated Statements of Comprehensive Income for the three months ended June 30, 2016 and 2015; (iv) Condensed Consolidated Statements of Cash Flows for the three months ended June 30, 2016 and 2015; and (v) Notes to Condensed Consolidated Financial Statements.</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w:t>
      </w:r>
    </w:p>
    <w:p>
      <w:pPr>
        <w:spacing w:after="0" w:line="63" w:lineRule="exact"/>
        <w:rPr>
          <w:sz w:val="20"/>
          <w:szCs w:val="20"/>
          <w:color w:val="auto"/>
        </w:rPr>
      </w:pPr>
    </w:p>
    <w:p>
      <w:pPr>
        <w:ind w:left="660" w:hanging="652"/>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Filed electronically herewith.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 Management contract or compensatory arrangement.</w:t>
      </w: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60"/>
          </w:cols>
          <w:pgMar w:left="240" w:top="936" w:right="299" w:bottom="1440" w:gutter="0" w:footer="0" w:header="0"/>
        </w:sectPr>
      </w:pPr>
    </w:p>
    <w:bookmarkStart w:id="35" w:name="page36"/>
    <w:bookmarkEnd w:id="35"/>
    <w:p>
      <w:pPr>
        <w:jc w:val="center"/>
        <w:ind w:right="-37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hereunto duly authorized.</w:t>
      </w:r>
    </w:p>
    <w:p>
      <w:pPr>
        <w:spacing w:after="0" w:line="116" w:lineRule="exact"/>
        <w:rPr>
          <w:sz w:val="20"/>
          <w:szCs w:val="20"/>
          <w:color w:val="auto"/>
        </w:rPr>
      </w:pPr>
    </w:p>
    <w:p>
      <w:pPr>
        <w:jc w:val="center"/>
        <w:ind w:left="5380"/>
        <w:spacing w:after="0"/>
        <w:rPr>
          <w:sz w:val="20"/>
          <w:szCs w:val="20"/>
          <w:color w:val="auto"/>
        </w:rPr>
      </w:pPr>
      <w:r>
        <w:rPr>
          <w:rFonts w:ascii="Arial" w:cs="Arial" w:eastAsia="Arial" w:hAnsi="Arial"/>
          <w:sz w:val="18"/>
          <w:szCs w:val="18"/>
          <w:u w:val="single" w:color="auto"/>
          <w:color w:val="auto"/>
        </w:rPr>
        <w:t>Booz Allen Hamilton Holding Corporation</w:t>
      </w:r>
    </w:p>
    <w:p>
      <w:pPr>
        <w:spacing w:after="0" w:line="63" w:lineRule="exact"/>
        <w:rPr>
          <w:sz w:val="20"/>
          <w:szCs w:val="20"/>
          <w:color w:val="auto"/>
        </w:rPr>
      </w:pPr>
    </w:p>
    <w:p>
      <w:pPr>
        <w:jc w:val="center"/>
        <w:ind w:left="538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0"/>
        <w:spacing w:after="0"/>
        <w:tabs>
          <w:tab w:leader="none" w:pos="4940" w:val="left"/>
          <w:tab w:leader="none" w:pos="5400" w:val="left"/>
        </w:tabs>
        <w:rPr>
          <w:sz w:val="20"/>
          <w:szCs w:val="20"/>
          <w:color w:val="auto"/>
        </w:rPr>
      </w:pPr>
      <w:r>
        <w:rPr>
          <w:rFonts w:ascii="Arial" w:cs="Arial" w:eastAsia="Arial" w:hAnsi="Arial"/>
          <w:sz w:val="18"/>
          <w:szCs w:val="18"/>
          <w:color w:val="auto"/>
        </w:rPr>
        <w:t>Date: July 27,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Lloyd W. Howell,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31750</wp:posOffset>
            </wp:positionV>
            <wp:extent cx="383349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833495" cy="8890"/>
                    </a:xfrm>
                    <a:prstGeom prst="rect">
                      <a:avLst/>
                    </a:prstGeom>
                    <a:noFill/>
                  </pic:spPr>
                </pic:pic>
              </a:graphicData>
            </a:graphic>
          </wp:anchor>
        </w:drawing>
      </w:r>
    </w:p>
    <w:p>
      <w:pPr>
        <w:spacing w:after="0" w:line="57"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Lloyd W. Howell, Jr.</w:t>
      </w:r>
    </w:p>
    <w:p>
      <w:pPr>
        <w:spacing w:after="0" w:line="2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Executive Vice President, Chief Financial Officer and Treasurer</w:t>
      </w:r>
    </w:p>
    <w:p>
      <w:pPr>
        <w:spacing w:after="0" w:line="9"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60"/>
          </w:cols>
          <w:pgMar w:left="240" w:top="769" w:right="59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 PURSUANT TO RULE 13A-14(A) OF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 AS AMENDED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Horacio Rozanski, certify that:</w:t>
      </w:r>
    </w:p>
    <w:p>
      <w:pPr>
        <w:spacing w:after="0" w:line="171" w:lineRule="exact"/>
        <w:rPr>
          <w:sz w:val="20"/>
          <w:szCs w:val="20"/>
          <w:color w:val="auto"/>
        </w:rPr>
      </w:pPr>
    </w:p>
    <w:p>
      <w:pPr>
        <w:ind w:left="180" w:hanging="172"/>
        <w:spacing w:after="0"/>
        <w:tabs>
          <w:tab w:leader="none" w:pos="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Booz Allen Hamilton Holding Corporation.</w:t>
      </w:r>
    </w:p>
    <w:p>
      <w:pPr>
        <w:spacing w:after="0" w:line="171"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sz w:val="20"/>
          <w:szCs w:val="20"/>
          <w:color w:val="auto"/>
        </w:rPr>
      </w:pPr>
    </w:p>
    <w:p>
      <w:pPr>
        <w:jc w:val="both"/>
        <w:ind w:right="120" w:firstLine="8"/>
        <w:spacing w:after="0" w:line="264" w:lineRule="auto"/>
        <w:tabs>
          <w:tab w:leader="none" w:pos="245"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right="240" w:firstLine="8"/>
        <w:spacing w:after="0" w:line="264" w:lineRule="auto"/>
        <w:tabs>
          <w:tab w:leader="none" w:pos="2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right="40" w:firstLine="8"/>
        <w:spacing w:after="0" w:line="277" w:lineRule="auto"/>
        <w:tabs>
          <w:tab w:leader="none" w:pos="245" w:val="left"/>
        </w:tabs>
        <w:numPr>
          <w:ilvl w:val="0"/>
          <w:numId w:val="2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jc w:val="both"/>
        <w:ind w:right="540" w:firstLine="8"/>
        <w:spacing w:after="0" w:line="264" w:lineRule="auto"/>
        <w:tabs>
          <w:tab w:leader="none" w:pos="2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27" w:lineRule="exact"/>
        <w:rPr>
          <w:sz w:val="20"/>
          <w:szCs w:val="20"/>
          <w:color w:val="auto"/>
        </w:rPr>
      </w:pPr>
    </w:p>
    <w:p>
      <w:pPr>
        <w:ind w:right="660" w:firstLine="8"/>
        <w:spacing w:after="0" w:line="308" w:lineRule="auto"/>
        <w:tabs>
          <w:tab w:leader="none" w:pos="1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93" w:lineRule="exact"/>
        <w:rPr>
          <w:sz w:val="20"/>
          <w:szCs w:val="20"/>
          <w:color w:val="auto"/>
        </w:rPr>
      </w:pPr>
    </w:p>
    <w:p>
      <w:pPr>
        <w:ind w:right="220" w:firstLine="8"/>
        <w:spacing w:after="0" w:line="277" w:lineRule="auto"/>
        <w:tabs>
          <w:tab w:leader="none" w:pos="245" w:val="left"/>
        </w:tabs>
        <w:numPr>
          <w:ilvl w:val="0"/>
          <w:numId w:val="3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right="460" w:firstLine="8"/>
        <w:spacing w:after="0" w:line="277" w:lineRule="auto"/>
        <w:tabs>
          <w:tab w:leader="none" w:pos="2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40"/>
        <w:spacing w:after="0"/>
        <w:tabs>
          <w:tab w:leader="none" w:pos="7100" w:val="left"/>
          <w:tab w:leader="none" w:pos="7560" w:val="left"/>
        </w:tabs>
        <w:rPr>
          <w:sz w:val="20"/>
          <w:szCs w:val="20"/>
          <w:color w:val="auto"/>
        </w:rPr>
      </w:pPr>
      <w:r>
        <w:rPr>
          <w:rFonts w:ascii="Arial" w:cs="Arial" w:eastAsia="Arial" w:hAnsi="Arial"/>
          <w:sz w:val="18"/>
          <w:szCs w:val="18"/>
          <w:color w:val="auto"/>
        </w:rPr>
        <w:t>Date: July 27,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Horacio Rozanski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4790440</wp:posOffset>
            </wp:positionH>
            <wp:positionV relativeFrom="paragraph">
              <wp:posOffset>31750</wp:posOffset>
            </wp:positionV>
            <wp:extent cx="246126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57"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Horacio Rozanski</w:t>
      </w:r>
    </w:p>
    <w:p>
      <w:pPr>
        <w:spacing w:after="0" w:line="23"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 PURSUANT TO RULE 13A-14(A) OF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 AS AMENDED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Lloyd W. Howell, Jr., certify that:</w:t>
      </w:r>
    </w:p>
    <w:p>
      <w:pPr>
        <w:spacing w:after="0" w:line="171" w:lineRule="exact"/>
        <w:rPr>
          <w:sz w:val="20"/>
          <w:szCs w:val="20"/>
          <w:color w:val="auto"/>
        </w:rPr>
      </w:pPr>
    </w:p>
    <w:p>
      <w:pPr>
        <w:ind w:left="180" w:hanging="172"/>
        <w:spacing w:after="0"/>
        <w:tabs>
          <w:tab w:leader="none" w:pos="1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Booz Allen Hamilton Holding Corporation.</w:t>
      </w:r>
    </w:p>
    <w:p>
      <w:pPr>
        <w:spacing w:after="0" w:line="171"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sz w:val="20"/>
          <w:szCs w:val="20"/>
          <w:color w:val="auto"/>
        </w:rPr>
      </w:pPr>
    </w:p>
    <w:p>
      <w:pPr>
        <w:jc w:val="both"/>
        <w:ind w:right="120" w:firstLine="8"/>
        <w:spacing w:after="0" w:line="264" w:lineRule="auto"/>
        <w:tabs>
          <w:tab w:leader="none" w:pos="245"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right="240" w:firstLine="8"/>
        <w:spacing w:after="0" w:line="264" w:lineRule="auto"/>
        <w:tabs>
          <w:tab w:leader="none" w:pos="2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right="40" w:firstLine="8"/>
        <w:spacing w:after="0" w:line="277" w:lineRule="auto"/>
        <w:tabs>
          <w:tab w:leader="none" w:pos="245" w:val="left"/>
        </w:tabs>
        <w:numPr>
          <w:ilvl w:val="0"/>
          <w:numId w:val="3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jc w:val="both"/>
        <w:ind w:right="540" w:firstLine="8"/>
        <w:spacing w:after="0" w:line="264" w:lineRule="auto"/>
        <w:tabs>
          <w:tab w:leader="none" w:pos="2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27" w:lineRule="exact"/>
        <w:rPr>
          <w:sz w:val="20"/>
          <w:szCs w:val="20"/>
          <w:color w:val="auto"/>
        </w:rPr>
      </w:pPr>
    </w:p>
    <w:p>
      <w:pPr>
        <w:ind w:right="660" w:firstLine="8"/>
        <w:spacing w:after="0" w:line="308" w:lineRule="auto"/>
        <w:tabs>
          <w:tab w:leader="none" w:pos="1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93" w:lineRule="exact"/>
        <w:rPr>
          <w:sz w:val="20"/>
          <w:szCs w:val="20"/>
          <w:color w:val="auto"/>
        </w:rPr>
      </w:pPr>
    </w:p>
    <w:p>
      <w:pPr>
        <w:ind w:right="220" w:firstLine="8"/>
        <w:spacing w:after="0" w:line="277" w:lineRule="auto"/>
        <w:tabs>
          <w:tab w:leader="none" w:pos="245" w:val="left"/>
        </w:tabs>
        <w:numPr>
          <w:ilvl w:val="0"/>
          <w:numId w:val="3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right="460" w:firstLine="8"/>
        <w:spacing w:after="0" w:line="277" w:lineRule="auto"/>
        <w:tabs>
          <w:tab w:leader="none" w:pos="2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40"/>
        <w:spacing w:after="0"/>
        <w:tabs>
          <w:tab w:leader="none" w:pos="5720" w:val="left"/>
          <w:tab w:leader="none" w:pos="6180" w:val="left"/>
        </w:tabs>
        <w:rPr>
          <w:sz w:val="20"/>
          <w:szCs w:val="20"/>
          <w:color w:val="auto"/>
        </w:rPr>
      </w:pPr>
      <w:r>
        <w:rPr>
          <w:rFonts w:ascii="Arial" w:cs="Arial" w:eastAsia="Arial" w:hAnsi="Arial"/>
          <w:sz w:val="18"/>
          <w:szCs w:val="18"/>
          <w:color w:val="auto"/>
        </w:rPr>
        <w:t>Date: July 27,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Lloyd W. Howell,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Lloyd W. Howell, Jr.</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Executive Vice President, Chief Financial Officer and Treasurer</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580"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5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connection with the report on Form 10-Q of Booz Allen Hamilton Holding Corporation (the “Company”) for the fiscal quarter ended June 30, 2016, as filed with the Securities and Exchange Commission on the date hereof (the “Report”), the undersigned President and Chief Executive Officer of the Company certifies, to the best of his knowledge and belief pursuant to 18 U.S.C. Section 1350, as adopted pursuant to Section 906 of the Sarbanes-Oxley Act of 2002, that:</w:t>
      </w:r>
    </w:p>
    <w:p>
      <w:pPr>
        <w:spacing w:after="0" w:line="133" w:lineRule="exact"/>
        <w:rPr>
          <w:sz w:val="20"/>
          <w:szCs w:val="20"/>
          <w:color w:val="auto"/>
        </w:rPr>
      </w:pPr>
    </w:p>
    <w:p>
      <w:pPr>
        <w:ind w:left="260" w:hanging="252"/>
        <w:spacing w:after="0"/>
        <w:tabs>
          <w:tab w:leader="none" w:pos="2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72" w:lineRule="exact"/>
        <w:rPr>
          <w:sz w:val="20"/>
          <w:szCs w:val="20"/>
          <w:color w:val="auto"/>
        </w:rPr>
      </w:pPr>
    </w:p>
    <w:p>
      <w:pPr>
        <w:ind w:left="40"/>
        <w:spacing w:after="0"/>
        <w:tabs>
          <w:tab w:leader="none" w:pos="6540" w:val="left"/>
        </w:tabs>
        <w:rPr>
          <w:sz w:val="20"/>
          <w:szCs w:val="20"/>
          <w:color w:val="auto"/>
        </w:rPr>
      </w:pPr>
      <w:r>
        <w:rPr>
          <w:rFonts w:ascii="Arial" w:cs="Arial" w:eastAsia="Arial" w:hAnsi="Arial"/>
          <w:sz w:val="18"/>
          <w:szCs w:val="18"/>
          <w:color w:val="auto"/>
        </w:rPr>
        <w:t>Date: July 27, 2016</w:t>
      </w:r>
      <w:r>
        <w:rPr>
          <w:sz w:val="20"/>
          <w:szCs w:val="20"/>
          <w:color w:val="auto"/>
        </w:rPr>
        <w:tab/>
      </w:r>
      <w:r>
        <w:rPr>
          <w:rFonts w:ascii="Arial" w:cs="Arial" w:eastAsia="Arial" w:hAnsi="Arial"/>
          <w:sz w:val="16"/>
          <w:szCs w:val="16"/>
          <w:color w:val="auto"/>
        </w:rPr>
        <w:t>By: /s/ Horacio Rozanski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31750</wp:posOffset>
            </wp:positionV>
            <wp:extent cx="289877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7"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Horacio Rozanski</w:t>
      </w:r>
    </w:p>
    <w:p>
      <w:pPr>
        <w:spacing w:after="0" w:line="2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(Principal Executive Officer)</w:t>
      </w:r>
    </w:p>
    <w:p>
      <w:pPr>
        <w:spacing w:after="0" w:line="18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Booz Allen Hamilton Holding Corporation and will be retained by Booz Allen Hamilton Holding Corporation and furnished to the Securities and Exchange Commission or its staff upon request.</w:t>
      </w:r>
    </w:p>
    <w:p>
      <w:pPr>
        <w:sectPr>
          <w:pgSz w:w="11900" w:h="16838" w:orient="portrait"/>
          <w:cols w:equalWidth="0" w:num="1">
            <w:col w:w="11420"/>
          </w:cols>
          <w:pgMar w:left="240" w:top="580"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5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connection with the report on Form 10-Q of Booz Allen Hamilton Holding Corporation (the “Company”) for the fiscal quarter ended June 30, 2016, as filed with the Securities and Exchange Commission on the date hereof (the “Report”), the undersigned Executive Vice President, Chief Financial Officer and Treasurer of the Company certifies, to the best of his knowledge and belief pursuant to 18 U.S.C. Section 1350, as adopted pursuant to Section 906 of the Sarbanes-Oxley Act of 2002, that:</w:t>
      </w:r>
    </w:p>
    <w:p>
      <w:pPr>
        <w:spacing w:after="0" w:line="133" w:lineRule="exact"/>
        <w:rPr>
          <w:sz w:val="20"/>
          <w:szCs w:val="20"/>
          <w:color w:val="auto"/>
        </w:rPr>
      </w:pPr>
    </w:p>
    <w:p>
      <w:pPr>
        <w:ind w:left="260" w:hanging="252"/>
        <w:spacing w:after="0"/>
        <w:tabs>
          <w:tab w:leader="none" w:pos="2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72" w:lineRule="exact"/>
        <w:rPr>
          <w:sz w:val="20"/>
          <w:szCs w:val="20"/>
          <w:color w:val="auto"/>
        </w:rPr>
      </w:pPr>
    </w:p>
    <w:p>
      <w:pPr>
        <w:ind w:left="40"/>
        <w:spacing w:after="0"/>
        <w:tabs>
          <w:tab w:leader="none" w:pos="5640" w:val="left"/>
        </w:tabs>
        <w:rPr>
          <w:sz w:val="20"/>
          <w:szCs w:val="20"/>
          <w:color w:val="auto"/>
        </w:rPr>
      </w:pPr>
      <w:r>
        <w:rPr>
          <w:rFonts w:ascii="Arial" w:cs="Arial" w:eastAsia="Arial" w:hAnsi="Arial"/>
          <w:sz w:val="18"/>
          <w:szCs w:val="18"/>
          <w:color w:val="auto"/>
        </w:rPr>
        <w:t>Date: July 27, 2016</w:t>
      </w:r>
      <w:r>
        <w:rPr>
          <w:sz w:val="20"/>
          <w:szCs w:val="20"/>
          <w:color w:val="auto"/>
        </w:rPr>
        <w:tab/>
      </w:r>
      <w:r>
        <w:rPr>
          <w:rFonts w:ascii="Arial" w:cs="Arial" w:eastAsia="Arial" w:hAnsi="Arial"/>
          <w:sz w:val="17"/>
          <w:szCs w:val="17"/>
          <w:color w:val="auto"/>
        </w:rPr>
        <w:t>By: /s/ Lloyd W. Howell,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347345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Lloyd W. Howell, Jr.</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6"/>
          <w:szCs w:val="16"/>
          <w:color w:val="auto"/>
        </w:rPr>
        <w:t>Executive Vice President, Chief Financial Officer and Treasurer (Principal</w:t>
      </w:r>
    </w:p>
    <w:p>
      <w:pPr>
        <w:spacing w:after="0" w:line="32"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Financial Officer)</w:t>
      </w:r>
    </w:p>
    <w:p>
      <w:pPr>
        <w:spacing w:after="0" w:line="18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Booz Allen Hamilton Holding Corporation and will be retained by Booz Allen Hamilton Holding Corporation and furnished to the Securities and Exchange Commission or its staff upon request.</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1."/>
      <w:numFmt w:val="decimal"/>
      <w:start w:val="1"/>
    </w:lvl>
  </w:abstractNum>
  <w:abstractNum w:abstractNumId="3">
    <w:nsid w:val="62BBD95A"/>
    <w:multiLevelType w:val="hybridMultilevel"/>
    <w:lvl w:ilvl="0">
      <w:lvlJc w:val="left"/>
      <w:lvlText w:val="(%1)"/>
      <w:numFmt w:val="decimal"/>
      <w:start w:val="1"/>
    </w:lvl>
  </w:abstractNum>
  <w:abstractNum w:abstractNumId="4">
    <w:nsid w:val="436C6125"/>
    <w:multiLevelType w:val="hybridMultilevel"/>
    <w:lvl w:ilvl="0">
      <w:lvlJc w:val="left"/>
      <w:lvlText w:val="%1."/>
      <w:numFmt w:val="decimal"/>
      <w:start w:val="5"/>
    </w:lvl>
  </w:abstractNum>
  <w:abstractNum w:abstractNumId="5">
    <w:nsid w:val="628C895D"/>
    <w:multiLevelType w:val="hybridMultilevel"/>
    <w:lvl w:ilvl="0">
      <w:lvlJc w:val="left"/>
      <w:lvlText w:val="(%1)"/>
      <w:numFmt w:val="decimal"/>
      <w:start w:val="1"/>
    </w:lvl>
  </w:abstractNum>
  <w:abstractNum w:abstractNumId="6">
    <w:nsid w:val="333AB105"/>
    <w:multiLevelType w:val="hybridMultilevel"/>
    <w:lvl w:ilvl="0">
      <w:lvlJc w:val="left"/>
      <w:lvlText w:val="1"/>
      <w:numFmt w:val="bullet"/>
      <w:start w:val="1"/>
    </w:lvl>
  </w:abstractNum>
  <w:abstractNum w:abstractNumId="7">
    <w:nsid w:val="721DA317"/>
    <w:multiLevelType w:val="hybridMultilevel"/>
    <w:lvl w:ilvl="0">
      <w:lvlJc w:val="left"/>
      <w:lvlText w:val="2"/>
      <w:numFmt w:val="bullet"/>
      <w:start w:val="1"/>
    </w:lvl>
  </w:abstractNum>
  <w:abstractNum w:abstractNumId="8">
    <w:nsid w:val="2443A858"/>
    <w:multiLevelType w:val="hybridMultilevel"/>
    <w:lvl w:ilvl="0">
      <w:lvlJc w:val="left"/>
      <w:lvlText w:val="%1."/>
      <w:numFmt w:val="decimal"/>
      <w:start w:val="12"/>
    </w:lvl>
  </w:abstractNum>
  <w:abstractNum w:abstractNumId="9">
    <w:nsid w:val="2D1D5AE9"/>
    <w:multiLevelType w:val="hybridMultilevel"/>
    <w:lvl w:ilvl="0">
      <w:lvlJc w:val="left"/>
      <w:lvlText w:val="(%1)"/>
      <w:numFmt w:val="decimal"/>
      <w:start w:val="1"/>
    </w:lvl>
  </w:abstractNum>
  <w:abstractNum w:abstractNumId="10">
    <w:nsid w:val="6763845E"/>
    <w:multiLevelType w:val="hybridMultilevel"/>
    <w:lvl w:ilvl="0">
      <w:lvlJc w:val="left"/>
      <w:lvlText w:val="(%1)"/>
      <w:numFmt w:val="decimal"/>
      <w:start w:val="3"/>
    </w:lvl>
  </w:abstractNum>
  <w:abstractNum w:abstractNumId="11">
    <w:nsid w:val="75A2A8D4"/>
    <w:multiLevelType w:val="hybridMultilevel"/>
    <w:lvl w:ilvl="0">
      <w:lvlJc w:val="left"/>
      <w:lvlText w:val="(%1)"/>
      <w:numFmt w:val="decimal"/>
      <w:start w:val="1"/>
    </w:lvl>
  </w:abstractNum>
  <w:abstractNum w:abstractNumId="12">
    <w:nsid w:val="8EDBDAB"/>
    <w:multiLevelType w:val="hybridMultilevel"/>
    <w:lvl w:ilvl="0">
      <w:lvlJc w:val="left"/>
      <w:lvlText w:val="(%1)"/>
      <w:numFmt w:val="decimal"/>
      <w:start w:val="2"/>
    </w:lvl>
  </w:abstractNum>
  <w:abstractNum w:abstractNumId="13">
    <w:nsid w:val="79838CB2"/>
    <w:multiLevelType w:val="hybridMultilevel"/>
    <w:lvl w:ilvl="0">
      <w:lvlJc w:val="left"/>
      <w:lvlText w:val="•"/>
      <w:numFmt w:val="bullet"/>
      <w:start w:val="1"/>
    </w:lvl>
  </w:abstractNum>
  <w:abstractNum w:abstractNumId="14">
    <w:nsid w:val="4353D0CD"/>
    <w:multiLevelType w:val="hybridMultilevel"/>
    <w:lvl w:ilvl="0">
      <w:lvlJc w:val="left"/>
      <w:lvlText w:val="•"/>
      <w:numFmt w:val="bullet"/>
      <w:start w:val="1"/>
    </w:lvl>
  </w:abstractNum>
  <w:abstractNum w:abstractNumId="15">
    <w:nsid w:val="B03E0C6"/>
    <w:multiLevelType w:val="hybridMultilevel"/>
    <w:lvl w:ilvl="0">
      <w:lvlJc w:val="left"/>
      <w:lvlText w:val="(%1)"/>
      <w:numFmt w:val="lowerLetter"/>
      <w:start w:val="1"/>
    </w:lvl>
  </w:abstractNum>
  <w:abstractNum w:abstractNumId="16">
    <w:nsid w:val="189A769B"/>
    <w:multiLevelType w:val="hybridMultilevel"/>
    <w:lvl w:ilvl="0">
      <w:lvlJc w:val="left"/>
      <w:lvlText w:val="•"/>
      <w:numFmt w:val="bullet"/>
      <w:start w:val="1"/>
    </w:lvl>
  </w:abstractNum>
  <w:abstractNum w:abstractNumId="17">
    <w:nsid w:val="54E49EB4"/>
    <w:multiLevelType w:val="hybridMultilevel"/>
    <w:lvl w:ilvl="0">
      <w:lvlJc w:val="left"/>
      <w:lvlText w:val="•"/>
      <w:numFmt w:val="bullet"/>
      <w:start w:val="1"/>
    </w:lvl>
  </w:abstractNum>
  <w:abstractNum w:abstractNumId="18">
    <w:nsid w:val="71F32454"/>
    <w:multiLevelType w:val="hybridMultilevel"/>
    <w:lvl w:ilvl="0">
      <w:lvlJc w:val="left"/>
      <w:lvlText w:val="•"/>
      <w:numFmt w:val="bullet"/>
      <w:start w:val="1"/>
    </w:lvl>
  </w:abstractNum>
  <w:abstractNum w:abstractNumId="19">
    <w:nsid w:val="2CA88611"/>
    <w:multiLevelType w:val="hybridMultilevel"/>
    <w:lvl w:ilvl="0">
      <w:lvlJc w:val="left"/>
      <w:lvlText w:val="•"/>
      <w:numFmt w:val="bullet"/>
      <w:start w:val="1"/>
    </w:lvl>
  </w:abstractNum>
  <w:abstractNum w:abstractNumId="20">
    <w:nsid w:val="836C40E"/>
    <w:multiLevelType w:val="hybridMultilevel"/>
    <w:lvl w:ilvl="0">
      <w:lvlJc w:val="left"/>
      <w:lvlText w:val="(%1)"/>
      <w:numFmt w:val="decimal"/>
      <w:start w:val="1"/>
    </w:lvl>
  </w:abstractNum>
  <w:abstractNum w:abstractNumId="21">
    <w:nsid w:val="2901D82"/>
    <w:multiLevelType w:val="hybridMultilevel"/>
    <w:lvl w:ilvl="0">
      <w:lvlJc w:val="left"/>
      <w:lvlText w:val="•"/>
      <w:numFmt w:val="bullet"/>
      <w:start w:val="1"/>
    </w:lvl>
  </w:abstractNum>
  <w:abstractNum w:abstractNumId="22">
    <w:nsid w:val="3A95F874"/>
    <w:multiLevelType w:val="hybridMultilevel"/>
    <w:lvl w:ilvl="0">
      <w:lvlJc w:val="left"/>
      <w:lvlText w:val="•"/>
      <w:numFmt w:val="bullet"/>
      <w:start w:val="1"/>
    </w:lvl>
  </w:abstractNum>
  <w:abstractNum w:abstractNumId="23">
    <w:nsid w:val="8138641"/>
    <w:multiLevelType w:val="hybridMultilevel"/>
    <w:lvl w:ilvl="0">
      <w:lvlJc w:val="left"/>
      <w:lvlText w:val="(%1)"/>
      <w:numFmt w:val="decimal"/>
      <w:start w:val="1"/>
    </w:lvl>
  </w:abstractNum>
  <w:abstractNum w:abstractNumId="24">
    <w:nsid w:val="1E7FF521"/>
    <w:multiLevelType w:val="hybridMultilevel"/>
    <w:lvl w:ilvl="0">
      <w:lvlJc w:val="left"/>
      <w:lvlText w:val="%1"/>
      <w:numFmt w:val="decimal"/>
      <w:start w:val="101"/>
    </w:lvl>
  </w:abstractNum>
  <w:abstractNum w:abstractNumId="25">
    <w:nsid w:val="7C3DBD3D"/>
    <w:multiLevelType w:val="hybridMultilevel"/>
    <w:lvl w:ilvl="0">
      <w:lvlJc w:val="left"/>
      <w:lvlText w:val="*"/>
      <w:numFmt w:val="bullet"/>
      <w:start w:val="1"/>
    </w:lvl>
  </w:abstractNum>
  <w:abstractNum w:abstractNumId="26">
    <w:nsid w:val="737B8DDC"/>
    <w:multiLevelType w:val="hybridMultilevel"/>
    <w:lvl w:ilvl="0">
      <w:lvlJc w:val="left"/>
      <w:lvlText w:val="%1."/>
      <w:numFmt w:val="decimal"/>
      <w:start w:val="1"/>
    </w:lvl>
  </w:abstractNum>
  <w:abstractNum w:abstractNumId="27">
    <w:nsid w:val="6CEAF087"/>
    <w:multiLevelType w:val="hybridMultilevel"/>
    <w:lvl w:ilvl="0">
      <w:lvlJc w:val="left"/>
      <w:lvlText w:val="(%1)"/>
      <w:numFmt w:val="lowerLetter"/>
      <w:start w:val="1"/>
    </w:lvl>
  </w:abstractNum>
  <w:abstractNum w:abstractNumId="28">
    <w:nsid w:val="22221A70"/>
    <w:multiLevelType w:val="hybridMultilevel"/>
    <w:lvl w:ilvl="0">
      <w:lvlJc w:val="left"/>
      <w:lvlText w:val="%1."/>
      <w:numFmt w:val="decimal"/>
      <w:start w:val="5"/>
    </w:lvl>
  </w:abstractNum>
  <w:abstractNum w:abstractNumId="29">
    <w:nsid w:val="4516DDE9"/>
    <w:multiLevelType w:val="hybridMultilevel"/>
    <w:lvl w:ilvl="0">
      <w:lvlJc w:val="left"/>
      <w:lvlText w:val="(%1)"/>
      <w:numFmt w:val="lowerLetter"/>
      <w:start w:val="1"/>
    </w:lvl>
  </w:abstractNum>
  <w:abstractNum w:abstractNumId="30">
    <w:nsid w:val="3006C83E"/>
    <w:multiLevelType w:val="hybridMultilevel"/>
    <w:lvl w:ilvl="0">
      <w:lvlJc w:val="left"/>
      <w:lvlText w:val="%1."/>
      <w:numFmt w:val="decimal"/>
      <w:start w:val="1"/>
    </w:lvl>
  </w:abstractNum>
  <w:abstractNum w:abstractNumId="31">
    <w:nsid w:val="614FD4A1"/>
    <w:multiLevelType w:val="hybridMultilevel"/>
    <w:lvl w:ilvl="0">
      <w:lvlJc w:val="left"/>
      <w:lvlText w:val="(%1)"/>
      <w:numFmt w:val="lowerLetter"/>
      <w:start w:val="1"/>
    </w:lvl>
  </w:abstractNum>
  <w:abstractNum w:abstractNumId="32">
    <w:nsid w:val="419AC241"/>
    <w:multiLevelType w:val="hybridMultilevel"/>
    <w:lvl w:ilvl="0">
      <w:lvlJc w:val="left"/>
      <w:lvlText w:val="%1."/>
      <w:numFmt w:val="decimal"/>
      <w:start w:val="5"/>
    </w:lvl>
  </w:abstractNum>
  <w:abstractNum w:abstractNumId="33">
    <w:nsid w:val="5577F8E1"/>
    <w:multiLevelType w:val="hybridMultilevel"/>
    <w:lvl w:ilvl="0">
      <w:lvlJc w:val="left"/>
      <w:lvlText w:val="(%1)"/>
      <w:numFmt w:val="lowerLetter"/>
      <w:start w:val="1"/>
    </w:lvl>
  </w:abstractNum>
  <w:abstractNum w:abstractNumId="34">
    <w:nsid w:val="440BADFC"/>
    <w:multiLevelType w:val="hybridMultilevel"/>
    <w:lvl w:ilvl="0">
      <w:lvlJc w:val="left"/>
      <w:lvlText w:val="(%1)"/>
      <w:numFmt w:val="decimal"/>
      <w:start w:val="1"/>
    </w:lvl>
  </w:abstractNum>
  <w:abstractNum w:abstractNumId="35">
    <w:nsid w:val="507236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2019-12-29T10:40:48Z</dcterms:created>
  <dcterms:modified xsi:type="dcterms:W3CDTF">2019-12-29T10:40:48Z</dcterms:modified>
</cp:coreProperties>
</file>