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680720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2014</w:t>
      </w:r>
    </w:p>
    <w:p>
      <w:pPr>
        <w:spacing w:after="0" w:line="12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001-34972</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5080" w:type="dxa"/>
            <w:vAlign w:val="bottom"/>
            <w:gridSpan w:val="2"/>
          </w:tcPr>
          <w:p>
            <w:pPr>
              <w:jc w:val="center"/>
              <w:ind w:right="3881"/>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jc w:val="right"/>
              <w:ind w:right="897"/>
              <w:spacing w:after="0"/>
              <w:rPr>
                <w:sz w:val="20"/>
                <w:szCs w:val="20"/>
                <w:color w:val="auto"/>
              </w:rPr>
            </w:pPr>
            <w:r>
              <w:rPr>
                <w:rFonts w:ascii="Arial" w:cs="Arial" w:eastAsia="Arial" w:hAnsi="Arial"/>
                <w:sz w:val="18"/>
                <w:szCs w:val="18"/>
                <w:b w:val="1"/>
                <w:bCs w:val="1"/>
                <w:color w:val="auto"/>
                <w:w w:val="93"/>
              </w:rPr>
              <w:t>26-2634160</w:t>
            </w:r>
          </w:p>
        </w:tc>
        <w:tc>
          <w:tcPr>
            <w:tcW w:w="0" w:type="dxa"/>
            <w:vAlign w:val="bottom"/>
          </w:tcPr>
          <w:p>
            <w:pPr>
              <w:spacing w:after="0"/>
              <w:rPr>
                <w:sz w:val="1"/>
                <w:szCs w:val="1"/>
                <w:color w:val="auto"/>
              </w:rPr>
            </w:pPr>
          </w:p>
        </w:tc>
      </w:tr>
      <w:tr>
        <w:trPr>
          <w:trHeight w:val="180"/>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5"/>
                <w:szCs w:val="15"/>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7320" w:type="dxa"/>
            <w:vAlign w:val="bottom"/>
            <w:gridSpan w:val="3"/>
          </w:tcPr>
          <w:p>
            <w:pPr>
              <w:jc w:val="center"/>
              <w:ind w:right="164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jc w:val="right"/>
              <w:ind w:right="1117"/>
              <w:spacing w:after="0"/>
              <w:rPr>
                <w:sz w:val="20"/>
                <w:szCs w:val="20"/>
                <w:color w:val="auto"/>
              </w:rPr>
            </w:pPr>
            <w:r>
              <w:rPr>
                <w:rFonts w:ascii="Arial" w:cs="Arial" w:eastAsia="Arial" w:hAnsi="Arial"/>
                <w:sz w:val="18"/>
                <w:szCs w:val="18"/>
                <w:b w:val="1"/>
                <w:bCs w:val="1"/>
                <w:color w:val="auto"/>
              </w:rPr>
              <w:t>22102</w:t>
            </w:r>
          </w:p>
        </w:tc>
        <w:tc>
          <w:tcPr>
            <w:tcW w:w="0" w:type="dxa"/>
            <w:vAlign w:val="bottom"/>
          </w:tcPr>
          <w:p>
            <w:pPr>
              <w:spacing w:after="0"/>
              <w:rPr>
                <w:sz w:val="1"/>
                <w:szCs w:val="1"/>
                <w:color w:val="auto"/>
              </w:rPr>
            </w:pPr>
          </w:p>
        </w:tc>
      </w:tr>
      <w:tr>
        <w:trPr>
          <w:trHeight w:val="218"/>
        </w:trPr>
        <w:tc>
          <w:tcPr>
            <w:tcW w:w="7320" w:type="dxa"/>
            <w:vAlign w:val="bottom"/>
            <w:gridSpan w:val="3"/>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tcPr>
          <w:p>
            <w:pPr>
              <w:jc w:val="center"/>
              <w:ind w:right="85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9"/>
        </w:trPr>
        <w:tc>
          <w:tcPr>
            <w:tcW w:w="7320" w:type="dxa"/>
            <w:vAlign w:val="bottom"/>
            <w:gridSpan w:val="3"/>
          </w:tcPr>
          <w:p>
            <w:pPr>
              <w:jc w:val="right"/>
              <w:ind w:right="961"/>
              <w:spacing w:after="0"/>
              <w:rPr>
                <w:sz w:val="20"/>
                <w:szCs w:val="20"/>
                <w:color w:val="auto"/>
              </w:rPr>
            </w:pPr>
            <w:r>
              <w:rPr>
                <w:rFonts w:ascii="Arial" w:cs="Arial" w:eastAsia="Arial" w:hAnsi="Arial"/>
                <w:sz w:val="18"/>
                <w:szCs w:val="18"/>
                <w:b w:val="1"/>
                <w:bCs w:val="1"/>
                <w:color w:val="auto"/>
              </w:rPr>
              <w:t>(703) 902-5000</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920" w:type="dxa"/>
            <w:vAlign w:val="bottom"/>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64"/>
        </w:trPr>
        <w:tc>
          <w:tcPr>
            <w:tcW w:w="7320" w:type="dxa"/>
            <w:vAlign w:val="bottom"/>
            <w:gridSpan w:val="3"/>
          </w:tcPr>
          <w:p>
            <w:pPr>
              <w:jc w:val="center"/>
              <w:ind w:right="1601"/>
              <w:spacing w:after="0"/>
              <w:rPr>
                <w:sz w:val="20"/>
                <w:szCs w:val="20"/>
                <w:color w:val="auto"/>
              </w:rPr>
            </w:pPr>
            <w:r>
              <w:rPr>
                <w:rFonts w:ascii="Arial" w:cs="Arial" w:eastAsia="Arial" w:hAnsi="Arial"/>
                <w:sz w:val="18"/>
                <w:szCs w:val="18"/>
                <w:color w:val="auto"/>
                <w:w w:val="90"/>
              </w:rPr>
              <w:t>Class A Common Stock</w:t>
            </w:r>
          </w:p>
        </w:tc>
        <w:tc>
          <w:tcPr>
            <w:tcW w:w="400" w:type="dxa"/>
            <w:vAlign w:val="bottom"/>
          </w:tcPr>
          <w:p>
            <w:pPr>
              <w:spacing w:after="0"/>
              <w:rPr>
                <w:sz w:val="22"/>
                <w:szCs w:val="22"/>
                <w:color w:val="auto"/>
              </w:rPr>
            </w:pPr>
          </w:p>
        </w:tc>
        <w:tc>
          <w:tcPr>
            <w:tcW w:w="2420" w:type="dxa"/>
            <w:vAlign w:val="bottom"/>
            <w:gridSpan w:val="2"/>
          </w:tcPr>
          <w:p>
            <w:pPr>
              <w:jc w:val="center"/>
              <w:ind w:right="317"/>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6"/>
                <w:szCs w:val="16"/>
                <w:b w:val="1"/>
                <w:bCs w:val="1"/>
                <w:color w:val="auto"/>
                <w:w w:val="89"/>
              </w:rPr>
              <w:t>None.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jc w:val="right"/>
              <w:ind w:right="801"/>
              <w:spacing w:after="0"/>
              <w:rPr>
                <w:sz w:val="20"/>
                <w:szCs w:val="20"/>
                <w:color w:val="auto"/>
              </w:rPr>
            </w:pPr>
            <w:r>
              <w:rPr>
                <w:rFonts w:ascii="Arial" w:cs="Arial" w:eastAsia="Arial" w:hAnsi="Arial"/>
                <w:sz w:val="16"/>
                <w:szCs w:val="16"/>
                <w:color w:val="auto"/>
              </w:rPr>
              <w:t>__________________</w:t>
            </w:r>
          </w:p>
        </w:tc>
        <w:tc>
          <w:tcPr>
            <w:tcW w:w="400" w:type="dxa"/>
            <w:vAlign w:val="bottom"/>
          </w:tcPr>
          <w:p>
            <w:pPr>
              <w:spacing w:after="0"/>
              <w:rPr>
                <w:sz w:val="16"/>
                <w:szCs w:val="16"/>
                <w:color w:val="auto"/>
              </w:rPr>
            </w:pPr>
          </w:p>
        </w:tc>
        <w:tc>
          <w:tcPr>
            <w:tcW w:w="520" w:type="dxa"/>
            <w:vAlign w:val="bottom"/>
            <w:vMerge w:val="restart"/>
          </w:tcPr>
          <w:p>
            <w:pPr>
              <w:ind w:left="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900" w:type="dxa"/>
            <w:vAlign w:val="bottom"/>
            <w:vMerge w:val="restart"/>
          </w:tcPr>
          <w:p>
            <w:pPr>
              <w:jc w:val="center"/>
              <w:ind w:right="1077"/>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7720" w:type="dxa"/>
            <w:vAlign w:val="bottom"/>
            <w:gridSpan w:val="4"/>
          </w:tcPr>
          <w:p>
            <w:pPr>
              <w:spacing w:after="0" w:line="159" w:lineRule="exact"/>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2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240" w:type="dxa"/>
            <w:vAlign w:val="bottom"/>
            <w:gridSpan w:val="5"/>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Section 15(d) of the Act.  Yes</w:t>
            </w:r>
          </w:p>
        </w:tc>
        <w:tc>
          <w:tcPr>
            <w:tcW w:w="1900" w:type="dxa"/>
            <w:vAlign w:val="bottom"/>
          </w:tcPr>
          <w:p>
            <w:pPr>
              <w:jc w:val="center"/>
              <w:ind w:right="1097"/>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20"/>
        <w:spacing w:after="0" w:line="246" w:lineRule="auto"/>
        <w:rPr>
          <w:sz w:val="20"/>
          <w:szCs w:val="20"/>
          <w:color w:val="auto"/>
        </w:rPr>
      </w:pPr>
      <w:r>
        <w:rPr>
          <w:rFonts w:ascii="Arial" w:cs="Arial" w:eastAsia="Arial" w:hAnsi="Arial"/>
          <w:sz w:val="16"/>
          <w:szCs w:val="16"/>
          <w:color w:val="auto"/>
        </w:rPr>
        <w:t>Note — Checking the box above will not relieve any registrant required to file reports pursuant to Section 13 or 15(d) of the Exchange Act from their obligations under those sections.</w:t>
      </w:r>
    </w:p>
    <w:p>
      <w:pPr>
        <w:spacing w:after="0" w:line="1" w:lineRule="exact"/>
        <w:rPr>
          <w:sz w:val="24"/>
          <w:szCs w:val="24"/>
          <w:color w:val="auto"/>
        </w:rPr>
      </w:pPr>
    </w:p>
    <w:p>
      <w:pPr>
        <w:ind w:right="140"/>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100"/>
        <w:spacing w:after="0" w:line="28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5" w:lineRule="exact"/>
        <w:rPr>
          <w:sz w:val="24"/>
          <w:szCs w:val="24"/>
          <w:color w:val="auto"/>
        </w:rPr>
      </w:pPr>
    </w:p>
    <w:p>
      <w:pPr>
        <w:ind w:right="22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89" w:lineRule="exact"/>
        <w:rPr>
          <w:sz w:val="24"/>
          <w:szCs w:val="24"/>
          <w:color w:val="auto"/>
        </w:rPr>
      </w:pPr>
    </w:p>
    <w:p>
      <w:pPr>
        <w:ind w:left="40"/>
        <w:spacing w:after="0" w:line="184" w:lineRule="exact"/>
        <w:tabs>
          <w:tab w:leader="none" w:pos="2420" w:val="left"/>
          <w:tab w:leader="none" w:pos="8020" w:val="left"/>
          <w:tab w:leader="none" w:pos="109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194" w:lineRule="exact"/>
        <w:rPr>
          <w:sz w:val="24"/>
          <w:szCs w:val="24"/>
          <w:color w:val="auto"/>
        </w:rPr>
      </w:pPr>
    </w:p>
    <w:p>
      <w:pPr>
        <w:ind w:left="40"/>
        <w:spacing w:after="0" w:line="184" w:lineRule="exact"/>
        <w:tabs>
          <w:tab w:leader="none" w:pos="2420" w:val="left"/>
          <w:tab w:leader="none" w:pos="8020" w:val="left"/>
          <w:tab w:leader="none" w:pos="1096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As of September 30, 2013, the market value of the voting and non-voting common equity held by non-affiliates based on the closing price as of that day was $830,267,765.</w:t>
      </w:r>
    </w:p>
    <w:p>
      <w:pPr>
        <w:sectPr>
          <w:pgSz w:w="11900" w:h="16838" w:orient="portrait"/>
          <w:cols w:equalWidth="0" w:num="1">
            <w:col w:w="11380"/>
          </w:cols>
          <w:pgMar w:left="240" w:top="1084" w:right="279" w:bottom="1440" w:gutter="0" w:footer="0" w:header="0"/>
        </w:sect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1084"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1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280" w:type="dxa"/>
            <w:vAlign w:val="bottom"/>
          </w:tcPr>
          <w:p>
            <w:pPr>
              <w:spacing w:after="0"/>
              <w:rPr>
                <w:sz w:val="16"/>
                <w:szCs w:val="16"/>
                <w:color w:val="auto"/>
              </w:rPr>
            </w:pPr>
          </w:p>
        </w:tc>
        <w:tc>
          <w:tcPr>
            <w:tcW w:w="5140" w:type="dxa"/>
            <w:vAlign w:val="bottom"/>
          </w:tcPr>
          <w:p>
            <w:pPr>
              <w:jc w:val="right"/>
              <w:ind w:right="436"/>
              <w:spacing w:after="0"/>
              <w:rPr>
                <w:sz w:val="20"/>
                <w:szCs w:val="20"/>
                <w:color w:val="auto"/>
              </w:rPr>
            </w:pPr>
            <w:r>
              <w:rPr>
                <w:rFonts w:ascii="Arial" w:cs="Arial" w:eastAsia="Arial" w:hAnsi="Arial"/>
                <w:sz w:val="14"/>
                <w:szCs w:val="14"/>
                <w:b w:val="1"/>
                <w:bCs w:val="1"/>
                <w:color w:val="auto"/>
              </w:rPr>
              <w:t>as of May 16, 2014</w:t>
            </w: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143,446,817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525,370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914,101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4,424,814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-127635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Stockholders scheduled for July 31, 2014 are incorporated by reference into Part III.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9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012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INTRODUCTORY NOTE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372"/>
        </w:trPr>
        <w:tc>
          <w:tcPr>
            <w:tcW w:w="15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w:t>
            </w:r>
          </w:p>
        </w:tc>
        <w:tc>
          <w:tcPr>
            <w:tcW w:w="8560" w:type="dxa"/>
            <w:vAlign w:val="bottom"/>
            <w:gridSpan w:val="19"/>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Business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4"/>
          </w:tcPr>
          <w:p>
            <w:pPr>
              <w:spacing w:after="0"/>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Risk Factors</w:t>
              </w:r>
            </w:hyperlink>
          </w:p>
        </w:tc>
        <w:tc>
          <w:tcPr>
            <w:tcW w:w="7580" w:type="dxa"/>
            <w:vAlign w:val="bottom"/>
            <w:gridSpan w:val="15"/>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17</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8"/>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Unresolved Staff Comments</w:t>
              </w:r>
            </w:hyperlink>
          </w:p>
        </w:tc>
        <w:tc>
          <w:tcPr>
            <w:tcW w:w="640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2.</w:t>
            </w:r>
          </w:p>
        </w:tc>
        <w:tc>
          <w:tcPr>
            <w:tcW w:w="800" w:type="dxa"/>
            <w:vAlign w:val="bottom"/>
            <w:gridSpan w:val="3"/>
          </w:tcPr>
          <w:p>
            <w:pPr>
              <w:spacing w:after="0"/>
              <w:rPr>
                <w:rFonts w:ascii="Arial" w:cs="Arial" w:eastAsia="Arial" w:hAnsi="Arial"/>
                <w:sz w:val="18"/>
                <w:szCs w:val="18"/>
                <w:b w:val="1"/>
                <w:bCs w:val="1"/>
                <w:color w:val="0000EE"/>
                <w:w w:val="85"/>
              </w:rPr>
            </w:pPr>
            <w:hyperlink w:anchor="page38">
              <w:r>
                <w:rPr>
                  <w:rFonts w:ascii="Arial" w:cs="Arial" w:eastAsia="Arial" w:hAnsi="Arial"/>
                  <w:sz w:val="18"/>
                  <w:szCs w:val="18"/>
                  <w:b w:val="1"/>
                  <w:bCs w:val="1"/>
                  <w:color w:val="0000EE"/>
                  <w:w w:val="85"/>
                </w:rPr>
                <w:t>Properties</w:t>
              </w:r>
            </w:hyperlink>
          </w:p>
        </w:tc>
        <w:tc>
          <w:tcPr>
            <w:tcW w:w="1360" w:type="dxa"/>
            <w:vAlign w:val="bottom"/>
            <w:gridSpan w:val="5"/>
          </w:tcPr>
          <w:p>
            <w:pPr>
              <w:spacing w:after="0"/>
              <w:rPr>
                <w:sz w:val="24"/>
                <w:szCs w:val="24"/>
                <w:color w:val="auto"/>
              </w:rPr>
            </w:pPr>
          </w:p>
        </w:tc>
        <w:tc>
          <w:tcPr>
            <w:tcW w:w="640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3.</w:t>
            </w:r>
          </w:p>
        </w:tc>
        <w:tc>
          <w:tcPr>
            <w:tcW w:w="8560" w:type="dxa"/>
            <w:vAlign w:val="bottom"/>
            <w:gridSpan w:val="19"/>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Legal Proceedings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4.</w:t>
            </w:r>
          </w:p>
        </w:tc>
        <w:tc>
          <w:tcPr>
            <w:tcW w:w="1820" w:type="dxa"/>
            <w:vAlign w:val="bottom"/>
            <w:gridSpan w:val="6"/>
          </w:tcPr>
          <w:p>
            <w:pPr>
              <w:spacing w:after="0"/>
              <w:rPr>
                <w:rFonts w:ascii="Arial" w:cs="Arial" w:eastAsia="Arial" w:hAnsi="Arial"/>
                <w:sz w:val="18"/>
                <w:szCs w:val="18"/>
                <w:b w:val="1"/>
                <w:bCs w:val="1"/>
                <w:color w:val="0000EE"/>
                <w:w w:val="85"/>
              </w:rPr>
            </w:pPr>
            <w:hyperlink w:anchor="page38">
              <w:r>
                <w:rPr>
                  <w:rFonts w:ascii="Arial" w:cs="Arial" w:eastAsia="Arial" w:hAnsi="Arial"/>
                  <w:sz w:val="18"/>
                  <w:szCs w:val="18"/>
                  <w:b w:val="1"/>
                  <w:bCs w:val="1"/>
                  <w:color w:val="0000EE"/>
                  <w:w w:val="85"/>
                </w:rPr>
                <w:t>Mine Safety Disclosures</w:t>
              </w:r>
            </w:hyperlink>
          </w:p>
        </w:tc>
        <w:tc>
          <w:tcPr>
            <w:tcW w:w="6740" w:type="dxa"/>
            <w:vAlign w:val="bottom"/>
            <w:gridSpan w:val="1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660" w:type="dxa"/>
            <w:vAlign w:val="bottom"/>
            <w:gridSpan w:val="2"/>
          </w:tcPr>
          <w:p>
            <w:pPr>
              <w:spacing w:after="0"/>
              <w:rPr>
                <w:rFonts w:ascii="Arial" w:cs="Arial" w:eastAsia="Arial" w:hAnsi="Arial"/>
                <w:sz w:val="18"/>
                <w:szCs w:val="18"/>
                <w:b w:val="1"/>
                <w:bCs w:val="1"/>
                <w:color w:val="0000EE"/>
                <w:w w:val="99"/>
              </w:rPr>
            </w:pPr>
            <w:hyperlink w:anchor="page40">
              <w:r>
                <w:rPr>
                  <w:rFonts w:ascii="Arial" w:cs="Arial" w:eastAsia="Arial" w:hAnsi="Arial"/>
                  <w:sz w:val="18"/>
                  <w:szCs w:val="18"/>
                  <w:b w:val="1"/>
                  <w:bCs w:val="1"/>
                  <w:color w:val="0000EE"/>
                  <w:w w:val="99"/>
                </w:rPr>
                <w:t>PART II</w:t>
              </w:r>
            </w:hyperlink>
          </w:p>
        </w:tc>
        <w:tc>
          <w:tcPr>
            <w:tcW w:w="9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37</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5.</w:t>
            </w:r>
          </w:p>
        </w:tc>
        <w:tc>
          <w:tcPr>
            <w:tcW w:w="8560" w:type="dxa"/>
            <w:vAlign w:val="bottom"/>
            <w:gridSpan w:val="19"/>
          </w:tcPr>
          <w:p>
            <w:pPr>
              <w:spacing w:after="0"/>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Market for Registrant's Common Equity, Related Stockholder Matters and Issuer Purchases of Equity</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37</w:t>
              </w:r>
            </w:hyperlink>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Securities</w:t>
              </w:r>
            </w:hyperlink>
          </w:p>
        </w:tc>
        <w:tc>
          <w:tcPr>
            <w:tcW w:w="7080" w:type="dxa"/>
            <w:vAlign w:val="bottom"/>
            <w:tcBorders>
              <w:top w:val="single" w:sz="8" w:color="0000EE"/>
            </w:tcBorders>
            <w:gridSpan w:val="15"/>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6.</w:t>
            </w:r>
          </w:p>
        </w:tc>
        <w:tc>
          <w:tcPr>
            <w:tcW w:w="1820" w:type="dxa"/>
            <w:vAlign w:val="bottom"/>
            <w:gridSpan w:val="6"/>
          </w:tcPr>
          <w:p>
            <w:pPr>
              <w:spacing w:after="0"/>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Selected Financial Data</w:t>
              </w:r>
            </w:hyperlink>
          </w:p>
        </w:tc>
        <w:tc>
          <w:tcPr>
            <w:tcW w:w="6740" w:type="dxa"/>
            <w:vAlign w:val="bottom"/>
            <w:gridSpan w:val="1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39</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w:t>
            </w:r>
          </w:p>
        </w:tc>
        <w:tc>
          <w:tcPr>
            <w:tcW w:w="6840" w:type="dxa"/>
            <w:vAlign w:val="bottom"/>
            <w:gridSpan w:val="15"/>
          </w:tcPr>
          <w:p>
            <w:pPr>
              <w:spacing w:after="0"/>
              <w:rPr>
                <w:rFonts w:ascii="Arial" w:cs="Arial" w:eastAsia="Arial" w:hAnsi="Arial"/>
                <w:sz w:val="18"/>
                <w:szCs w:val="18"/>
                <w:b w:val="1"/>
                <w:bCs w:val="1"/>
                <w:color w:val="0000EE"/>
                <w:w w:val="89"/>
              </w:rPr>
            </w:pPr>
            <w:hyperlink w:anchor="page43">
              <w:r>
                <w:rPr>
                  <w:rFonts w:ascii="Arial" w:cs="Arial" w:eastAsia="Arial" w:hAnsi="Arial"/>
                  <w:sz w:val="18"/>
                  <w:szCs w:val="18"/>
                  <w:b w:val="1"/>
                  <w:bCs w:val="1"/>
                  <w:color w:val="0000EE"/>
                  <w:w w:val="89"/>
                </w:rPr>
                <w:t>Management's Discussion and Analysis of Financial Condition and Results of Operations</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40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7A.</w:t>
            </w:r>
          </w:p>
        </w:tc>
        <w:tc>
          <w:tcPr>
            <w:tcW w:w="6840" w:type="dxa"/>
            <w:vAlign w:val="bottom"/>
            <w:gridSpan w:val="15"/>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Quantitative and Qualitative Disclosures About Market Risk</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59</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8.</w:t>
            </w:r>
          </w:p>
        </w:tc>
        <w:tc>
          <w:tcPr>
            <w:tcW w:w="3600" w:type="dxa"/>
            <w:vAlign w:val="bottom"/>
            <w:gridSpan w:val="11"/>
          </w:tcPr>
          <w:p>
            <w:pPr>
              <w:spacing w:after="0"/>
              <w:rPr>
                <w:rFonts w:ascii="Arial" w:cs="Arial" w:eastAsia="Arial" w:hAnsi="Arial"/>
                <w:sz w:val="18"/>
                <w:szCs w:val="18"/>
                <w:b w:val="1"/>
                <w:bCs w:val="1"/>
                <w:color w:val="0000EE"/>
                <w:w w:val="90"/>
              </w:rPr>
            </w:pPr>
            <w:hyperlink w:anchor="page62">
              <w:r>
                <w:rPr>
                  <w:rFonts w:ascii="Arial" w:cs="Arial" w:eastAsia="Arial" w:hAnsi="Arial"/>
                  <w:sz w:val="18"/>
                  <w:szCs w:val="18"/>
                  <w:b w:val="1"/>
                  <w:bCs w:val="1"/>
                  <w:color w:val="0000EE"/>
                  <w:w w:val="90"/>
                </w:rPr>
                <w:t>Financial Statements and Supplementary Data</w:t>
              </w:r>
            </w:hyperlink>
          </w:p>
        </w:tc>
        <w:tc>
          <w:tcPr>
            <w:tcW w:w="1060" w:type="dxa"/>
            <w:vAlign w:val="bottom"/>
            <w:gridSpan w:val="2"/>
          </w:tcPr>
          <w:p>
            <w:pPr>
              <w:spacing w:after="0"/>
              <w:rPr>
                <w:sz w:val="24"/>
                <w:szCs w:val="24"/>
                <w:color w:val="auto"/>
              </w:rPr>
            </w:pPr>
          </w:p>
        </w:tc>
        <w:tc>
          <w:tcPr>
            <w:tcW w:w="3900" w:type="dxa"/>
            <w:vAlign w:val="bottom"/>
            <w:gridSpan w:val="6"/>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F-1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w:t>
            </w:r>
          </w:p>
        </w:tc>
        <w:tc>
          <w:tcPr>
            <w:tcW w:w="8560" w:type="dxa"/>
            <w:vAlign w:val="bottom"/>
            <w:gridSpan w:val="19"/>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Changes in and Disagreements With Accountants on Accounting and Financial Disclosure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60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9A.</w:t>
            </w:r>
          </w:p>
        </w:tc>
        <w:tc>
          <w:tcPr>
            <w:tcW w:w="1900" w:type="dxa"/>
            <w:vAlign w:val="bottom"/>
            <w:gridSpan w:val="7"/>
          </w:tcPr>
          <w:p>
            <w:pPr>
              <w:spacing w:after="0"/>
              <w:rPr>
                <w:rFonts w:ascii="Arial" w:cs="Arial" w:eastAsia="Arial" w:hAnsi="Arial"/>
                <w:sz w:val="18"/>
                <w:szCs w:val="18"/>
                <w:b w:val="1"/>
                <w:bCs w:val="1"/>
                <w:color w:val="0000EE"/>
                <w:w w:val="86"/>
              </w:rPr>
            </w:pPr>
            <w:hyperlink w:anchor="page97">
              <w:r>
                <w:rPr>
                  <w:rFonts w:ascii="Arial" w:cs="Arial" w:eastAsia="Arial" w:hAnsi="Arial"/>
                  <w:sz w:val="18"/>
                  <w:szCs w:val="18"/>
                  <w:b w:val="1"/>
                  <w:bCs w:val="1"/>
                  <w:color w:val="0000EE"/>
                  <w:w w:val="86"/>
                </w:rPr>
                <w:t>Controls and Procedures</w:t>
              </w:r>
            </w:hyperlink>
          </w:p>
        </w:tc>
        <w:tc>
          <w:tcPr>
            <w:tcW w:w="5000" w:type="dxa"/>
            <w:vAlign w:val="bottom"/>
            <w:gridSpan w:val="9"/>
          </w:tcPr>
          <w:p>
            <w:pPr>
              <w:spacing w:after="0"/>
              <w:rPr>
                <w:sz w:val="24"/>
                <w:szCs w:val="24"/>
                <w:color w:val="auto"/>
              </w:rPr>
            </w:pPr>
          </w:p>
        </w:tc>
        <w:tc>
          <w:tcPr>
            <w:tcW w:w="1660" w:type="dxa"/>
            <w:vAlign w:val="bottom"/>
            <w:gridSpan w:val="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60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9B.</w:t>
            </w:r>
          </w:p>
        </w:tc>
        <w:tc>
          <w:tcPr>
            <w:tcW w:w="1900" w:type="dxa"/>
            <w:vAlign w:val="bottom"/>
            <w:gridSpan w:val="7"/>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Other Information</w:t>
              </w:r>
            </w:hyperlink>
          </w:p>
        </w:tc>
        <w:tc>
          <w:tcPr>
            <w:tcW w:w="6660" w:type="dxa"/>
            <w:vAlign w:val="bottom"/>
            <w:gridSpan w:val="1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62</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62</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10.</w:t>
            </w:r>
          </w:p>
        </w:tc>
        <w:tc>
          <w:tcPr>
            <w:tcW w:w="4380" w:type="dxa"/>
            <w:vAlign w:val="bottom"/>
            <w:gridSpan w:val="12"/>
          </w:tcPr>
          <w:p>
            <w:pPr>
              <w:spacing w:after="0"/>
              <w:rPr>
                <w:rFonts w:ascii="Arial" w:cs="Arial" w:eastAsia="Arial" w:hAnsi="Arial"/>
                <w:sz w:val="18"/>
                <w:szCs w:val="18"/>
                <w:b w:val="1"/>
                <w:bCs w:val="1"/>
                <w:color w:val="0000EE"/>
                <w:w w:val="90"/>
              </w:rPr>
            </w:pPr>
            <w:hyperlink w:anchor="page99">
              <w:r>
                <w:rPr>
                  <w:rFonts w:ascii="Arial" w:cs="Arial" w:eastAsia="Arial" w:hAnsi="Arial"/>
                  <w:sz w:val="18"/>
                  <w:szCs w:val="18"/>
                  <w:b w:val="1"/>
                  <w:bCs w:val="1"/>
                  <w:color w:val="0000EE"/>
                  <w:w w:val="90"/>
                </w:rPr>
                <w:t>Directors, Executive Officers and Corporate Governance</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11.</w:t>
            </w:r>
          </w:p>
        </w:tc>
        <w:tc>
          <w:tcPr>
            <w:tcW w:w="4380" w:type="dxa"/>
            <w:vAlign w:val="bottom"/>
            <w:gridSpan w:val="12"/>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Executive Compensation</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12.</w:t>
            </w:r>
          </w:p>
        </w:tc>
        <w:tc>
          <w:tcPr>
            <w:tcW w:w="8560" w:type="dxa"/>
            <w:vAlign w:val="bottom"/>
            <w:gridSpan w:val="19"/>
          </w:tcPr>
          <w:p>
            <w:pPr>
              <w:spacing w:after="0"/>
              <w:rPr>
                <w:rFonts w:ascii="Arial" w:cs="Arial" w:eastAsia="Arial" w:hAnsi="Arial"/>
                <w:sz w:val="18"/>
                <w:szCs w:val="18"/>
                <w:b w:val="1"/>
                <w:bCs w:val="1"/>
                <w:color w:val="0000EE"/>
                <w:w w:val="99"/>
              </w:rPr>
            </w:pPr>
            <w:hyperlink w:anchor="page99">
              <w:r>
                <w:rPr>
                  <w:rFonts w:ascii="Arial" w:cs="Arial" w:eastAsia="Arial" w:hAnsi="Arial"/>
                  <w:sz w:val="18"/>
                  <w:szCs w:val="18"/>
                  <w:b w:val="1"/>
                  <w:bCs w:val="1"/>
                  <w:color w:val="0000EE"/>
                  <w:w w:val="99"/>
                </w:rPr>
                <w:t>Security Ownership of Certain Beneficial Owners and Management and Related Stockholder Matters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13.</w:t>
            </w:r>
          </w:p>
        </w:tc>
        <w:tc>
          <w:tcPr>
            <w:tcW w:w="7800" w:type="dxa"/>
            <w:vAlign w:val="bottom"/>
            <w:gridSpan w:val="17"/>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Certain Relationships and Related Transactions, and Director Independence</w:t>
              </w:r>
            </w:hyperlink>
          </w:p>
        </w:tc>
        <w:tc>
          <w:tcPr>
            <w:tcW w:w="760" w:type="dxa"/>
            <w:vAlign w:val="bottom"/>
            <w:gridSpan w:val="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14.</w:t>
            </w:r>
          </w:p>
        </w:tc>
        <w:tc>
          <w:tcPr>
            <w:tcW w:w="3040" w:type="dxa"/>
            <w:vAlign w:val="bottom"/>
            <w:gridSpan w:val="9"/>
          </w:tcPr>
          <w:p>
            <w:pPr>
              <w:spacing w:after="0"/>
              <w:rPr>
                <w:rFonts w:ascii="Arial" w:cs="Arial" w:eastAsia="Arial" w:hAnsi="Arial"/>
                <w:sz w:val="18"/>
                <w:szCs w:val="18"/>
                <w:b w:val="1"/>
                <w:bCs w:val="1"/>
                <w:color w:val="0000EE"/>
                <w:w w:val="88"/>
              </w:rPr>
            </w:pPr>
            <w:hyperlink w:anchor="page99">
              <w:r>
                <w:rPr>
                  <w:rFonts w:ascii="Arial" w:cs="Arial" w:eastAsia="Arial" w:hAnsi="Arial"/>
                  <w:sz w:val="18"/>
                  <w:szCs w:val="18"/>
                  <w:b w:val="1"/>
                  <w:bCs w:val="1"/>
                  <w:color w:val="0000EE"/>
                  <w:w w:val="88"/>
                </w:rPr>
                <w:t>Principal Accounting Fees and Services</w:t>
              </w:r>
            </w:hyperlink>
          </w:p>
        </w:tc>
        <w:tc>
          <w:tcPr>
            <w:tcW w:w="2820" w:type="dxa"/>
            <w:vAlign w:val="bottom"/>
            <w:gridSpan w:val="5"/>
          </w:tcPr>
          <w:p>
            <w:pPr>
              <w:spacing w:after="0"/>
              <w:rPr>
                <w:sz w:val="24"/>
                <w:szCs w:val="24"/>
                <w:color w:val="auto"/>
              </w:rPr>
            </w:pPr>
          </w:p>
        </w:tc>
        <w:tc>
          <w:tcPr>
            <w:tcW w:w="2700" w:type="dxa"/>
            <w:vAlign w:val="bottom"/>
            <w:gridSpan w:val="5"/>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15.</w:t>
            </w:r>
          </w:p>
        </w:tc>
        <w:tc>
          <w:tcPr>
            <w:tcW w:w="8560" w:type="dxa"/>
            <w:vAlign w:val="bottom"/>
            <w:gridSpan w:val="19"/>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Exhibits, Financial Statement Schedules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62</w:t>
              </w:r>
            </w:hyperlink>
          </w:p>
        </w:tc>
      </w:tr>
      <w:tr>
        <w:trPr>
          <w:trHeight w:val="72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80" w:type="dxa"/>
            <w:vAlign w:val="bottom"/>
            <w:tcBorders>
              <w:top w:val="single" w:sz="8" w:color="0000EE"/>
            </w:tcBorders>
            <w:gridSpan w:val="10"/>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060"/>
          </w:cols>
          <w:pgMar w:left="280" w:top="931"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75" w:lineRule="exact"/>
        <w:rPr>
          <w:sz w:val="20"/>
          <w:szCs w:val="20"/>
          <w:color w:val="auto"/>
        </w:rPr>
      </w:pPr>
    </w:p>
    <w:p>
      <w:pPr>
        <w:jc w:val="center"/>
        <w:ind w:left="360"/>
        <w:spacing w:after="0"/>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March 31, 2014 references to:</w:t>
      </w:r>
    </w:p>
    <w:p>
      <w:pPr>
        <w:spacing w:after="0" w:line="46" w:lineRule="exact"/>
        <w:rPr>
          <w:sz w:val="20"/>
          <w:szCs w:val="20"/>
          <w:color w:val="auto"/>
        </w:rPr>
      </w:pPr>
    </w:p>
    <w:p>
      <w:pPr>
        <w:ind w:firstLine="8"/>
        <w:spacing w:after="0" w:line="252" w:lineRule="auto"/>
        <w:tabs>
          <w:tab w:leader="none" w:pos="2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refers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2014. We have made rounding adjustments to reach some of the figures included in this Annual Report and, unless otherwise indicated, percentages presented in this Annual Report are approximate.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48" w:lineRule="exact"/>
        <w:rPr>
          <w:sz w:val="20"/>
          <w:szCs w:val="20"/>
          <w:color w:val="auto"/>
        </w:rPr>
      </w:pPr>
    </w:p>
    <w:p>
      <w:pPr>
        <w:ind w:left="540" w:right="200" w:hanging="316"/>
        <w:spacing w:after="0" w:line="25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Consolidated Appropriations Act, 2014),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w:t>
      </w:r>
    </w:p>
    <w:p>
      <w:pPr>
        <w:spacing w:after="0" w:line="3" w:lineRule="exact"/>
        <w:rPr>
          <w:rFonts w:ascii="Arial" w:cs="Arial" w:eastAsia="Arial" w:hAnsi="Arial"/>
          <w:sz w:val="18"/>
          <w:szCs w:val="18"/>
          <w:color w:val="auto"/>
        </w:rPr>
      </w:pPr>
    </w:p>
    <w:p>
      <w:pPr>
        <w:ind w:left="540" w:right="40" w:hanging="316"/>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w:t>
      </w:r>
    </w:p>
    <w:p>
      <w:pPr>
        <w:ind w:left="540" w:right="8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w:t>
      </w:r>
    </w:p>
    <w:p>
      <w:pPr>
        <w:spacing w:after="0" w:line="1" w:lineRule="exact"/>
        <w:rPr>
          <w:rFonts w:ascii="Arial" w:cs="Arial" w:eastAsia="Arial" w:hAnsi="Arial"/>
          <w:sz w:val="18"/>
          <w:szCs w:val="18"/>
          <w:color w:val="auto"/>
        </w:rPr>
      </w:pPr>
    </w:p>
    <w:p>
      <w:pPr>
        <w:ind w:left="540" w:right="76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ind w:left="540" w:right="460" w:hanging="316"/>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numerous laws and regulations;</w:t>
      </w:r>
    </w:p>
    <w:p>
      <w:pPr>
        <w:spacing w:after="0" w:line="9" w:lineRule="exact"/>
        <w:rPr>
          <w:rFonts w:ascii="Arial" w:cs="Arial" w:eastAsia="Arial" w:hAnsi="Arial"/>
          <w:sz w:val="18"/>
          <w:szCs w:val="18"/>
          <w:color w:val="auto"/>
        </w:rPr>
      </w:pPr>
    </w:p>
    <w:p>
      <w:pPr>
        <w:ind w:left="540" w:right="10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under certain of our contracts;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realize the full value of and replenish our backlog and the timing of our receipt of revenue under contracts included in backlog;</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experience, and security clearances;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hire, assimilate, and deploy enough employees to serve our clients under existing contracts;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timely and effectively utilize our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us or our employees to obtain and maintain necessary security clearances;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688" w:right="259" w:bottom="1440" w:gutter="0" w:footer="0" w:header="0"/>
        </w:sectPr>
      </w:pPr>
    </w:p>
    <w:bookmarkStart w:id="4" w:name="page5"/>
    <w:bookmarkEnd w:id="4"/>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23" w:lineRule="exact"/>
        <w:rPr>
          <w:rFonts w:ascii="Arial" w:cs="Arial" w:eastAsia="Arial" w:hAnsi="Arial"/>
          <w:sz w:val="18"/>
          <w:szCs w:val="18"/>
          <w:color w:val="auto"/>
        </w:rPr>
      </w:pPr>
    </w:p>
    <w:p>
      <w:pPr>
        <w:ind w:left="540" w:right="50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ind w:left="540" w:right="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w:t>
      </w:r>
    </w:p>
    <w:p>
      <w:pPr>
        <w:spacing w:after="0" w:line="9" w:lineRule="exact"/>
        <w:rPr>
          <w:rFonts w:ascii="Arial" w:cs="Arial" w:eastAsia="Arial" w:hAnsi="Arial"/>
          <w:sz w:val="18"/>
          <w:szCs w:val="18"/>
          <w:color w:val="auto"/>
        </w:rPr>
      </w:pPr>
    </w:p>
    <w:p>
      <w:pPr>
        <w:jc w:val="both"/>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w:t>
      </w:r>
    </w:p>
    <w:p>
      <w:pPr>
        <w:spacing w:after="0" w:line="1"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ind w:left="540" w:right="2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new relationships, clients, capabilities, and service offerings in our U.S. and international businesses;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32"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including a change in law;</w:t>
      </w:r>
    </w:p>
    <w:p>
      <w:pPr>
        <w:spacing w:after="0" w:line="9" w:lineRule="exact"/>
        <w:rPr>
          <w:rFonts w:ascii="Arial" w:cs="Arial" w:eastAsia="Arial" w:hAnsi="Arial"/>
          <w:sz w:val="18"/>
          <w:szCs w:val="18"/>
          <w:color w:val="auto"/>
        </w:rPr>
      </w:pPr>
    </w:p>
    <w:p>
      <w:pPr>
        <w:ind w:left="540" w:right="44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 and</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Annual Report.</w:t>
      </w:r>
    </w:p>
    <w:p>
      <w:pPr>
        <w:spacing w:after="0" w:line="15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692"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a leading provider of management consulting, technology, and engineering services to the U.S. government in the defense, intelligence, and civil markets. Additionally, we provide management and technology consulting services to major corporations, institutions, not-for-profit organizations, and international clients.</w:t>
      </w:r>
    </w:p>
    <w:p>
      <w:pPr>
        <w:spacing w:after="0" w:line="127"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are a well-known, trusted and long-term partner to our clients, who seek our expertise and objective advice to address their most important and complex problems. Leveraging our 100-year consulting heritage and a talent base of approximately 22,700 people, we deploy our deep domain knowledge, functional and technical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w:t>
      </w:r>
    </w:p>
    <w:p>
      <w:pPr>
        <w:spacing w:after="0" w:line="10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technology, engineering, and analytics.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Our international clients are primarily in the Middle East.</w:t>
      </w:r>
    </w:p>
    <w:p>
      <w:pPr>
        <w:spacing w:after="0" w:line="12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business strategy focuses on the proactive development, scaling, and delivery of market relevant capabilities to meet the needs of our clients today and, more importantly, will meet the needs the needs of our clients in the future. Our approach has long been to ensure that we have prime or subcontractor positions on a wide range of contracts that allow clients to access our services. We believe that our implementation of this strategy and approach is reflected in the fact that over 79% of our revenue in our fiscal year 2014 was derived from task orders under indefinite delivery, indefinite quantity (ID/IQ) contract vehicles (inclusive of GSA Schedules and GWACs).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 and Financial History</w:t>
      </w:r>
    </w:p>
    <w:p>
      <w:pPr>
        <w:spacing w:after="0" w:line="1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are organized and operate as a corporation. Our use of the term “partnership” reflects our collaborative culture, and our use of the term “partner” refers to our Chairman and our Senior and Executive Vice Presidents. The use of the terms “partnership” and “partner” is not meant to create any implication that we operate our company as, or have any intention to create a legal entity that is, a partnership.</w:t>
      </w:r>
    </w:p>
    <w:p>
      <w:pPr>
        <w:spacing w:after="0" w:line="4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 off of the commercial and international business, and the sale of 100% of its outstanding common stock to Booz Allen Holding, which was majority owned by The Carlyle Group and certain of its affiliated investment funds, or Carlyle. Our company is a corporation that is the successor to the government business of Booz Allen Hamilton following the separation. The aforementioned transactions are referred to in this Annual Report as the acquisition.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 to Our Clients</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a leading provider of management consulting, technology, and engineering services to the U.S. government and a provider of such services to major corporations, institutions, and not-for-profit organizations, we believe that we are well positioned to grow across markets characterized by increasing and rapid change. We believe that our dedication to client service and our focus on client success, the quality of our people, the flexibility of our institution and operating model based on our management consulting heritage, the breadth of our functional capabilities, and our focus on innovation provide the strong foundation necessary for our growth.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8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People</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success as a management consulting, technology, and engineering services firm is highly dependent upon the quality, integrity, and dedication of our people.</w:t>
      </w:r>
    </w:p>
    <w:p>
      <w:pPr>
        <w:spacing w:after="0" w:line="11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Superior Talent Base. </w:t>
      </w:r>
      <w:r>
        <w:rPr>
          <w:rFonts w:ascii="Arial" w:cs="Arial" w:eastAsia="Arial" w:hAnsi="Arial"/>
          <w:sz w:val="16"/>
          <w:szCs w:val="16"/>
          <w:color w:val="auto"/>
        </w:rPr>
        <w:t>We have a highly educated talent base of approximately 22,700 people: as of March 31, 2014, 78% held bachelor degrees, 39%</w:t>
      </w:r>
      <w:r>
        <w:rPr>
          <w:rFonts w:ascii="Arial" w:cs="Arial" w:eastAsia="Arial" w:hAnsi="Arial"/>
          <w:sz w:val="16"/>
          <w:szCs w:val="16"/>
          <w:i w:val="1"/>
          <w:iCs w:val="1"/>
          <w:color w:val="auto"/>
        </w:rPr>
        <w:t xml:space="preserve"> </w:t>
      </w:r>
      <w:r>
        <w:rPr>
          <w:rFonts w:ascii="Arial" w:cs="Arial" w:eastAsia="Arial" w:hAnsi="Arial"/>
          <w:sz w:val="16"/>
          <w:szCs w:val="16"/>
          <w:color w:val="auto"/>
        </w:rPr>
        <w:t>held masters degrees and 3% held doctoral degrees (not including employees from ASE, Inc., one of our wholly owned subsidiaries). In addition, many of the U.S. government contracts for which we compete require contractors to have high-level security clearances, and our large pool of cleared employees allows us to meet these needs. As of March 31, 2014, 75% of our people held government security clearances, which include Secret, Top Secret, Top Secret/Sensitive Compartmented Information and Sensitive Compartmented Information. High-level security clearances generally afford a person access to data that affects national security, counterterrorism or counterintelligence, or other highly sensitive data. Through internal referrals, internships and external recruiting efforts, we are able to successfully renew and grow our talent base, and we believe that our ability to attract top level talent is significantly enhanced by our commitment to professional development, our position as a leader in our markets, the high quality of our work and people, and the appeal of our culture.</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Career Progression and a Focus on Talent Development. </w:t>
      </w:r>
      <w:r>
        <w:rPr>
          <w:rFonts w:ascii="Arial" w:cs="Arial" w:eastAsia="Arial" w:hAnsi="Arial"/>
          <w:sz w:val="16"/>
          <w:szCs w:val="16"/>
          <w:color w:val="auto"/>
        </w:rPr>
        <w:t>To encourage development and progression, we provide our people with the opportunity to</w:t>
      </w:r>
      <w:r>
        <w:rPr>
          <w:rFonts w:ascii="Arial" w:cs="Arial" w:eastAsia="Arial" w:hAnsi="Arial"/>
          <w:sz w:val="16"/>
          <w:szCs w:val="16"/>
          <w:i w:val="1"/>
          <w:iCs w:val="1"/>
          <w:color w:val="auto"/>
        </w:rPr>
        <w:t xml:space="preserve"> </w:t>
      </w:r>
      <w:r>
        <w:rPr>
          <w:rFonts w:ascii="Arial" w:cs="Arial" w:eastAsia="Arial" w:hAnsi="Arial"/>
          <w:sz w:val="16"/>
          <w:szCs w:val="16"/>
          <w:color w:val="auto"/>
        </w:rPr>
        <w:t>work on important and complex problems, encourage and acknowledge contributions of people at all levels of seniority, and encourage broad, inclusive, and insightful leadership. In furtherance of these goals, we have introduced a new career progression and people development model designed to recognize and reward employees based on differentiated roles within two tracks: our traditional management consulting track and an engineering and technology track. We continue to leverage an assessment process that helps promote and enforce the consistency of our collaborative culture, core values, and ethics. We also encourage our people to continue developing their substantive skills through continuing education and provide funding for tuition assistance and technical certifications. Our learning programs, which have consistently been recognized as best-in-class in the industry, include partnerships with universities, vendors, and online content providers. These programs offer convenient, cost-effective, quality educational opportunities that are aligned with our core capabilities.</w:t>
      </w:r>
    </w:p>
    <w:p>
      <w:pPr>
        <w:spacing w:after="0" w:line="11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i w:val="1"/>
          <w:iCs w:val="1"/>
          <w:color w:val="auto"/>
        </w:rPr>
        <w:t xml:space="preserve">Core Values. </w:t>
      </w:r>
      <w:r>
        <w:rPr>
          <w:rFonts w:ascii="Arial" w:cs="Arial" w:eastAsia="Arial" w:hAnsi="Arial"/>
          <w:sz w:val="17"/>
          <w:szCs w:val="17"/>
          <w:color w:val="auto"/>
        </w:rPr>
        <w:t>We believe that one of the key components of our success is our focus on core values. Our core values are: client service, diversity,</w:t>
      </w:r>
      <w:r>
        <w:rPr>
          <w:rFonts w:ascii="Arial" w:cs="Arial" w:eastAsia="Arial" w:hAnsi="Arial"/>
          <w:sz w:val="17"/>
          <w:szCs w:val="17"/>
          <w:i w:val="1"/>
          <w:iCs w:val="1"/>
          <w:color w:val="auto"/>
        </w:rPr>
        <w:t xml:space="preserve"> </w:t>
      </w:r>
      <w:r>
        <w:rPr>
          <w:rFonts w:ascii="Arial" w:cs="Arial" w:eastAsia="Arial" w:hAnsi="Arial"/>
          <w:sz w:val="17"/>
          <w:szCs w:val="17"/>
          <w:color w:val="auto"/>
        </w:rPr>
        <w:t>excellence, entrepreneurship, teamwork, professionalism, fairness, integrity, respect, and trust. All new hires receive extensive training that emphasizes our core values, facilitates their integration into our collaborative, client-oriented culture, and helps to ensure the delivery of consistent and exceptional client service. As of March 31, 2014, 100% of our employees participated in internal training including mandatory annual ethics training for all employees, as well as additional specialized ethics and compliance training based on job requirements.</w:t>
      </w:r>
    </w:p>
    <w:p>
      <w:pPr>
        <w:spacing w:after="0" w:line="11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emphasis that we place on our people continues to receive external recognition. External awards and recognition include being named to the “Best Companies” to work for lists published by Working Mother, GI Jobs, CareerBliss, Alliance for Workplace Excellence, and a number of other publications and associations. Additionally, the company was named in 2012, 2013, and 2014 as one of Fortune Magazine’s “The World’s Most Admired Companies,” a list based on quality and brand reputation.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Institution and Operating Model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attribute the strength of our client relationships, the commitment of our people, and our strong financial position to our management</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consulting heritage and collaborative culture, which instills a relentless focus on delivering value and enduring results to our clients. We operate our business as a single profit center, which drives our ability to collaborate internally and compete externally. We believe that we serve our clients best when we go to market as a whole firm rather than as a collection of individual business units or profit centers.</w:t>
      </w:r>
    </w:p>
    <w:p>
      <w:pPr>
        <w:spacing w:after="0" w:line="136"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Our operating model is built on our dedication to client service, which focuses on leveraging our experience and knowledge to provide differentiated insights and our partnership-style culture and compensation system, which fosters collaboration and the efficient allocation of our people across markets, clients, and opportunities. Our approach to the market leverages our deep domain expertise in the defense, intelligence, and civil government markets and commercial and international markets with our strong functional capabilities.</w:t>
      </w:r>
    </w:p>
    <w:p>
      <w:pPr>
        <w:spacing w:after="0" w:line="5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Our Approach to Client Service. </w:t>
      </w:r>
      <w:r>
        <w:rPr>
          <w:rFonts w:ascii="Arial" w:cs="Arial" w:eastAsia="Arial" w:hAnsi="Arial"/>
          <w:sz w:val="18"/>
          <w:szCs w:val="18"/>
          <w:color w:val="auto"/>
        </w:rPr>
        <w:t>Over the past 100 years of serving clients and the 74 years that we have been supporting the U.S. government,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cultivated relationships of trust with, and developed a comprehensive understanding of, our clients. This insight regarding our clients, together with our deep domain knowledge and functional capabilities, enable us to anticipate, identify, and address the specific needs of our clients. While working on contract engagements, our people work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develop a holistic understanding of the issues and challenges facing the client to ensure that our advice helps them achieve enduring results.</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Across all sectors, our clients are facing ever-more challenging issues. We address the complex and evolving needs of our clients by deploying teams of staff with deep mission understanding, market-leading functional capabilities, consulting talent, and true technical and engineering expertise. These staff and functional capabilities are housed within market-facing teams and our cross-market Strategic Innovation Group, while being connected and developed through a strong network of internal communities and an internal resource management function that has the charter to move staff across the entire firm. This approach enables us to quickly assemble, deploy, and redeploy when necessary, multi-faceted client-facing teams comprised of people with the right skills and expertise needed to address specific client challenges. This ability is central to the differentiated value proposition of Booz Allen. We believe that our significant win rates on new and re-competed contracts demonstrate the strength of this approach as well as our industry-leading reputation and our proven track record.</w:t>
      </w:r>
    </w:p>
    <w:p>
      <w:pPr>
        <w:spacing w:after="0" w:line="13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Partnership-Style Culture and Compensation System. </w:t>
      </w:r>
      <w:r>
        <w:rPr>
          <w:rFonts w:ascii="Arial" w:cs="Arial" w:eastAsia="Arial" w:hAnsi="Arial"/>
          <w:sz w:val="18"/>
          <w:szCs w:val="18"/>
          <w:color w:val="auto"/>
        </w:rPr>
        <w:t>A commitment to teamwork is deeply ingrained in our company, and our partnership-style culture</w:t>
      </w:r>
      <w:r>
        <w:rPr>
          <w:rFonts w:ascii="Arial" w:cs="Arial" w:eastAsia="Arial" w:hAnsi="Arial"/>
          <w:sz w:val="18"/>
          <w:szCs w:val="18"/>
          <w:i w:val="1"/>
          <w:iCs w:val="1"/>
          <w:color w:val="auto"/>
        </w:rPr>
        <w:t xml:space="preserve"> </w:t>
      </w:r>
      <w:r>
        <w:rPr>
          <w:rFonts w:ascii="Arial" w:cs="Arial" w:eastAsia="Arial" w:hAnsi="Arial"/>
          <w:sz w:val="18"/>
          <w:szCs w:val="18"/>
          <w:color w:val="auto"/>
        </w:rPr>
        <w:t>is critical to maintaining this feature of our operating model. We manage our company as a single profit center with a partner-style compensation system that focuses on the success of the institution over the success of the individual. This distinctive system fosters internal collaboration that allows us to better compete externally by motivating our partners to act in the best interest of the institution. As a result, we are able to rapidly and efficiently deploy our people and resources across markets, clients, and opportunities. This makes us more responsive to the market and better able to bring all the resources of the company to bear in support of specific client needs.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Functional Capabilities</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provide services to clients by drawing on our functional capability areas described below. These services fall into the broad areas of management consulting and mission operations and engineering and technology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Consulting and Mission Operations</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provide consulting services to help clients define and achieve their strategic objectives, improve the effectiveness and efficiency of their organization, and ensure the readiness and performance of their workforce. We focus on supporting our clients' most important missions and on transforming our clients' ability to deliver against mission objectives. From operational and business planning to mission performance and strategic decision making, we have the analytic expertise to help clients make informed decisions with deeper insight, less risk, and greater certainty. Our functional capabilities aligned with management consulting and mission operations include: management consulting, human capital and learning, communications, decision analytics, national security and policy analytics, acquisition, and program management and logistics.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Engineering Services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technology and engineering services capabilities focus on helping clients solve their mission-critical needs through the deployment of advanced technological solutions and techniques, scientific exploration, rapid prototyping, full-spectrum engineering, program development and integration. Our highly skilled technology experts and engineers maintain deep knowledge of current technology trends and applications. Our experts combine specialized skills with a collaborative problem-solving approach to ensure that we understand a client's mission and objectives and, based on that understanding, design, develop, and implement technology solutions to support our client's mission and objectives. Our functional capabilities aligned with engineering and technology services include: cyber security, software development and architecture, networks and information technology infrastructure, cloud analytics and tools, engineering, and sciences.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Focus on Innovation, Technology, and Engineering Excellence</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clients’ missions, from national security to financial services to healthcare, have become ever more demanding. Advances in technology have brought the potential for development of new capabilities, but those capabilities are often accompanied by increased cost, complexity, and challenges such as cybersecurity. Our combination of mission understanding and technical and engineering expertise enables our clients to carry out their mission more effectively and efficiently through the use of innovative technologies and analytic approaches. We help clients execute their missions more efficiently by building upon their installed base, enhancing the capabilities of existing platforms, and ensuring the integration of systems and technologies across their enterprises.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773"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 for Growth</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serve our clients by identifying, analyzing, and solving their most complex problems. We leverage our deep domain knowledge and understanding of their core missions while providing differentiated functional capabilities in management consulting and mission operations and technology and engineering services. We anticipate developments that will have near- and long-term impacts on our clients' operations and build capabilities and innovative service offerings accordingly. To serve our clients and grow our business, we intend to execute the following strategies: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 Growth Opportunities Across our Addressable Market</w:t>
      </w:r>
    </w:p>
    <w:p>
      <w:pPr>
        <w:spacing w:after="0" w:line="25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intend to capitalize on our scale, our reputation as a trusted long-term partner, the scope of our domain expertise, and our functional capabilities to continue to maintain and grow our existing U.S. government client relationships and expand the scope of the services we provide across our U.S. government client base. In addition, we intend to leverage the capabilities and services that we have developed for our U.S. government clients to expand our portfolio of clients with investments in the continued growth of our commercial and international business.</w:t>
      </w:r>
    </w:p>
    <w:p>
      <w:pPr>
        <w:spacing w:after="0" w:line="19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i w:val="1"/>
          <w:iCs w:val="1"/>
          <w:color w:val="auto"/>
        </w:rPr>
        <w:t>U.S. Government Clients.</w:t>
      </w:r>
      <w:r>
        <w:rPr>
          <w:rFonts w:ascii="Arial" w:cs="Arial" w:eastAsia="Arial" w:hAnsi="Arial"/>
          <w:sz w:val="18"/>
          <w:szCs w:val="18"/>
          <w:color w:val="auto"/>
        </w:rPr>
        <w:t>We believe that significant growth opportunities exist in our U.S. government markets. We intend to capitalize on our scale,</w:t>
      </w:r>
      <w:r>
        <w:rPr>
          <w:rFonts w:ascii="Arial" w:cs="Arial" w:eastAsia="Arial" w:hAnsi="Arial"/>
          <w:sz w:val="18"/>
          <w:szCs w:val="18"/>
          <w:i w:val="1"/>
          <w:iCs w:val="1"/>
          <w:color w:val="auto"/>
        </w:rPr>
        <w:t xml:space="preserve"> </w:t>
      </w:r>
      <w:r>
        <w:rPr>
          <w:rFonts w:ascii="Arial" w:cs="Arial" w:eastAsia="Arial" w:hAnsi="Arial"/>
          <w:sz w:val="18"/>
          <w:szCs w:val="18"/>
          <w:color w:val="auto"/>
        </w:rPr>
        <w:t>our reputation as a trusted long-term partner, the scope of our domain expertise, and our functional capabilities to continue to maintain and grow our existing U.S. government client relationships and expand the scope of the service we provide across our U.S. government client base. We will continue to help our U.S. government clients recognize more efficient and effective mission execution by deploying our objective insight and expertise across current and future contract engagements. We plan to leverage our comprehensive understanding of our U.S. government clients’ needs to develop and apply emerging capabilities to solve their mission-critical problems.</w:t>
      </w:r>
    </w:p>
    <w:p>
      <w:pPr>
        <w:spacing w:after="0" w:line="139"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i w:val="1"/>
          <w:iCs w:val="1"/>
          <w:color w:val="auto"/>
        </w:rPr>
        <w:t xml:space="preserve">Commercial Clients. </w:t>
      </w:r>
      <w:r>
        <w:rPr>
          <w:rFonts w:ascii="Arial" w:cs="Arial" w:eastAsia="Arial" w:hAnsi="Arial"/>
          <w:sz w:val="17"/>
          <w:szCs w:val="17"/>
          <w:color w:val="auto"/>
        </w:rPr>
        <w:t>We have built a growing presence in the commercial market. Our expertise in analytics, compliance and cyber technology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is a competitive advantage for commercial clients in financial services, healthcare, energy, and other sectors in which the protection of critical infrastructure, the security of transactions, and the privacy of information is of paramount importance. While still small relative to the size of our overall business portfolio, our commercial business has shown impressive growth rates and profit margins over the past two years, and we believe there are further attractive growth opportunities in this sector. We have made strategic senior hires and established offices in strategically important locations that have a concentration of potential commercial clients, such as New York City and Houston.</w:t>
      </w:r>
    </w:p>
    <w:p>
      <w:pPr>
        <w:spacing w:after="0" w:line="124"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i w:val="1"/>
          <w:iCs w:val="1"/>
          <w:color w:val="auto"/>
        </w:rPr>
        <w:t>International Clients. W</w:t>
      </w:r>
      <w:r>
        <w:rPr>
          <w:rFonts w:ascii="Arial" w:cs="Arial" w:eastAsia="Arial" w:hAnsi="Arial"/>
          <w:sz w:val="16"/>
          <w:szCs w:val="16"/>
          <w:color w:val="auto"/>
        </w:rPr>
        <w:t>e continue to pursue opportunities to grow internationally and are investing in further strengthening our business leadership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presence in focused regions outside of the United States where we see attractive growth potential. Our primary international activities are in the Middle East and North Africa region, building on a long-term presence in that area supporting military needs of allied countries, and expanding more recently into public and private sector work in areas such as cyber security, analytics, strategy, and improving business operations. Given our success to date and belief in the potential for further growth, we plan to add significantly to our in-country presence in the MENA region during the coming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 on our Differentiated Capabilities in Areas with Growth Potential</w:t>
      </w:r>
    </w:p>
    <w:p>
      <w:pPr>
        <w:spacing w:after="0" w:line="17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founding partner, Edwin Booz, is often credited with starting the management consulting profession 100 years ago. We continue to build on his innovative idea and problem solving methodology to help clients in government and industry understand and identify the key drivers of mission success and then put in place the people, processes, and technology to deliver enduring results for clients.</w:t>
      </w:r>
    </w:p>
    <w:p>
      <w:pPr>
        <w:spacing w:after="0" w:line="12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focus on innovation and building capabilities for both near-term and long-term advantage - both to our clients and to our institution, as opposed to focusing strictly on winning individual procurements. This is a success strategy we have followed for many decades. Our innovations over our 100-year history have included the co-development of the PERT critical path methodology for complex system development; the product life cycle; as well as industry-leading capabilities in cybersecurity, advanced analytics, and advanced engineering/rapid prototyping. Today, we are focused on several areas of core competency that we believe are directly tied to our clients’ mission and business success, and therefore represent growth platforms in our business.</w:t>
      </w:r>
    </w:p>
    <w:p>
      <w:pPr>
        <w:spacing w:after="0" w:line="104"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i w:val="1"/>
          <w:iCs w:val="1"/>
          <w:color w:val="auto"/>
        </w:rPr>
        <w:t xml:space="preserve">Systems/Software Development. </w:t>
      </w:r>
      <w:r>
        <w:rPr>
          <w:rFonts w:ascii="Arial" w:cs="Arial" w:eastAsia="Arial" w:hAnsi="Arial"/>
          <w:sz w:val="16"/>
          <w:szCs w:val="16"/>
          <w:color w:val="auto"/>
        </w:rPr>
        <w:t>We have delivered high quality systems development solutions to government and commercial clients for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four decades. Our computer scientists, engineers, and strategists combine deep technical expertise with a keen understanding of our clients’ missions to deliver value through solutions that work in the current operational environment and are designed to meet anticipated future needs. We have created an integrated Functional Standards group dedicated to ensuring: functional standards sustainment, including maintaining the firm’s CMMI/ISO rating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93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certification; implementation according to a standardized systems development framework; defect prevention; and delivery excellence.</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i w:val="1"/>
          <w:iCs w:val="1"/>
          <w:color w:val="auto"/>
        </w:rPr>
        <w:t xml:space="preserve">Engineering. </w:t>
      </w:r>
      <w:r>
        <w:rPr>
          <w:rFonts w:ascii="Arial" w:cs="Arial" w:eastAsia="Arial" w:hAnsi="Arial"/>
          <w:sz w:val="18"/>
          <w:szCs w:val="18"/>
          <w:color w:val="auto"/>
        </w:rPr>
        <w:t>Many of our senior leaders and a significant portion of our employees have degrees in engineering or related disciplines. Engineering is a</w:t>
      </w:r>
      <w:r>
        <w:rPr>
          <w:rFonts w:ascii="Arial" w:cs="Arial" w:eastAsia="Arial" w:hAnsi="Arial"/>
          <w:sz w:val="18"/>
          <w:szCs w:val="18"/>
          <w:i w:val="1"/>
          <w:iCs w:val="1"/>
          <w:color w:val="auto"/>
        </w:rPr>
        <w:t xml:space="preserve"> </w:t>
      </w:r>
      <w:r>
        <w:rPr>
          <w:rFonts w:ascii="Arial" w:cs="Arial" w:eastAsia="Arial" w:hAnsi="Arial"/>
          <w:sz w:val="18"/>
          <w:szCs w:val="18"/>
          <w:color w:val="auto"/>
        </w:rPr>
        <w:t>core competency of our firm, which is directly relevant to our clients’ challenges, and this emphasis encourages a disciplined approach to problem-solving and solution design. In recent years, we developed our engineering capabilities through investment and acquisition, including the 2012 acquisition of the Defense Systems and Engineering Support division of ARINC Incorporated. This continued development enables us to bring to our clients broader and deeper technical expertise in technical areas such as Command, Control, Communications, Computers, Intelligence, Surveillance and Reconnaissance (C4ISR), payload integration, and platform modernization. All projects performed within Booz Allen Engineering Services are compliant with our ISO 9001:2008 and/or AS9100 certifications.</w:t>
      </w:r>
    </w:p>
    <w:p>
      <w:pPr>
        <w:spacing w:after="0" w:line="135" w:lineRule="exact"/>
        <w:rPr>
          <w:sz w:val="20"/>
          <w:szCs w:val="20"/>
          <w:color w:val="auto"/>
        </w:rPr>
      </w:pPr>
    </w:p>
    <w:p>
      <w:pPr>
        <w:ind w:right="20" w:firstLine="405"/>
        <w:spacing w:after="0" w:line="277" w:lineRule="auto"/>
        <w:rPr>
          <w:sz w:val="20"/>
          <w:szCs w:val="20"/>
          <w:color w:val="auto"/>
        </w:rPr>
      </w:pPr>
      <w:r>
        <w:rPr>
          <w:rFonts w:ascii="Arial" w:cs="Arial" w:eastAsia="Arial" w:hAnsi="Arial"/>
          <w:sz w:val="16"/>
          <w:szCs w:val="16"/>
          <w:i w:val="1"/>
          <w:iCs w:val="1"/>
          <w:color w:val="auto"/>
        </w:rPr>
        <w:t xml:space="preserve">Cyber. </w:t>
      </w:r>
      <w:r>
        <w:rPr>
          <w:rFonts w:ascii="Arial" w:cs="Arial" w:eastAsia="Arial" w:hAnsi="Arial"/>
          <w:sz w:val="16"/>
          <w:szCs w:val="16"/>
          <w:color w:val="auto"/>
        </w:rPr>
        <w:t>Network-enabled technology is an integral component of our economy, infrastructure, and national and international security. We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solutions designed to protect critical infrastructure systems and to meet new and evolving cyber warfare threats. Since 1999, we have been focused on cyber and predecessor areas, such as information assurance. We are currently involved in important cyber-related initiatives for national defense, serving clients including the U.S. Cyber Command and defense, intelligence, and civil clients. Additionally, we are supporting commercial clients, especially those in the financial services industry, in their cyber-security initiatives. Our cyber professionals, many of whom have the highest security clearances to handle the most sensitive materials, assist clients in all phases of cyber-security operations and dynamic network defense. We develop cyber-security solutions utilizing a multi-dimensional approach including people, operations, technology, policy, and management. We have created an intelligence-driven dynamic defense framework for government and commercial networks and information assets, called CYBER4SIGHT</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services, based on the following four main platforms: threat intelligence, incident response, pre-emptive response, and integrated remediation. The Booz Allen Cyber Solutions Network ®, an integrated secure network of cyber centers, provides our clients with advanced analytics, cyber training, network defense, and cyber product/technology evaluation services.</w:t>
      </w:r>
    </w:p>
    <w:p>
      <w:pPr>
        <w:spacing w:after="0" w:line="12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March 31, 2014, over 3,800 employees hold over 7,100 certifications representing a variety of technical disciplines, including DoD 8570 specified certifications, from various certifying bodies, such as SANS, Comp TIA, Securible, Ultimate Knowledge, and Skillsoft. Additionally, to continue to position our company as a leader across the broad and growing range of areas requiring cyber-related services, we are focused on hiring new employees with cyber-related expertise and cross training existing employees through our Cyber University program.</w:t>
      </w:r>
    </w:p>
    <w:p>
      <w:pPr>
        <w:spacing w:after="0" w:line="133"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We serve our clients by applying our expertise in technology and engineering in areas such as cyber technology and strategic technology and innovation to design, develop, and implement solutions for our clients. As a result, we are able to offer clients a range of technological solutions, such as micro-electronics, biomedical engineering and high-energy lasers, developing proof-of-concept designs, reverse engineering current products and systems,</w:t>
      </w:r>
    </w:p>
    <w:p>
      <w:pPr>
        <w:ind w:right="200"/>
        <w:spacing w:after="0" w:line="255" w:lineRule="auto"/>
        <w:rPr>
          <w:sz w:val="20"/>
          <w:szCs w:val="20"/>
          <w:color w:val="auto"/>
        </w:rPr>
      </w:pPr>
      <w:r>
        <w:rPr>
          <w:rFonts w:ascii="Arial" w:cs="Arial" w:eastAsia="Arial" w:hAnsi="Arial"/>
          <w:sz w:val="18"/>
          <w:szCs w:val="18"/>
          <w:color w:val="auto"/>
        </w:rPr>
        <w:t>and building test prototypes. Additionally, we provide sophisticated systems engineering and integration, or SE&amp;I, services to help clients manage every phase of the development and integration of increasingly sophisticated information technology, communications and mission system, including satellite and space systems, air traffic control, and naval systems.</w:t>
      </w:r>
    </w:p>
    <w:p>
      <w:pPr>
        <w:spacing w:after="0" w:line="13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i w:val="1"/>
          <w:iCs w:val="1"/>
          <w:color w:val="auto"/>
        </w:rPr>
        <w:t xml:space="preserve">Health Care. </w:t>
      </w:r>
      <w:r>
        <w:rPr>
          <w:rFonts w:ascii="Arial" w:cs="Arial" w:eastAsia="Arial" w:hAnsi="Arial"/>
          <w:sz w:val="17"/>
          <w:szCs w:val="17"/>
          <w:color w:val="auto"/>
        </w:rPr>
        <w:t>We believe health reform will continue to provide opportunities across our client base, including payment reform, care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transformation, analytics tools and platforms, integration of mobile computing in health care, and the use of social media. We are already involved in assisting our clients to solve complex and multi-disciplinary challenges in these areas, including the Department of Health and Human Services, the Centers for Disease Control and Prevention, National Institutes of Health, Food &amp; Drug Administration, Department of Veterans Affairs, as well as major pharmaceutical companies, health care providers, and payers. For example, we are currently supporting the Centers for Medicare and Medicaid Services to implement policy and advanced analytics to reduce fraud, waste, and abuse; to reduce the wait time for hearing decisions; and increase use of online services, thus reducing improper payments. For the Department of Veterans Affairs, we are currently helping to develop strategies to address the backlog of claims that have become a national issue by applying design thinking and a program called “Connected Health,” which brings mobile, advanced analytics, and process improvement capabilities to support increased veteran care.</w:t>
      </w:r>
    </w:p>
    <w:p>
      <w:pPr>
        <w:spacing w:after="0" w:line="128" w:lineRule="exact"/>
        <w:rPr>
          <w:sz w:val="20"/>
          <w:szCs w:val="20"/>
          <w:color w:val="auto"/>
        </w:rPr>
      </w:pPr>
    </w:p>
    <w:p>
      <w:pPr>
        <w:ind w:right="60" w:firstLine="405"/>
        <w:spacing w:after="0" w:line="255" w:lineRule="auto"/>
        <w:rPr>
          <w:sz w:val="20"/>
          <w:szCs w:val="20"/>
          <w:color w:val="auto"/>
        </w:rPr>
      </w:pPr>
      <w:r>
        <w:rPr>
          <w:rFonts w:ascii="Arial" w:cs="Arial" w:eastAsia="Arial" w:hAnsi="Arial"/>
          <w:sz w:val="17"/>
          <w:szCs w:val="17"/>
          <w:i w:val="1"/>
          <w:iCs w:val="1"/>
          <w:color w:val="auto"/>
        </w:rPr>
        <w:t xml:space="preserve">Finance. </w:t>
      </w:r>
      <w:r>
        <w:rPr>
          <w:rFonts w:ascii="Arial" w:cs="Arial" w:eastAsia="Arial" w:hAnsi="Arial"/>
          <w:sz w:val="17"/>
          <w:szCs w:val="17"/>
          <w:color w:val="auto"/>
        </w:rPr>
        <w:t>We deliver the firm’s capabilities and service offerings to clients in the federal financial community such as the U.S. Department of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bureaus, the Securities and Exchange Commission, the Federal Reserve, and the Pension Benefit Guarantee Corporation. Additionally, we serve major commercial and investment banks, and financial exchanges. Our service offerings and capabilities include cyber technology solutions, program management, regulatory analysis, and systems development. Leveraging our highly-regarded cyber capabilities, we are working with commercial financial services companies to integrate information risk into their overall Enterprise Risk Management process. In the government sector, we have brought our expertise and specialized resources such as our CYBER4SIGHT</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services and Cyber Solutions Network to clients at the Federal Deposit Insurance Corporation, the Federal Reserve, and the Census Bureau. We are currently supporting the Internal</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54" w:right="239" w:bottom="1440" w:gutter="0" w:footer="0" w:header="0"/>
        </w:sectPr>
      </w:pPr>
    </w:p>
    <w:bookmarkStart w:id="10" w:name="page11"/>
    <w:bookmarkEnd w:id="10"/>
    <w:p>
      <w:pPr>
        <w:ind w:right="320"/>
        <w:spacing w:after="0" w:line="277" w:lineRule="auto"/>
        <w:rPr>
          <w:sz w:val="20"/>
          <w:szCs w:val="20"/>
          <w:color w:val="auto"/>
        </w:rPr>
      </w:pPr>
      <w:r>
        <w:rPr>
          <w:rFonts w:ascii="Arial" w:cs="Arial" w:eastAsia="Arial" w:hAnsi="Arial"/>
          <w:sz w:val="18"/>
          <w:szCs w:val="18"/>
          <w:color w:val="auto"/>
        </w:rPr>
        <w:t>Revenue Service in compliance efforts and enterprise risk management and bringing capabilities in big data analytics to the Internal Revenue Service, the Census Bureau, the U.S. Department of Agriculture, and the National Science Foundation.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 in Innovation and Opportunities for Long-Term Growth</w:t>
      </w:r>
    </w:p>
    <w:p>
      <w:pPr>
        <w:spacing w:after="0" w:line="18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Innovation in Service Offerings. </w:t>
      </w:r>
      <w:r>
        <w:rPr>
          <w:rFonts w:ascii="Arial" w:cs="Arial" w:eastAsia="Arial" w:hAnsi="Arial"/>
          <w:sz w:val="18"/>
          <w:szCs w:val="18"/>
          <w:color w:val="auto"/>
        </w:rPr>
        <w:t>We have a track record of working in partnership with our clients to solve not only their current problems but also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their emerging needs. We have continued this focus with the creation of, and major investment in, our Strategic Innovation Group. Our Strategic Innovation Group fosters, develops, and drives innovation initiatives across our entire firm. Currently, our Strategic Innovation Group is driving the following major initiatives to address our clients’ critical needs:</w:t>
      </w:r>
    </w:p>
    <w:p>
      <w:pPr>
        <w:spacing w:after="0" w:line="146" w:lineRule="exact"/>
        <w:rPr>
          <w:sz w:val="20"/>
          <w:szCs w:val="20"/>
          <w:color w:val="auto"/>
        </w:rPr>
      </w:pPr>
    </w:p>
    <w:p>
      <w:pPr>
        <w:ind w:left="1300" w:hanging="401"/>
        <w:spacing w:after="0"/>
        <w:tabs>
          <w:tab w:leader="none" w:pos="130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Next-Generation Analytics - </w:t>
      </w:r>
      <w:r>
        <w:rPr>
          <w:rFonts w:ascii="Arial" w:cs="Arial" w:eastAsia="Arial" w:hAnsi="Arial"/>
          <w:sz w:val="16"/>
          <w:szCs w:val="16"/>
          <w:color w:val="auto"/>
        </w:rPr>
        <w:t>creating analytic platforms designed to harness an organization’s data to solve complex and pressing problems.</w:t>
      </w:r>
    </w:p>
    <w:p>
      <w:pPr>
        <w:spacing w:after="0" w:line="46" w:lineRule="exact"/>
        <w:rPr>
          <w:rFonts w:ascii="Arial" w:cs="Arial" w:eastAsia="Arial" w:hAnsi="Arial"/>
          <w:sz w:val="16"/>
          <w:szCs w:val="16"/>
          <w:i w:val="1"/>
          <w:iCs w:val="1"/>
          <w:color w:val="auto"/>
        </w:rPr>
      </w:pPr>
    </w:p>
    <w:p>
      <w:pPr>
        <w:ind w:left="1300" w:hanging="401"/>
        <w:spacing w:after="0"/>
        <w:tabs>
          <w:tab w:leader="none" w:pos="130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Predictive Intelligence </w:t>
      </w:r>
      <w:r>
        <w:rPr>
          <w:rFonts w:ascii="Arial" w:cs="Arial" w:eastAsia="Arial" w:hAnsi="Arial"/>
          <w:sz w:val="16"/>
          <w:szCs w:val="16"/>
          <w:color w:val="auto"/>
        </w:rPr>
        <w:t>- creating solutions that help clients to anticipate and prevent increasingly sophisticated and dangerous cyber attacks.</w:t>
      </w:r>
    </w:p>
    <w:p>
      <w:pPr>
        <w:spacing w:after="0" w:line="32" w:lineRule="exact"/>
        <w:rPr>
          <w:rFonts w:ascii="Arial" w:cs="Arial" w:eastAsia="Arial" w:hAnsi="Arial"/>
          <w:sz w:val="16"/>
          <w:szCs w:val="16"/>
          <w:i w:val="1"/>
          <w:iCs w:val="1"/>
          <w:color w:val="auto"/>
        </w:rPr>
      </w:pPr>
    </w:p>
    <w:p>
      <w:pPr>
        <w:ind w:left="1300" w:right="300" w:hanging="401"/>
        <w:spacing w:after="0" w:line="250" w:lineRule="auto"/>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Rapid Prototyping and Platform Integration </w:t>
      </w:r>
      <w:r>
        <w:rPr>
          <w:rFonts w:ascii="Arial" w:cs="Arial" w:eastAsia="Arial" w:hAnsi="Arial"/>
          <w:sz w:val="18"/>
          <w:szCs w:val="18"/>
          <w:color w:val="auto"/>
        </w:rPr>
        <w:t>- creating prototypes to develop and deploy defense and intelligence technologies to enable</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to stay ahead of adversaries.</w:t>
      </w:r>
    </w:p>
    <w:p>
      <w:pPr>
        <w:ind w:left="1300" w:right="40" w:hanging="401"/>
        <w:spacing w:after="0" w:line="261" w:lineRule="auto"/>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Digital Enterprise Integration </w:t>
      </w:r>
      <w:r>
        <w:rPr>
          <w:rFonts w:ascii="Arial" w:cs="Arial" w:eastAsia="Arial" w:hAnsi="Arial"/>
          <w:sz w:val="18"/>
          <w:szCs w:val="18"/>
          <w:color w:val="auto"/>
        </w:rPr>
        <w:t>- modernizing mission and business execution through the integration of digital solutions and open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enterprise.</w:t>
      </w:r>
    </w:p>
    <w:p>
      <w:pPr>
        <w:spacing w:after="0" w:line="130"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i w:val="1"/>
          <w:iCs w:val="1"/>
          <w:color w:val="auto"/>
        </w:rPr>
        <w:t xml:space="preserve">Innovation in our Business Model. </w:t>
      </w:r>
      <w:r>
        <w:rPr>
          <w:rFonts w:ascii="Arial" w:cs="Arial" w:eastAsia="Arial" w:hAnsi="Arial"/>
          <w:sz w:val="16"/>
          <w:szCs w:val="16"/>
          <w:color w:val="auto"/>
        </w:rPr>
        <w:t>We are looking beyond our traditional professional services business model to serve clients and capture opportunities</w:t>
      </w:r>
      <w:r>
        <w:rPr>
          <w:rFonts w:ascii="Arial" w:cs="Arial" w:eastAsia="Arial" w:hAnsi="Arial"/>
          <w:sz w:val="16"/>
          <w:szCs w:val="16"/>
          <w:i w:val="1"/>
          <w:iCs w:val="1"/>
          <w:color w:val="auto"/>
        </w:rPr>
        <w:t xml:space="preserve"> </w:t>
      </w:r>
      <w:r>
        <w:rPr>
          <w:rFonts w:ascii="Arial" w:cs="Arial" w:eastAsia="Arial" w:hAnsi="Arial"/>
          <w:sz w:val="16"/>
          <w:szCs w:val="16"/>
          <w:color w:val="auto"/>
        </w:rPr>
        <w:t>in product development and delivery, including managed services such as our CYBER4SIGHT</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offering, specialized prototypes, packaged software and solutions and co-investing with incubators and new ventures. We believe this broader, differentiated business portfolio of closely aligned platforms, solutions, products and services will enable us to tap areas with strong potential for long term growth and more attractive margins. We have created partnerships and alliances with organizations such as 1776, Microsoft, and Amazon designed to foster innovation and entrepreneurship, create new and distinctive products and services, and provide market access to enable promising start-ups to achieve scalability and succeed.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7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the U.S. government is the world's largest consumer of management and technology consulting services. The U.S. government's budget for the fiscal year ended September 30, 2013 was close to $4 trillion, excluding authorizations from Overseas Contingency Operations and supplemental funding for the Department of Defense. Of this amount, approximately $1 trillion was for discretionary budget authority, including approximately $518 billion for the Department of Defense and U.S. Intelligence Community and approximately $484 billion for civil agencies. Based on data from the Federal Procurement Data System, approximately $460 billion of the U.S. government fiscal year 2013 discretionary outlays were for non- American Recovery and Reinvestment Act of 2009 and non-intelligence agency funding-related products and services procured from private contractors. We estimate that approximately $101 billion of the spending directed towards private contractors in U.S. government fiscal year 2013 was for management and technology consulting services, with approximately $60 billion spent by the Department of Defense and approximately $41 billion spent by civil agencies. The agencies of the U.S. Intelligence Community that we serve represent an additional market.</w:t>
      </w:r>
    </w:p>
    <w:p>
      <w:pPr>
        <w:spacing w:after="0" w:line="128"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Across all of our markets, our century-long dedication to client service has built unusually strong customer relationships. Through our commitment to helping clients succeed, we have built a track record of results and trust among our client base, which in turn, provides a robust sales channel through which we can engage our current and prospective clients and deliver our services.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have strong and longstanding relationships with a diverse group of clients at all levels of the U.S. government. During fiscal 2014, we derived 98% of our revenue from services under more than 5,300 contracts and task orders. The single largest entity that we served in fiscal 2014 was the U.S. Army, which represented approximately 16% of our revenue in that period. We derived 91% of our revenue in fiscal 2014 from engagements for which we acted as the prime contractor. Also during fiscal 2014, we achieved an overall win rate of 57% on new contracts and task orders for which we competed and a win rate of 90% on re-competed contracts and task orders for existing or related business. As of March 31, 2014, our total backlog, including funded, unfunded, and priced options, was $9.8 billion, a decrease of 15% in total backlog with a 9% decrease in funded backlog over March 31, 2013.</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5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Selected Long-Term Client Relationships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Client (1)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Length</w:t>
            </w:r>
          </w:p>
        </w:tc>
        <w:tc>
          <w:tcPr>
            <w:tcW w:w="0" w:type="dxa"/>
            <w:vAlign w:val="bottom"/>
          </w:tcPr>
          <w:p>
            <w:pPr>
              <w:spacing w:after="0"/>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U.S. Navy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U.S. Army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U.S. Air Force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Department of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National Security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Federal Bureau of Investigation</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National Reconnaissance Office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A U.S. intelligence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Internal Revenue Service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predecessor organizations.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Clients</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reputation and track record in serving the U.S. military and defense agencies spans more than 70 years, over which time we have provided a broad range of capabilities to our defense clients. Our revenue generated from defense clients was $2.7 billion, or approximately 49.4% in fiscal year 2014 as compared to $2.7 billion, or approximately 46.8% in fiscal year 2013. Our key defense clients include:</w:t>
      </w:r>
    </w:p>
    <w:p>
      <w:pPr>
        <w:spacing w:after="0" w:line="262" w:lineRule="exact"/>
        <w:rPr>
          <w:sz w:val="20"/>
          <w:szCs w:val="20"/>
          <w:color w:val="auto"/>
        </w:rPr>
      </w:pPr>
    </w:p>
    <w:p>
      <w:pPr>
        <w:ind w:left="640" w:right="160" w:hanging="321"/>
        <w:spacing w:after="0" w:line="25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U.S. Army. </w:t>
      </w:r>
      <w:r>
        <w:rPr>
          <w:rFonts w:ascii="Arial" w:cs="Arial" w:eastAsia="Arial" w:hAnsi="Arial"/>
          <w:sz w:val="18"/>
          <w:szCs w:val="18"/>
          <w:color w:val="auto"/>
        </w:rPr>
        <w:t>For over 65 years, we have addressed challenges for the U.S. Army at the strategic, operational, and tactical levels by bringing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people, high quality processes, and advanced technologies together. We work with our U.S. Army clients to help sustain their land combat capabilities while responding to current demands and preparing for future needs. Recent examples of the services that we have provided include enhancing field intelligence systems, delivering rapid response solutions to counter improvised explosive devices, infusing lifecycle sustainment capabilities to improve distribution and delivery of material, and employing systems and consulting methods to help expand care and support for soldiers and their families. Our clients include Army Headquarters, Army Materiel Command (AMC), Forces Command (FORSCOM), Training and Doctrine Command (TRADOC), and many Program Executive Offices, Direct Reporting Units and Army Service Component Commands.</w:t>
      </w:r>
    </w:p>
    <w:p>
      <w:pPr>
        <w:spacing w:after="0" w:line="192" w:lineRule="exact"/>
        <w:rPr>
          <w:rFonts w:ascii="Arial" w:cs="Arial" w:eastAsia="Arial" w:hAnsi="Arial"/>
          <w:sz w:val="18"/>
          <w:szCs w:val="18"/>
          <w:color w:val="auto"/>
        </w:rPr>
      </w:pPr>
    </w:p>
    <w:p>
      <w:pPr>
        <w:ind w:left="640" w:hanging="321"/>
        <w:spacing w:after="0" w:line="271"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U.S. Navy/Marine Corps. </w:t>
      </w:r>
      <w:r>
        <w:rPr>
          <w:rFonts w:ascii="Arial" w:cs="Arial" w:eastAsia="Arial" w:hAnsi="Arial"/>
          <w:sz w:val="17"/>
          <w:szCs w:val="17"/>
          <w:color w:val="auto"/>
        </w:rPr>
        <w:t>Since 1940, we have partnered with the U.S. Navy and Marine Corps to help them achieve success. We offer a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team of leaders and staff with deep mission understanding and functional expertise to help our clients achieve mission outcomes with agility, precision, and efficiency. By providing forward thinking solutions and aggressive strategies around such capabilities as readiness, integration and interoperability, mission engineering, cyber security, and strategy, we help our clients maintain maritime and information dominance. Our clients include the Office of the Secretary of the Navy, Headquarters Navy, the Office of Naval Intelligence, the Commandant of the Marine Corps, U.S. Navy/Marine Corps operating commands and systems commands (including Naval Air Systems Command (NAVAIR), Naval Seas Systems Command (NAVSEA), U.S. Marine Corps Systems Command, and Space and Naval Warfare Systems Command (SPAWAR)), as well as joint Program Executive Offices (PEO) and individual PEOs.</w:t>
      </w:r>
    </w:p>
    <w:p>
      <w:pPr>
        <w:spacing w:after="0" w:line="178" w:lineRule="exact"/>
        <w:rPr>
          <w:rFonts w:ascii="Arial" w:cs="Arial" w:eastAsia="Arial" w:hAnsi="Arial"/>
          <w:sz w:val="17"/>
          <w:szCs w:val="17"/>
          <w:color w:val="auto"/>
        </w:rPr>
      </w:pPr>
    </w:p>
    <w:p>
      <w:pPr>
        <w:ind w:left="640" w:right="40" w:hanging="321"/>
        <w:spacing w:after="0" w:line="25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U.S. Air Force. </w:t>
      </w:r>
      <w:r>
        <w:rPr>
          <w:rFonts w:ascii="Arial" w:cs="Arial" w:eastAsia="Arial" w:hAnsi="Arial"/>
          <w:sz w:val="18"/>
          <w:szCs w:val="18"/>
          <w:color w:val="auto"/>
        </w:rPr>
        <w:t>Our support to the Air Force spans more than 35 years and today we provide integrated strategy and technical services to a wide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clients across the Air Force. Our skilled strategists and technology experts bring diverse capabilities to assignments that include weapons analysis, capability-based planning, and aircraft systems engineering. Our clients include: Headquarters U.S. Air Force, Air Combat Command, Air Force Space Command, Air Force Materiel Command, Air Mobility Command, Air Force Cyber Command, Global Strike Command, and Air Force Pacific Command.</w:t>
      </w:r>
    </w:p>
    <w:p>
      <w:pPr>
        <w:spacing w:after="0" w:line="188" w:lineRule="exact"/>
        <w:rPr>
          <w:rFonts w:ascii="Arial" w:cs="Arial" w:eastAsia="Arial" w:hAnsi="Arial"/>
          <w:sz w:val="18"/>
          <w:szCs w:val="18"/>
          <w:color w:val="auto"/>
        </w:rPr>
      </w:pPr>
    </w:p>
    <w:p>
      <w:pPr>
        <w:ind w:left="640" w:right="160" w:hanging="321"/>
        <w:spacing w:after="0" w:line="30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Joint Staff and Combatant Commands. </w:t>
      </w:r>
      <w:r>
        <w:rPr>
          <w:rFonts w:ascii="Arial" w:cs="Arial" w:eastAsia="Arial" w:hAnsi="Arial"/>
          <w:sz w:val="16"/>
          <w:szCs w:val="16"/>
          <w:color w:val="auto"/>
        </w:rPr>
        <w:t>We provide mission critical support and solutions to the Office of the Secretary of Defense, the Joint Staff,</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Unified Combatant Commands. Our services and solutions support a broad spectrum of business operations and warfighter missions across the Department of Defense. We provide strategy and technology expertise to clients in Systems Engineering; Supply Chain; Cyber; Personnel and Readiness; Research and Development; Countering Weapons of Mass Destruction; and Integrated Intelligence, Surveillance, Reconnaissance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35" w:right="259" w:bottom="1440" w:gutter="0" w:footer="0" w:header="0"/>
        </w:sectPr>
      </w:pPr>
    </w:p>
    <w:bookmarkStart w:id="12" w:name="page13"/>
    <w:bookmarkEnd w:id="12"/>
    <w:p>
      <w:pPr>
        <w:ind w:left="640"/>
        <w:spacing w:after="0" w:line="329" w:lineRule="auto"/>
        <w:rPr>
          <w:sz w:val="20"/>
          <w:szCs w:val="20"/>
          <w:color w:val="auto"/>
        </w:rPr>
      </w:pPr>
      <w:r>
        <w:rPr>
          <w:rFonts w:ascii="Arial" w:cs="Arial" w:eastAsia="Arial" w:hAnsi="Arial"/>
          <w:sz w:val="17"/>
          <w:szCs w:val="17"/>
          <w:color w:val="auto"/>
        </w:rPr>
        <w:t>space and global strike operations. We provide data collection management and analytical services including best practices and intellectual capital for intelligence activities. Our clients include the major organizations within the Office of the Secretary of Defense and all DoD Agencies, as well as the U.S. Pacific Command, Northern Command, Central Command, Southern Command, the Defense Information Systems Agency (DISA), European Command, U.S. Strategic Command, Special Operations Command, and Transportation Command.</w:t>
      </w:r>
    </w:p>
    <w:p>
      <w:pPr>
        <w:spacing w:after="0" w:line="144" w:lineRule="exact"/>
        <w:rPr>
          <w:sz w:val="20"/>
          <w:szCs w:val="20"/>
          <w:color w:val="auto"/>
        </w:rPr>
      </w:pPr>
    </w:p>
    <w:p>
      <w:pPr>
        <w:ind w:left="640" w:right="140" w:hanging="321"/>
        <w:spacing w:after="0" w:line="276"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&amp; Military Health. </w:t>
      </w:r>
      <w:r>
        <w:rPr>
          <w:rFonts w:ascii="Arial" w:cs="Arial" w:eastAsia="Arial" w:hAnsi="Arial"/>
          <w:sz w:val="17"/>
          <w:szCs w:val="17"/>
          <w:color w:val="auto"/>
        </w:rPr>
        <w:t>We support clients in defense agencies responsible for military and veterans' health as well as the transportation,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and environment sectors which have control over our national infrastructure. We support our clients' efforts to maintain and build infrastructure that is efficient, effective, and sustainable. Our services span all functional capabilities including management consulting, technology, engineering, and mission operations. Our clients include the Departments of Defense, Energy, Transportation, and Interior and their component agencies, the Environmental Protection Agency, and the Department of Defense Military Health System.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Intelligence Clients</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have provided the government agencies and organizations that carry out national security and intelligence activities for the U.S. government with a wide range of services and capabilities for over 30 years. This critical business area has strong barriers to entry for competitors because of the specialized expertise and high-level security clearances required. Our revenue generated with clients in the U.S. intelligence community was $1.4 billion, or approximately 25.5% in fiscal year 2014 as compared to $1.6 billion, or approximately 28.1% of our revenue in fiscal year 2013. Our major intelligence clients include:</w:t>
      </w:r>
    </w:p>
    <w:p>
      <w:pPr>
        <w:spacing w:after="0" w:line="269" w:lineRule="exact"/>
        <w:rPr>
          <w:sz w:val="20"/>
          <w:szCs w:val="20"/>
          <w:color w:val="auto"/>
        </w:rPr>
      </w:pPr>
    </w:p>
    <w:p>
      <w:pPr>
        <w:ind w:left="640" w:right="60" w:hanging="321"/>
        <w:spacing w:after="0" w:line="271"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U.S. Intelligence Agencies. </w:t>
      </w:r>
      <w:r>
        <w:rPr>
          <w:rFonts w:ascii="Arial" w:cs="Arial" w:eastAsia="Arial" w:hAnsi="Arial"/>
          <w:sz w:val="17"/>
          <w:szCs w:val="17"/>
          <w:color w:val="auto"/>
        </w:rPr>
        <w:t>We provide critical support in strategic planning, policy development, program development and execution, and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for research and development projects; consulting and technical services, integrated intelligence and information operations mission support, and a range of counterintelligence services; comprehensive intelligence analysis services includes all-source and open-source analysis conducted in high intensity environments; and technical services including engineering, systems development, information sharing, and information architecture. We also provide support to reform initiatives flowing from the Intelligence Reform and Terrorism Protection Act. Additionally, we help these clients improve the processes and substance of intelligence information provided to the executive and legislative branches of the U.S. government for policy development and operational decision making. Our clients include the National Security Agency, the National Geospatial-Intelligence Agency, the National Reconnaissance Office, and other classified clients.</w:t>
      </w:r>
    </w:p>
    <w:p>
      <w:pPr>
        <w:spacing w:after="0" w:line="178" w:lineRule="exact"/>
        <w:rPr>
          <w:rFonts w:ascii="Arial" w:cs="Arial" w:eastAsia="Arial" w:hAnsi="Arial"/>
          <w:sz w:val="17"/>
          <w:szCs w:val="17"/>
          <w:color w:val="auto"/>
        </w:rPr>
      </w:pPr>
    </w:p>
    <w:p>
      <w:pPr>
        <w:ind w:left="640" w:right="100" w:hanging="321"/>
        <w:spacing w:after="0" w:line="271"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Military Intelligence. </w:t>
      </w:r>
      <w:r>
        <w:rPr>
          <w:rFonts w:ascii="Arial" w:cs="Arial" w:eastAsia="Arial" w:hAnsi="Arial"/>
          <w:sz w:val="17"/>
          <w:szCs w:val="17"/>
          <w:color w:val="auto"/>
        </w:rPr>
        <w:t>We are at the forefront of supporting warfighters, policymakers, and acquisition communities of the Military Intelligence</w:t>
      </w:r>
      <w:r>
        <w:rPr>
          <w:rFonts w:ascii="Arial" w:cs="Arial" w:eastAsia="Arial" w:hAnsi="Arial"/>
          <w:sz w:val="17"/>
          <w:szCs w:val="17"/>
          <w:i w:val="1"/>
          <w:iCs w:val="1"/>
          <w:color w:val="auto"/>
        </w:rPr>
        <w:t xml:space="preserve"> </w:t>
      </w:r>
      <w:r>
        <w:rPr>
          <w:rFonts w:ascii="Arial" w:cs="Arial" w:eastAsia="Arial" w:hAnsi="Arial"/>
          <w:sz w:val="17"/>
          <w:szCs w:val="17"/>
          <w:color w:val="auto"/>
        </w:rPr>
        <w:t>commands, the Defense Intelligence Agency, Service Intelligence Centers, operational Intelligence Surveillance Reconnaissance units, and Combatant Command. We bring a unique mix of experienced people, high-quality processes, and advanced technologies to help our clients address their toughest challenges with agility, precision, and efficiency. We provide innovative approaches and superior program management with capabilities such as intelligence analysis and training, mission engineering, organizational change and strategy, and technology to support client missions at all levels. We have expertise in instructional design and delivery, workforce planning and talent management, all-source intelligence analysis, counterintelligence and human intelligence expertise, Intelligence Surveillance Reconnaissance planning and operations, targeting support, systems integration, multi-source collections management, and knowledge management.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Civil Clients</w:t>
      </w:r>
    </w:p>
    <w:p>
      <w:pPr>
        <w:spacing w:after="0" w:line="9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Support to civil government agencies of the U.S. government and U.S.-funded international development work is an important dimension of our overall business. Our revenue generated for civilian clients in the U.S. Government was $1.2 billion, or approximately 22.5% in fiscal year 2014 as compared to $1.3 billion, or approximately 23.0% in fiscal year 2013. Our civil government clients include:</w:t>
      </w:r>
    </w:p>
    <w:p>
      <w:pPr>
        <w:spacing w:after="0" w:line="127" w:lineRule="exact"/>
        <w:rPr>
          <w:sz w:val="20"/>
          <w:szCs w:val="20"/>
          <w:color w:val="auto"/>
        </w:rPr>
      </w:pPr>
    </w:p>
    <w:p>
      <w:pPr>
        <w:ind w:left="640" w:right="60" w:hanging="321"/>
        <w:spacing w:after="0" w:line="25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Finance and Economic Development. </w:t>
      </w:r>
      <w:r>
        <w:rPr>
          <w:rFonts w:ascii="Arial" w:cs="Arial" w:eastAsia="Arial" w:hAnsi="Arial"/>
          <w:sz w:val="18"/>
          <w:szCs w:val="18"/>
          <w:color w:val="auto"/>
        </w:rPr>
        <w:t>We provide support to all major U.S. government finance and treasury organizations charged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management, and protection of the U.S. financial system. We create innovative approaches to some of their most challenging problems, including bank receivership, payment channel modernization, cyber initiatives, and fraud detection. Additionally, we help agencies effectively and efficiently manage the business processes that support government in its provision of services to its citizens, spanning management, personnel, budget operations, information technology, telecommunications, and grant management. Our clients include the Department of the Treasury, Internal Revenue Service, and other agencies of the Department of the Treasury, Office of the Comptroller of the Currency, Federal Deposit Insurance Corporation, Federal Reserve Board and Banks, the Securities and Exchange Commission (SEC), the Pension Benefit Guaranty Corporation, the General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3" w:name="page14"/>
    <w:bookmarkEnd w:id="13"/>
    <w:p>
      <w:pPr>
        <w:ind w:left="640" w:right="100"/>
        <w:spacing w:after="0" w:line="324" w:lineRule="auto"/>
        <w:rPr>
          <w:sz w:val="20"/>
          <w:szCs w:val="20"/>
          <w:color w:val="auto"/>
        </w:rPr>
      </w:pPr>
      <w:r>
        <w:rPr>
          <w:rFonts w:ascii="Arial" w:cs="Arial" w:eastAsia="Arial" w:hAnsi="Arial"/>
          <w:sz w:val="18"/>
          <w:szCs w:val="18"/>
          <w:color w:val="auto"/>
        </w:rPr>
        <w:t>Services Administration, Office of Management and Budget, Office of Personnel Management, the National Science Foundation, the Department of State, Congress, and Courts.</w:t>
      </w:r>
    </w:p>
    <w:p>
      <w:pPr>
        <w:spacing w:after="0" w:line="305" w:lineRule="exact"/>
        <w:rPr>
          <w:sz w:val="20"/>
          <w:szCs w:val="20"/>
          <w:color w:val="auto"/>
        </w:rPr>
      </w:pPr>
    </w:p>
    <w:p>
      <w:pPr>
        <w:ind w:left="640" w:right="180" w:hanging="321"/>
        <w:spacing w:after="0" w:line="297"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Health. </w:t>
      </w:r>
      <w:r>
        <w:rPr>
          <w:rFonts w:ascii="Arial" w:cs="Arial" w:eastAsia="Arial" w:hAnsi="Arial"/>
          <w:sz w:val="16"/>
          <w:szCs w:val="16"/>
          <w:color w:val="auto"/>
        </w:rPr>
        <w:t>We support U.S. government clients on innovative projects that help achieve public health missions, including entitlement reform,</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a national health information network, mitigating risk to populations, improving government infrastructure, and facilitating an international public-private sector dialogue on global health issues. We also support the delivery of health care and benefits to veterans. Our clients include the Department of Health and Human Services and its agencies, including the U.S. Food and Drug Administration, National Institutes of Health, Centers for Disease Control and Prevention (CDC), the Centers for Medicare and Medicaid Services, and Department of Veterans Affairs.</w:t>
      </w:r>
    </w:p>
    <w:p>
      <w:pPr>
        <w:spacing w:after="0" w:line="158" w:lineRule="exact"/>
        <w:rPr>
          <w:rFonts w:ascii="Arial" w:cs="Arial" w:eastAsia="Arial" w:hAnsi="Arial"/>
          <w:sz w:val="16"/>
          <w:szCs w:val="16"/>
          <w:color w:val="auto"/>
        </w:rPr>
      </w:pPr>
    </w:p>
    <w:p>
      <w:pPr>
        <w:ind w:left="640" w:hanging="321"/>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Justice and Homeland Security. </w:t>
      </w:r>
      <w:r>
        <w:rPr>
          <w:rFonts w:ascii="Arial" w:cs="Arial" w:eastAsia="Arial" w:hAnsi="Arial"/>
          <w:sz w:val="17"/>
          <w:szCs w:val="17"/>
          <w:color w:val="auto"/>
        </w:rPr>
        <w:t>We support the U.S. government’s homeland security mission and operations in the areas of intelligence (analysis,</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sharing, and risk assessment), operations (coordination, contingency planning, and decision support), strategy, technology and management (program management and information technology tools), emergency management and response planning, and border, cargo, and transportation security. We support law enforcement missions and operations in counterterrorism, intelligence and counterintelligence, and traditional criminal areas (narcotics, white collar crime, organized crime, and violent crime). Our clients include the U.S. Department of Justice, the Department of Homeland Security and its agencies, the Federal Bureau of Investigation, the National Aeronautics and Space Administration (NASA), and the Department of Transportation and its agencies.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and International Clients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Following the expiration of our non-competition agreement on July 31, 2011, we re-entered the commercial market and pursued growth in our international business. Our revenue generated with commercial and international clients, which includes work for private sector clients inside and outside of the U.S., foreign government entities, foreign military sales to non U.S. government clients, and work performed outside of the U.S. for the U.S. Agency for International Development, was $141.8 million, or approximately 2.6% in fiscal year 2014 as compared to $116.9 million, or approximately 2.1% in fiscal year 2013.</w:t>
      </w:r>
    </w:p>
    <w:p>
      <w:pPr>
        <w:spacing w:after="0" w:line="188"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i w:val="1"/>
          <w:iCs w:val="1"/>
          <w:color w:val="auto"/>
        </w:rPr>
        <w:t xml:space="preserve">Commercial Clients. </w:t>
      </w:r>
      <w:r>
        <w:rPr>
          <w:rFonts w:ascii="Arial" w:cs="Arial" w:eastAsia="Arial" w:hAnsi="Arial"/>
          <w:sz w:val="17"/>
          <w:szCs w:val="17"/>
          <w:color w:val="auto"/>
        </w:rPr>
        <w:t>We continue to pursue opportunities in the U.S. commercial market by leveraging our cyber-related work and our core</w:t>
      </w:r>
      <w:r>
        <w:rPr>
          <w:rFonts w:ascii="Arial" w:cs="Arial" w:eastAsia="Arial" w:hAnsi="Arial"/>
          <w:sz w:val="17"/>
          <w:szCs w:val="17"/>
          <w:i w:val="1"/>
          <w:iCs w:val="1"/>
          <w:color w:val="auto"/>
        </w:rPr>
        <w:t xml:space="preserve"> </w:t>
      </w:r>
      <w:r>
        <w:rPr>
          <w:rFonts w:ascii="Arial" w:cs="Arial" w:eastAsia="Arial" w:hAnsi="Arial"/>
          <w:sz w:val="17"/>
          <w:szCs w:val="17"/>
          <w:color w:val="auto"/>
        </w:rPr>
        <w:t>competencies in advanced analytics, regulatory compliance, and IT infrastructure with a focus on serving industries in which there is a strong intersection between government and commercial interests, such as financial services, healthcare, and energy. Our client base includes major pharmaceutical manufacturers, health care providers, large commercial and investment banks, utilities, and oil and gas companies.</w:t>
      </w:r>
    </w:p>
    <w:p>
      <w:pPr>
        <w:spacing w:after="0" w:line="17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i w:val="1"/>
          <w:iCs w:val="1"/>
          <w:color w:val="auto"/>
        </w:rPr>
        <w:t xml:space="preserve">International Clients. </w:t>
      </w:r>
      <w:r>
        <w:rPr>
          <w:rFonts w:ascii="Arial" w:cs="Arial" w:eastAsia="Arial" w:hAnsi="Arial"/>
          <w:sz w:val="17"/>
          <w:szCs w:val="17"/>
          <w:color w:val="auto"/>
        </w:rPr>
        <w:t>Our primary international activities are in the Middle East and North Africa region, where we currently see strong demand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data analytics, cyber defense diagnostics, mission assurance and risk management, strategy transformation and program management. Our primary client base is in the United Arab Emirates, Saudi Arabia, Qatar, Oman, and Kuwait. We have expanded our offices into Abu Dhabi, United Arab Emirates and Qatar and see growth opportunities in Saudi Arabia, Bahrain, and Turkey.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portfolio of contracts is highly diversified consisting of a range of contract vehicles through which our clients may contract for our services, with no single contract accounting for more than 10% of our revenue, and no single task order under any contract accounting for more than 2.3% of our revenue in any of fiscal 2014, fiscal 2013, or fiscal 2012.</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are two predominant contracting methods by which the U.S. government procures services: definite contracts and indefinite contract vehicles.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is described below:</w:t>
      </w:r>
    </w:p>
    <w:p>
      <w:pPr>
        <w:spacing w:after="0" w:line="373" w:lineRule="exact"/>
        <w:rPr>
          <w:sz w:val="20"/>
          <w:szCs w:val="20"/>
          <w:color w:val="auto"/>
        </w:rPr>
      </w:pPr>
    </w:p>
    <w:p>
      <w:pPr>
        <w:ind w:left="640" w:right="40" w:hanging="321"/>
        <w:spacing w:after="0" w:line="276"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the means by which it will procure those services or products. During the acquisition process, the agency may release a request for information to determine if qualified bidders exist, a draft request for a proposal to allow industry to comment on the scope of work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81" w:right="259" w:bottom="1440" w:gutter="0" w:footer="0" w:header="0"/>
        </w:sectPr>
      </w:pPr>
    </w:p>
    <w:bookmarkStart w:id="14" w:name="page15"/>
    <w:bookmarkEnd w:id="14"/>
    <w:p>
      <w:pPr>
        <w:ind w:left="640" w:right="440"/>
        <w:spacing w:after="0" w:line="324" w:lineRule="auto"/>
        <w:rPr>
          <w:sz w:val="20"/>
          <w:szCs w:val="20"/>
          <w:color w:val="auto"/>
        </w:rPr>
      </w:pPr>
      <w:r>
        <w:rPr>
          <w:rFonts w:ascii="Arial" w:cs="Arial" w:eastAsia="Arial" w:hAnsi="Arial"/>
          <w:sz w:val="18"/>
          <w:szCs w:val="18"/>
          <w:color w:val="auto"/>
        </w:rPr>
        <w:t>and acquisition strategy, and finally a formal request for a proposal. Following the evaluation of submitted proposals, the agency will award the contract to the winning bidder.</w:t>
      </w:r>
    </w:p>
    <w:p>
      <w:pPr>
        <w:spacing w:after="0" w:line="143" w:lineRule="exact"/>
        <w:rPr>
          <w:sz w:val="20"/>
          <w:szCs w:val="20"/>
          <w:color w:val="auto"/>
        </w:rPr>
      </w:pPr>
    </w:p>
    <w:p>
      <w:pPr>
        <w:ind w:left="640" w:right="80" w:hanging="321"/>
        <w:spacing w:after="0" w:line="272"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Indefinite contract vehicles provide for the issuance by the client of orders for services or products under the terms of the contract. Indefinite contracts are formally known as ID/IQ contracts and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177" w:lineRule="exact"/>
        <w:rPr>
          <w:rFonts w:ascii="Arial" w:cs="Arial" w:eastAsia="Arial" w:hAnsi="Arial"/>
          <w:sz w:val="17"/>
          <w:szCs w:val="17"/>
          <w:color w:val="auto"/>
        </w:rPr>
      </w:pPr>
    </w:p>
    <w:p>
      <w:pPr>
        <w:ind w:left="1000" w:right="220" w:hanging="317"/>
        <w:spacing w:after="0" w:line="255"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GWACs and GSA schedules are ID/IQ contracts that are open to all U.S. government agencies. Contract holders compete for individual task orders under both types of ID/IQ contract vehicles. Prices (labor rates) are pre-established under GSA schedules, while prices under GWACs may be pre-established or determined by task order proposal. Agencies may solicit companies directly under GSA schedules and, under GWACs, must work through the agency that operates the GWAC or receive a delegation of authority to use the GWAC. GSA schedules are administered by the General Services Administration and support a wide range of products and services. GWACs are used to procure IT products and services and are administered by the agency soliciting the services or products, with permission from the Office of Management and Budget.</w:t>
      </w:r>
    </w:p>
    <w:p>
      <w:pPr>
        <w:spacing w:after="0" w:line="18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Listed below are our top definite contract, our top five definite contracts and our top ten definite contracts for fiscal 2014 and revenue recognized under these contracts in fiscal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0" w:type="dxa"/>
            <w:vAlign w:val="bottom"/>
            <w:vMerge w:val="restart"/>
          </w:tcPr>
          <w:p>
            <w:pPr>
              <w:jc w:val="center"/>
              <w:ind w:left="522"/>
              <w:spacing w:after="0"/>
              <w:rPr>
                <w:sz w:val="20"/>
                <w:szCs w:val="20"/>
                <w:color w:val="auto"/>
              </w:rPr>
            </w:pPr>
            <w:r>
              <w:rPr>
                <w:rFonts w:ascii="Arial" w:cs="Arial" w:eastAsia="Arial" w:hAnsi="Arial"/>
                <w:sz w:val="14"/>
                <w:szCs w:val="14"/>
                <w:b w:val="1"/>
                <w:bCs w:val="1"/>
                <w:color w:val="auto"/>
                <w:w w:val="90"/>
              </w:rPr>
              <w:t>Fiscal</w:t>
            </w:r>
          </w:p>
        </w:tc>
        <w:tc>
          <w:tcPr>
            <w:tcW w:w="2060" w:type="dxa"/>
            <w:vAlign w:val="bottom"/>
          </w:tcPr>
          <w:p>
            <w:pPr>
              <w:jc w:val="center"/>
              <w:ind w:left="1080"/>
              <w:spacing w:after="0"/>
              <w:rPr>
                <w:sz w:val="20"/>
                <w:szCs w:val="20"/>
                <w:color w:val="auto"/>
              </w:rPr>
            </w:pPr>
            <w:r>
              <w:rPr>
                <w:rFonts w:ascii="Arial" w:cs="Arial" w:eastAsia="Arial" w:hAnsi="Arial"/>
                <w:sz w:val="14"/>
                <w:szCs w:val="14"/>
                <w:b w:val="1"/>
                <w:bCs w:val="1"/>
                <w:color w:val="auto"/>
              </w:rPr>
              <w:t>% of</w:t>
            </w:r>
          </w:p>
        </w:tc>
        <w:tc>
          <w:tcPr>
            <w:tcW w:w="780" w:type="dxa"/>
            <w:vAlign w:val="bottom"/>
          </w:tcPr>
          <w:p>
            <w:pPr>
              <w:spacing w:after="0"/>
              <w:rPr>
                <w:sz w:val="14"/>
                <w:szCs w:val="14"/>
                <w:color w:val="auto"/>
              </w:rPr>
            </w:pPr>
          </w:p>
        </w:tc>
        <w:tc>
          <w:tcPr>
            <w:tcW w:w="160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60" w:type="dxa"/>
            <w:vAlign w:val="bottom"/>
          </w:tcPr>
          <w:p>
            <w:pPr>
              <w:jc w:val="center"/>
              <w:ind w:left="1100"/>
              <w:spacing w:after="0" w:line="149"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2060" w:type="dxa"/>
            <w:vAlign w:val="bottom"/>
            <w:tcBorders>
              <w:bottom w:val="single" w:sz="8" w:color="auto"/>
            </w:tcBorders>
          </w:tcPr>
          <w:p>
            <w:pPr>
              <w:jc w:val="center"/>
              <w:ind w:left="1100"/>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40" w:type="dxa"/>
            <w:vAlign w:val="bottom"/>
            <w:gridSpan w:val="2"/>
          </w:tcPr>
          <w:p>
            <w:pPr>
              <w:jc w:val="center"/>
              <w:ind w:left="340"/>
              <w:spacing w:after="0"/>
              <w:rPr>
                <w:sz w:val="20"/>
                <w:szCs w:val="20"/>
                <w:color w:val="auto"/>
              </w:rPr>
            </w:pPr>
            <w:r>
              <w:rPr>
                <w:rFonts w:ascii="Arial" w:cs="Arial" w:eastAsia="Arial" w:hAnsi="Arial"/>
                <w:sz w:val="14"/>
                <w:szCs w:val="14"/>
                <w:b w:val="1"/>
                <w:bCs w:val="1"/>
                <w:color w:val="auto"/>
                <w:w w:val="92"/>
              </w:rPr>
              <w:t>(Revenue in millions)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Definite Contract</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60"/>
              <w:spacing w:after="0"/>
              <w:rPr>
                <w:sz w:val="20"/>
                <w:szCs w:val="20"/>
                <w:color w:val="auto"/>
              </w:rPr>
            </w:pPr>
            <w:r>
              <w:rPr>
                <w:rFonts w:ascii="Arial" w:cs="Arial" w:eastAsia="Arial" w:hAnsi="Arial"/>
                <w:sz w:val="18"/>
                <w:szCs w:val="18"/>
                <w:color w:val="auto"/>
              </w:rPr>
              <w:t>129.3</w:t>
            </w:r>
          </w:p>
        </w:tc>
        <w:tc>
          <w:tcPr>
            <w:tcW w:w="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Top Five Definite Contracts</w:t>
            </w:r>
          </w:p>
        </w:tc>
        <w:tc>
          <w:tcPr>
            <w:tcW w:w="1200" w:type="dxa"/>
            <w:vAlign w:val="bottom"/>
          </w:tcPr>
          <w:p>
            <w:pPr>
              <w:spacing w:after="0"/>
              <w:rPr>
                <w:sz w:val="21"/>
                <w:szCs w:val="21"/>
                <w:color w:val="auto"/>
              </w:rPr>
            </w:pPr>
          </w:p>
        </w:tc>
        <w:tc>
          <w:tcPr>
            <w:tcW w:w="2060" w:type="dxa"/>
            <w:vAlign w:val="bottom"/>
          </w:tcPr>
          <w:p>
            <w:pPr>
              <w:jc w:val="right"/>
              <w:ind w:right="1460"/>
              <w:spacing w:after="0"/>
              <w:rPr>
                <w:sz w:val="20"/>
                <w:szCs w:val="20"/>
                <w:color w:val="auto"/>
              </w:rPr>
            </w:pPr>
            <w:r>
              <w:rPr>
                <w:rFonts w:ascii="Arial" w:cs="Arial" w:eastAsia="Arial" w:hAnsi="Arial"/>
                <w:sz w:val="18"/>
                <w:szCs w:val="18"/>
                <w:color w:val="auto"/>
              </w:rPr>
              <w:t>303.7</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Top Ten Definite Contracts</w:t>
            </w:r>
          </w:p>
        </w:tc>
        <w:tc>
          <w:tcPr>
            <w:tcW w:w="120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1460"/>
              <w:spacing w:after="0"/>
              <w:rPr>
                <w:sz w:val="20"/>
                <w:szCs w:val="20"/>
                <w:color w:val="auto"/>
              </w:rPr>
            </w:pPr>
            <w:r>
              <w:rPr>
                <w:rFonts w:ascii="Arial" w:cs="Arial" w:eastAsia="Arial" w:hAnsi="Arial"/>
                <w:sz w:val="18"/>
                <w:szCs w:val="18"/>
                <w:color w:val="auto"/>
              </w:rPr>
              <w:t>414.7</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w:t>
            </w: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Listed below are our top ID/IQ contract, our top five ID/IQ contracts and our top ten ID/IQ contracts for fiscal 2014, in each case excluding GSA schedules or GWACS, and revenue and the number of active task orders under these contracts as of March 31, 2014. The number of task orders for our top ten contracts does not include task orders under classified contracts due to the fact that information associated with those contracts is classified.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 of</w:t>
            </w:r>
          </w:p>
        </w:tc>
        <w:tc>
          <w:tcPr>
            <w:tcW w:w="1760" w:type="dxa"/>
            <w:vAlign w:val="bottom"/>
          </w:tcPr>
          <w:p>
            <w:pPr>
              <w:jc w:val="center"/>
              <w:ind w:left="880"/>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8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0"/>
              </w:rPr>
              <w:t>Fiscal</w:t>
            </w:r>
          </w:p>
        </w:tc>
        <w:tc>
          <w:tcPr>
            <w:tcW w:w="1020" w:type="dxa"/>
            <w:vAlign w:val="bottom"/>
            <w:vMerge w:val="continue"/>
          </w:tcPr>
          <w:p>
            <w:pPr>
              <w:spacing w:after="0"/>
              <w:rPr>
                <w:sz w:val="12"/>
                <w:szCs w:val="12"/>
                <w:color w:val="auto"/>
              </w:rPr>
            </w:pPr>
          </w:p>
        </w:tc>
        <w:tc>
          <w:tcPr>
            <w:tcW w:w="1760" w:type="dxa"/>
            <w:vAlign w:val="bottom"/>
          </w:tcPr>
          <w:p>
            <w:pPr>
              <w:jc w:val="center"/>
              <w:ind w:left="880"/>
              <w:spacing w:after="0" w:line="149" w:lineRule="exact"/>
              <w:rPr>
                <w:sz w:val="20"/>
                <w:szCs w:val="20"/>
                <w:color w:val="auto"/>
              </w:rPr>
            </w:pPr>
            <w:r>
              <w:rPr>
                <w:rFonts w:ascii="Arial" w:cs="Arial" w:eastAsia="Arial" w:hAnsi="Arial"/>
                <w:sz w:val="14"/>
                <w:szCs w:val="14"/>
                <w:b w:val="1"/>
                <w:bCs w:val="1"/>
                <w:color w:val="auto"/>
                <w:w w:val="92"/>
              </w:rPr>
              <w:t>Task Orders</w:t>
            </w:r>
          </w:p>
        </w:tc>
        <w:tc>
          <w:tcPr>
            <w:tcW w:w="5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0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9"/>
              </w:rPr>
              <w:t>Total</w:t>
            </w:r>
          </w:p>
        </w:tc>
        <w:tc>
          <w:tcPr>
            <w:tcW w:w="1760" w:type="dxa"/>
            <w:vAlign w:val="bottom"/>
          </w:tcPr>
          <w:p>
            <w:pPr>
              <w:jc w:val="center"/>
              <w:ind w:left="880"/>
              <w:spacing w:after="0" w:line="14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Revenue</w:t>
            </w:r>
          </w:p>
        </w:tc>
        <w:tc>
          <w:tcPr>
            <w:tcW w:w="2260" w:type="dxa"/>
            <w:vAlign w:val="bottom"/>
            <w:tcBorders>
              <w:bottom w:val="single" w:sz="8" w:color="auto"/>
            </w:tcBorders>
            <w:gridSpan w:val="2"/>
          </w:tcPr>
          <w:p>
            <w:pPr>
              <w:jc w:val="center"/>
              <w:ind w:left="380"/>
              <w:spacing w:after="0"/>
              <w:rPr>
                <w:sz w:val="20"/>
                <w:szCs w:val="20"/>
                <w:color w:val="auto"/>
              </w:rPr>
            </w:pPr>
            <w:r>
              <w:rPr>
                <w:rFonts w:ascii="Arial" w:cs="Arial" w:eastAsia="Arial" w:hAnsi="Arial"/>
                <w:sz w:val="14"/>
                <w:szCs w:val="14"/>
                <w:b w:val="1"/>
                <w:bCs w:val="1"/>
                <w:color w:val="auto"/>
                <w:w w:val="96"/>
              </w:rPr>
              <w:t>March 31, 2014</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 in millions)</w:t>
            </w: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ID/IQ Contract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652.3</w:t>
            </w:r>
          </w:p>
        </w:tc>
        <w:tc>
          <w:tcPr>
            <w:tcW w:w="10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26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6"/>
              </w:rPr>
              <w:t>145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7/8/2015; 9/30/2016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Top Five ID/IQ Contracts</w:t>
            </w:r>
          </w:p>
        </w:tc>
        <w:tc>
          <w:tcPr>
            <w:tcW w:w="9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w w:val="86"/>
              </w:rPr>
              <w:t>1,354.6</w:t>
            </w:r>
          </w:p>
        </w:tc>
        <w:tc>
          <w:tcPr>
            <w:tcW w:w="1020" w:type="dxa"/>
            <w:vAlign w:val="bottom"/>
          </w:tcPr>
          <w:p>
            <w:pPr>
              <w:spacing w:after="0"/>
              <w:rPr>
                <w:sz w:val="21"/>
                <w:szCs w:val="21"/>
                <w:color w:val="auto"/>
              </w:rPr>
            </w:pPr>
          </w:p>
        </w:tc>
        <w:tc>
          <w:tcPr>
            <w:tcW w:w="1760" w:type="dxa"/>
            <w:vAlign w:val="bottom"/>
          </w:tcPr>
          <w:p>
            <w:pPr>
              <w:jc w:val="right"/>
              <w:ind w:right="1260"/>
              <w:spacing w:after="0"/>
              <w:rPr>
                <w:sz w:val="20"/>
                <w:szCs w:val="20"/>
                <w:color w:val="auto"/>
              </w:rPr>
            </w:pPr>
            <w:r>
              <w:rPr>
                <w:rFonts w:ascii="Arial" w:cs="Arial" w:eastAsia="Arial" w:hAnsi="Arial"/>
                <w:sz w:val="18"/>
                <w:szCs w:val="18"/>
                <w:color w:val="auto"/>
              </w:rPr>
              <w:t>24%</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242</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Top Ten ID/IQ Contracts</w:t>
            </w:r>
          </w:p>
        </w:tc>
        <w:tc>
          <w:tcPr>
            <w:tcW w:w="9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1,729.7</w:t>
            </w:r>
          </w:p>
        </w:tc>
        <w:tc>
          <w:tcPr>
            <w:tcW w:w="10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260"/>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6"/>
              </w:rPr>
              <w:t>317</w:t>
            </w: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As of September 30, 2013, the end of the U.S. government’s fiscal year, there were a total of 32 GSA schedules with over 18,000 schedule holders that generated more than $34.8 billion in annual sales in U.S. government fiscal year 2013. During the U.S government fiscal year 2013 our top three GSA Schedules in terms of sales were the Mission Oriented Business Integrated Services (MOBIS) Schedule, Information Technology (IT) Schedule 70, and the Professional Engineering Services (PES) Schedule. Overall, we were the number two provider under the GSA Federal Supply Schedule program based on total reported GSA contracts sales of $809 million during U.S. government fiscal year 2013.</w:t>
      </w:r>
    </w:p>
    <w:p>
      <w:pPr>
        <w:spacing w:after="0" w:line="119"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Listed below are our top three GSA schedules and GWACs in fiscal 2014 and revenue for each of fiscal 2014, fiscal 2013, and fiscal 2012, the number of active task orders as of March 31, 2014 under each of our top three GSA schedules and GWACs and an aggregation of all other GSA schedules and GWACs. These contract vehicles are available to all U.S. government agencies and the revenue stated is the result of individually competed task orders.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1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w:t>
            </w: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Task Orders</w:t>
            </w: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31-Mar-14</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5"/>
          </w:tcPr>
          <w:p>
            <w:pPr>
              <w:ind w:left="540"/>
              <w:spacing w:after="0"/>
              <w:rPr>
                <w:sz w:val="20"/>
                <w:szCs w:val="20"/>
                <w:color w:val="auto"/>
              </w:rPr>
            </w:pPr>
            <w:r>
              <w:rPr>
                <w:rFonts w:ascii="Arial" w:cs="Arial" w:eastAsia="Arial" w:hAnsi="Arial"/>
                <w:sz w:val="14"/>
                <w:szCs w:val="14"/>
                <w:b w:val="1"/>
                <w:bCs w:val="1"/>
                <w:color w:val="auto"/>
              </w:rPr>
              <w:t>(Revenue 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Oriented Business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Integrated Services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(MOBIS) — #874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510</w:t>
            </w:r>
          </w:p>
        </w:tc>
        <w:tc>
          <w:tcPr>
            <w:tcW w:w="13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2"/>
              </w:rPr>
              <w:t>9/30/2017</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(IT) — #70</w:t>
            </w:r>
          </w:p>
        </w:tc>
        <w:tc>
          <w:tcPr>
            <w:tcW w:w="2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259</w:t>
            </w:r>
          </w:p>
        </w:tc>
        <w:tc>
          <w:tcPr>
            <w:tcW w:w="1340" w:type="dxa"/>
            <w:vAlign w:val="bottom"/>
          </w:tcPr>
          <w:p>
            <w:pPr>
              <w:ind w:left="580"/>
              <w:spacing w:after="0"/>
              <w:rPr>
                <w:sz w:val="20"/>
                <w:szCs w:val="20"/>
                <w:color w:val="auto"/>
              </w:rPr>
            </w:pPr>
            <w:r>
              <w:rPr>
                <w:rFonts w:ascii="Arial" w:cs="Arial" w:eastAsia="Arial" w:hAnsi="Arial"/>
                <w:sz w:val="18"/>
                <w:szCs w:val="18"/>
                <w:color w:val="auto"/>
                <w:w w:val="92"/>
              </w:rPr>
              <w:t>9/17/2014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BES Alliant (1)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3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2"/>
              </w:rPr>
              <w:t>4/30/2014</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536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1,161.2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1,090.8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1,159.9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1,324</w:t>
            </w: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The BES Alliant contract was acquired from DSES on November 30, 2012. As such, in fiscal 2013 there was only four months of revenue.</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derived approximately 79% of our revenue for fiscal 2014 from over 4,400 task orders under ID/IQ contracts (inclusive of GSA Schedules and GWACs). Listed below for each specified revenue band is the number of, revenue derived from, and average duration of our task orders as of March 31, 2014. The table includes revenue earned during fiscal 2014 under all task orders under these ID/IQ contracts and the number of task orders on which this revenue was earned. Average duration reflected in the table below is calculated based on the inception date of the task order, which may be prior to the beginning of fiscal 2014, and the completion date which may have been prior or subsequent to March 31, 2014. As a result, the actual average remaining duration for task orders included in this table may be less than the average duration shown in the table, and task orders included in the table may have been complete on March 31, 2014.</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Segmentation of Task</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Task</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of Total</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00" w:type="dxa"/>
            <w:vAlign w:val="bottom"/>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Order by Revenue Fiscal</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Orders as of</w:t>
            </w:r>
          </w:p>
        </w:tc>
        <w:tc>
          <w:tcPr>
            <w:tcW w:w="160" w:type="dxa"/>
            <w:vAlign w:val="bottom"/>
          </w:tcPr>
          <w:p>
            <w:pPr>
              <w:spacing w:after="0"/>
              <w:rPr>
                <w:sz w:val="12"/>
                <w:szCs w:val="12"/>
                <w:color w:val="auto"/>
              </w:rPr>
            </w:pPr>
          </w:p>
        </w:tc>
        <w:tc>
          <w:tcPr>
            <w:tcW w:w="15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1"/>
              </w:rPr>
              <w:t>Fiscal 2014 Revenue</w:t>
            </w:r>
          </w:p>
        </w:tc>
        <w:tc>
          <w:tcPr>
            <w:tcW w:w="10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(Revenue in millions)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622.6</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$1 million and $3 million</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Between $3 million and $5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$5 million and $10 million</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$10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1,450.2</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4,409.1</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71" w:lineRule="exact"/>
        <w:rPr>
          <w:sz w:val="20"/>
          <w:szCs w:val="20"/>
          <w:color w:val="auto"/>
        </w:rPr>
      </w:pPr>
    </w:p>
    <w:p>
      <w:pPr>
        <w:ind w:left="660" w:right="2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116"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116" w:lineRule="exact"/>
        <w:rPr>
          <w:rFonts w:ascii="Arial" w:cs="Arial" w:eastAsia="Arial" w:hAnsi="Arial"/>
          <w:sz w:val="18"/>
          <w:szCs w:val="18"/>
          <w:i w:val="1"/>
          <w:iCs w:val="1"/>
          <w:color w:val="auto"/>
        </w:rPr>
      </w:pPr>
    </w:p>
    <w:p>
      <w:pPr>
        <w:ind w:left="660" w:right="2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at our clients’ option and for which funding has not been appropriated or otherwise authorized.</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2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March 31,</w:t>
            </w:r>
          </w:p>
        </w:tc>
        <w:tc>
          <w:tcPr>
            <w:tcW w:w="13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Unfunded (1)</w:t>
            </w:r>
          </w:p>
        </w:tc>
        <w:tc>
          <w:tcPr>
            <w:tcW w:w="126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2,799</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Priced options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9,838</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11,535</w:t>
            </w:r>
          </w:p>
        </w:tc>
      </w:tr>
      <w:tr>
        <w:trPr>
          <w:trHeight w:val="27"/>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40" w:right="6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116"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Affecting Our Results of Operations — Sources of Revenue — Contract Backlog” for additional disclosure regarding our backlog. See also “Item 1A. Risk Factors — Risks Related to Our Business — We may not realize the full value of our backlog, which may result in lower than expected revenue.”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Due to its size, the government services market is highly fragmented, and competition within the government professional services industry has intensified. In addition to professional service companies like our own that focus principally on the provision of services to the U.S. government, other companies active in our markets include large defense contractors, diversified consulting, technology, and outsourcing service providers, and small businesses. Changing government policies and market dynamics are also helping to reshape the competitive landscape. Some large prime contractors are beginning to divest their professional services business units due to the U.S. government’s increased sensitivity to organizational conflicts of interest and these divested companies will be free to compete with us without their former organizational conflicts of interest constraints. The formal adoption of the Federal Acquisition Regulation, or FAR, organizational conflicts of interest rules or additional more restrictive rules by U.S. government agencies could cause further such divestitures which could further increase competition in our markets. At the other end of the spectrum are small businesses. Small businesses are growing in the government services industry due in large part to a push by both the Obama and Bush administrations to bolster the economy by helping small business owners. Finally, due to the foregoing factors and the drive in our markets to quickly build competencies in growth areas and achieve economies of scale, we believe that consolidation activity among market participants will increase.</w:t>
      </w:r>
    </w:p>
    <w:p>
      <w:pPr>
        <w:spacing w:after="0" w:line="129" w:lineRule="exact"/>
        <w:rPr>
          <w:sz w:val="20"/>
          <w:szCs w:val="20"/>
          <w:color w:val="auto"/>
        </w:rPr>
      </w:pPr>
    </w:p>
    <w:p>
      <w:pPr>
        <w:ind w:right="180" w:firstLine="432"/>
        <w:spacing w:after="0" w:line="285" w:lineRule="auto"/>
        <w:rPr>
          <w:sz w:val="20"/>
          <w:szCs w:val="20"/>
          <w:color w:val="auto"/>
        </w:rPr>
      </w:pPr>
      <w:r>
        <w:rPr>
          <w:rFonts w:ascii="Arial" w:cs="Arial" w:eastAsia="Arial" w:hAnsi="Arial"/>
          <w:sz w:val="16"/>
          <w:szCs w:val="16"/>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(i) contractors focused principally on the provision of services to the U.S. government, such as CACI International, Inc., L-3 Communications Holdings, Inc., ManTech International Corp., SRA International, Inc., and TASC Inc.; (ii) large defense contractors which provide both products and services to the U.S. government, such as General Dynamics Corp., Lockheed Martin Corp., Northrop Grumman Corp., and Raytheon Co.; and</w:t>
      </w:r>
    </w:p>
    <w:p>
      <w:pPr>
        <w:spacing w:after="0" w:line="2" w:lineRule="exact"/>
        <w:rPr>
          <w:sz w:val="20"/>
          <w:szCs w:val="20"/>
          <w:color w:val="auto"/>
        </w:rPr>
      </w:pPr>
    </w:p>
    <w:p>
      <w:pPr>
        <w:ind w:firstLine="8"/>
        <w:spacing w:after="0" w:line="270"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diversified service providers, such as Accenture, Computer Sciences Corp., Deloitte Consulting LLP, Leidos, and SAIC, Inc. We compete on the basis of our technical expertise and client knowledge, our ability to successfully recruit appropriately skilled and experienced talent, our ability to deliver cost-effective multi-faceted services in a timely manner, our reputation and relationship with our clients, past performance, security clearances, and the size and scale of our company. In addition, in order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9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Our management and technology consulting services and related products are not generally dependent upon patent protection. We claim a proprietary interest in certain of our service offerings and related products, methodologies, and know-how. We have a few patents but we do not consider our business to be materially dependent on the protection of such patents. Additionally, we have a number of trade secrets that contribute to our success and competitive position, and we endeavor to protect this proprietary information. While protecting trade secrets and proprietary information is important, we are not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03" w:right="239" w:bottom="1440" w:gutter="0" w:footer="0" w:header="0"/>
        </w:sectPr>
      </w:pPr>
    </w:p>
    <w:bookmarkStart w:id="17" w:name="page18"/>
    <w:bookmarkEnd w:id="17"/>
    <w:p>
      <w:pPr>
        <w:ind w:right="300"/>
        <w:spacing w:after="0" w:line="277" w:lineRule="auto"/>
        <w:rPr>
          <w:sz w:val="20"/>
          <w:szCs w:val="20"/>
          <w:color w:val="auto"/>
        </w:rPr>
      </w:pPr>
      <w:r>
        <w:rPr>
          <w:rFonts w:ascii="Arial" w:cs="Arial" w:eastAsia="Arial" w:hAnsi="Arial"/>
          <w:sz w:val="18"/>
          <w:szCs w:val="18"/>
          <w:color w:val="auto"/>
        </w:rPr>
        <w:t>materially dependent on any specific trade secret or group of trade secrets. Other than licenses to commercially available third-party software, we have no licenses to intellectual property that are significant to our business.</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w:t>
      </w:r>
    </w:p>
    <w:p>
      <w:pPr>
        <w:spacing w:after="0" w:line="133"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Our most important trademark is the “Booz Allen Hamilton” mark, registered in the United States and certain foreign countries. Generally, registered trademarks have perpetual life, provided that they are renewed on a timely basis and continue to be used properly as trademarks. We have four registered trademarks related to our name and logo with the earliest renewal in March 2020. Under a branding agreement entered in connection with the acquisition, Booz &amp; Company was granted a perpetual, exclusive, worldwide, royalty-free license to use “Booz” as a name and mark other than with “Allen” or “Hamilton” and certain other words associated with our business in connection with certain activities. With the acquisition of Booz &amp; Company by PricewaterhouseCoopers LLP, the license to "Booz" is terminated pursuant to the terms of the branding agreement, subject to certain transitional uses of the mark for a twelve month period.</w:t>
      </w:r>
    </w:p>
    <w:p>
      <w:pPr>
        <w:spacing w:after="0" w:line="135"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third parties may include our competitors in some instances. In the case of our work as a subcontractor, our prime contractor may also have certain rights to data, information, and products we develop under the subcontract.</w:t>
      </w:r>
    </w:p>
    <w:p>
      <w:pPr>
        <w:spacing w:after="0" w:line="117" w:lineRule="exact"/>
        <w:rPr>
          <w:sz w:val="20"/>
          <w:szCs w:val="20"/>
          <w:color w:val="auto"/>
        </w:rPr>
      </w:pPr>
    </w:p>
    <w:p>
      <w:pPr>
        <w:ind w:right="420" w:firstLine="432"/>
        <w:spacing w:after="0" w:line="226" w:lineRule="auto"/>
        <w:rPr>
          <w:sz w:val="20"/>
          <w:szCs w:val="20"/>
          <w:color w:val="auto"/>
        </w:rPr>
      </w:pPr>
      <w:r>
        <w:rPr>
          <w:rFonts w:ascii="Arial" w:cs="Arial" w:eastAsia="Arial" w:hAnsi="Arial"/>
          <w:sz w:val="18"/>
          <w:szCs w:val="18"/>
          <w:color w:val="auto"/>
        </w:rPr>
        <w:t>Booz Allen Hamilton</w:t>
      </w:r>
      <w:r>
        <w:rPr>
          <w:rFonts w:ascii="Arial" w:cs="Arial" w:eastAsia="Arial" w:hAnsi="Arial"/>
          <w:sz w:val="25"/>
          <w:szCs w:val="25"/>
          <w:color w:val="auto"/>
          <w:vertAlign w:val="superscript"/>
        </w:rPr>
        <w:t>®</w:t>
      </w:r>
      <w:r>
        <w:rPr>
          <w:rFonts w:ascii="Arial" w:cs="Arial" w:eastAsia="Arial" w:hAnsi="Arial"/>
          <w:sz w:val="18"/>
          <w:szCs w:val="18"/>
          <w:color w:val="auto"/>
        </w:rPr>
        <w:t>, the Booz Allen Cyber Solutions Network</w:t>
      </w:r>
      <w:r>
        <w:rPr>
          <w:rFonts w:ascii="Arial" w:cs="Arial" w:eastAsia="Arial" w:hAnsi="Arial"/>
          <w:sz w:val="25"/>
          <w:szCs w:val="25"/>
          <w:color w:val="auto"/>
          <w:vertAlign w:val="superscript"/>
        </w:rPr>
        <w:t>®</w:t>
      </w:r>
      <w:r>
        <w:rPr>
          <w:rFonts w:ascii="Arial" w:cs="Arial" w:eastAsia="Arial" w:hAnsi="Arial"/>
          <w:sz w:val="18"/>
          <w:szCs w:val="18"/>
          <w:color w:val="auto"/>
        </w:rPr>
        <w:t>, the Booz Allen Hamilton logo, and other trademarks or service marks of Booz Allen Hamilton Inc. appearing in this Annual Report are property of Booz Allen Hamilton Inc. Trade names, trademarks, and service marks of other companies appearing in this Annual Report are the property of their respective owners.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U.S. government contracts. Some significant laws and regulations that affect us include:</w:t>
      </w:r>
    </w:p>
    <w:p>
      <w:pPr>
        <w:spacing w:after="0" w:line="268" w:lineRule="exact"/>
        <w:rPr>
          <w:sz w:val="20"/>
          <w:szCs w:val="20"/>
          <w:color w:val="auto"/>
        </w:rPr>
      </w:pPr>
    </w:p>
    <w:p>
      <w:pPr>
        <w:ind w:left="640" w:hanging="321"/>
        <w:spacing w:after="0" w:line="30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154" w:lineRule="exact"/>
        <w:rPr>
          <w:rFonts w:ascii="Arial" w:cs="Arial" w:eastAsia="Arial" w:hAnsi="Arial"/>
          <w:sz w:val="16"/>
          <w:szCs w:val="16"/>
          <w:color w:val="auto"/>
        </w:rPr>
      </w:pPr>
    </w:p>
    <w:p>
      <w:pPr>
        <w:ind w:left="640" w:right="26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170"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spacing w:after="0" w:line="170"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170" w:lineRule="exact"/>
        <w:rPr>
          <w:rFonts w:ascii="Arial" w:cs="Arial" w:eastAsia="Arial" w:hAnsi="Arial"/>
          <w:sz w:val="18"/>
          <w:szCs w:val="18"/>
          <w:color w:val="auto"/>
        </w:rPr>
      </w:pPr>
    </w:p>
    <w:p>
      <w:pPr>
        <w:ind w:left="640" w:right="62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post government employment laws and regulations, which restrict the ability of a contractor to recruit and hire current employees of the U.S. government and deploy former employees of the U.S. government;</w:t>
      </w:r>
    </w:p>
    <w:p>
      <w:pPr>
        <w:spacing w:after="0" w:line="170" w:lineRule="exact"/>
        <w:rPr>
          <w:rFonts w:ascii="Arial" w:cs="Arial" w:eastAsia="Arial" w:hAnsi="Arial"/>
          <w:sz w:val="18"/>
          <w:szCs w:val="18"/>
          <w:color w:val="auto"/>
        </w:rPr>
      </w:pPr>
    </w:p>
    <w:p>
      <w:pPr>
        <w:ind w:left="640" w:right="6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73" w:right="259" w:bottom="1440" w:gutter="0" w:footer="0" w:header="0"/>
        </w:sectPr>
      </w:pPr>
    </w:p>
    <w:bookmarkStart w:id="18" w:name="page19"/>
    <w:bookmarkEnd w:id="18"/>
    <w:p>
      <w:pPr>
        <w:ind w:left="640" w:right="62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regulations, and executive orders regulating the handling, use, and dissemination of personally identifiable information in the course of performing a U.S. government contract;</w:t>
      </w:r>
    </w:p>
    <w:p>
      <w:pPr>
        <w:spacing w:after="0" w:line="170" w:lineRule="exact"/>
        <w:rPr>
          <w:rFonts w:ascii="Arial" w:cs="Arial" w:eastAsia="Arial" w:hAnsi="Arial"/>
          <w:sz w:val="18"/>
          <w:szCs w:val="18"/>
          <w:color w:val="auto"/>
        </w:rPr>
      </w:pPr>
    </w:p>
    <w:p>
      <w:pPr>
        <w:ind w:left="640" w:right="580" w:hanging="321"/>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186"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 related to our supply chain;</w:t>
      </w:r>
    </w:p>
    <w:p>
      <w:pPr>
        <w:spacing w:after="0" w:line="170" w:lineRule="exact"/>
        <w:rPr>
          <w:rFonts w:ascii="Arial" w:cs="Arial" w:eastAsia="Arial" w:hAnsi="Arial"/>
          <w:sz w:val="18"/>
          <w:szCs w:val="18"/>
          <w:color w:val="auto"/>
        </w:rPr>
      </w:pPr>
    </w:p>
    <w:p>
      <w:pPr>
        <w:jc w:val="both"/>
        <w:ind w:left="640" w:right="40" w:hanging="321"/>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clients to withhold a portion of our payments if we are determined to have a significant deficiency in our accounting, cost estimating, purchasing, earned value management, material management and accounting, and/or property management system; and</w:t>
      </w:r>
    </w:p>
    <w:p>
      <w:pPr>
        <w:spacing w:after="0" w:line="181"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11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As a result of its audits, the DCAA may determine that a portion of our employee compensation is unallowable. See “Item 1A. Risk Factors — Risk Related to Our Industry — Our contracts, performance and administrative processes and systems are subject to audits, reviews, investigations and cost adjustments by the U.S. government, which could reduce our revenue, disrupt our business or otherwise materially adversely affect our results of operations.”</w:t>
      </w:r>
    </w:p>
    <w:p>
      <w:pPr>
        <w:spacing w:after="0" w:line="10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13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10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U.S. government has a broad range of actions that it can instigate in order to enforce its procurement policies. These include proposing a contractor or certain of its operations for debarment or suspending or debarring a contractor or certain of its operations from future government business. On February 6, 2012, our San Antonio office was proposed for debarment by the U.S. Air Force and listed on the government’s Excluded Parties List System (EPLS) website. Although the government’s action did not terminate ongoing work under existing contracts; it affected the ability of our San Antonio office to attain new government business. This matter arose from actions of a former government employee hired by us who inappropriately retained and shared sensitive information about a pending government procurement in violation of the Company’s policies and high standards of ethical conduct. On April 13, 2012, our operating subsidiary, Booz Allen Hamilton Inc., entered in an Administrative Agreement with the U.S. Air Force, which lifted the proposed debarment and removed our San Antonio office from the U.S. government’s Excluded Parties List System. As a result, our San Antonio office is now eligible to compete for new contracts with the U.S. federal government.</w:t>
      </w:r>
    </w:p>
    <w:p>
      <w:pPr>
        <w:spacing w:after="0" w:line="12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Pursuant to the Administrative Agreement, we accepted responsibility for the incident that gave rise to the proposed debarment and related matters. In addition, we agreed to implement firm-wide enhancements to our ethics and compliance program, including future improvements identified by external advisors, to significantly mitigate the possibility of a re-occurrence of such issues. During the three-year term of the Administrative Agreement, which began on April 13, 2012 (or, if the Air Force determines at any time during such three year period that the Company is not fully compliant with the Administrative Agreement, from the reestablishment of full compliance as determined by the Air Force), we have agreed,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among other things, to file quarterly reports with the Air Force regarding the implementation of our remedial measures and adhere to a number of provisions relating to the disclosure of violations of the law or employee misconduct under our ethics and compliance program.</w:t>
      </w:r>
    </w:p>
    <w:p>
      <w:pPr>
        <w:spacing w:after="0" w:line="116"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See “Item 1A. Risk Factors — Risks Related to Our Business — 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file annual, quarterly, and current reports and other information with the SEC. You may read and copy any documents that we file at the SEC’s public reference room at 100 F Street, N.E., Washington, D.C. 20549. You may call the SEC at 1-800-SEC-0330 to obtain further information about the public reference room. In addition, the SEC maintains an Internet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Internet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3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116"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U.S. government is our primary client, with revenue from contracts and task orders, either as a prime or a subcontractor, with U.S. government agencies accounting for 98% of our revenue for fiscal 2014. Our belief is that the successful future growth of our business will continue to depend primarily on our ability to be awarded work under U.S. government contracts, as we expect this will be the primary source of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Our relationship with the U.S. government could also be damaged as a result of an agency’s dissatisfication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may harm our reputation with federal government contractors. To the extent our reputation or relationships with U.S. government agencies is impaired, our revenue and operating profits could materially decline.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54" w:right="259" w:bottom="1440" w:gutter="0" w:footer="0" w:header="0"/>
        </w:sectPr>
      </w:pPr>
    </w:p>
    <w:bookmarkStart w:id="20" w:name="page21"/>
    <w:bookmarkEnd w:id="20"/>
    <w:p>
      <w:pPr>
        <w:ind w:right="700" w:firstLine="405"/>
        <w:spacing w:after="0" w:line="277" w:lineRule="auto"/>
        <w:rPr>
          <w:sz w:val="20"/>
          <w:szCs w:val="20"/>
          <w:color w:val="auto"/>
        </w:rPr>
      </w:pPr>
      <w:r>
        <w:rPr>
          <w:rFonts w:ascii="Arial" w:cs="Arial" w:eastAsia="Arial" w:hAnsi="Arial"/>
          <w:sz w:val="18"/>
          <w:szCs w:val="18"/>
          <w:b w:val="1"/>
          <w:bCs w:val="1"/>
          <w:i w:val="1"/>
          <w:iCs w:val="1"/>
          <w:color w:val="auto"/>
        </w:rPr>
        <w:t>U.S. government spending and mission priorities could change in a manner that adversely affects our future revenue and limits our growth prospects.</w:t>
      </w:r>
    </w:p>
    <w:p>
      <w:pPr>
        <w:spacing w:after="0" w:line="35" w:lineRule="exact"/>
        <w:rPr>
          <w:sz w:val="20"/>
          <w:szCs w:val="20"/>
          <w:color w:val="auto"/>
        </w:rPr>
      </w:pPr>
    </w:p>
    <w:p>
      <w:pPr>
        <w:jc w:val="both"/>
        <w:ind w:right="40" w:firstLine="432"/>
        <w:spacing w:after="0" w:line="254" w:lineRule="auto"/>
        <w:rPr>
          <w:sz w:val="20"/>
          <w:szCs w:val="20"/>
          <w:color w:val="auto"/>
        </w:rPr>
      </w:pPr>
      <w:r>
        <w:rPr>
          <w:rFonts w:ascii="Arial" w:cs="Arial" w:eastAsia="Arial" w:hAnsi="Arial"/>
          <w:sz w:val="18"/>
          <w:szCs w:val="18"/>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2" w:lineRule="exact"/>
        <w:rPr>
          <w:sz w:val="20"/>
          <w:szCs w:val="20"/>
          <w:color w:val="auto"/>
        </w:rPr>
      </w:pPr>
    </w:p>
    <w:p>
      <w:pPr>
        <w:ind w:left="640" w:right="480" w:hanging="321"/>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budgetary constraints, including Congressionally mandated automatic spending cuts, affecting U.S. government spending generally, or specific agencies in particular, and changes in available funding;</w:t>
      </w: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shift in expenditures away from agencies or programs that we support;</w:t>
      </w:r>
    </w:p>
    <w:p>
      <w:pPr>
        <w:spacing w:after="0" w:line="9" w:lineRule="exact"/>
        <w:rPr>
          <w:rFonts w:ascii="Arial" w:cs="Arial" w:eastAsia="Arial" w:hAnsi="Arial"/>
          <w:sz w:val="18"/>
          <w:szCs w:val="18"/>
          <w:color w:val="auto"/>
        </w:rPr>
      </w:pPr>
    </w:p>
    <w:p>
      <w:pPr>
        <w:ind w:left="640" w:right="80" w:hanging="321"/>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efforts to improve efficiency and reduce costs affecting federal government programs;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U.S. government programs that we support or related requirements;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continuation of recent efforts by the U.S. government to decrease spending for management support service contracts;</w:t>
      </w:r>
    </w:p>
    <w:p>
      <w:pPr>
        <w:spacing w:after="0" w:line="9" w:lineRule="exact"/>
        <w:rPr>
          <w:rFonts w:ascii="Arial" w:cs="Arial" w:eastAsia="Arial" w:hAnsi="Arial"/>
          <w:sz w:val="18"/>
          <w:szCs w:val="18"/>
          <w:color w:val="auto"/>
        </w:rPr>
      </w:pPr>
    </w:p>
    <w:p>
      <w:pPr>
        <w:ind w:left="640" w:right="160" w:hanging="321"/>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government shutdowns due to a failure by elected officials to fund the government (such as that which occurred during government fiscal year 2014) or weather-related closures in the Washington, DC area (such as that which occurred in the winter of 2013) and other potential delays in the appropriations process;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9"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ind w:left="640" w:right="580" w:hanging="321"/>
        <w:spacing w:after="0" w:line="290"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0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addition, any disruption in the functioning of U.S. government agencies, including as a result of U.S. government closures and shutdowns, terrorism, war, natural disasters,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93"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The U.S. government budget deficits, the national debt, and the prevailing economic condition, and actions taken to address them, could continue to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the Budget Control Act of 2011 (as amended by the American Taxpayer Relief Act of 2012 and the Consolidated Appropriations Act, 2014) requires a ten-year $487 billion reduction to baseline spending of the Department of Defense and provides for automatic spending cuts (referred to as sequestration) totaling approximately $1.2 trillion between 2013 and 2021, including an estimated $500 billion in federal defense spending cuts over this time period. The Consolidated Appropriations Act, 2014, which provides funding for federal government agencies through the end of the current U.S. government fiscal year ending September 30, 2014, implements the approximately $64 billion in mandated 2014 sequestration cuts, including approximately $30 billion in reduced funding to the Department of Defense. On March 4, 2014, President Obama released his U.S. government fiscal year 2015 budget proposal, which would increase federal spending by $56 billion above the total approved by the Bipartisan Budget Act, with $28 billion designated to defense programs. It is unclear, however, whether Congress will enact any of the President’s proposed budget increases, and there remains uncertainty regarding how sequester cuts beyond government fiscal year 2015 will be applied to the Department of Defense and other agencies. While recent budget actions reflect a more measured and strategic approach to addressing the U.S. government’s fiscal challenges, there remains uncertainty as to how exactly budget cuts, including sequestration, will impact us, and we are therefore unable to predict the extent of the impact of such cuts on our business and results of operations. However, a reduction in the amount of services that we are contracted to provide to the Department of Defense as a result of any of these related initiatives, legislation or otherwise could have a material adverse effect on our business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and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35" w:right="239" w:bottom="1440" w:gutter="0" w:footer="0" w:header="0"/>
        </w:sectPr>
      </w:pPr>
    </w:p>
    <w:bookmarkStart w:id="21" w:name="page22"/>
    <w:bookmarkEnd w:id="21"/>
    <w:p>
      <w:pPr>
        <w:ind w:firstLine="432"/>
        <w:spacing w:after="0" w:line="264" w:lineRule="auto"/>
        <w:rPr>
          <w:sz w:val="20"/>
          <w:szCs w:val="20"/>
          <w:color w:val="auto"/>
        </w:rPr>
      </w:pPr>
      <w:r>
        <w:rPr>
          <w:rFonts w:ascii="Arial" w:cs="Arial" w:eastAsia="Arial" w:hAnsi="Arial"/>
          <w:sz w:val="18"/>
          <w:szCs w:val="18"/>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127"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U.S. government contractor, we must comply with laws and regulations relating to the formation, administration, and performance of</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1" w:lineRule="exact"/>
        <w:rPr>
          <w:sz w:val="20"/>
          <w:szCs w:val="20"/>
          <w:color w:val="auto"/>
        </w:rPr>
      </w:pPr>
    </w:p>
    <w:p>
      <w:pPr>
        <w:ind w:left="640" w:hanging="321"/>
        <w:spacing w:after="0" w:line="281"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2" w:lineRule="exact"/>
        <w:rPr>
          <w:rFonts w:ascii="Arial" w:cs="Arial" w:eastAsia="Arial" w:hAnsi="Arial"/>
          <w:sz w:val="16"/>
          <w:szCs w:val="16"/>
          <w:color w:val="auto"/>
        </w:rPr>
      </w:pPr>
    </w:p>
    <w:p>
      <w:pPr>
        <w:ind w:left="640" w:right="260" w:hanging="321"/>
        <w:spacing w:after="0" w:line="25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ind w:left="640" w:right="260" w:hanging="321"/>
        <w:spacing w:after="0" w:line="25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ind w:left="640" w:right="380" w:hanging="321"/>
        <w:spacing w:after="0" w:line="25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post government employment laws and regulations, which restrict the ability of a contractor to recruit, hire, and deploy former employees of the U.S. government;</w:t>
      </w:r>
    </w:p>
    <w:p>
      <w:pPr>
        <w:ind w:left="640" w:right="20" w:hanging="321"/>
        <w:spacing w:after="0" w:line="281"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work; and</w:t>
      </w:r>
    </w:p>
    <w:p>
      <w:pPr>
        <w:spacing w:after="0" w:line="9" w:lineRule="exact"/>
        <w:rPr>
          <w:rFonts w:ascii="Arial" w:cs="Arial" w:eastAsia="Arial" w:hAnsi="Arial"/>
          <w:sz w:val="16"/>
          <w:szCs w:val="16"/>
          <w:color w:val="auto"/>
        </w:rPr>
      </w:pPr>
    </w:p>
    <w:p>
      <w:pPr>
        <w:ind w:left="640" w:right="480" w:hanging="321"/>
        <w:spacing w:after="0" w:line="26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130"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In addition, the U.S. government adopts new laws, rules, and regulations from time to time that could have a material impact on our results of operations.</w:t>
      </w:r>
    </w:p>
    <w:p>
      <w:pPr>
        <w:spacing w:after="0" w:line="116" w:lineRule="exact"/>
        <w:rPr>
          <w:sz w:val="20"/>
          <w:szCs w:val="20"/>
          <w:color w:val="auto"/>
        </w:rPr>
      </w:pPr>
    </w:p>
    <w:p>
      <w:pPr>
        <w:ind w:right="160" w:firstLine="432"/>
        <w:spacing w:after="0" w:line="288" w:lineRule="auto"/>
        <w:rPr>
          <w:sz w:val="20"/>
          <w:szCs w:val="20"/>
          <w:color w:val="auto"/>
        </w:rPr>
      </w:pPr>
      <w:r>
        <w:rPr>
          <w:rFonts w:ascii="Arial" w:cs="Arial" w:eastAsia="Arial" w:hAnsi="Arial"/>
          <w:sz w:val="16"/>
          <w:szCs w:val="16"/>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1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54" w:right="259" w:bottom="1440" w:gutter="0" w:footer="0" w:header="0"/>
        </w:sectPr>
      </w:pPr>
    </w:p>
    <w:bookmarkStart w:id="22" w:name="page23"/>
    <w:bookmarkEnd w:id="22"/>
    <w:p>
      <w:pPr>
        <w:ind w:right="80" w:firstLine="405"/>
        <w:spacing w:after="0" w:line="264" w:lineRule="auto"/>
        <w:rPr>
          <w:sz w:val="20"/>
          <w:szCs w:val="20"/>
          <w:color w:val="auto"/>
        </w:rPr>
      </w:pPr>
      <w:r>
        <w:rPr>
          <w:rFonts w:ascii="Arial" w:cs="Arial" w:eastAsia="Arial" w:hAnsi="Arial"/>
          <w:sz w:val="18"/>
          <w:szCs w:val="18"/>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4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competitive bidding process involves risk and significant costs to businesses operating in this environment, including:</w:t>
      </w:r>
    </w:p>
    <w:p>
      <w:pPr>
        <w:spacing w:after="0" w:line="23" w:lineRule="exact"/>
        <w:rPr>
          <w:sz w:val="20"/>
          <w:szCs w:val="20"/>
          <w:color w:val="auto"/>
        </w:rPr>
      </w:pPr>
    </w:p>
    <w:p>
      <w:pPr>
        <w:ind w:left="640" w:right="220" w:hanging="321"/>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spent to prepare bids and proposals for contracts that may not be awarded to us;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accurately estimate the resources and costs that will be required to service any contract we are awarded;</w:t>
      </w:r>
    </w:p>
    <w:p>
      <w:pPr>
        <w:spacing w:after="0" w:line="9" w:lineRule="exact"/>
        <w:rPr>
          <w:rFonts w:ascii="Arial" w:cs="Arial" w:eastAsia="Arial" w:hAnsi="Arial"/>
          <w:sz w:val="18"/>
          <w:szCs w:val="18"/>
          <w:color w:val="auto"/>
        </w:rPr>
      </w:pPr>
    </w:p>
    <w:p>
      <w:pPr>
        <w:jc w:val="both"/>
        <w:ind w:left="640" w:right="40" w:hanging="321"/>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opportunity cost of bidding and winning other contracts we might otherwise pursue.</w:t>
      </w:r>
    </w:p>
    <w:p>
      <w:pPr>
        <w:spacing w:after="0" w:line="15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 up and funding of the work under these contracts may cause our actual results to differ materially and adversely from those anticipated.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lose GSA schedules or our position as a prime contractor on one or more of our GWACs.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believe that one of the key elements of our success is our position as the holder of 15 GSA schedules, and as a prime contractor under three GWACs as of March 31, 2014. Our ability to maintain our existing business and win new business depends on our ability to maintain our position as a GSA schedule contractor and a prime contractor on GWACs. The loss of any of our GSA schedules or our prime contractor position on any of our contracts could have a material adverse effect on our ability to win new business and our operating results. In addition, if the U.S. government elects to use a contract vehicle that we do not hold, we will not be able to compete for work under that contract vehicle as a prime contractor.</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earn less revenue than projected, or no revenue, under certain of our contracts.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Many of our contracts with our clients are ID/IQ contracts, including GSA schedules and GWACs.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In fiscal 2014, fiscal 2013, and fiscal 2012, our revenue under our GSA schedules and GWACs accounted for 21%, 19% and 20%, respectively, of our total revenue. A failure to be awarded task orders under such contracts would have a material adverse effect on our results of operations and financial condition.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935" w:right="259" w:bottom="1440" w:gutter="0" w:footer="0" w:header="0"/>
        </w:sectPr>
      </w:pPr>
    </w:p>
    <w:bookmarkStart w:id="23" w:name="page24"/>
    <w:bookmarkEnd w:id="23"/>
    <w:p>
      <w:pPr>
        <w:ind w:right="320" w:firstLine="405"/>
        <w:spacing w:after="0" w:line="27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35"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enter into three general types of U.S. government contracts for our services: cost-reimbursable, time-and-materials, and fixed-price. For fiscal 2014, we derived 55% of our revenue from cost-reimbursable contracts, 28% from time-and-materials contracts and 17% from fixed-price contracts.</w:t>
      </w:r>
    </w:p>
    <w:p>
      <w:pPr>
        <w:spacing w:after="0" w:line="9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116"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 including recent rules under the Bipartisan Budget Act of 2013 that expand the scope of existing reimbursement limitations by reducing allowable annual employee compensation to certain contractors. In addition, there is an increased risk of compensation being deemed unallowable or payments being withheld as a result of U.S. government audit, review or investigation.</w:t>
      </w:r>
    </w:p>
    <w:p>
      <w:pPr>
        <w:spacing w:after="0" w:line="124"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9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11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U.S. Generally Accepted Accounting Principles, or GAAP, but our contract loss provisions may not be adequate to cover all actual losses that we may incur in the future.</w:t>
      </w:r>
    </w:p>
    <w:p>
      <w:pPr>
        <w:spacing w:after="0" w:line="20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11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935" w:right="259" w:bottom="1440" w:gutter="0" w:footer="0" w:header="0"/>
        </w:sectPr>
      </w:pPr>
    </w:p>
    <w:bookmarkStart w:id="24" w:name="page25"/>
    <w:bookmarkEnd w:id="24"/>
    <w:p>
      <w:pPr>
        <w:ind w:right="580" w:firstLine="405"/>
        <w:spacing w:after="0" w:line="277" w:lineRule="auto"/>
        <w:rPr>
          <w:sz w:val="20"/>
          <w:szCs w:val="20"/>
          <w:color w:val="auto"/>
        </w:rPr>
      </w:pPr>
      <w:r>
        <w:rPr>
          <w:rFonts w:ascii="Arial" w:cs="Arial" w:eastAsia="Arial" w:hAnsi="Arial"/>
          <w:sz w:val="18"/>
          <w:szCs w:val="18"/>
          <w:b w:val="1"/>
          <w:bCs w:val="1"/>
          <w:i w:val="1"/>
          <w:iCs w:val="1"/>
          <w:color w:val="auto"/>
        </w:rPr>
        <w:t>We use estimates in recognizing revenue and if we make changes to estimates used in recognizing revenue, our profitability may be adversely affected.</w:t>
      </w:r>
    </w:p>
    <w:p>
      <w:pPr>
        <w:spacing w:after="0" w:line="35"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13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 than expected revenue.</w:t>
      </w:r>
    </w:p>
    <w:p>
      <w:pPr>
        <w:spacing w:after="0" w:line="90"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As of March 31, 2014, our total backlog was $9.8 billion, of which $2.3 billion was funded. We define backlog to include the following three components:</w:t>
      </w:r>
    </w:p>
    <w:p>
      <w:pPr>
        <w:spacing w:after="0" w:line="116" w:lineRule="exact"/>
        <w:rPr>
          <w:sz w:val="20"/>
          <w:szCs w:val="20"/>
          <w:color w:val="auto"/>
        </w:rPr>
      </w:pPr>
    </w:p>
    <w:p>
      <w:pPr>
        <w:ind w:left="640" w:right="26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116"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116"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U.S. government spending such as the initiatives announced by the Secretary of Defense in March 2011 and/or the automatic federal defense spending cuts required by sequestration;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Furthermore, even if our backlog results in revenue, the contracts may not be profitable.</w:t>
      </w:r>
    </w:p>
    <w:p>
      <w:pPr>
        <w:spacing w:after="0" w:line="212"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b w:val="1"/>
          <w:bCs w:val="1"/>
          <w:i w:val="1"/>
          <w:iCs w:val="1"/>
          <w:color w:val="auto"/>
        </w:rPr>
        <w:t>We may fail to attract, train and retain skilled and qualified employees with appropriate security clearances, which may impair our ability to generate revenue, effectively serve our clients, and execute our growth strategy.</w:t>
      </w:r>
    </w:p>
    <w:p>
      <w:pPr>
        <w:spacing w:after="0" w:line="35" w:lineRule="exact"/>
        <w:rPr>
          <w:sz w:val="20"/>
          <w:szCs w:val="20"/>
          <w:color w:val="auto"/>
        </w:rPr>
      </w:pPr>
    </w:p>
    <w:p>
      <w:pPr>
        <w:ind w:right="420" w:firstLine="432"/>
        <w:spacing w:after="0" w:line="291" w:lineRule="auto"/>
        <w:rPr>
          <w:sz w:val="20"/>
          <w:szCs w:val="20"/>
          <w:color w:val="auto"/>
        </w:rPr>
      </w:pPr>
      <w:r>
        <w:rPr>
          <w:rFonts w:ascii="Arial" w:cs="Arial" w:eastAsia="Arial" w:hAnsi="Arial"/>
          <w:sz w:val="16"/>
          <w:szCs w:val="16"/>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w:t>
      </w:r>
    </w:p>
    <w:p>
      <w:pPr>
        <w:ind w:right="60"/>
        <w:spacing w:after="0" w:line="302" w:lineRule="auto"/>
        <w:rPr>
          <w:sz w:val="20"/>
          <w:szCs w:val="20"/>
          <w:color w:val="auto"/>
        </w:rPr>
      </w:pPr>
      <w:r>
        <w:rPr>
          <w:rFonts w:ascii="Arial" w:cs="Arial" w:eastAsia="Arial" w:hAnsi="Arial"/>
          <w:sz w:val="16"/>
          <w:szCs w:val="16"/>
          <w:color w:val="auto"/>
        </w:rPr>
        <w:t>U.S. government contractors, the U.S. government, and private industry, and such competition is intense. Personnel with the requisite skills, qualifications, or security clearance may be in short supply or generally unavailable. In addition, our ability to recruit, hire, and internally deploy former employees of the U.S. government is subject to complex laws and regulations, which may serve as an impediment to our ability to attract such former employees,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35" w:right="239" w:bottom="1440" w:gutter="0" w:footer="0" w:header="0"/>
        </w:sectPr>
      </w:pPr>
    </w:p>
    <w:bookmarkStart w:id="25" w:name="page26"/>
    <w:bookmarkEnd w:id="25"/>
    <w:p>
      <w:pPr>
        <w:spacing w:after="0" w:line="276" w:lineRule="auto"/>
        <w:rPr>
          <w:sz w:val="20"/>
          <w:szCs w:val="20"/>
          <w:color w:val="auto"/>
        </w:rPr>
      </w:pPr>
      <w:r>
        <w:rPr>
          <w:rFonts w:ascii="Arial" w:cs="Arial" w:eastAsia="Arial" w:hAnsi="Arial"/>
          <w:sz w:val="17"/>
          <w:szCs w:val="17"/>
          <w:color w:val="auto"/>
        </w:rPr>
        <w:t>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119"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may fail to obtain and maintain necessary security clearances which may adversely affect our ability to perform on certain contracts.</w:t>
      </w:r>
    </w:p>
    <w:p>
      <w:pPr>
        <w:spacing w:after="0" w:line="11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Many U.S. government programs require contractors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90" w:lineRule="exact"/>
        <w:rPr>
          <w:sz w:val="20"/>
          <w:szCs w:val="20"/>
          <w:color w:val="auto"/>
        </w:rPr>
      </w:pPr>
    </w:p>
    <w:p>
      <w:pPr>
        <w:ind w:right="160" w:firstLine="432"/>
        <w:spacing w:after="0" w:line="258"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9"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employees’ inability to obtain or retain necessary security clearances;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manage attrition;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15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208"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the disruption of the management of our business.</w:t>
      </w:r>
    </w:p>
    <w:p>
      <w:pPr>
        <w:spacing w:after="0" w:line="3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only have employment agreements providing for a restricted stock grant vesting over four years for four of our senior executives. The loss of any member of our senior management or our failure to continue to develop new members could impair our ability to identify and secure new contracts, to maintain good client relations, and to otherwise manage our business.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73" w:right="239" w:bottom="1440" w:gutter="0" w:footer="0" w:header="0"/>
        </w:sectPr>
      </w:pPr>
    </w:p>
    <w:bookmarkStart w:id="26" w:name="page27"/>
    <w:bookmarkEnd w:id="26"/>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Our employees or subcontractors may engage in misconduct or other improper activities, which could harm our ability to conduct business with the U.S. government.</w:t>
      </w:r>
    </w:p>
    <w:p>
      <w:pPr>
        <w:spacing w:after="0" w:line="3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exposed to the risk that employee or subcontractor fraud or other misconduct could occur. Misconduct by employees or subcontractors could include intentional or unintentional failures to comply with U.S. government procurement regulations, engaging in unauthorized activities, or falsifying time records. Employee or subcontractor misconduct could also involve the improper use of our clients’ sensitive or classified information or the failure to comply with legislation or regulations regarding the protection of sensitive or classified information.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 See, for example, “Item 1. Business — Regulation” for a description of the recently resolved debarment proceedings against our San Antonio office.</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113"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and from market participants formed by or benefiting from industry consolidation. Some of these companies possess greater financial resources and larger technical staffs, and others have smaller and more specialized staffs. These competitors could, among other things:</w:t>
      </w:r>
    </w:p>
    <w:p>
      <w:pPr>
        <w:spacing w:after="0" w:line="4" w:lineRule="exact"/>
        <w:rPr>
          <w:sz w:val="20"/>
          <w:szCs w:val="20"/>
          <w:color w:val="auto"/>
        </w:rPr>
      </w:pPr>
    </w:p>
    <w:p>
      <w:pPr>
        <w:ind w:left="640" w:right="580" w:hanging="321"/>
        <w:spacing w:after="0" w:line="25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force us to charge lower prices in order to win or maintain contracts;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hire our employees; or</w:t>
      </w:r>
    </w:p>
    <w:p>
      <w:pPr>
        <w:spacing w:after="0" w:line="9" w:lineRule="exact"/>
        <w:rPr>
          <w:rFonts w:ascii="Arial" w:cs="Arial" w:eastAsia="Arial" w:hAnsi="Arial"/>
          <w:sz w:val="18"/>
          <w:szCs w:val="18"/>
          <w:color w:val="auto"/>
        </w:rPr>
      </w:pPr>
    </w:p>
    <w:p>
      <w:pPr>
        <w:ind w:left="640" w:right="80" w:hanging="321"/>
        <w:spacing w:after="0" w:line="261"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where we are the incumbent.</w:t>
      </w:r>
    </w:p>
    <w:p>
      <w:pPr>
        <w:spacing w:after="0" w:line="13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181" w:lineRule="exact"/>
        <w:rPr>
          <w:sz w:val="20"/>
          <w:szCs w:val="20"/>
          <w:color w:val="auto"/>
        </w:rPr>
      </w:pPr>
    </w:p>
    <w:p>
      <w:pPr>
        <w:ind w:right="280" w:firstLine="405"/>
        <w:spacing w:after="0" w:line="357"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ind w:right="40" w:firstLine="432"/>
        <w:spacing w:after="0" w:line="273" w:lineRule="auto"/>
        <w:rPr>
          <w:sz w:val="20"/>
          <w:szCs w:val="20"/>
          <w:color w:val="auto"/>
        </w:rPr>
      </w:pPr>
      <w:r>
        <w:rPr>
          <w:rFonts w:ascii="Arial" w:cs="Arial" w:eastAsia="Arial" w:hAnsi="Arial"/>
          <w:sz w:val="17"/>
          <w:szCs w:val="17"/>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124"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35" w:right="259" w:bottom="1440" w:gutter="0" w:footer="0" w:header="0"/>
        </w:sectPr>
      </w:pPr>
    </w:p>
    <w:bookmarkStart w:id="27" w:name="page28"/>
    <w:bookmarkEnd w:id="27"/>
    <w:p>
      <w:pPr>
        <w:ind w:firstLine="405"/>
        <w:spacing w:after="0" w:line="290" w:lineRule="auto"/>
        <w:rPr>
          <w:sz w:val="20"/>
          <w:szCs w:val="20"/>
          <w:color w:val="auto"/>
        </w:rPr>
      </w:pPr>
      <w:r>
        <w:rPr>
          <w:rFonts w:ascii="Arial" w:cs="Arial" w:eastAsia="Arial" w:hAnsi="Arial"/>
          <w:sz w:val="16"/>
          <w:szCs w:val="16"/>
          <w:color w:val="auto"/>
        </w:rPr>
        <w:t>We estimate that revenue derived from contracts under which we acted as a subcontractor to other companies represented 9% of our revenue for fiscal 2014. 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193"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35"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We are subject to, and may become a party to, a variety of litigation or other claims and suits that arise from time to time in the ordinary course of our business. For example, over time, we have had disputes with current and former employees involving alleged violations of civil rights, wage and hour, and worker’s compensation laws. Further, as more fully described under “Item 3. Legal Proceedings,” six former officers and stockholders who had departed the firm prior to the acquisition have filed suits against our company and certain of our current and former directors and officers. Each of the suits arises out of the acquisition and alleges that the former stockholders are entitled to certain payments that they would have received if they had held their stock at the time of acquisition. The results of litigation and other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claims described under the “Item 3. Legal Proceedings” are subject to future developments and management’s view of these matters may change in the future.</w:t>
      </w:r>
    </w:p>
    <w:p>
      <w:pPr>
        <w:spacing w:after="0" w:line="1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Systems that we develop, integrate, or maintain could experience security breaches which may damage our reputation with our clients and hinder future contract win rates.</w:t>
      </w:r>
    </w:p>
    <w:p>
      <w:pPr>
        <w:spacing w:after="0" w:line="3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Many of the systems we develop, integrate, or maintain involve managing and protecting information involved in intelligence, national security, and other sensitive or classified government functions. The cyber and security threats that our clients face have grown more frequent and sophisticated. A security breach in one of these systems could cause serious harm to our business, damage our reputation, and prevent us from being eligible for further work on sensitive or classified systems for U.S. government clients. Damage to our reputation or limitations on our eligibility for additional work or any liability resulting from a security breach in one of the systems we develop, install, or maintain could have a material adverse effect on our results of operations.</w:t>
      </w:r>
    </w:p>
    <w:p>
      <w:pPr>
        <w:spacing w:after="0" w:line="104"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b w:val="1"/>
          <w:bCs w:val="1"/>
          <w:i w:val="1"/>
          <w:iCs w:val="1"/>
          <w:color w:val="auto"/>
        </w:rPr>
        <w:t>Internal system or service failures,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4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create, implement, and maintain information technology and engineering systems, and provide services that are often critical to our clients' operations, some of which involve classified or other sensitive information and may be conducted in war zones or other hazardous environments. As a result, we are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U.S. Government contractor, we hold classified or other sensitive information. As a result, we face a heightened risk of a security breach or disruption with respect to classified or other sensitive information resulting from an attack by computer hackers, foreign governments, and cyber terrorists.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or utilities could cause us to interrupt or suspend our operations, which could have a material adverse effect on our business and results of operations.</w:t>
      </w:r>
    </w:p>
    <w:p>
      <w:pPr>
        <w:spacing w:after="0" w:line="115" w:lineRule="exact"/>
        <w:rPr>
          <w:sz w:val="20"/>
          <w:szCs w:val="20"/>
          <w:color w:val="auto"/>
        </w:rPr>
      </w:pPr>
    </w:p>
    <w:p>
      <w:pPr>
        <w:ind w:right="380" w:firstLine="432"/>
        <w:spacing w:after="0" w:line="258" w:lineRule="auto"/>
        <w:rPr>
          <w:sz w:val="20"/>
          <w:szCs w:val="20"/>
          <w:color w:val="auto"/>
        </w:rPr>
      </w:pPr>
      <w:r>
        <w:rPr>
          <w:rFonts w:ascii="Arial" w:cs="Arial" w:eastAsia="Arial" w:hAnsi="Arial"/>
          <w:sz w:val="18"/>
          <w:szCs w:val="18"/>
          <w:color w:val="auto"/>
        </w:rPr>
        <w:t>If our systems, services, or other applications have significant defects or errors, are successfully attacked by cyber and other security threats, suffer delivery delays, or otherwise fail to meet our clients’ expectations, we may:</w:t>
      </w:r>
    </w:p>
    <w:p>
      <w:pPr>
        <w:spacing w:after="0" w:line="1"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54" w:right="259" w:bottom="1440" w:gutter="0" w:footer="0" w:header="0"/>
        </w:sectPr>
      </w:pPr>
    </w:p>
    <w:bookmarkStart w:id="28" w:name="page29"/>
    <w:bookmarkEnd w:id="28"/>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costs related to monitoring and increasing our cybersecurity;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9" w:lineRule="exact"/>
        <w:rPr>
          <w:rFonts w:ascii="Arial" w:cs="Arial" w:eastAsia="Arial" w:hAnsi="Arial"/>
          <w:sz w:val="18"/>
          <w:szCs w:val="18"/>
          <w:color w:val="auto"/>
        </w:rPr>
      </w:pPr>
    </w:p>
    <w:p>
      <w:pPr>
        <w:ind w:left="640" w:right="760" w:hanging="321"/>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U.S. government, international, and commercial clients;</w:t>
      </w:r>
    </w:p>
    <w:p>
      <w:pPr>
        <w:ind w:left="640" w:hanging="321"/>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suffer claims for substantial damages, particularly as a result of any successful network or systems breach and exfiltration of client information; or</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significant costs complying with applicable federal or state law, including laws governing protection of personal information.</w:t>
      </w:r>
    </w:p>
    <w:p>
      <w:pPr>
        <w:spacing w:after="0" w:line="15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costs related to cyber or other security threats or disruptions may not be fully insured or indemnified by other means. Additionally, some cyber technologies that we utilize or develop may raise potential liabilities related to intellectual property and civil liberties, including privacy concerns, which may not be fully insured or indemnified. Our errors and omissions insurance coverage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Failure to adequately protect, maintain, or enforce our rights in our intellectual property may adversely limit our competitive position.</w:t>
      </w:r>
    </w:p>
    <w:p>
      <w:pPr>
        <w:spacing w:after="0" w:line="200" w:lineRule="exact"/>
        <w:rPr>
          <w:sz w:val="20"/>
          <w:szCs w:val="20"/>
          <w:color w:val="auto"/>
        </w:rPr>
      </w:pPr>
    </w:p>
    <w:p>
      <w:pPr>
        <w:spacing w:after="0" w:line="25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39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38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200" w:lineRule="exact"/>
        <w:rPr>
          <w:sz w:val="20"/>
          <w:szCs w:val="20"/>
          <w:color w:val="auto"/>
        </w:rPr>
      </w:pPr>
    </w:p>
    <w:p>
      <w:pPr>
        <w:spacing w:after="0" w:line="20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34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b w:val="1"/>
          <w:bCs w:val="1"/>
          <w:i w:val="1"/>
          <w:iCs w:val="1"/>
          <w:color w:val="auto"/>
        </w:rPr>
        <w:t>The growth of our U.S. and international business entails risks, including those associated with new relationships, clients, capabilities, service offerings, and maintaining our collaborative culture and core values.</w:t>
      </w:r>
    </w:p>
    <w:p>
      <w:pPr>
        <w:spacing w:after="0" w:line="116"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We are focused on growing our presence in our addressable markets by: expanding our relationships with existing clients, developing new clients by leveraging our core competencies, further developing our existing capabilities and service offerings, and creating new capabilities and service offerings to address our clients' emerging needs, and undertaking business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92" w:right="279" w:bottom="1440" w:gutter="0" w:footer="0" w:header="0"/>
        </w:sectPr>
      </w:pPr>
    </w:p>
    <w:bookmarkStart w:id="29" w:name="page30"/>
    <w:bookmarkEnd w:id="29"/>
    <w:p>
      <w:pPr>
        <w:ind w:right="200"/>
        <w:spacing w:after="0" w:line="289" w:lineRule="auto"/>
        <w:rPr>
          <w:sz w:val="20"/>
          <w:szCs w:val="20"/>
          <w:color w:val="auto"/>
        </w:rPr>
      </w:pPr>
      <w:r>
        <w:rPr>
          <w:rFonts w:ascii="Arial" w:cs="Arial" w:eastAsia="Arial" w:hAnsi="Arial"/>
          <w:sz w:val="16"/>
          <w:szCs w:val="16"/>
          <w:color w:val="auto"/>
        </w:rPr>
        <w:t>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w:t>
      </w:r>
    </w:p>
    <w:p>
      <w:pPr>
        <w:spacing w:after="0" w:line="329"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we may be unable to grow our business. Any such failure could have a material adverse effect on our business and results of operations.</w:t>
      </w:r>
    </w:p>
    <w:p>
      <w:pPr>
        <w:spacing w:after="0" w:line="11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18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b w:val="1"/>
          <w:bCs w:val="1"/>
          <w:i w:val="1"/>
          <w:iCs w:val="1"/>
          <w:color w:val="auto"/>
        </w:rPr>
        <w:t>Our international operations are subject to U.S. government laws and regulations, such as the Foreign Corrupt Practices Act, and regulations and procurement policies and practices, including regulations to import-export control, which may expose us to liability or impair our ability to compete in international markets.</w:t>
      </w:r>
    </w:p>
    <w:p>
      <w:pPr>
        <w:spacing w:after="0" w:line="4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Our international operations are subject to the U.S. Foreign Corrupt Practices Act, or the FCPA, and other laws that prohibit improper payments or offers of payments to foreign governments and their officials and political parties by U.S. and other business entities for the purpose of obtaining or retaining business. We have operations and deal with governmental customers in countries known to experience corruption, including certain emerging countries in the Middle East. Our activities in these countries create the risk of unauthorized payments or offers of payments by one of our employees, consultants or contractors that could be in violation of various laws including the FCPA, even though these parties are not always subject to our control.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113"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If we were to fail to comply with the FCPA or the applicable import-export control regulations, we could be subject to substantial civil and criminal penalties, including fines for our company and incarceration for responsible employees and managers, and the possible loss of export or import privileges which could have a material adverse effect on our business and results of operations.</w:t>
      </w:r>
    </w:p>
    <w:p>
      <w:pPr>
        <w:spacing w:after="0" w:line="12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3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52"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implementation of these changes, and the implementation of other future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54" w:right="259" w:bottom="1440" w:gutter="0" w:footer="0" w:header="0"/>
        </w:sectPr>
      </w:pPr>
    </w:p>
    <w:bookmarkStart w:id="30" w:name="page31"/>
    <w:bookmarkEnd w:id="30"/>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debt in the future, which could substantially reduce our profitability, limit our ability to pursue certain business opportunities, and reduce the value of your investment.</w:t>
      </w:r>
    </w:p>
    <w:p>
      <w:pPr>
        <w:spacing w:after="0" w:line="35"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As of March 31, 2014, we had approximately $1.7 billion of debt outstanding. The instruments governing our indebtedness may not prevent us or our subsidiaries from incurring additional debt in the future or other obligations that do not constitute indebtedness, which could increase the risks described below and lead to other risks. In addition, with the closing of our refinancing on May 7, 2014, we may increase the borrowing capacity under our senior secured credit agreement without the consent of any person other than the institutions agreeing to provide all or any portion of such increase, to an amount which would not cause our net consolidated secured leverage ratio to exceed 3.50:1.00, subject to certain closing conditions including pro forma compliance with financial covenants. The amount of our debt or such other obligations could have important consequences, including, but not limited to:</w:t>
      </w:r>
    </w:p>
    <w:p>
      <w:pPr>
        <w:spacing w:after="0" w:line="57"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satisfy obligations to lenders may be impaired, resulting in possible defaults on and acceleration of our indebtedness;</w:t>
      </w:r>
    </w:p>
    <w:p>
      <w:pPr>
        <w:spacing w:after="0" w:line="23" w:lineRule="exact"/>
        <w:rPr>
          <w:rFonts w:ascii="Arial" w:cs="Arial" w:eastAsia="Arial" w:hAnsi="Arial"/>
          <w:sz w:val="18"/>
          <w:szCs w:val="18"/>
          <w:color w:val="auto"/>
        </w:rPr>
      </w:pPr>
    </w:p>
    <w:p>
      <w:pPr>
        <w:ind w:left="640" w:right="720" w:hanging="321"/>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additional financing for refinancing of existing indebtedness, working capital, capital expenditures, product and service development, acquisitions, general corporate purposes, and other purposes may be impaired;</w:t>
      </w: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could be dedicated to the payment of the principal and interest on our debt;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increasingly vulnerable to economic downturns and increases in interest rates;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flexibility in planning for and reacting to changes in our business and the industry may be limited;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placed at a competitive disadvantage relative to other firms in our industry.</w:t>
      </w:r>
    </w:p>
    <w:p>
      <w:pPr>
        <w:spacing w:after="0" w:line="23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b w:val="1"/>
          <w:bCs w:val="1"/>
          <w:i w:val="1"/>
          <w:iCs w:val="1"/>
          <w:color w:val="auto"/>
        </w:rPr>
        <w:t>Our senior secured credit agreement contains financial and operating covenants that limit our operations and could lead to adverse consequences if we fail to comply with them.</w:t>
      </w:r>
    </w:p>
    <w:p>
      <w:pPr>
        <w:spacing w:after="0" w:line="35" w:lineRule="exact"/>
        <w:rPr>
          <w:sz w:val="20"/>
          <w:szCs w:val="20"/>
          <w:color w:val="auto"/>
        </w:rPr>
      </w:pPr>
    </w:p>
    <w:p>
      <w:pPr>
        <w:jc w:val="both"/>
        <w:ind w:right="40" w:firstLine="432"/>
        <w:spacing w:after="0" w:line="288" w:lineRule="auto"/>
        <w:rPr>
          <w:sz w:val="20"/>
          <w:szCs w:val="20"/>
          <w:color w:val="auto"/>
        </w:rPr>
      </w:pPr>
      <w:r>
        <w:rPr>
          <w:rFonts w:ascii="Arial" w:cs="Arial" w:eastAsia="Arial" w:hAnsi="Arial"/>
          <w:sz w:val="16"/>
          <w:szCs w:val="16"/>
          <w:color w:val="auto"/>
        </w:rPr>
        <w:t>Our senior secured credit agreement contains financial and operating covenants relating to, among other things, interest coverage and leverage ratios, as well as limitations on mergers, consolidations and dissolutions, sales of assets, investments and acquisitions, indebtedness and liens, dividends, repurchase of shares of capital stock and options to purchase shares of capital stock, transactions with affiliates, sale and leaseback transactions, and restricted payments.</w:t>
      </w:r>
    </w:p>
    <w:p>
      <w:pPr>
        <w:spacing w:after="0" w:line="273" w:lineRule="auto"/>
        <w:rPr>
          <w:sz w:val="20"/>
          <w:szCs w:val="20"/>
          <w:color w:val="auto"/>
        </w:rPr>
      </w:pPr>
      <w:r>
        <w:rPr>
          <w:rFonts w:ascii="Arial" w:cs="Arial" w:eastAsia="Arial" w:hAnsi="Arial"/>
          <w:sz w:val="17"/>
          <w:szCs w:val="17"/>
          <w:color w:val="auto"/>
        </w:rPr>
        <w:t>The revolving credit facility matures on May 31, 2019. The Term Loan A and Term Loan B facilities mature on May 31, 2019 and July 31, 2019, respectively. Failure to meet these financial and operating covenants could result from, among other things, changes in our results of operations, the incurrence of debt, or changes in general economic conditions, which may be beyond our control. These covenants may restrict our ability to engage in transactions that we believe would otherwise be in the best interests of our stockholders, which could harm our business and operations.</w:t>
      </w:r>
    </w:p>
    <w:p>
      <w:pPr>
        <w:spacing w:after="0" w:line="20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Many of our contracts with the U.S. government are classified or subject to other security restrictions, which may limit investor insight into portions of our business.</w:t>
      </w:r>
    </w:p>
    <w:p>
      <w:pPr>
        <w:spacing w:after="0" w:line="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For fiscal 2014, we derived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19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3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35" w:right="239" w:bottom="1440" w:gutter="0" w:footer="0" w:header="0"/>
        </w:sectPr>
      </w:pPr>
    </w:p>
    <w:bookmarkStart w:id="31" w:name="page32"/>
    <w:bookmarkEnd w:id="31"/>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35"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5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including through Carlyle, or with which we otherwise conduct business, create organizational conflicts of interest issues for us, our results of operations could be materially and adversely affected.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Acquisitions could result in operating difficulties or other adverse consequences to our business.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part of our operating strategy, we may continue to selectively pursue acquisitions. This could pose many risks, including:</w:t>
      </w:r>
    </w:p>
    <w:p>
      <w:pPr>
        <w:spacing w:after="0" w:line="23" w:lineRule="exact"/>
        <w:rPr>
          <w:sz w:val="20"/>
          <w:szCs w:val="20"/>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identify suitable acquisition candidates at prices we consider attractive;</w:t>
      </w:r>
    </w:p>
    <w:p>
      <w:pPr>
        <w:spacing w:after="0" w:line="9" w:lineRule="exact"/>
        <w:rPr>
          <w:rFonts w:ascii="Arial" w:cs="Arial" w:eastAsia="Arial" w:hAnsi="Arial"/>
          <w:sz w:val="18"/>
          <w:szCs w:val="18"/>
          <w:color w:val="auto"/>
        </w:rPr>
      </w:pPr>
    </w:p>
    <w:p>
      <w:pPr>
        <w:ind w:left="640" w:right="4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compete successfully for identified acquisition candidates, complete acquisitions, or accurately estimate the financial effect of acquisitions on our business;</w:t>
      </w:r>
    </w:p>
    <w:p>
      <w:pPr>
        <w:ind w:left="640" w:hanging="321"/>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future acquisitions may require us to issue common stock or spend significant cash, resulting in dilution of ownership or additional debt leverage;</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retaining an acquired company’s key employees or clients;</w:t>
      </w:r>
    </w:p>
    <w:p>
      <w:pPr>
        <w:spacing w:after="0" w:line="9" w:lineRule="exact"/>
        <w:rPr>
          <w:rFonts w:ascii="Arial" w:cs="Arial" w:eastAsia="Arial" w:hAnsi="Arial"/>
          <w:sz w:val="18"/>
          <w:szCs w:val="18"/>
          <w:color w:val="auto"/>
        </w:rPr>
      </w:pPr>
    </w:p>
    <w:p>
      <w:pPr>
        <w:ind w:left="640" w:right="84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integrating acquired businesses, resulting in unforeseen difficulties, such as incompatible accounting, information management, or other control systems, and greater expenses than expected;</w:t>
      </w: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may disrupt our business or distract our management from other responsibilities;</w:t>
      </w:r>
    </w:p>
    <w:p>
      <w:pPr>
        <w:spacing w:after="0" w:line="9" w:lineRule="exact"/>
        <w:rPr>
          <w:rFonts w:ascii="Arial" w:cs="Arial" w:eastAsia="Arial" w:hAnsi="Arial"/>
          <w:sz w:val="18"/>
          <w:szCs w:val="18"/>
          <w:color w:val="auto"/>
        </w:rPr>
      </w:pPr>
    </w:p>
    <w:p>
      <w:pPr>
        <w:ind w:left="64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result of an acquisition, we may incur additional debt and we may need to record write-downs from future impairments of intangible assets, each of which could reduce our future reported earnings; and</w:t>
      </w: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integrating personnel from the acquired company with our people and our core values.</w:t>
      </w:r>
    </w:p>
    <w:p>
      <w:pPr>
        <w:spacing w:after="0" w:line="15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connection with any acquisition that we make, there may be liabilities that we fail to discover or that we inadequately assess, and we may fail to discover any failure of a target company to have fulfilled its contractual obligations to the U.S. government or other clients. Acquired entities may not operate profitably or result in improved operating performance. Additionally, we may not realize anticipated synergies, business growth opportunities, cost savings, and other benefits we anticipate, which could have a material adverse effect on our business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4" w:lineRule="exact"/>
        <w:rPr>
          <w:sz w:val="20"/>
          <w:szCs w:val="20"/>
          <w:color w:val="auto"/>
        </w:rPr>
      </w:pPr>
    </w:p>
    <w:p>
      <w:pPr>
        <w:ind w:right="20" w:firstLine="405"/>
        <w:spacing w:after="0" w:line="357" w:lineRule="auto"/>
        <w:rPr>
          <w:sz w:val="20"/>
          <w:szCs w:val="20"/>
          <w:color w:val="auto"/>
        </w:rPr>
      </w:pPr>
      <w:r>
        <w:rPr>
          <w:rFonts w:ascii="Arial" w:cs="Arial" w:eastAsia="Arial" w:hAnsi="Arial"/>
          <w:sz w:val="15"/>
          <w:szCs w:val="15"/>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ind w:right="400" w:firstLine="432"/>
        <w:spacing w:after="0" w:line="258" w:lineRule="auto"/>
        <w:rPr>
          <w:sz w:val="20"/>
          <w:szCs w:val="20"/>
          <w:color w:val="auto"/>
        </w:rPr>
      </w:pPr>
      <w:r>
        <w:rPr>
          <w:rFonts w:ascii="Arial" w:cs="Arial" w:eastAsia="Arial" w:hAnsi="Arial"/>
          <w:sz w:val="18"/>
          <w:szCs w:val="18"/>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1"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orders under or otherwise modify contracts;</w:t>
      </w:r>
    </w:p>
    <w:p>
      <w:pPr>
        <w:spacing w:after="0" w:line="9" w:lineRule="exact"/>
        <w:rPr>
          <w:rFonts w:ascii="Arial" w:cs="Arial" w:eastAsia="Arial" w:hAnsi="Arial"/>
          <w:sz w:val="18"/>
          <w:szCs w:val="18"/>
          <w:color w:val="auto"/>
        </w:rPr>
      </w:pPr>
    </w:p>
    <w:p>
      <w:pPr>
        <w:ind w:left="640" w:right="120" w:hanging="321"/>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ind w:left="640" w:right="200" w:hanging="321"/>
        <w:spacing w:after="0" w:line="26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some contracts, (i) demand a refund, make a forward price adjustment, or terminate a contract for default if a contractor provided inaccurate or incomplete data during the contract negotiation process and (ii) reduce the contract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773" w:right="279" w:bottom="1440" w:gutter="0" w:footer="0" w:header="0"/>
        </w:sectPr>
      </w:pPr>
    </w:p>
    <w:bookmarkStart w:id="32" w:name="page33"/>
    <w:bookmarkEnd w:id="32"/>
    <w:p>
      <w:pPr>
        <w:ind w:left="640"/>
        <w:spacing w:after="0"/>
        <w:rPr>
          <w:sz w:val="20"/>
          <w:szCs w:val="20"/>
          <w:color w:val="auto"/>
        </w:rPr>
      </w:pPr>
      <w:r>
        <w:rPr>
          <w:rFonts w:ascii="Arial" w:cs="Arial" w:eastAsia="Arial" w:hAnsi="Arial"/>
          <w:sz w:val="16"/>
          <w:szCs w:val="16"/>
          <w:color w:val="auto"/>
        </w:rPr>
        <w:t>price under certain triggering circumstances, including the revision of price lists or other documents upon which the contract award was predicated;</w:t>
      </w:r>
    </w:p>
    <w:p>
      <w:pPr>
        <w:spacing w:after="0" w:line="46"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terminate our facility security clearances and thereby prevent us from receiving classified contracts;</w:t>
      </w:r>
    </w:p>
    <w:p>
      <w:pPr>
        <w:spacing w:after="0" w:line="22"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decline to exercise an option to renew a multi-year contract or issue task orders in connection with ID/IQ contracts;</w:t>
      </w:r>
    </w:p>
    <w:p>
      <w:pPr>
        <w:spacing w:after="0" w:line="9"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1" w:lineRule="exact"/>
        <w:rPr>
          <w:rFonts w:ascii="Arial" w:cs="Arial" w:eastAsia="Arial" w:hAnsi="Arial"/>
          <w:sz w:val="18"/>
          <w:szCs w:val="18"/>
          <w:color w:val="auto"/>
        </w:rPr>
      </w:pPr>
    </w:p>
    <w:p>
      <w:pPr>
        <w:ind w:left="640" w:right="34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debar us from doing business with the U.S. government;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control or prohibit the export of our services.</w:t>
      </w:r>
    </w:p>
    <w:p>
      <w:pPr>
        <w:spacing w:after="0" w:line="15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U.S. government may revise its procurement, contract or other practices in a manner adverse to us.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government may:</w:t>
      </w:r>
    </w:p>
    <w:p>
      <w:pPr>
        <w:spacing w:after="0" w:line="23" w:lineRule="exact"/>
        <w:rPr>
          <w:sz w:val="20"/>
          <w:szCs w:val="20"/>
          <w:color w:val="auto"/>
        </w:rPr>
      </w:pPr>
    </w:p>
    <w:p>
      <w:pPr>
        <w:ind w:left="640" w:right="360" w:hanging="321"/>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revise its procurement practices or adopt new contract laws, rules, and regulations, such as cost accounting standards, organizational conflicts of interest, and other rules governing inherently governmental functions at any time;</w:t>
      </w:r>
    </w:p>
    <w:p>
      <w:pPr>
        <w:ind w:left="640" w:hanging="32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20" w:lineRule="exact"/>
        <w:rPr>
          <w:rFonts w:ascii="Arial" w:cs="Arial" w:eastAsia="Arial" w:hAnsi="Arial"/>
          <w:sz w:val="17"/>
          <w:szCs w:val="17"/>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the creation of new government-wide or agency-specific multiple award contracts;</w:t>
      </w:r>
    </w:p>
    <w:p>
      <w:pPr>
        <w:spacing w:after="0" w:line="9" w:lineRule="exact"/>
        <w:rPr>
          <w:rFonts w:ascii="Arial" w:cs="Arial" w:eastAsia="Arial" w:hAnsi="Arial"/>
          <w:sz w:val="18"/>
          <w:szCs w:val="18"/>
          <w:color w:val="auto"/>
        </w:rPr>
      </w:pPr>
    </w:p>
    <w:p>
      <w:pPr>
        <w:ind w:left="640" w:right="280" w:hanging="321"/>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face restrictions or pressure from government employees and their unions regarding the amount of services the U.S. government may obtain from private contractors;</w:t>
      </w:r>
    </w:p>
    <w:p>
      <w:pPr>
        <w:ind w:left="640" w:hanging="321"/>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award contracts on a technically acceptable/lowest cost basis in order to reduce expenditures, and we may not be the lowest cost provider of services;</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adopt new socio-economic requirements, including setting aside funds to small, disadvantaged businesses;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basis upon which it reimburses our compensation and other expenses or otherwise limit such reimbursements;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its option, terminate or decline to renew our contracts.</w:t>
      </w:r>
    </w:p>
    <w:p>
      <w:pPr>
        <w:spacing w:after="0" w:line="15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 and manages its contracts, it could result in an increase in competitive pressure and decreased profitability on contracts and have a material adverse effect on our results of operations.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U.S. government may prefer minority-owned, small and small disadvantaged businesses; therefore, we may not win contracts we bid for.</w:t>
      </w:r>
    </w:p>
    <w:p>
      <w:pPr>
        <w:spacing w:after="0" w:line="11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19" w:right="259" w:bottom="1440" w:gutter="0" w:footer="0" w:header="0"/>
        </w:sectPr>
      </w:pPr>
    </w:p>
    <w:bookmarkStart w:id="33" w:name="page34"/>
    <w:bookmarkEnd w:id="33"/>
    <w:p>
      <w:pPr>
        <w:spacing w:after="0" w:line="342" w:lineRule="auto"/>
        <w:rPr>
          <w:sz w:val="20"/>
          <w:szCs w:val="20"/>
          <w:color w:val="auto"/>
        </w:rPr>
      </w:pPr>
      <w:r>
        <w:rPr>
          <w:rFonts w:ascii="Arial" w:cs="Arial" w:eastAsia="Arial" w:hAnsi="Arial"/>
          <w:sz w:val="16"/>
          <w:szCs w:val="16"/>
          <w:color w:val="auto"/>
        </w:rPr>
        <w:t>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contracts, performance, and administrative processes and systems are subject to audits, reviews, investigations, and cost adjustments by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which could reduce our revenue, disrupt our business or otherwise materially adversely affect our results of operation.</w:t>
      </w:r>
    </w:p>
    <w:p>
      <w:pPr>
        <w:spacing w:after="0" w:line="76" w:lineRule="exact"/>
        <w:rPr>
          <w:sz w:val="20"/>
          <w:szCs w:val="20"/>
          <w:color w:val="auto"/>
        </w:rPr>
      </w:pPr>
    </w:p>
    <w:p>
      <w:pPr>
        <w:ind w:firstLine="432"/>
        <w:spacing w:after="0" w:line="282" w:lineRule="auto"/>
        <w:rPr>
          <w:sz w:val="20"/>
          <w:szCs w:val="20"/>
          <w:color w:val="auto"/>
        </w:rPr>
      </w:pPr>
      <w:r>
        <w:rPr>
          <w:rFonts w:ascii="Arial" w:cs="Arial" w:eastAsia="Arial" w:hAnsi="Arial"/>
          <w:sz w:val="16"/>
          <w:szCs w:val="16"/>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reserves established by management based on estimates and assumptions that are inherently uncertain. Moreover, if any of the administrative processes and systems are found not to comply with government imposed requirements, we may be subjected to increased government scrutiny and approval that could delay or otherwise adversely affect our ability to compete for or perform contracts. Unfavorable U.S. government audit, review, or investigation results could subject us to civil or criminal penalties or administrative sanctions, and could harm our reputation and relationships with our clients and impair our ability to be awarded new contracts. For example,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w:t>
      </w:r>
    </w:p>
    <w:p>
      <w:pPr>
        <w:spacing w:after="0" w:line="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20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3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Most recently, in the absence of an annual budget for the government's current fiscal year, a continuing resolution provided funding through the end of September 30, 2013 for certain government agencies and departments. Under a continuing resolution, funding may not be available for new projects. In addition, when government agencies operate on the basis of a continuing resolution, they may delay funding we expect to receive on contracts we are already performing. Any such delays would likely result in new business initiatives being delayed or cancelled and a reduction in our backlog, and could have a material adverse effect on our revenue and operating results. In addition, a failure to complete the budget process and fund government operations pursuant to a continuing resolution may result in a federal government shutdown (such as that which occurred during government fiscal year 2014). A shutdown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73" w:right="25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t>result in us incurring substantial costs without reimbursement under our contracts and the delay or cancellation of key programs, which could have a material adverse effect on our revenue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3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our senior secured credit agreement significantly restricts the ability of our subsidiaries to pay dividends or otherwise transfer assets to us. In addition, Delaware law may impose requirements that may restrict our ability to pay dividends to holders of our common stock.</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principal stockholder could exert significant influence over our company.</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of March 31, 2014, Carlyle, through Coinvest, owned shares of our common stock representing approximately 53% of our outstanding voting power (excluding shares of common stock with respect to which Carlyle has received a voting proxy pursuant to irrevocable proxy and tag-along agreements). Under the terms of the irrevocable proxy and tag-along agreements Carlyle is able to exercise voting power over shares of our common stock owned by a number of other stockholders, including our executive officers, with respect to the election and removal of directors and change of control transactions. As a result, Carlyle will have a controlling influence over all matters presented to our stockholders for approval, including election and removal of our directors and change of control transactions.</w:t>
      </w:r>
    </w:p>
    <w:p>
      <w:pPr>
        <w:spacing w:after="0" w:line="13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Coinvest is a party to the amended and restated stockholders agreement pursuant to which Carlyle has the right to nominate three members of our board of directors, and to exercise control over matters requiring stockholder approval and our policy and affairs. In addition, we are a “controlled company” within the meaning of the New York Stock Exchange rules and, as a result, currently intend to rely on exemptions from certain corporate governance requirements. The concentrated holdings of funds affiliated with Carlyle, certain provisions of the amended and restated stockholders agreement and the presence of Carlyle’s nominees on our Board may result in a delay or the deterrence of possible changes in control of our company, which may reduce the market price of our common stock. The interests of Carlyle may not always coincide with the interests of the other holders of our common stock.</w:t>
      </w:r>
    </w:p>
    <w:p>
      <w:pPr>
        <w:spacing w:after="0" w:line="11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Carlyle is in the business of making investments in companies, and may from time to time in the future acquire controlling interests in businesses engaged in management and technology consulting that complement or directly or indirectly compete with certain portions of our business. If Carlyle pursues such acquisitions in our industry, those acquisition opportunities may not be available to us. In addition, to the extent that Carlyle acquires a controlling interest in one or more companies that provide services or products to the U.S. government, our affiliation with any such company through Carlyle could create organizational conflicts of interest and similar issues for us under federal procurement laws and regulations. See “— Risks Related to Our Business — Recent efforts by the U.S. government to revise its organizational conflicts of interest rules could limit our ability to successfully compete for new contracts or task orders, which would adversely affect our results of operations.”</w:t>
      </w:r>
    </w:p>
    <w:p>
      <w:pPr>
        <w:spacing w:after="0" w:line="20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35" w:lineRule="exact"/>
        <w:rPr>
          <w:sz w:val="20"/>
          <w:szCs w:val="20"/>
          <w:color w:val="auto"/>
        </w:rPr>
      </w:pPr>
    </w:p>
    <w:p>
      <w:pPr>
        <w:ind w:right="400" w:firstLine="432"/>
        <w:spacing w:after="0" w:line="256" w:lineRule="auto"/>
        <w:rPr>
          <w:sz w:val="20"/>
          <w:szCs w:val="20"/>
          <w:color w:val="auto"/>
        </w:rPr>
      </w:pPr>
      <w:r>
        <w:rPr>
          <w:rFonts w:ascii="Arial" w:cs="Arial" w:eastAsia="Arial" w:hAnsi="Arial"/>
          <w:sz w:val="18"/>
          <w:szCs w:val="18"/>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cause of reduction or delay in U.S. government funding;</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revenue earned on existing contracts;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 particular period;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potential decline in our overall profit margins if our other direct costs and subcontract revenue grow at a faster rate than labor-related revenue;</w:t>
      </w:r>
    </w:p>
    <w:p>
      <w:pPr>
        <w:spacing w:after="0" w:line="32" w:lineRule="exact"/>
        <w:rPr>
          <w:rFonts w:ascii="Arial" w:cs="Arial" w:eastAsia="Arial" w:hAnsi="Arial"/>
          <w:sz w:val="16"/>
          <w:szCs w:val="16"/>
          <w:color w:val="auto"/>
        </w:rPr>
      </w:pPr>
    </w:p>
    <w:p>
      <w:pPr>
        <w:ind w:left="640" w:right="40" w:hanging="321"/>
        <w:spacing w:after="0" w:line="250"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changes to business strategy, strategic investments, acquisitions, divestitures, spin offs, and joint ventures;</w:t>
      </w: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change in our contract mix to less profitable contracts;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U.S. government contracts in general;</w:t>
      </w:r>
    </w:p>
    <w:p>
      <w:pPr>
        <w:spacing w:after="0" w:line="9" w:lineRule="exact"/>
        <w:rPr>
          <w:rFonts w:ascii="Arial" w:cs="Arial" w:eastAsia="Arial" w:hAnsi="Arial"/>
          <w:sz w:val="18"/>
          <w:szCs w:val="18"/>
          <w:color w:val="auto"/>
        </w:rPr>
      </w:pPr>
    </w:p>
    <w:p>
      <w:pPr>
        <w:ind w:left="640" w:right="80" w:hanging="321"/>
        <w:spacing w:after="0" w:line="26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which are agreements that fulfill repetitive needs under GSA schedules, and ID/IQ contracts;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73" w:right="259" w:bottom="1440" w:gutter="0" w:footer="0" w:header="0"/>
        </w:sectPr>
      </w:pPr>
    </w:p>
    <w:bookmarkStart w:id="35" w:name="page36"/>
    <w:bookmarkEnd w:id="35"/>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demand for our services and solutions;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degree to which we are able to utilize our professionals;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seasonality associated with the U.S. government’s fiscal year;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 change in law;</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alterations to contract requirements;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cannot assure you that we will pay special or regular dividends on our stock in the future.</w:t>
      </w:r>
    </w:p>
    <w:p>
      <w:pPr>
        <w:spacing w:after="0" w:line="11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board of directors has authorized and declared a regular quarterly for each quarter in the last several years. The board of directors also authorized and declared a special cash dividend on May 29, 2012, July 30, 2012, October 29, 2013 and January 30, 2014. The declaration of any future dividends and the establishment of the per share amount, record dates and payment dates for any such future dividends are subject to the discretion of the board of directors taking into account future earnings, cash flows, financial requirements and other factors.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16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b w:val="1"/>
          <w:bCs w:val="1"/>
          <w:i w:val="1"/>
          <w:iCs w:val="1"/>
          <w:color w:val="auto"/>
        </w:rPr>
        <w:t>A majority of our outstanding indebtedness is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indebtedness and other obligations. In addition, the existence of these security interests may adversely affect our financial flexibility.</w:t>
      </w:r>
    </w:p>
    <w:p>
      <w:pPr>
        <w:spacing w:after="0" w:line="5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Indebtedness under our senior secured credit agreement is secured by a lien on substantially all of our assets. Accordingly, if an event of default were to occur under our senior secured credit agreement, the senior secured lenders under such facilities would have a prior right to our assets, to the exclusion of our general creditors in the event of our bankruptcy, insolvency, liquidation, or reorganization. In that event, our assets would first be used to repay in full all indebtedness and other obligations secured by them (including all amounts outstanding under our senior secured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 As of March 31, 2014, we had $1.7 billion of indebtedness outstanding under our senior secured credit agreement and had $497.6 million of capacity available for additional borrowings under the revolving portion of our senior secured credit agreement. In addition, we may, increase the borrowing capacity under our senior secured credit agreement without the consent of any person other than the institutions agreeing to provide all or any portion of such increase, to an amount not to exceed $300 million, subject to certain closing conditions including pro forma compliance with financial covenants.</w:t>
      </w:r>
    </w:p>
    <w:p>
      <w:pPr>
        <w:spacing w:after="0" w:line="19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4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a public company, the Sarbanes-Oxley Act of 2002 and the Dodd-Frank Wall Street Reform and Consumer Protection Act,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11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 particular, the Sarbanes-Oxley Act of 2002 requires us to document and test the effectiveness of our internal control over financial reporting in accordance with an established internal control framework, and to report on our conclusions as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6" w:name="page37"/>
    <w:bookmarkEnd w:id="36"/>
    <w:p>
      <w:pPr>
        <w:spacing w:after="0" w:line="290" w:lineRule="auto"/>
        <w:rPr>
          <w:sz w:val="20"/>
          <w:szCs w:val="20"/>
          <w:color w:val="auto"/>
        </w:rPr>
      </w:pPr>
      <w:r>
        <w:rPr>
          <w:rFonts w:ascii="Arial" w:cs="Arial" w:eastAsia="Arial" w:hAnsi="Arial"/>
          <w:sz w:val="16"/>
          <w:szCs w:val="16"/>
          <w:color w:val="auto"/>
        </w:rPr>
        <w:t>effectiveness of our internal controls. It also requires an independent registered public accounting firm to test our internal control over financial reporting and report on the effectiveness of such controls. In addition, we are required under the Securities Exchange Act of 1934, as amended, or the Exchange Act, to maintain disclosure controls and procedures and internal control over financial reporting. Any failure to maintain effective controls or implement new or improved controls, or difficulties encountered in their implementation, could harm our operating results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11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in the Delaware General Corporation Law may prevent takeover attempts that could be beneficial to our stockholders.</w:t>
      </w:r>
    </w:p>
    <w:p>
      <w:pPr>
        <w:spacing w:after="0" w:line="35" w:lineRule="exact"/>
        <w:rPr>
          <w:sz w:val="20"/>
          <w:szCs w:val="20"/>
          <w:color w:val="auto"/>
        </w:rPr>
      </w:pPr>
    </w:p>
    <w:p>
      <w:pPr>
        <w:jc w:val="both"/>
        <w:ind w:right="400" w:firstLine="432"/>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establishment of a classified Board, with staggered terms;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to the Board the sole power to set the number of directors and to fill any vacancy on the Board;</w:t>
      </w:r>
    </w:p>
    <w:p>
      <w:pPr>
        <w:spacing w:after="0" w:line="9" w:lineRule="exact"/>
        <w:rPr>
          <w:rFonts w:ascii="Arial" w:cs="Arial" w:eastAsia="Arial" w:hAnsi="Arial"/>
          <w:sz w:val="18"/>
          <w:szCs w:val="18"/>
          <w:color w:val="auto"/>
        </w:rPr>
      </w:pPr>
    </w:p>
    <w:p>
      <w:pPr>
        <w:ind w:left="640" w:right="400" w:hanging="321"/>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the ability of stockholders to remove directors if a “group,” as defined under Section 13(d)(3) of the Exchange Act, ceases to own more than 50% of our voting common stock;</w:t>
      </w:r>
    </w:p>
    <w:p>
      <w:pPr>
        <w:ind w:left="640" w:hanging="321"/>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to the Board the ability to designate and issue one or more series of preferred stock without stockholder approval, the terms of which may be determined at the sole discretion of the Board;</w:t>
      </w: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prohibition on stockholders from calling special meetings of stockholders;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establishment of advance notice requirements for stockholder proposals and nominations for election to the Board at stockholder meetings;</w:t>
      </w:r>
    </w:p>
    <w:p>
      <w:pPr>
        <w:spacing w:after="0" w:line="20" w:lineRule="exact"/>
        <w:rPr>
          <w:rFonts w:ascii="Arial" w:cs="Arial" w:eastAsia="Arial" w:hAnsi="Arial"/>
          <w:sz w:val="17"/>
          <w:szCs w:val="17"/>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approval of two-thirds of stockholders to amend the bylaws;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our stockholders from acting by written consent if a “group” ceases to own more than 50% of our voting common stock.</w:t>
      </w:r>
    </w:p>
    <w:p>
      <w:pPr>
        <w:spacing w:after="0" w:line="15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 In addition, we have opted out of Section 203 of the Delaware General Corporation Law, which would have otherwise imposed additional requirements regarding mergers and other business combinations, until Carlyle and its affiliates no longer own more than 20% of our Class A Common Stock. After such time, we will be governed by Section 203.</w:t>
      </w:r>
    </w:p>
    <w:p>
      <w:pPr>
        <w:spacing w:after="0" w:line="10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08"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b w:val="1"/>
          <w:bCs w:val="1"/>
          <w:i w:val="1"/>
          <w:iCs w:val="1"/>
          <w:color w:val="auto"/>
        </w:rPr>
        <w:t>Sales of outstanding shares of our common stock into the market in the future could cause the market price of our common stock to drop significantly.</w:t>
      </w:r>
    </w:p>
    <w:p>
      <w:pPr>
        <w:spacing w:after="0" w:line="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March 31, 2014, Carlyle owned 75,660,000 shares of our Class A Common Stock, or approximately 53% of our outstanding Class A Common Stock (excluding shares of common stock with respect to which Carlyle has received a voting proxy pursuant to irrevocable proxy and tag-along agreements). If Carlyle sells, or the market perceives that Carlyle intends to sell, a substantial portion of its beneficial ownership interest in us in the public market, the market price of our Class A Common Stock could decline significantly. The sales also could make it more difficult for us to sell equity or equity-related securities at a time and price that we deem appropriate.</w:t>
      </w:r>
    </w:p>
    <w:p>
      <w:pPr>
        <w:spacing w:after="0" w:line="13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As of March 31, 2014 143,352,448 shares of our Class A Common Stock were outstanding. In addition to the shares owned by Carlyle, 3,636,110 shares of our Class A Common Stock which are held by directors, executive officers and other affiliates, are restricted securities within the meaning of Rule 144 under the Securities Act eligible for resale in the public market subject to volume, manner of sale and holding period limitations under Rule 144 under the Securities Act. 1,517,951 shares of our Class A Common Stock are issuable upon transfer of our Class B Non-Voting Common Stock and Class C Restricted Common Stock. In addition, (1) 4,424,653 shares of our Class A Common Stock are issuable upon the exercise of outstanding stock options granted under our Officers’ Rollover Stock Plan relating to our outstanding Class E Special Voting Common Stock and (2) 16,248,594 shares of our Class A Common Stock underlying options that are either subject to the terms of our Equity Incentive Plan or reserved for future issuance under our Equity Incentive Plan are eligible for sale in the public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7" w:name="page38"/>
    <w:bookmarkEnd w:id="37"/>
    <w:p>
      <w:pPr>
        <w:jc w:val="both"/>
        <w:ind w:right="100"/>
        <w:spacing w:after="0" w:line="264" w:lineRule="auto"/>
        <w:rPr>
          <w:sz w:val="20"/>
          <w:szCs w:val="20"/>
          <w:color w:val="auto"/>
        </w:rPr>
      </w:pPr>
      <w:r>
        <w:rPr>
          <w:rFonts w:ascii="Arial" w:cs="Arial" w:eastAsia="Arial" w:hAnsi="Arial"/>
          <w:sz w:val="18"/>
          <w:szCs w:val="18"/>
          <w:color w:val="auto"/>
        </w:rPr>
        <w:t>market to the extent permitted by the provisions of various option agreements and, to the extent held by affiliates, the volume and manner of sale restrictions of Rule 144. If these additional shares are sold, or if it is perceived that they will be sold, in the public market, the price of our Class A Common Stock could decline substantially.</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do not own any facilities or real estate. Our corporate headquarters are located at 8283 Greensboro Drive, McLean, Virginia 22102. We lease other operating offices and facilities throughout North America, and a limited number of overseas locations. Our principal offices outside of McLean, Virginia include: Annapolis Junction, Maryland; Rockville, Maryland; San Diego, California; Herndon,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3.0 million square feet. We believe our facilities meet our current needs, and that additional facilities will be required and available as we expand in the future.</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“Item 1. Business — Regulation”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2014 and 2013, there are no material amounts accrued in the consolidated financial statements related to these proceedings.</w:t>
      </w:r>
    </w:p>
    <w:p>
      <w:pPr>
        <w:spacing w:after="0" w:line="131"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Six former officers and stockholders who had departed the firm prior to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Five of the remaining suits are pending in the United States District Court for the Southern District of New York and the sixth is pending in the United States District Court for the Southern District of California. The aggregate alleged damages sought in these six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3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5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about our executive officers as of May 10, 2014:</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Age</w:t>
            </w:r>
          </w:p>
        </w:tc>
        <w:tc>
          <w:tcPr>
            <w:tcW w:w="654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2760" w:type="dxa"/>
            <w:vAlign w:val="bottom"/>
          </w:tcPr>
          <w:p>
            <w:pPr>
              <w:spacing w:after="0"/>
              <w:rPr>
                <w:sz w:val="20"/>
                <w:szCs w:val="20"/>
                <w:color w:val="auto"/>
              </w:rPr>
            </w:pPr>
            <w:r>
              <w:rPr>
                <w:rFonts w:ascii="Arial" w:cs="Arial" w:eastAsia="Arial" w:hAnsi="Arial"/>
                <w:sz w:val="18"/>
                <w:szCs w:val="18"/>
                <w:color w:val="auto"/>
              </w:rPr>
              <w:t>Ralph W. Shrader</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69</w:t>
            </w:r>
          </w:p>
        </w:tc>
        <w:tc>
          <w:tcPr>
            <w:tcW w:w="6540" w:type="dxa"/>
            <w:vAlign w:val="bottom"/>
          </w:tcPr>
          <w:p>
            <w:pPr>
              <w:ind w:left="50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Horacio D. Rozanski</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46</w:t>
            </w:r>
          </w:p>
        </w:tc>
        <w:tc>
          <w:tcPr>
            <w:tcW w:w="6540" w:type="dxa"/>
            <w:vAlign w:val="bottom"/>
          </w:tcPr>
          <w:p>
            <w:pPr>
              <w:ind w:left="500"/>
              <w:spacing w:after="0"/>
              <w:rPr>
                <w:sz w:val="20"/>
                <w:szCs w:val="20"/>
                <w:color w:val="auto"/>
              </w:rPr>
            </w:pPr>
            <w:r>
              <w:rPr>
                <w:rFonts w:ascii="Arial" w:cs="Arial" w:eastAsia="Arial" w:hAnsi="Arial"/>
                <w:sz w:val="18"/>
                <w:szCs w:val="18"/>
                <w:color w:val="auto"/>
              </w:rPr>
              <w:t>President and Chief Operating Officer</w:t>
            </w:r>
          </w:p>
        </w:tc>
      </w:tr>
      <w:tr>
        <w:trPr>
          <w:trHeight w:val="256"/>
        </w:trPr>
        <w:tc>
          <w:tcPr>
            <w:tcW w:w="2760" w:type="dxa"/>
            <w:vAlign w:val="bottom"/>
          </w:tcPr>
          <w:p>
            <w:pPr>
              <w:spacing w:after="0"/>
              <w:rPr>
                <w:sz w:val="20"/>
                <w:szCs w:val="20"/>
                <w:color w:val="auto"/>
              </w:rPr>
            </w:pPr>
            <w:r>
              <w:rPr>
                <w:rFonts w:ascii="Arial" w:cs="Arial" w:eastAsia="Arial" w:hAnsi="Arial"/>
                <w:sz w:val="18"/>
                <w:szCs w:val="18"/>
                <w:color w:val="auto"/>
              </w:rPr>
              <w:t>Samuel R. Strickland</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63</w:t>
            </w:r>
          </w:p>
        </w:tc>
        <w:tc>
          <w:tcPr>
            <w:tcW w:w="6540" w:type="dxa"/>
            <w:vAlign w:val="bottom"/>
          </w:tcPr>
          <w:p>
            <w:pPr>
              <w:ind w:left="500"/>
              <w:spacing w:after="0"/>
              <w:rPr>
                <w:sz w:val="20"/>
                <w:szCs w:val="20"/>
                <w:color w:val="auto"/>
              </w:rPr>
            </w:pPr>
            <w:r>
              <w:rPr>
                <w:rFonts w:ascii="Arial" w:cs="Arial" w:eastAsia="Arial" w:hAnsi="Arial"/>
                <w:sz w:val="18"/>
                <w:szCs w:val="18"/>
                <w:color w:val="auto"/>
                <w:w w:val="92"/>
              </w:rPr>
              <w:t>Executive Vice President, Chief Financial Officer, Chief Administrative Officer and</w:t>
            </w:r>
          </w:p>
        </w:tc>
      </w:tr>
      <w:tr>
        <w:trPr>
          <w:trHeight w:val="230"/>
        </w:trPr>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54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Karen M. Dahut</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50</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Lloyd Howell, Jr.</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47</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Joseph Logue</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48</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John D. Mayer</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68</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John M. McConnell</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68</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 and Vice Chairman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Nancy J. Laben</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52</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 and General Counsel</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Elizabeth M. Thompson</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59</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 and Chief Personnel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Richard J. Wilhelm</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68</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bl>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Ralph W. Shrader </w:t>
      </w:r>
      <w:r>
        <w:rPr>
          <w:rFonts w:ascii="Arial" w:cs="Arial" w:eastAsia="Arial" w:hAnsi="Arial"/>
          <w:sz w:val="18"/>
          <w:szCs w:val="18"/>
          <w:color w:val="auto"/>
        </w:rPr>
        <w:t>is our Chairman and Chief Executive Officer and has served in these positions since 2008. From 2008 to 2014, he also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Dr. Shrader has served as Chairman and Chief Executive Officer of Booz Allen Hamilton Inc. since 1999. Dr. Shrader has been an employee of our company since 1974. He is the seventh chairman since our company's founding in 1914 and has led our company through a significant period of growth and strategic realignment. Dr. Shrader is active in professional and charitable organizations, and is past Chairman of the Armed Forces Communications and Electronics Association.</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Horacio D. Rozanski </w:t>
      </w:r>
      <w:r>
        <w:rPr>
          <w:rFonts w:ascii="Arial" w:cs="Arial" w:eastAsia="Arial" w:hAnsi="Arial"/>
          <w:sz w:val="18"/>
          <w:szCs w:val="18"/>
          <w:color w:val="auto"/>
        </w:rPr>
        <w:t>is our President and Chief Operating Officer. Mr. Rozanski was appointed President in January 2014 and has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since 2011. He served as the Chief Strategy and Talent Officer in 2010 and, prior to that, Chief Personnel Officer of our company from 2002 through 2010. Mr. Rozanski joined our company in 1992. He serves on the boards of advisors for the Wolf Trap Foundation for the Performing Arts and the Jewish Primary Day School of the Nation's Capital.</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Samuel R. Strickland </w:t>
      </w:r>
      <w:r>
        <w:rPr>
          <w:rFonts w:ascii="Arial" w:cs="Arial" w:eastAsia="Arial" w:hAnsi="Arial"/>
          <w:sz w:val="18"/>
          <w:szCs w:val="18"/>
          <w:color w:val="auto"/>
        </w:rPr>
        <w:t>is an Executive Vice President of our company and our Chief Financial and Administrative Officer. He has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Officer since 1999 and Chief Financial Officer since 2008. He joined our company in 1995. Mr. Strickland is a board member of our company. Externally, Mr. Strickland has served on the Board of Trustees at the George Mason University Foundation and Inova Health Services. Mr. Strickland has announced his intention to retire effective June 30, 2014.</w:t>
      </w:r>
    </w:p>
    <w:p>
      <w:pPr>
        <w:spacing w:after="0" w:line="13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Karen M. Dahut </w:t>
      </w:r>
      <w:r>
        <w:rPr>
          <w:rFonts w:ascii="Arial" w:cs="Arial" w:eastAsia="Arial" w:hAnsi="Arial"/>
          <w:sz w:val="18"/>
          <w:szCs w:val="18"/>
          <w:color w:val="auto"/>
        </w:rPr>
        <w:t>is an Executive Vice President and formerly the lead for the company's Analytics capability. Currently, Ms. Dahut is the Group Leader</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company's Strategic Innovation Group. Ms. Dahut joined our company in 2002. Previously, Ms. Dahut led the company's US Navy and Marine Corps business and its Economic and Business Analytics (EBA) capability. She is also a trustee of the Employee Capital Accumulation Plan (ECAP) Board of Trustees. Ms. Dahut is a Board Member of the Northern Virginia Technology Council and serves on the Board of Trustees for Stone Ridge School of the Sacred Heart in Bethesda, Maryland.</w:t>
      </w:r>
    </w:p>
    <w:p>
      <w:pPr>
        <w:spacing w:after="0" w:line="134"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i w:val="1"/>
          <w:iCs w:val="1"/>
          <w:color w:val="auto"/>
        </w:rPr>
        <w:t xml:space="preserve">Lloyd Howell, Jr. </w:t>
      </w:r>
      <w:r>
        <w:rPr>
          <w:rFonts w:ascii="Arial" w:cs="Arial" w:eastAsia="Arial" w:hAnsi="Arial"/>
          <w:sz w:val="18"/>
          <w:szCs w:val="18"/>
          <w:color w:val="auto"/>
        </w:rPr>
        <w:t>is an Executive Vice President of our company and is the group leader for our Civil Market Group clients. Mr. Howell joined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1988, left in 1991, rejoined in 1995. He is chairman of the Ethics &amp; Compliance Committee. Mr. Howell serves on the boards of directors of Integra Life Sciences (IART), the United Negro College Fund, Partnership for Public Service, Capital Partners for Education, Committee for Economic Development, and Management Leadership for Tomorrow.</w:t>
      </w:r>
    </w:p>
    <w:p>
      <w:pPr>
        <w:spacing w:after="0" w:line="13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i w:val="1"/>
          <w:iCs w:val="1"/>
          <w:color w:val="auto"/>
        </w:rPr>
        <w:t xml:space="preserve">Joseph Logue </w:t>
      </w:r>
      <w:r>
        <w:rPr>
          <w:rFonts w:ascii="Arial" w:cs="Arial" w:eastAsia="Arial" w:hAnsi="Arial"/>
          <w:sz w:val="18"/>
          <w:szCs w:val="18"/>
          <w:color w:val="auto"/>
        </w:rPr>
        <w:t>is an Executive Vice President of our company and is the group leader for our Defense Intelligence Group clients. Mr. Logue joined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1997. Previously, he led our former commercial Information Technology practice.</w:t>
      </w:r>
    </w:p>
    <w:p>
      <w:pPr>
        <w:spacing w:after="0" w:line="116"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i w:val="1"/>
          <w:iCs w:val="1"/>
          <w:color w:val="auto"/>
        </w:rPr>
        <w:t xml:space="preserve">John D. Mayer </w:t>
      </w:r>
      <w:r>
        <w:rPr>
          <w:rFonts w:ascii="Arial" w:cs="Arial" w:eastAsia="Arial" w:hAnsi="Arial"/>
          <w:sz w:val="17"/>
          <w:szCs w:val="17"/>
          <w:color w:val="auto"/>
        </w:rPr>
        <w:t>is an Executive Vice President of our company and is the lead for the company's business with the Office of the Secretary of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and defense agencies, the Joint Staff, and the Combatant Commands. Mr. Mayer joined our company in 1997. He is the former chairman of the board of directors of the Homeland Security and Defense Business Council, a member of the board of the Washington Education and Tennis Foundation, and was a former member of the Corporate Advisory Board for the Darden School of Business at the University of Virginia.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31" w:right="239" w:bottom="1440" w:gutter="0" w:footer="0" w:header="0"/>
        </w:sectPr>
      </w:pPr>
    </w:p>
    <w:bookmarkStart w:id="39" w:name="page40"/>
    <w:bookmarkEnd w:id="39"/>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John M. McConnell </w:t>
      </w:r>
      <w:r>
        <w:rPr>
          <w:rFonts w:ascii="Arial" w:cs="Arial" w:eastAsia="Arial" w:hAnsi="Arial"/>
          <w:sz w:val="18"/>
          <w:szCs w:val="18"/>
          <w:color w:val="auto"/>
        </w:rPr>
        <w:t>is Vice Chairman and an Executive Vice President of our company and leads the company's Cyber initiative firmwide.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he was the company's market lead for the Intelligence business. Mr. McConnell previously served from 2007 through 2009 in the Cabinet-level position of U.S. Director of National Intelligence. From 1996 through 2007, Mr. McConnell served as an officer of our company. He served in the U.S. Navy for 29 years, achieving the rank of Vice Admiral. While on active duty, Mr. McConnell was Director of the National Security Agency. Mr. McConnell has announced his intention to retire effective June 30, 2014.</w:t>
      </w:r>
    </w:p>
    <w:p>
      <w:pPr>
        <w:spacing w:after="0" w:line="13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i w:val="1"/>
          <w:iCs w:val="1"/>
          <w:color w:val="auto"/>
        </w:rPr>
        <w:t xml:space="preserve">Nancy J. Laben </w:t>
      </w:r>
      <w:r>
        <w:rPr>
          <w:rFonts w:ascii="Arial" w:cs="Arial" w:eastAsia="Arial" w:hAnsi="Arial"/>
          <w:sz w:val="18"/>
          <w:szCs w:val="18"/>
          <w:color w:val="auto"/>
        </w:rPr>
        <w:t>is an Executive Vice President of our company and our General Counsel. Ms. Laben joined our company in September 2013. From</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2010 to August 2013, Ms. Laben served as General Counsel of AECOM Technology Corporation. Prior to June 2010, Ms. Laben served as Deputy General Counsel at Accenture plc beginning in 1989.</w:t>
      </w:r>
    </w:p>
    <w:p>
      <w:pPr>
        <w:spacing w:after="0" w:line="12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Elizabeth M. Thompson </w:t>
      </w:r>
      <w:r>
        <w:rPr>
          <w:rFonts w:ascii="Arial" w:cs="Arial" w:eastAsia="Arial" w:hAnsi="Arial"/>
          <w:sz w:val="18"/>
          <w:szCs w:val="18"/>
          <w:color w:val="auto"/>
        </w:rPr>
        <w:t>is an Executive Vice President of our company and serves as our Chief Personnel Officer. Ms. Thompson joined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2008. Ms. Thompson served as Vice President of Human Resources for Fannie Mae from 2000 to 2008.</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Richard J. Wilhelm </w:t>
      </w:r>
      <w:r>
        <w:rPr>
          <w:rFonts w:ascii="Arial" w:cs="Arial" w:eastAsia="Arial" w:hAnsi="Arial"/>
          <w:sz w:val="18"/>
          <w:szCs w:val="18"/>
          <w:color w:val="auto"/>
        </w:rPr>
        <w:t>is an Executive Vice President of the company and the group leader for our Intelligence Market Group clients. He previously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leader of the company's Analytics capability. He joined our company in 1998. He is a member of the Markle Foundation Task Force on National Security in the Age of Terrorism, and is on the Board of Advisors of the Maxwell School of Public Citizenship at Syracuse University. Mr. Wilhelm has announced his intention to retire effective June 30, 2014.</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Class A Common Stock began trading on the New York Stock Exchange on November 17, 2010. There is no established trading market for each of our Class B Non-Voting Common Stock, Class C Restricted Common Stock or Class E Special Voting Common Stock. On May 8, 2014, there were 23,314, 18, 22 and 102 beneficial holders of our Class A Common Stock, Class B Non-Voting Common Stock, Class C Restricted Common Stock and Class E Special Voting Common Stock, respectively. The following table sets forth, for the periods indicated, the high and low sales price per share of our Class A Common Stock as reported by the New York Stock Exchange: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High</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12.66</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17.33</w:t>
            </w: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16.61</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Fiscal 2013</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14.29</w:t>
            </w: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11.85</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12.12</w:t>
            </w:r>
          </w:p>
        </w:tc>
      </w:tr>
      <w:tr>
        <w:trPr>
          <w:trHeight w:val="341"/>
        </w:trPr>
        <w:tc>
          <w:tcPr>
            <w:tcW w:w="7640" w:type="dxa"/>
            <w:vAlign w:val="bottom"/>
          </w:tcPr>
          <w:p>
            <w:pPr>
              <w:ind w:left="380"/>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12.51</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On May 22, 2013, we announced a regular quarterly cash dividend in the amount of $0.10 per share. The quarterly dividend was paid on June 28, 2013 to stockholders of record on June 10, 2013.</w:t>
      </w:r>
    </w:p>
    <w:p>
      <w:pPr>
        <w:spacing w:after="0" w:line="3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On July 31, 2013, we announced a regular quarterly cash dividend in the amount of $0.10 per share. The quarterly dividend was paid on August 30, 2013 to stockholders of record on August 12, 2013.</w:t>
      </w:r>
    </w:p>
    <w:p>
      <w:pPr>
        <w:spacing w:after="0" w:line="6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October 29, 2013, we announced a regular quarterly cash dividend in the amount of $0.10 per share and a special cash dividend of $1.00 per share, each paid on November 29, 2013, to stockholders of record on November 11, 2013. The Board of Directors, acting as the Administrator of the Officers' Rollover Stock Plan and the EIP made a determination to adjust the outstanding Rollover and EIP options for the special dividend to prevent the dilution of the benefit or potential benefit of the options. The adjustment was in the form of a $1.00 dividend equivalent. Holders of the Rollover Options will receive a cash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54" w:right="259" w:bottom="1440" w:gutter="0" w:footer="0" w:header="0"/>
        </w:sectPr>
      </w:pPr>
    </w:p>
    <w:bookmarkStart w:id="40" w:name="page41"/>
    <w:bookmarkEnd w:id="40"/>
    <w:p>
      <w:pPr>
        <w:ind w:right="460"/>
        <w:spacing w:after="0" w:line="264" w:lineRule="auto"/>
        <w:rPr>
          <w:sz w:val="20"/>
          <w:szCs w:val="20"/>
          <w:color w:val="auto"/>
        </w:rPr>
      </w:pPr>
      <w:r>
        <w:rPr>
          <w:rFonts w:ascii="Arial" w:cs="Arial" w:eastAsia="Arial" w:hAnsi="Arial"/>
          <w:sz w:val="18"/>
          <w:szCs w:val="18"/>
          <w:color w:val="auto"/>
        </w:rPr>
        <w:t>payment equal to the amount of the special dividend on the exercise of the option during the options' mandatory exercise period. Holders of EIP options received or will receive a cash payment equal to the amount of the special dividend payable on November 29, 2013, or the vesting of the EIP option, whichever is later.</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January 31, 2014, we announced a regular quarterly cash dividend in the amount of $0.10 per share and a special cash dividend of $1.00 per share, each paid on February 28, 2014, to stockholders of record on February 10, 2014. The Board of Directors, acting as the Administrator of the Officers' Rollover Stock Plan and the EIP made a determination to adjust the outstanding Rollover and EIP options for the special dividend to prevent the dilution of the benefit or potential benefit of the options. The adjustment was in the form of a $1.00 dividend equivalent. Holders of the Rollover Options will receive a cash payment equal to the amount of the special dividend on the exercise of the option during the options' mandatory exercise period. Holders of EIP options received or will receive a cash payment equal to the amount of the special dividend payable on February 28, 2014, or the vesting of the EIP option, whichever is later.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concerning the securities authorized for issuance pursuant to our equity compensation plans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securityholders</w:t>
            </w:r>
          </w:p>
        </w:tc>
        <w:tc>
          <w:tcPr>
            <w:tcW w:w="150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11,475,618</w:t>
            </w:r>
          </w:p>
        </w:tc>
        <w:tc>
          <w:tcPr>
            <w:tcW w:w="1700" w:type="dxa"/>
            <w:vAlign w:val="bottom"/>
            <w:tcBorders>
              <w:top w:val="single" w:sz="8" w:color="CCEEFF"/>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9,197,629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11,475,618</w:t>
            </w:r>
          </w:p>
        </w:tc>
        <w:tc>
          <w:tcPr>
            <w:tcW w:w="170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9,197,629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060" w:hanging="316"/>
        <w:spacing w:after="0" w:line="261"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exercise of all outstanding options, we will issue approximately 11,475,262 shares of Class A Common Stock and will redeem approximately 356 fractional shares for cash.</w:t>
      </w:r>
    </w:p>
    <w:p>
      <w:pPr>
        <w:spacing w:after="0" w:line="18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addition, on May 22, 2014, upon recommendation of our Compensation Committee, our board of directors adopted the Second Amended and Restated Equity Incentive Plan of Booz Allen Hamilton Holding Corporation, subject to the approval of our stockholders, and directed the plan be submitted to our stockholders for approval at our upcoming 2014 annual meeting of stockholders. The amendment of the Equity Incentive Plan will increase the number of shares issuable under the plan by 5,000,000 shares to a maximum of 33,000,000 shares. If the amendment of the Equity Incentive Plan is approved by our stockholders, 13,326,726 shares will be available for issuance under the plan, including as of May 16, 2014, 11,434,572 shares subject to outstanding options granted under the plan. The amendment will also make certain technical and administrative revisions as well as revise the clawback provisions to provide greater flexibility to adopt and enforce policies for recovery of compensation by the Company under certain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graph set forth below compares the cumulative shareholder return on our common stock between November 17, 2010 (the date our Class A common stock began trading on the New York Stock Exchange) and March 31, 2014, to the cumulative return of (i) the Russell 1000 Index and (ii) the Dow Jones US Computer Services Index over the same period. This graph assumes an initial investment of $100 on November 17, 2010 in our common stock, the Russell 1000 Index, and the Dow Jones US Computer Services Index and assumes the reinvestment of dividends, if any. The stock price performance included in this graph is not necessarily indicative of future stock price performance.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COMPARISON OF CUMULATIVE TOTAL RETURNS SINCE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5848985" cy="2632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ASSUMES $100 INVESTED ON NOV. 17, 2010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ASSUMES DIVIDEND REINVESTED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Company/Market/Peer Group</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11/17/2010*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3/31/2014</w:t>
            </w: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Booz Allen Hamilton Holding Corp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225.94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Russell 1000 Index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122.85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172.00</w:t>
            </w:r>
          </w:p>
        </w:tc>
      </w:tr>
      <w:tr>
        <w:trPr>
          <w:trHeight w:val="27"/>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DJ US Computer Services Index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148.28</w:t>
            </w:r>
          </w:p>
        </w:tc>
      </w:tr>
      <w:tr>
        <w:trPr>
          <w:trHeight w:val="27"/>
        </w:trPr>
        <w:tc>
          <w:tcPr>
            <w:tcW w:w="3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360" w:right="860" w:hanging="508"/>
        <w:spacing w:after="0" w:line="277" w:lineRule="auto"/>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Note: BAH base values reflect the closing price of $19.25 on the first day of trading and index base values are as of 11/17/2010 end of day.</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selected consolidated statements of operations data for fiscal 2014, fiscal 2013, and fiscal 2012 and the selected consolidated balance sheet data as of March 31, 2014 and 2013 have been derived from our audited consolidated financial statements included elsewhere in this Annual Report. The selected consolidated statement of operations data for fiscal 2011 and fiscal 2010, and the selected consolidated balance sheet data as of March 31, 2012, 2011 and 2010 have been derived from audited consolidated financial statements which are not included in this Annual Report. Our historical results are not 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013" w:right="259" w:bottom="1440" w:gutter="0" w:footer="0" w:header="0"/>
        </w:sectPr>
      </w:pPr>
    </w:p>
    <w:bookmarkStart w:id="42" w:name="page43"/>
    <w:bookmarkEnd w:id="42"/>
    <w:tbl>
      <w:tblPr>
        <w:tblLayout w:type="fixed"/>
        <w:tblInd w:w="4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6"/>
              </w:rPr>
              <w:t>Fiscal Year Ended March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2010</w:t>
            </w:r>
          </w:p>
        </w:tc>
      </w:tr>
      <w:tr>
        <w:trPr>
          <w:trHeight w:val="177"/>
        </w:trPr>
        <w:tc>
          <w:tcPr>
            <w:tcW w:w="54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ectPr>
          <w:pgSz w:w="11900" w:h="16838" w:orient="portrait"/>
          <w:cols w:equalWidth="0" w:num="1">
            <w:col w:w="11360"/>
          </w:cols>
          <w:pgMar w:left="240" w:top="914" w:right="299"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costs and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Billable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General and administrative expenses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Restructuring charge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Total operating costs and expenses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common share (1)(2):</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5,478,693</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5,758,059</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5,859,218</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5,591,296</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5,122,633</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2,716,113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2,871,240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2,934,378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2,836,955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2,654,143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1,487,115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1,532,590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1,542,822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1,473,266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1,361,229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742,527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833,986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903,721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881,028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811,944</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72,327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74,009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75,205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80,603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95,763</w:t>
            </w:r>
          </w:p>
        </w:tc>
      </w:tr>
      <w:tr>
        <w:trPr>
          <w:trHeight w:val="276"/>
        </w:trPr>
        <w:tc>
          <w:tcPr>
            <w:tcW w:w="2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15,660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5,018,082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5,311,825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5,471,786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5,271,852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4,923,079</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460,611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446,234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387,432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319,444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199,554</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(78,030)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(70,284)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(48,078)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(131,892)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(150,734)</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(59,488)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380,787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368,311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343,874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128,064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48,994</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148,599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149,253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103,919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43,370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23,575</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232,188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219,058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239,955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84,694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25,419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-2074545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-1731645</wp:posOffset>
            </wp:positionV>
            <wp:extent cx="7203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-1388745</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-1045845</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-702310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-359410</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-16510</wp:posOffset>
            </wp:positionV>
            <wp:extent cx="720344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740" w:space="720"/>
            <w:col w:w="5900"/>
          </w:cols>
          <w:pgMar w:left="240" w:top="914" w:right="29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340" w:type="dxa"/>
            <w:vAlign w:val="bottom"/>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ind w:right="67"/>
              <w:spacing w:after="0"/>
              <w:rPr>
                <w:sz w:val="20"/>
                <w:szCs w:val="20"/>
                <w:color w:val="auto"/>
              </w:rPr>
            </w:pPr>
            <w:r>
              <w:rPr>
                <w:rFonts w:ascii="Arial" w:cs="Arial" w:eastAsia="Arial" w:hAnsi="Arial"/>
                <w:sz w:val="14"/>
                <w:szCs w:val="14"/>
                <w:color w:val="auto"/>
              </w:rPr>
              <w:t>1.62</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4"/>
                <w:szCs w:val="14"/>
                <w:color w:val="auto"/>
              </w:rPr>
              <w:t>1.56</w:t>
            </w: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47"/>
              <w:spacing w:after="0"/>
              <w:rPr>
                <w:sz w:val="20"/>
                <w:szCs w:val="20"/>
                <w:color w:val="auto"/>
              </w:rPr>
            </w:pPr>
            <w:r>
              <w:rPr>
                <w:rFonts w:ascii="Arial" w:cs="Arial" w:eastAsia="Arial" w:hAnsi="Arial"/>
                <w:sz w:val="14"/>
                <w:szCs w:val="14"/>
                <w:color w:val="auto"/>
              </w:rPr>
              <w:t>1.83</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0.74</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67"/>
              <w:spacing w:after="0"/>
              <w:rPr>
                <w:sz w:val="20"/>
                <w:szCs w:val="20"/>
                <w:color w:val="auto"/>
              </w:rPr>
            </w:pPr>
            <w:r>
              <w:rPr>
                <w:rFonts w:ascii="Arial" w:cs="Arial" w:eastAsia="Arial" w:hAnsi="Arial"/>
                <w:sz w:val="14"/>
                <w:szCs w:val="14"/>
                <w:color w:val="auto"/>
              </w:rPr>
              <w:t>1.54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87"/>
              <w:spacing w:after="0"/>
              <w:rPr>
                <w:sz w:val="20"/>
                <w:szCs w:val="20"/>
                <w:color w:val="auto"/>
              </w:rPr>
            </w:pPr>
            <w:r>
              <w:rPr>
                <w:rFonts w:ascii="Arial" w:cs="Arial" w:eastAsia="Arial" w:hAnsi="Arial"/>
                <w:sz w:val="14"/>
                <w:szCs w:val="14"/>
                <w:color w:val="auto"/>
              </w:rPr>
              <w:t>1.45</w:t>
            </w: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1.70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0.66</w:t>
            </w:r>
          </w:p>
        </w:tc>
        <w:tc>
          <w:tcPr>
            <w:tcW w:w="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w w:val="97"/>
              </w:rPr>
              <w:t>Weighted average common shares outstanding (1)(2):</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gridSpan w:val="3"/>
            <w:vMerge w:val="restart"/>
            <w:shd w:val="clear" w:color="auto" w:fill="CCEEFF"/>
          </w:tcPr>
          <w:p>
            <w:pPr>
              <w:jc w:val="right"/>
              <w:ind w:right="67"/>
              <w:spacing w:after="0"/>
              <w:rPr>
                <w:sz w:val="20"/>
                <w:szCs w:val="20"/>
                <w:color w:val="auto"/>
              </w:rPr>
            </w:pPr>
            <w:r>
              <w:rPr>
                <w:rFonts w:ascii="Arial" w:cs="Arial" w:eastAsia="Arial" w:hAnsi="Arial"/>
                <w:sz w:val="14"/>
                <w:szCs w:val="14"/>
                <w:color w:val="auto"/>
              </w:rPr>
              <w:t>141,314,544</w:t>
            </w:r>
          </w:p>
        </w:tc>
        <w:tc>
          <w:tcPr>
            <w:tcW w:w="26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87"/>
              <w:spacing w:after="0"/>
              <w:rPr>
                <w:sz w:val="20"/>
                <w:szCs w:val="20"/>
                <w:color w:val="auto"/>
              </w:rPr>
            </w:pPr>
            <w:r>
              <w:rPr>
                <w:rFonts w:ascii="Arial" w:cs="Arial" w:eastAsia="Arial" w:hAnsi="Arial"/>
                <w:sz w:val="14"/>
                <w:szCs w:val="14"/>
                <w:color w:val="auto"/>
                <w:w w:val="95"/>
              </w:rPr>
              <w:t>134,402,729</w:t>
            </w:r>
          </w:p>
        </w:tc>
        <w:tc>
          <w:tcPr>
            <w:tcW w:w="260" w:type="dxa"/>
            <w:vAlign w:val="bottom"/>
            <w:shd w:val="clear" w:color="auto" w:fill="CCEEFF"/>
          </w:tcPr>
          <w:p>
            <w:pPr>
              <w:spacing w:after="0"/>
              <w:rPr>
                <w:sz w:val="16"/>
                <w:szCs w:val="16"/>
                <w:color w:val="auto"/>
              </w:rPr>
            </w:pPr>
          </w:p>
        </w:tc>
        <w:tc>
          <w:tcPr>
            <w:tcW w:w="940" w:type="dxa"/>
            <w:vAlign w:val="bottom"/>
            <w:gridSpan w:val="3"/>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130,145,689</w:t>
            </w: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114,478,947</w:t>
            </w: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106,477,650</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940" w:type="dxa"/>
            <w:vAlign w:val="bottom"/>
            <w:gridSpan w:val="3"/>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gridSpan w:val="3"/>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gridSpan w:val="3"/>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gridSpan w:val="3"/>
            <w:vMerge w:val="restart"/>
          </w:tcPr>
          <w:p>
            <w:pPr>
              <w:jc w:val="right"/>
              <w:ind w:right="67"/>
              <w:spacing w:after="0"/>
              <w:rPr>
                <w:sz w:val="20"/>
                <w:szCs w:val="20"/>
                <w:color w:val="auto"/>
              </w:rPr>
            </w:pPr>
            <w:r>
              <w:rPr>
                <w:rFonts w:ascii="Arial" w:cs="Arial" w:eastAsia="Arial" w:hAnsi="Arial"/>
                <w:sz w:val="14"/>
                <w:szCs w:val="14"/>
                <w:color w:val="auto"/>
              </w:rPr>
              <w:t>148,681,074</w:t>
            </w:r>
          </w:p>
        </w:tc>
        <w:tc>
          <w:tcPr>
            <w:tcW w:w="260" w:type="dxa"/>
            <w:vAlign w:val="bottom"/>
          </w:tcPr>
          <w:p>
            <w:pPr>
              <w:spacing w:after="0"/>
              <w:rPr>
                <w:sz w:val="16"/>
                <w:szCs w:val="16"/>
                <w:color w:val="auto"/>
              </w:rPr>
            </w:pPr>
          </w:p>
        </w:tc>
        <w:tc>
          <w:tcPr>
            <w:tcW w:w="920" w:type="dxa"/>
            <w:vAlign w:val="bottom"/>
            <w:gridSpan w:val="3"/>
            <w:vMerge w:val="restart"/>
          </w:tcPr>
          <w:p>
            <w:pPr>
              <w:jc w:val="right"/>
              <w:ind w:right="87"/>
              <w:spacing w:after="0"/>
              <w:rPr>
                <w:sz w:val="20"/>
                <w:szCs w:val="20"/>
                <w:color w:val="auto"/>
              </w:rPr>
            </w:pPr>
            <w:r>
              <w:rPr>
                <w:rFonts w:ascii="Arial" w:cs="Arial" w:eastAsia="Arial" w:hAnsi="Arial"/>
                <w:sz w:val="14"/>
                <w:szCs w:val="14"/>
                <w:color w:val="auto"/>
                <w:w w:val="95"/>
              </w:rPr>
              <w:t>144,854,724</w:t>
            </w:r>
          </w:p>
        </w:tc>
        <w:tc>
          <w:tcPr>
            <w:tcW w:w="260" w:type="dxa"/>
            <w:vAlign w:val="bottom"/>
          </w:tcPr>
          <w:p>
            <w:pPr>
              <w:spacing w:after="0"/>
              <w:rPr>
                <w:sz w:val="16"/>
                <w:szCs w:val="16"/>
                <w:color w:val="auto"/>
              </w:rPr>
            </w:pPr>
          </w:p>
        </w:tc>
        <w:tc>
          <w:tcPr>
            <w:tcW w:w="940" w:type="dxa"/>
            <w:vAlign w:val="bottom"/>
            <w:gridSpan w:val="3"/>
            <w:vMerge w:val="restart"/>
          </w:tcPr>
          <w:p>
            <w:pPr>
              <w:jc w:val="right"/>
              <w:ind w:right="47"/>
              <w:spacing w:after="0"/>
              <w:rPr>
                <w:sz w:val="20"/>
                <w:szCs w:val="20"/>
                <w:color w:val="auto"/>
              </w:rPr>
            </w:pPr>
            <w:r>
              <w:rPr>
                <w:rFonts w:ascii="Arial" w:cs="Arial" w:eastAsia="Arial" w:hAnsi="Arial"/>
                <w:sz w:val="14"/>
                <w:szCs w:val="14"/>
                <w:color w:val="auto"/>
              </w:rPr>
              <w:t>140,812,012</w:t>
            </w:r>
          </w:p>
        </w:tc>
        <w:tc>
          <w:tcPr>
            <w:tcW w:w="26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127,448,700</w:t>
            </w:r>
          </w:p>
        </w:tc>
        <w:tc>
          <w:tcPr>
            <w:tcW w:w="2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116,228,380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67"/>
              <w:spacing w:after="0"/>
              <w:rPr>
                <w:sz w:val="20"/>
                <w:szCs w:val="20"/>
                <w:color w:val="auto"/>
              </w:rPr>
            </w:pPr>
            <w:r>
              <w:rPr>
                <w:rFonts w:ascii="Arial" w:cs="Arial" w:eastAsia="Arial" w:hAnsi="Arial"/>
                <w:sz w:val="14"/>
                <w:szCs w:val="14"/>
                <w:color w:val="auto"/>
              </w:rPr>
              <w:t>2.40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87"/>
              <w:spacing w:after="0"/>
              <w:rPr>
                <w:sz w:val="20"/>
                <w:szCs w:val="20"/>
                <w:color w:val="auto"/>
              </w:rPr>
            </w:pPr>
            <w:r>
              <w:rPr>
                <w:rFonts w:ascii="Arial" w:cs="Arial" w:eastAsia="Arial" w:hAnsi="Arial"/>
                <w:sz w:val="14"/>
                <w:szCs w:val="14"/>
                <w:color w:val="auto"/>
              </w:rPr>
              <w:t>8.36</w:t>
            </w: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0.09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15"/>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March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2011</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2010</w:t>
            </w:r>
          </w:p>
        </w:tc>
        <w:tc>
          <w:tcPr>
            <w:tcW w:w="260" w:type="dxa"/>
            <w:vAlign w:val="bottom"/>
            <w:tcBorders>
              <w:bottom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259,994</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350,384</w:t>
            </w: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484,368</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192,631</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307,835</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338,873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459,706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739,211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494,308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584,248</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2,940,818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3,177,528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3,314,791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3,024,023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3,062,223</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 of current portion</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1,585,231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1,659,611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922,925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964,328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1,546,782</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171,636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226,793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1,185,185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907,250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509,583</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60" w:right="60" w:hanging="330"/>
        <w:spacing w:after="0" w:line="244"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Basic earnings per share for the Company has been computed using the weighted average number of shares of Class A Common Stock, Class B Non- 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2" w:lineRule="exact"/>
        <w:rPr>
          <w:rFonts w:ascii="Arial" w:cs="Arial" w:eastAsia="Arial" w:hAnsi="Arial"/>
          <w:sz w:val="14"/>
          <w:szCs w:val="14"/>
          <w:color w:val="auto"/>
        </w:rPr>
      </w:pPr>
    </w:p>
    <w:p>
      <w:pPr>
        <w:ind w:left="460" w:hanging="330"/>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for the Company have been adjusted to reflect a 10-for-1 split of our common stock in connection with the initial public offering.</w:t>
      </w: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27"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914" w:right="299" w:bottom="1440" w:gutter="0" w:footer="0" w:header="0"/>
          <w:type w:val="continuous"/>
        </w:sectPr>
      </w:pPr>
    </w:p>
    <w:bookmarkStart w:id="43" w:name="page44"/>
    <w:bookmarkEnd w:id="43"/>
    <w:p>
      <w:pPr>
        <w:ind w:right="600" w:firstLine="432"/>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a leading provider of management consulting, technology, and engineering services to the U.S. government in the defense, intelligence, and civil markets. Additionally, we provide our management and technology consulting services to major corporations, institutions, and not-for-profit organizations. We are a well-known, trusted and long-term partner to our clients, who seek our expertise and objective advice to address their most important and complex problems. Leveraging our 100-year consulting heritage and a talent base of approximately 22,700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With continued uncertainty in the federal budget environment, the Company effectively managed indirect costs during the first half of fiscal 2014 to ensure financial strength and flexibility during the second half of fiscal 2014. This included a focus on management of our capacity, including balancing the supply of consulting staff with market demand, and the deployment and productivity of our consulting staff to minimize the amount of time consulting staff spent on non-revenue producing activities.</w:t>
      </w:r>
    </w:p>
    <w:p>
      <w:pPr>
        <w:spacing w:after="0" w:line="5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Revenue decreased 4.9% from fiscal 2013 to fiscal 2014 primarily driven by reductions in headcount due to lower demand in an uncertain federal budget environment and a reduction in billable expenses. Revenue in fiscal 2014 was additionally impacted by the October 2013 government shutdown and weather-related closures. While lower headcount led to fewer billable hours in total, we experienced continued improvement in productivity of consulting staff over the prior year which helped reduce the impact of such reduced billable hours. The decline in our revenue described above was partially offset by an increase in inorganic revenue during fiscal 2014 of $103 million from our acquisition of Booz Allen Engineering Services, or BES, that closed on November 30, 2012.</w:t>
      </w:r>
    </w:p>
    <w:p>
      <w:pPr>
        <w:spacing w:after="0" w:line="13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Operating income increased 3.2% to $460.6 million in fiscal 2014 from $446.2 million in fiscal 2013, which reflects a 70 basis point increase in operating margin to 8.4% from 7.7% in the comparable period. Due to our proactive planning and effective cost management during the first half of our fiscal 2014, we were able to mitigate the impact of the uncertainty in the federal government on our operating margin. The improvement in operating margin was due to increased contract profitability due to disciplined cost management of indirect spending and recovery of additional allowable expenses throughout the fiscal year. In addition, there were decreases in salaries and salary related benefits, and employer retirement plan contributions primarily due to the net decline in our headcount and, to a lesser extent, changes in our executives' compensation and our discretionary employer retirement plan contributions.</w:t>
      </w:r>
    </w:p>
    <w:p>
      <w:pPr>
        <w:spacing w:after="0" w:line="30"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Cash provided by operations decreased $131.9 million to $332.7 million in fiscal 2014 from $464.7 million in fiscal 2013. The decrease in cash provided by operations was primarily due to an increase in cash paid for taxes due to a rise in expected taxable income as well as the timing of payments related to fiscal 2013.</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55" w:right="259" w:bottom="1440" w:gutter="0" w:footer="0" w:header="0"/>
        </w:sectPr>
      </w:pPr>
    </w:p>
    <w:bookmarkStart w:id="44" w:name="page45"/>
    <w:bookmarkEnd w:id="44"/>
    <w:p>
      <w:pPr>
        <w:ind w:right="20"/>
        <w:spacing w:after="0" w:line="269" w:lineRule="auto"/>
        <w:rPr>
          <w:sz w:val="20"/>
          <w:szCs w:val="20"/>
          <w:color w:val="auto"/>
        </w:rPr>
      </w:pPr>
      <w:r>
        <w:rPr>
          <w:rFonts w:ascii="Arial" w:cs="Arial" w:eastAsia="Arial" w:hAnsi="Arial"/>
          <w:sz w:val="17"/>
          <w:szCs w:val="17"/>
          <w:color w:val="auto"/>
        </w:rPr>
        <w:t>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34" w:lineRule="exact"/>
        <w:rPr>
          <w:sz w:val="20"/>
          <w:szCs w:val="20"/>
          <w:color w:val="auto"/>
        </w:rPr>
      </w:pPr>
    </w:p>
    <w:p>
      <w:pPr>
        <w:ind w:left="1300" w:right="20" w:hanging="644"/>
        <w:spacing w:after="0" w:line="302"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hanging="644"/>
        <w:spacing w:after="0" w:line="297"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20" w:hanging="644"/>
        <w:spacing w:after="0" w:line="293"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18" w:lineRule="exact"/>
        <w:rPr>
          <w:rFonts w:ascii="Arial" w:cs="Arial" w:eastAsia="Arial" w:hAnsi="Arial"/>
          <w:sz w:val="16"/>
          <w:szCs w:val="16"/>
          <w:color w:val="auto"/>
        </w:rPr>
      </w:pPr>
    </w:p>
    <w:p>
      <w:pPr>
        <w:ind w:left="130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5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54"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1"/>
              </w:rPr>
              <w:t>Fiscal Year Ended March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in thousands, except share and per share data)</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3"/>
              </w:rPr>
              <w:t>(Unaudited)</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460,611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446,234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387,432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restructuring charge (c)</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Transaction expenses (d)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467,337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429,219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219,058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239,955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148,599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149,253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103,919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43,558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74,009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75,205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520,243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462,637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restructuring charge (c)</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Transaction expenses (d)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534,032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528,836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488,060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219,058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239,955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restructuring charge (c)</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Transaction expenses (d)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(b)</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29"/>
        </w:trPr>
        <w:tc>
          <w:tcPr>
            <w:tcW w:w="6060" w:type="dxa"/>
            <w:vAlign w:val="bottom"/>
          </w:tcPr>
          <w:p>
            <w:pPr>
              <w:ind w:left="380"/>
              <w:spacing w:after="0"/>
              <w:rPr>
                <w:sz w:val="20"/>
                <w:szCs w:val="20"/>
                <w:color w:val="auto"/>
              </w:rPr>
            </w:pPr>
            <w:r>
              <w:rPr>
                <w:rFonts w:ascii="Arial" w:cs="Arial" w:eastAsia="Arial" w:hAnsi="Arial"/>
                <w:sz w:val="18"/>
                <w:szCs w:val="18"/>
                <w:color w:val="auto"/>
                <w:w w:val="93"/>
              </w:rPr>
              <w:t>Amortization or write-off of debt issuance costs and write-off of original issue</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discount</w:t>
            </w:r>
          </w:p>
        </w:tc>
        <w:tc>
          <w:tcPr>
            <w:tcW w:w="4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Net gain on sale of state and local transportation business (e)</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Release of income tax reserves (f)</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(g)</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241,946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239,530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227,194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148,681,074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144,854,724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140,812,012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(h)</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464,654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360,046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(33,113)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(76,925)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311,813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283,121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right="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restructuring charges of approximately $15.7 million incurred during the three months ended March 31, 2012, net of approximately $4.5 million of revenue recognized on recoverable expenses, associated with the cost of a restructuring plan to reduce certain personnel and infrastructure costs.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recapitalization transaction consummated on July 31, 2012.</w:t>
      </w:r>
    </w:p>
    <w:p>
      <w:pPr>
        <w:sectPr>
          <w:pgSz w:w="11900" w:h="16838" w:orient="portrait"/>
          <w:cols w:equalWidth="0" w:num="1">
            <w:col w:w="11420"/>
          </w:cols>
          <w:pgMar w:left="240" w:top="85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850" w:right="239" w:bottom="1440" w:gutter="0" w:footer="0" w:header="0"/>
          <w:type w:val="continuous"/>
        </w:sectPr>
      </w:pPr>
    </w:p>
    <w:bookmarkStart w:id="46" w:name="page47"/>
    <w:bookmarkEnd w:id="46"/>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gain on sale of our state and local transportation business, net of the associated tax benefit of $1.6 million.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release of income tax reserves.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280" w:hanging="652"/>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an adjustment of approximately $3.1 million and $9.1 million of net earnings for fiscal 2014 and 2013, respectively, associated with the application of the two-class method for computing diluted earnings per share.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recent development occurred after March 31, 2014, which may cause our future results of operations to differ from our historical results of operations discussed under “— Results of Operations.”</w:t>
      </w:r>
    </w:p>
    <w:p>
      <w:pPr>
        <w:spacing w:after="0" w:line="6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May 7, 2014 we entered into the Second Amendment to the Credit Agreement, dated as of July 31, 2012 (as previously amended by the First Agreement to the Credit Agreement, dated as of August 16, 2013). Prior to the Second Amendment, approximately $660 million of Term Loan A and $1,010 million of Term Loan B was outstanding. Pursuant to the Second Amendment, we borrowed additional Term Loan A of approximately $170 million, the proceeds of which were used to partially prepay outstanding principal on the Term Loan B. Following the Amendment, $830 million of Term Loan A and approximately $841 million of Term Loan B were outstanding under the Credit Agreement. The rates for Term Loan A and Term Loan B, as amended, remain unchanged. The amendment also extends the maturity date of Term Loan A and the revolving credit facility to May 31, 2019. The maturity date for Term Loan B remains unchanged. We also amended its existing debt covenants to provide for greater operational and financial flexibility.</w:t>
      </w:r>
    </w:p>
    <w:p>
      <w:pPr>
        <w:spacing w:after="0" w:line="5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connection with the Second Amendment we expect to accelerate the amortization of ratable portions of the DIC and OID that do not qualify for deferral of approximately $1.0 million. These expenses will be reflected in other expense, net in the three months ended June 30, 2014. Furthermore, the Company expects to expense third party debt issuance costs of approximately $2.0 million that did not qualify for deferral and will be reflected in general and administrative costs in the three months ended June 30, 2014.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6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00" w:hanging="644"/>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40" w:hanging="644"/>
        <w:spacing w:after="0" w:line="270"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231F20"/>
        </w:rPr>
        <w:t>c</w:t>
      </w:r>
      <w:r>
        <w:rPr>
          <w:rFonts w:ascii="Arial" w:cs="Arial" w:eastAsia="Arial" w:hAnsi="Arial"/>
          <w:sz w:val="17"/>
          <w:szCs w:val="17"/>
          <w:color w:val="000000"/>
        </w:rPr>
        <w:t>ost cutting and efficiency initiatives, current and future budget reductions, continued implementation of Congressionally mandated</w:t>
      </w:r>
      <w:r>
        <w:rPr>
          <w:rFonts w:ascii="Arial" w:cs="Arial" w:eastAsia="Arial" w:hAnsi="Arial"/>
          <w:sz w:val="17"/>
          <w:szCs w:val="17"/>
          <w:color w:val="231F20"/>
        </w:rPr>
        <w:t xml:space="preserve"> </w:t>
      </w:r>
      <w:r>
        <w:rPr>
          <w:rFonts w:ascii="Arial" w:cs="Arial" w:eastAsia="Arial" w:hAnsi="Arial"/>
          <w:sz w:val="17"/>
          <w:szCs w:val="17"/>
          <w:color w:val="000000"/>
        </w:rPr>
        <w:t>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27"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current and continued uncertainty around the timing, extent, nature and effect of Congressional and other U.S. government action to address budgetary constraints, the outcome of Congressional efforts to craft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92" w:right="259" w:bottom="1440" w:gutter="0" w:footer="0" w:header="0"/>
        </w:sectPr>
      </w:pPr>
    </w:p>
    <w:bookmarkStart w:id="47" w:name="page48"/>
    <w:bookmarkEnd w:id="47"/>
    <w:p>
      <w:pPr>
        <w:jc w:val="both"/>
        <w:ind w:left="1300"/>
        <w:spacing w:after="0" w:line="364" w:lineRule="auto"/>
        <w:rPr>
          <w:sz w:val="20"/>
          <w:szCs w:val="20"/>
          <w:color w:val="auto"/>
        </w:rPr>
      </w:pPr>
      <w:r>
        <w:rPr>
          <w:rFonts w:ascii="Arial" w:cs="Arial" w:eastAsia="Arial" w:hAnsi="Arial"/>
          <w:sz w:val="16"/>
          <w:szCs w:val="16"/>
          <w:color w:val="231F20"/>
        </w:rPr>
        <w:t>long-term agreement on the U.S. government’s ability to incur indebtedness in excess of its current limits and the U.S. deficit, including, the required reductions under the Budget Control Act of 2011 (as amended by the American Taxpayer Relief Act of 2012 and the Consolidated Appropriations Act, 2014), which provides for automatic spending cuts totaling approximately $1.2 trillion between 2013 and 2021;</w:t>
      </w:r>
    </w:p>
    <w:p>
      <w:pPr>
        <w:spacing w:after="0" w:line="68" w:lineRule="exact"/>
        <w:rPr>
          <w:sz w:val="20"/>
          <w:szCs w:val="20"/>
          <w:color w:val="auto"/>
        </w:rPr>
      </w:pPr>
    </w:p>
    <w:p>
      <w:pPr>
        <w:ind w:left="1300" w:right="24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increased audit, review, investigation and general scrutiny by U.S. government agencies of government contractors' performance under U.S. government contracts and compliance with the terms of those contracts and applicable laws;</w:t>
      </w:r>
    </w:p>
    <w:p>
      <w:pPr>
        <w:spacing w:after="0" w:line="116"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the implementation by U.S. government agencies of approximately $64 billion in mandated 2014 sequestration spending cuts, including an estimated $30 billion in cuts to the Department of Defense;</w:t>
      </w:r>
    </w:p>
    <w:p>
      <w:pPr>
        <w:spacing w:after="0" w:line="116" w:lineRule="exact"/>
        <w:rPr>
          <w:rFonts w:ascii="Arial" w:cs="Arial" w:eastAsia="Arial" w:hAnsi="Arial"/>
          <w:sz w:val="18"/>
          <w:szCs w:val="18"/>
          <w:color w:val="231F20"/>
        </w:rPr>
      </w:pPr>
    </w:p>
    <w:p>
      <w:pPr>
        <w:ind w:left="1300" w:right="6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6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2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w:t>
      </w:r>
    </w:p>
    <w:p>
      <w:pPr>
        <w:spacing w:after="0" w:line="194" w:lineRule="exact"/>
        <w:rPr>
          <w:rFonts w:ascii="Arial" w:cs="Arial" w:eastAsia="Arial" w:hAnsi="Arial"/>
          <w:sz w:val="16"/>
          <w:szCs w:val="16"/>
          <w:color w:val="auto"/>
        </w:rPr>
      </w:pPr>
    </w:p>
    <w:p>
      <w:pPr>
        <w:ind w:left="1300" w:right="34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legislative and regulatory changes to limitations on the amount of allowable executive compensation permitted under flexibly priced contracts following implementation of relevant rules expected in or after June 2014, which substantially further reduce the amount of allowable executive compensation under these contracts and extend these limitations to a larger segment of our executive corps and our entire contract base; and</w:t>
      </w:r>
    </w:p>
    <w:p>
      <w:pPr>
        <w:spacing w:after="0" w:line="13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231F20"/>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82" w:right="259" w:bottom="1440" w:gutter="0" w:footer="0" w:header="0"/>
        </w:sectPr>
      </w:pPr>
    </w:p>
    <w:bookmarkStart w:id="48" w:name="page49"/>
    <w:bookmarkEnd w:id="48"/>
    <w:p>
      <w:pPr>
        <w:ind w:right="80"/>
        <w:spacing w:after="0" w:line="271" w:lineRule="auto"/>
        <w:rPr>
          <w:sz w:val="20"/>
          <w:szCs w:val="20"/>
          <w:color w:val="auto"/>
        </w:rPr>
      </w:pPr>
      <w:r>
        <w:rPr>
          <w:rFonts w:ascii="Arial" w:cs="Arial" w:eastAsia="Arial" w:hAnsi="Arial"/>
          <w:sz w:val="17"/>
          <w:szCs w:val="17"/>
          <w:color w:val="231F20"/>
        </w:rPr>
        <w:t>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Consolidated Appropriations Act, 2014), provides for automatic spending cuts totaling approximately $1.2 trillion between 2013 and 2021, and requires an estimated $500 billion in federal defense spending cuts over this time period. Under the Budget Control Act, as amended, approximately $64 billion in spending cuts are mandated for fiscal 2014, and the Department of Defense has estimated its share of these cuts at $30 billion.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70" w:lineRule="auto"/>
        <w:tabs>
          <w:tab w:leader="none" w:pos="19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231F20"/>
        </w:rPr>
        <w:t xml:space="preserve">Cost-Reimbursable Contracts. </w:t>
      </w:r>
      <w:r>
        <w:rPr>
          <w:rFonts w:ascii="Arial" w:cs="Arial" w:eastAsia="Arial" w:hAnsi="Arial"/>
          <w:sz w:val="17"/>
          <w:szCs w:val="17"/>
          <w:color w:val="231F20"/>
        </w:rPr>
        <w:t>Cost-reimbursable contracts provide for the payment of allowable costs incurred during</w:t>
      </w:r>
      <w:r>
        <w:rPr>
          <w:rFonts w:ascii="Arial" w:cs="Arial" w:eastAsia="Arial" w:hAnsi="Arial"/>
          <w:sz w:val="17"/>
          <w:szCs w:val="17"/>
          <w:i w:val="1"/>
          <w:iCs w:val="1"/>
          <w:color w:val="231F20"/>
        </w:rPr>
        <w:t xml:space="preserve"> </w:t>
      </w:r>
      <w:r>
        <w:rPr>
          <w:rFonts w:ascii="Arial" w:cs="Arial" w:eastAsia="Arial" w:hAnsi="Arial"/>
          <w:sz w:val="17"/>
          <w:szCs w:val="17"/>
          <w:color w:val="231F20"/>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20" w:hanging="655"/>
        <w:spacing w:after="0" w:line="257" w:lineRule="auto"/>
        <w:tabs>
          <w:tab w:leader="none" w:pos="19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231F20"/>
        </w:rPr>
        <w:t xml:space="preserve">Time-and-Materials Contracts. </w:t>
      </w:r>
      <w:r>
        <w:rPr>
          <w:rFonts w:ascii="Arial" w:cs="Arial" w:eastAsia="Arial" w:hAnsi="Arial"/>
          <w:sz w:val="18"/>
          <w:szCs w:val="18"/>
          <w:color w:val="231F20"/>
        </w:rPr>
        <w:t>Under a time-and-materials contract, we are paid a fixed hourly rate for each direct labor hour</w:t>
      </w:r>
      <w:r>
        <w:rPr>
          <w:rFonts w:ascii="Arial" w:cs="Arial" w:eastAsia="Arial" w:hAnsi="Arial"/>
          <w:sz w:val="18"/>
          <w:szCs w:val="18"/>
          <w:i w:val="1"/>
          <w:iCs w:val="1"/>
          <w:color w:val="231F20"/>
        </w:rPr>
        <w:t xml:space="preserve"> </w:t>
      </w:r>
      <w:r>
        <w:rPr>
          <w:rFonts w:ascii="Arial" w:cs="Arial" w:eastAsia="Arial" w:hAnsi="Arial"/>
          <w:sz w:val="18"/>
          <w:szCs w:val="18"/>
          <w:color w:val="231F20"/>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231F20"/>
        </w:rPr>
        <w:t xml:space="preserve">Fixed-Price Contracts. </w:t>
      </w:r>
      <w:r>
        <w:rPr>
          <w:rFonts w:ascii="Arial" w:cs="Arial" w:eastAsia="Arial" w:hAnsi="Arial"/>
          <w:sz w:val="18"/>
          <w:szCs w:val="18"/>
          <w:color w:val="231F20"/>
        </w:rPr>
        <w:t>Under a fixed-price contract, we agree to perform the specified work for a pre-determined price. To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93"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 xml:space="preserve">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w:t>
      </w:r>
      <w:r>
        <w:rPr>
          <w:rFonts w:ascii="Arial" w:cs="Arial" w:eastAsia="Arial" w:hAnsi="Arial"/>
          <w:sz w:val="17"/>
          <w:szCs w:val="17"/>
          <w:color w:val="231F20"/>
        </w:rPr>
        <w:t>Over the last twelve months we have experienced a shift from from time-and-materials contracts and cost-reimbursable contracts to</w:t>
      </w:r>
      <w:r>
        <w:rPr>
          <w:rFonts w:ascii="Arial" w:cs="Arial" w:eastAsia="Arial" w:hAnsi="Arial"/>
          <w:sz w:val="17"/>
          <w:szCs w:val="17"/>
          <w:color w:val="auto"/>
        </w:rPr>
        <w:t xml:space="preserve"> </w:t>
      </w:r>
      <w:r>
        <w:rPr>
          <w:rFonts w:ascii="Arial" w:cs="Arial" w:eastAsia="Arial" w:hAnsi="Arial"/>
          <w:sz w:val="17"/>
          <w:szCs w:val="17"/>
          <w:color w:val="231F20"/>
        </w:rPr>
        <w:t>fixed-price contracts during the fiscal year, and we believe that the contract mix that we realized in the fourth quarter will remain relatively stable for fiscal 2015.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52"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ind w:left="214"/>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140" w:type="dxa"/>
            <w:vAlign w:val="bottom"/>
            <w:tcBorders>
              <w:bottom w:val="single" w:sz="8" w:color="CCEEFF"/>
            </w:tcBorders>
            <w:shd w:val="clear" w:color="auto" w:fill="CCEEFF"/>
          </w:tcPr>
          <w:p>
            <w:pPr>
              <w:jc w:val="center"/>
              <w:ind w:left="214"/>
              <w:spacing w:after="0"/>
              <w:rPr>
                <w:sz w:val="20"/>
                <w:szCs w:val="20"/>
                <w:color w:val="auto"/>
              </w:rPr>
            </w:pPr>
            <w:r>
              <w:rPr>
                <w:rFonts w:ascii="Arial" w:cs="Arial" w:eastAsia="Arial" w:hAnsi="Arial"/>
                <w:sz w:val="18"/>
                <w:szCs w:val="18"/>
                <w:color w:val="auto"/>
                <w:w w:val="88"/>
              </w:rPr>
              <w:t>55%</w:t>
            </w:r>
          </w:p>
        </w:tc>
        <w:tc>
          <w:tcPr>
            <w:tcW w:w="18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214"/>
              <w:spacing w:after="0"/>
              <w:rPr>
                <w:sz w:val="20"/>
                <w:szCs w:val="20"/>
                <w:color w:val="auto"/>
              </w:rPr>
            </w:pPr>
            <w:r>
              <w:rPr>
                <w:rFonts w:ascii="Arial" w:cs="Arial" w:eastAsia="Arial" w:hAnsi="Arial"/>
                <w:sz w:val="18"/>
                <w:szCs w:val="18"/>
                <w:color w:val="auto"/>
                <w:w w:val="94"/>
              </w:rPr>
              <w:t>54%</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140" w:type="dxa"/>
            <w:vAlign w:val="bottom"/>
          </w:tcPr>
          <w:p>
            <w:pPr>
              <w:jc w:val="center"/>
              <w:ind w:left="214"/>
              <w:spacing w:after="0"/>
              <w:rPr>
                <w:sz w:val="20"/>
                <w:szCs w:val="20"/>
                <w:color w:val="auto"/>
              </w:rPr>
            </w:pPr>
            <w:r>
              <w:rPr>
                <w:rFonts w:ascii="Arial" w:cs="Arial" w:eastAsia="Arial" w:hAnsi="Arial"/>
                <w:sz w:val="18"/>
                <w:szCs w:val="18"/>
                <w:color w:val="auto"/>
                <w:w w:val="88"/>
              </w:rPr>
              <w:t>28%</w:t>
            </w:r>
          </w:p>
        </w:tc>
        <w:tc>
          <w:tcPr>
            <w:tcW w:w="1860" w:type="dxa"/>
            <w:vAlign w:val="bottom"/>
            <w:gridSpan w:val="3"/>
          </w:tcPr>
          <w:p>
            <w:pPr>
              <w:jc w:val="center"/>
              <w:ind w:left="314"/>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4"/>
              </w:rPr>
              <w:t>31%</w:t>
            </w:r>
          </w:p>
        </w:tc>
      </w:tr>
      <w:tr>
        <w:trPr>
          <w:trHeight w:val="27"/>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14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88"/>
              </w:rPr>
              <w:t>17%</w:t>
            </w:r>
          </w:p>
        </w:tc>
        <w:tc>
          <w:tcPr>
            <w:tcW w:w="186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4"/>
              </w:rPr>
              <w:t>15%</w:t>
            </w:r>
          </w:p>
        </w:tc>
      </w:tr>
      <w:tr>
        <w:trPr>
          <w:trHeight w:val="27"/>
        </w:trPr>
        <w:tc>
          <w:tcPr>
            <w:tcW w:w="2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In fiscal 2014, 2013, and 2012, our revenue under GWACs and GSA schedules collectively represented 21%, 19%, and 20% of our total revenue, respectively. No single task order under any contract represented more than 2.3% of our revenue in fiscal 2014, 2013, or 2012. No single contract accounted for more than 10% of our revenue in fiscal 2014, 2013, or 2012.</w:t>
      </w:r>
    </w:p>
    <w:p>
      <w:pPr>
        <w:spacing w:after="0" w:line="1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2014, 2013, and 2012, 91%, 91%, and 90%, respectively, of our revenue was generated by contracts and task orders for which we served as a prime contractor; 9%, 9%, and 10%, respectively, of our revenue was generated by contracts and task orders for which we served as a subcontractor; and 23%, 21%, and 21%,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March 31, 2014, 2013, and 2012 we employed approximately 22,700, 24,500 and 25,000 people, respectively, of which approximately 20,600, 22,000 and 22,500, respectively, were consulting staff.</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6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54" w:right="239" w:bottom="1440" w:gutter="0" w:footer="0" w:header="0"/>
        </w:sectPr>
      </w:pPr>
    </w:p>
    <w:bookmarkStart w:id="50" w:name="page51"/>
    <w:bookmarkEnd w:id="50"/>
    <w:p>
      <w:pPr>
        <w:ind w:left="1300" w:right="180" w:hanging="644"/>
        <w:spacing w:after="0" w:line="308"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23495</wp:posOffset>
            </wp:positionV>
            <wp:extent cx="2992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190"/>
        </w:trPr>
        <w:tc>
          <w:tcPr>
            <w:tcW w:w="5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5"/>
        </w:trPr>
        <w:tc>
          <w:tcPr>
            <w:tcW w:w="5240" w:type="dxa"/>
            <w:vAlign w:val="bottom"/>
          </w:tcPr>
          <w:p>
            <w:pPr>
              <w:ind w:left="20"/>
              <w:spacing w:after="0"/>
              <w:rPr>
                <w:sz w:val="20"/>
                <w:szCs w:val="20"/>
                <w:color w:val="auto"/>
              </w:rPr>
            </w:pPr>
            <w:r>
              <w:rPr>
                <w:rFonts w:ascii="Arial" w:cs="Arial" w:eastAsia="Arial" w:hAnsi="Arial"/>
                <w:sz w:val="18"/>
                <w:szCs w:val="18"/>
                <w:color w:val="auto"/>
              </w:rPr>
              <w:t>Backlog:</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Funded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2,898</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Unfunded (1)</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2,343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2,681</w:t>
            </w:r>
          </w:p>
        </w:tc>
      </w:tr>
      <w:tr>
        <w:trPr>
          <w:trHeight w:val="27"/>
        </w:trPr>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Priced options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5,205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5,225</w:t>
            </w:r>
          </w:p>
        </w:tc>
      </w:tr>
      <w:tr>
        <w:trPr>
          <w:trHeight w:val="237"/>
        </w:trPr>
        <w:tc>
          <w:tcPr>
            <w:tcW w:w="5240" w:type="dxa"/>
            <w:vAlign w:val="bottom"/>
          </w:tcPr>
          <w:p>
            <w:pPr>
              <w:ind w:left="700"/>
              <w:spacing w:after="0"/>
              <w:rPr>
                <w:sz w:val="20"/>
                <w:szCs w:val="20"/>
                <w:color w:val="auto"/>
              </w:rPr>
            </w:pPr>
            <w:r>
              <w:rPr>
                <w:rFonts w:ascii="Arial" w:cs="Arial" w:eastAsia="Arial" w:hAnsi="Arial"/>
                <w:sz w:val="18"/>
                <w:szCs w:val="18"/>
                <w:color w:val="auto"/>
              </w:rPr>
              <w:t>Total backlog</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9,838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11,535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10,804</w:t>
            </w:r>
          </w:p>
        </w:tc>
      </w:tr>
      <w:tr>
        <w:trPr>
          <w:trHeight w:val="27"/>
        </w:trPr>
        <w:tc>
          <w:tcPr>
            <w:tcW w:w="5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300" w:right="600" w:hanging="644"/>
        <w:spacing w:after="0" w:line="342"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decreased by 14.7% from March 31, 2013 to March 31, 2014 and increased 6.8% from March 31, 2012 to March 31, 2013. Additions to funded backlog, during fiscal 2014 and 2013 totaled $5.3 billion and $5.4 billion, respectively, </w:t>
      </w:r>
      <w:r>
        <w:rPr>
          <w:rFonts w:ascii="Arial" w:cs="Arial" w:eastAsia="Arial" w:hAnsi="Arial"/>
          <w:sz w:val="16"/>
          <w:szCs w:val="16"/>
          <w:color w:val="231F20"/>
        </w:rPr>
        <w:t>with the decrease from 2013 to 2014 due to challenging and uncertain market conditions, which contributed to a lower</w:t>
      </w:r>
      <w:r>
        <w:rPr>
          <w:rFonts w:ascii="Arial" w:cs="Arial" w:eastAsia="Arial" w:hAnsi="Arial"/>
          <w:sz w:val="16"/>
          <w:szCs w:val="16"/>
          <w:color w:val="auto"/>
        </w:rPr>
        <w:t xml:space="preserve"> </w:t>
      </w:r>
      <w:r>
        <w:rPr>
          <w:rFonts w:ascii="Arial" w:cs="Arial" w:eastAsia="Arial" w:hAnsi="Arial"/>
          <w:sz w:val="16"/>
          <w:szCs w:val="16"/>
          <w:color w:val="231F20"/>
        </w:rPr>
        <w:t xml:space="preserve">conversion of unfunded backlog to funded backlog, the reduced award of new contracts and task orders under which funding was appropriated, and the decline in exercise and subsequent funding of priced options. With the passing of the $1.1 trillion Consolidated Appropriations Act in January 2014, we expect the pace of contract awards to increase throughout the remainder of the U.S. government’s fiscal year ending September 30, 2014. </w:t>
      </w:r>
      <w:r>
        <w:rPr>
          <w:rFonts w:ascii="Arial" w:cs="Arial" w:eastAsia="Arial" w:hAnsi="Arial"/>
          <w:sz w:val="16"/>
          <w:szCs w:val="16"/>
          <w:color w:val="000000"/>
        </w:rPr>
        <w:t>We report internally</w:t>
      </w:r>
      <w:r>
        <w:rPr>
          <w:rFonts w:ascii="Arial" w:cs="Arial" w:eastAsia="Arial" w:hAnsi="Arial"/>
          <w:sz w:val="16"/>
          <w:szCs w:val="16"/>
          <w:color w:val="231F20"/>
        </w:rPr>
        <w:t xml:space="preserve"> </w:t>
      </w:r>
      <w:r>
        <w:rPr>
          <w:rFonts w:ascii="Arial" w:cs="Arial" w:eastAsia="Arial" w:hAnsi="Arial"/>
          <w:sz w:val="16"/>
          <w:szCs w:val="16"/>
          <w:color w:val="000000"/>
        </w:rPr>
        <w:t>on our backlog on a monthly basis and review backlog upon occurrence of certain events to determine if any adjustments are necessary.</w:t>
      </w:r>
    </w:p>
    <w:p>
      <w:pPr>
        <w:spacing w:after="0" w:line="16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6.7% of funded backlog as of the end of any of the four fiscal quarters preceding the fiscal quarter ended March 31, 2014.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017" w:right="27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231F20"/>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8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Changes in the government's funding and spending patterns have altered historical seasonality trends, supporting our approach to managing the business on an annual basis.</w:t>
      </w:r>
    </w:p>
    <w:p>
      <w:pPr>
        <w:spacing w:after="0" w:line="18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Seasonality is just one of a number of factors, many of which are outside of our control, which may affect our results in any period. See "Item 1A.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or GAAP. The preparation of these consolidated financial statements in accordance with GAAP requires management to make estimates and assumptions that affect the reported amounts of assets and liabilities and the disclosure of contingencies at the date of the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11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35" w:right="23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Substantially all of our revenue is derived from contracts to provide professional services to the U.S. government and its agencies. In most cases, we recognize revenue as work is performed. We recognize revenue for cost-plus-fixed-fee contracts with the U.S. government as hours are worked based on reimbursable and allowable costs, recoverable indirect costs and an accrual for the fixed fee component of these contracts.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Many of our U.S. government contracts include award fees, which are earned based on the client’s evaluation of our performance. We have significant history with the client for the majority of contracts on which we earn award fees. That history and management's evaluation and monitoring of performance form the basis for our ability to estimate such fees over the life of the contract. Based on these estimates, we recognize award fees as work on the contracts is performed. Revisions to these estimates may result in increases or decreases to revenue and income, and are reflected in the financial statements in periods in which they are identified.</w:t>
      </w:r>
    </w:p>
    <w:p>
      <w:pPr>
        <w:spacing w:after="0" w:line="11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Revenue earned under time-and-materials contracts is recognized as hours are worked based on contractually billable rates to the client. Costs on time-and-materials contracts are expensed as incurred.</w:t>
      </w:r>
    </w:p>
    <w:p>
      <w:pPr>
        <w:spacing w:after="0" w:line="11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For fixed-price contracts, we recognize revenue on the percentage-of-completion basis with progress toward completion of a particular contract based on actual costs incurred relative to total estimated costs to be incurred over the life of the contract. Profits on fixed-price contracts result from the difference between the incurred costs and the revenue earned. This method is followed where reasonably dependable estimates of revenue and costs under the contract can be made. Estimates of total contract revenue and costs are regularly reviewed and recorded revenue and costs are subject to revision as the contract progresses. Such revisions may result in increases or decreases to revenue and income, and are reflected in the financial statements in the periods in which they are first identified. If our estimates indicate that a contract loss will occur, a loss provision is recorded in the period in which the loss first becomes probable and reasonably estimable. Estimating costs under our long-term contracts is complex and involves significant judgment. Factors that must 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jc w:val="both"/>
        <w:ind w:right="100" w:firstLine="432"/>
        <w:spacing w:after="0" w:line="297" w:lineRule="auto"/>
        <w:rPr>
          <w:sz w:val="20"/>
          <w:szCs w:val="20"/>
          <w:color w:val="auto"/>
        </w:rPr>
      </w:pPr>
      <w:r>
        <w:rPr>
          <w:rFonts w:ascii="Arial" w:cs="Arial" w:eastAsia="Arial" w:hAnsi="Arial"/>
          <w:sz w:val="16"/>
          <w:szCs w:val="16"/>
          <w:color w:val="auto"/>
        </w:rPr>
        <w:t>The Company has engaged in business combination activity. 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each acquisition, as goodwill presents the excess of the purchase price of an acquired business over the fair value of its net tangible and identifiable intangible assets. In our recent acquisitions, the valuation of the customer relationships required significant judgments related to the cash flows of the contract backlog that are expected to be recognized by the Company.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Impairment</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test goodwill for impairment at the reporting unit level on an annual basis or if an event occurs or circumstances change that would more likely than not reduce the fair value of a reporting unit below its carrying value. As the consolidated entity represents the only component that constitutes a business whereby discrete financial information is available, we concluded that we have one reporting unit, which is the same as our single operating segment. We test the trade name for impairment using the royalty relief method. We perform our annual testing for impairment of goodwill and the trade name as of January 1 of each year.</w:t>
      </w:r>
    </w:p>
    <w:p>
      <w:pPr>
        <w:spacing w:after="0" w:line="5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performed an annual impairment test of goodwill and the trade name as of January 1, 2014 and 2013. As of January 1, 2014, we performed our annual impairment test of goodwill by comparing the fair value of the Company (primarily based on our market capitalization) to the carrying value of equity. Based on our analysis, we concluded the fair value of our reporting unit was greater than the carrying amount.</w:t>
      </w:r>
    </w:p>
    <w:p>
      <w:pPr>
        <w:spacing w:after="0" w:line="4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December 31, 2011, we adopted new goodwill impairment guidance whereby we may perform a qualitative assessment of whether it is more likely than not the fair value of the reporting unit is less than the carrying value of equity. We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936" w:right="279" w:bottom="1440" w:gutter="0" w:footer="0" w:header="0"/>
        </w:sectPr>
      </w:pPr>
    </w:p>
    <w:bookmarkStart w:id="53" w:name="page54"/>
    <w:bookmarkEnd w:id="53"/>
    <w:p>
      <w:pPr>
        <w:jc w:val="both"/>
        <w:ind w:right="120"/>
        <w:spacing w:after="0" w:line="312" w:lineRule="auto"/>
        <w:rPr>
          <w:sz w:val="20"/>
          <w:szCs w:val="20"/>
          <w:color w:val="auto"/>
        </w:rPr>
      </w:pPr>
      <w:r>
        <w:rPr>
          <w:rFonts w:ascii="Arial" w:cs="Arial" w:eastAsia="Arial" w:hAnsi="Arial"/>
          <w:sz w:val="16"/>
          <w:szCs w:val="16"/>
          <w:color w:val="auto"/>
        </w:rPr>
        <w:t>preformed this qualitative assessment at January 1, 2013, and we believe that it was not more likely than not (i.e. a likelihood of more than 50 percent) that the fair value of our reporting unit was less than the carrying amount. In making this assessment we considered all relevant events and circumstances. These include, but are not limited to, macroeconomic conditions, industry and market considerations, and the reporting unit’s overall financial performance.</w:t>
      </w:r>
    </w:p>
    <w:p>
      <w:pPr>
        <w:spacing w:after="0" w:line="12" w:lineRule="exact"/>
        <w:rPr>
          <w:sz w:val="20"/>
          <w:szCs w:val="20"/>
          <w:color w:val="auto"/>
        </w:rPr>
      </w:pPr>
    </w:p>
    <w:p>
      <w:pPr>
        <w:ind w:right="820" w:firstLine="432"/>
        <w:spacing w:after="0" w:line="342" w:lineRule="auto"/>
        <w:rPr>
          <w:sz w:val="20"/>
          <w:szCs w:val="20"/>
          <w:color w:val="auto"/>
        </w:rPr>
      </w:pPr>
      <w:r>
        <w:rPr>
          <w:rFonts w:ascii="Arial" w:cs="Arial" w:eastAsia="Arial" w:hAnsi="Arial"/>
          <w:sz w:val="16"/>
          <w:szCs w:val="16"/>
          <w:color w:val="auto"/>
        </w:rPr>
        <w:t>During the fiscal years ended March 31, 2014 and 2013, we did not record any goodwill impairment or any impairment of our trade name or amortizable intangible assets. Further, we do not consider any of the goodwill, trade name or amortizable intangible assets at risk of impairment.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use the Black-Scholes option-pricing model to determine the estimated fair value for stock options. Critical inputs into the Black-Scholes option-pricing model include the following: option exercise price; fair value of the stock price; expected life of the option; annualized volatility of the stock; annual rate of quarterly dividends on the stock; and risk-free interest rate.</w:t>
      </w:r>
    </w:p>
    <w:p>
      <w:pPr>
        <w:spacing w:after="0" w:line="4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During fiscal year 2014, the Company’s Board of Directors authorized and declared recurring cash dividends in the amount of $0.10 per share to holders of Booz Allen Holding’s Class A Common Stock, and Class B Non-Voting Common Stock . Therefore, an annualized dividend yield between 1.92% and 2.26% was used in the Black-Scholes option-pricing model for all grants made during the fiscal year. Implied volatility is calculated as of each grant date based on our historical volatility along with an assessment of a peer group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 While we are not aware of any news or disclosures by our peers that may impact their respective volatility, there is a risk that peer group volatility may increase, potentially increasing any prospective future compensation expense that will result from future option grants.</w:t>
      </w:r>
    </w:p>
    <w:p>
      <w:pPr>
        <w:spacing w:after="0" w:line="11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risk-free interest rate used in the Black-Scholes option-pricing model is determined by referencing the U.S. Treasury yield curve rates with the remaining term equal to the expected life assumed at the date of grant.</w:t>
      </w:r>
    </w:p>
    <w:p>
      <w:pPr>
        <w:spacing w:after="0" w:line="116"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Forfeitures are estimated based on our historical analysis of attrition levels. Forfeiture estimates are updated quarterly for actual forfeitures. We do not expect this assumption to change materially, as attrition levels associated with new option grants have not materially changed.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public company, we use the closing price of our Class A Common Stock on the grant date for valuation purposes.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Provisions for federal and state income taxes are calculated from the income reported on our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financial statements than for income tax purposes.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financial statement period may be materially impacted.</w:t>
      </w:r>
    </w:p>
    <w:p>
      <w:pPr>
        <w:spacing w:after="0" w:line="139"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Recent accounting pronouncements issued by the FASB during fiscal 2014 and through the filing date did not and are not believed by management to have a material impact on the Company's present or historical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773" w:right="279" w:bottom="1440" w:gutter="0" w:footer="0" w:header="0"/>
        </w:sectPr>
      </w:pPr>
    </w:p>
    <w:bookmarkStart w:id="54" w:name="page55"/>
    <w:bookmarkEnd w:id="54"/>
    <w:p>
      <w:pPr>
        <w:ind w:right="80" w:firstLine="432"/>
        <w:spacing w:after="0" w:line="302" w:lineRule="auto"/>
        <w:rPr>
          <w:sz w:val="20"/>
          <w:szCs w:val="20"/>
          <w:color w:val="auto"/>
        </w:rPr>
      </w:pPr>
      <w:r>
        <w:rPr>
          <w:rFonts w:ascii="Arial" w:cs="Arial" w:eastAsia="Arial" w:hAnsi="Arial"/>
          <w:sz w:val="16"/>
          <w:szCs w:val="16"/>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2014 and 2013 and the Company’s results of operations for fiscal 2014, fiscal 2013, and fiscal 2012.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consolidated statements of operations for the periods indicated:</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4"/>
              </w:rPr>
              <w:t>Fiscal Year Ended March 31,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Fiscal 2014</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Versus</w:t>
            </w:r>
          </w:p>
        </w:tc>
        <w:tc>
          <w:tcPr>
            <w:tcW w:w="10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Versus</w:t>
            </w:r>
          </w:p>
        </w:tc>
        <w:tc>
          <w:tcPr>
            <w:tcW w:w="0" w:type="dxa"/>
            <w:vAlign w:val="bottom"/>
          </w:tcPr>
          <w:p>
            <w:pPr>
              <w:spacing w:after="0"/>
              <w:rPr>
                <w:sz w:val="1"/>
                <w:szCs w:val="1"/>
                <w:color w:val="auto"/>
              </w:rPr>
            </w:pPr>
          </w:p>
        </w:tc>
      </w:tr>
      <w:tr>
        <w:trPr>
          <w:trHeight w:val="65"/>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Fiscal 2013</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2012</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5,478,693</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5,758,059</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5,859,218</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2,716,113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2,871,240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2,934,378</w:t>
            </w:r>
          </w:p>
        </w:tc>
        <w:tc>
          <w:tcPr>
            <w:tcW w:w="1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380"/>
              <w:spacing w:after="0"/>
              <w:rPr>
                <w:sz w:val="20"/>
                <w:szCs w:val="20"/>
                <w:color w:val="auto"/>
              </w:rPr>
            </w:pPr>
            <w:r>
              <w:rPr>
                <w:rFonts w:ascii="Arial" w:cs="Arial" w:eastAsia="Arial" w:hAnsi="Arial"/>
                <w:sz w:val="14"/>
                <w:szCs w:val="14"/>
                <w:color w:val="auto"/>
              </w:rPr>
              <w:t>Billable expenses</w:t>
            </w:r>
          </w:p>
        </w:tc>
        <w:tc>
          <w:tcPr>
            <w:tcW w:w="260" w:type="dxa"/>
            <w:vAlign w:val="bottom"/>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1,487,115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1,532,590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1,542,822</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742,527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833,986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903,721</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72,327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74,009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75,205</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charge</w:t>
            </w: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15,660</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700"/>
              <w:spacing w:after="0"/>
              <w:rPr>
                <w:sz w:val="20"/>
                <w:szCs w:val="20"/>
                <w:color w:val="auto"/>
              </w:rPr>
            </w:pPr>
            <w:r>
              <w:rPr>
                <w:rFonts w:ascii="Arial" w:cs="Arial" w:eastAsia="Arial" w:hAnsi="Arial"/>
                <w:sz w:val="14"/>
                <w:szCs w:val="14"/>
                <w:color w:val="auto"/>
              </w:rPr>
              <w:t>Total operating costs and expenses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5,018,082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5,311,825</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5,471,786</w:t>
            </w:r>
          </w:p>
        </w:tc>
        <w:tc>
          <w:tcPr>
            <w:tcW w:w="120" w:type="dxa"/>
            <w:vAlign w:val="bottom"/>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4"/>
        </w:trPr>
        <w:tc>
          <w:tcPr>
            <w:tcW w:w="33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460,611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446,234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387,432</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(78,030)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(70,284)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(48,078)</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46.2 %</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4,520</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380,787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368,311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343,874</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148,599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149,253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103,919</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43.6 %</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232,188</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219,058</w:t>
            </w:r>
          </w:p>
        </w:tc>
        <w:tc>
          <w:tcPr>
            <w:tcW w:w="12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239,955</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65"/>
        </w:trPr>
        <w:tc>
          <w:tcPr>
            <w:tcW w:w="33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 decreased to $5,478.7 million from $5,758.1 million, or a 4.9% decrease. The decrease was primarily driven by reductions in headcount due to lower demand in an uncertain federal budget environment, and a reduction in billable expenses. Revenue in fiscal 2014 was additionally impacted by the October 2013 government shutdown and weather-related closures. While lower headcount led to fewer billable hours in total, we experienced a slight improvement in productivity of consulting staff over the prior year, which helped reduce the impact of such reduced billable hours. The decrease in revenue was partially offset by an increase in inorganic revenue of $103.0 million from the Company's acquisition of BES. Conversions to funded backlog during fiscal 2014 totaled $5.3 billion in comparison to $5.4 billion for the comparable period. The decrease in revenue conversion was due to challenging and uncertain market conditions which contributed to a lower conversion of unfunded backlog to funded backlog, the reduced award of new contracts and task orders under which funding was appropriated, and the decline in exercise and subsequent funding of priced options.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Cost of revenue decreased to $2,716.1 million from $2,871.2 million, or a 5.4% decrease. This decrease was primarily due to a decrease in salaries and salary-related benefits of $97.3 million, a decrease in employer retirement plan contributions of $56.9 million, and a decrease in incentive compensation costs of $4.9 million. The decrease was partially offset by increases</w:t>
      </w:r>
    </w:p>
    <w:p>
      <w:pPr>
        <w:sectPr>
          <w:pgSz w:w="11900" w:h="16838" w:orient="portrait"/>
          <w:cols w:equalWidth="0" w:num="1">
            <w:col w:w="11400"/>
          </w:cols>
          <w:pgMar w:left="240" w:top="773"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773" w:right="259" w:bottom="1440" w:gutter="0" w:footer="0" w:header="0"/>
          <w:type w:val="continuous"/>
        </w:sectPr>
      </w:pPr>
    </w:p>
    <w:bookmarkStart w:id="55" w:name="page56"/>
    <w:bookmarkEnd w:id="55"/>
    <w:p>
      <w:pPr>
        <w:jc w:val="both"/>
        <w:ind w:right="40"/>
        <w:spacing w:after="0" w:line="259" w:lineRule="auto"/>
        <w:rPr>
          <w:sz w:val="20"/>
          <w:szCs w:val="20"/>
          <w:color w:val="auto"/>
        </w:rPr>
      </w:pPr>
      <w:r>
        <w:rPr>
          <w:rFonts w:ascii="Arial" w:cs="Arial" w:eastAsia="Arial" w:hAnsi="Arial"/>
          <w:sz w:val="18"/>
          <w:szCs w:val="18"/>
          <w:color w:val="auto"/>
        </w:rPr>
        <w:t>in other direct consulting staff expenses of $5.3 million. The decrease in salaries and salary-related benefits and incentive compensation was primarily due to reduced headcount in senior direct consulting staff. The decrease in employer retirement plan contributions was due to a decrease in the Company's expected discretionary employer contribution for fiscal 2014 as well as the reduced headcount noted above. Cost of revenue as a percentage of revenue was 49.6% and 49.9% in in fiscal 2014 and fiscal 2013,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9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Billable expenses decreased to $1,487.1 million from $1,532.6 million, or a 3.0% decrease. The overall decrease was primarily due to decreases in subcontractor-related expenses and other billable expenses of $51.9 million incurred to perform on contracts. Direct subcontractor related expenses decreased due to lower demand in an uncertain federal budget environment and a decline in contract related purchases for the government. Billable expenses as a percentage of revenue was 27.1% and 26.6% in fiscal 2014 and fiscal 2013, respectively.</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General and administrative expenses decreased to $742.5 million from $834.0 million, or a 11.0% decrease. This decrease was due to decreases in salaries and salary-related benefits of $45.4 million, a decrease of $16.5 million in employer retirement plan contributions, and a decrease in incentive compensation of $13.4 million. The decrease in salaries and salary-related expenses and incentive compensation was primarily driven by the net reduction in our headcount. The decrease in employer retirement plan contributions was due to a decrease in the Company's expected discretionary employer contribution percentage for fiscal 2014 as well as the reduced headcount noted above. The remaining decrease was due to decreases in stock based compensation of $3.4 million and decreases in business-related transaction expenses, such as expenses incurred in fiscal 2013 associated with the Company's July 2012 debt recapitalization and acquisitions and decreases in professional fees and other expenses due to the Company's continued focus on cost management. General and administrative expenses as a percentage of revenue were 13.6% and 14.5% for fiscal 2014 and fiscal 2013, respectively.</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decreased to $72.3 million from $74.0 million, or a 2.3% decrease due to a decrease in capital expenditures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Interest expense increased to $78.0 million from $70.3 million, or an 11.0% increase primarily due to a full year of interest expense on additional principal incurred in connection with the Company's debt recapitalization consummated on July 31, 2012.</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Income tax expense decreased to $148.6 million from $149.3 million, or a 0.4% decrease primarily due to an increase in pre-tax income more than offset by a decrease in the effective tax rate in fiscal 2014 from 40.5% to 39.0%. The decrease in the effective tax rate primarily relates to federal and state income tax credits recognized in fiscal 2014, which reduced the effective tax rate by 1.5%.</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2013 Compared to Fiscal 2012</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Revenue increased to $5,758.1 million from $5,859.2 million, or a 1.7% decrease. The decrease was primarily driven by a decrease in revenue attributable to billable expenses and a net decline in our headcount, which has led to declines in billable hours and therefore a decline in our direct labor. Each of these factors directly results in revenue declines. We also had a lower rate of indirect expenses period over period which has a direct correlation to the reduction of revenue on our large portfolio of cost reimbursable contracts. The decline in headcount and the lower rate of indirect expenses is primarily attributable to the cost reduction actions the Company implemented in late fiscal 2012 and continued focus on effective capacity and cost management. The decrease in revenue was also due to the sale of our state and local transportation business in July 2011; however this was more than offset by an increase in revenue of $100.1 million from the Company's acquisition of DSES. Conversions to funded backlog during fiscal 2013, totaled $5.4 billion in comparison to $6.4 billion for the comparable period, with the decrease due to challenging and uncertain market conditions which is contributing to a lower conversion of unfunded backlog to funded backlog, the reduced award of new contracts and task orders under which funding was appropriated, and the decline in exercise and subsequent funding of priced options.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773" w:right="279" w:bottom="1440" w:gutter="0" w:footer="0" w:header="0"/>
        </w:sectPr>
      </w:pPr>
    </w:p>
    <w:bookmarkStart w:id="56" w:name="page57"/>
    <w:bookmarkEnd w:id="56"/>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Cost of revenue increased to $2,871.2 million from $2,934.4 million, or a 2.2% decrease.This decrease was primarily due to a decrease in salaries and salary related benefits of $77.5 million, a decrease of $8.7 million in incentive compensation costs, and a decrease of $1.9 million in stock-based compensation expense, offset by an increase in other direct consulting staff expenses of $24.4 million. The decrease in salaries and salary related benefits and incentive compensation costs was primarily due to reduced headcount in the direct consulting staff senior ranks associated with the cost restructuring plan that was implemented during fiscal 2012. The decrease in stock-based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Cost of revenue as a percentage of revenue was 49.9% and 50.1% in fiscal 2013 and fiscal 2012, respectively.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Billable expenses increased to $1,532.6 million from $1,542.8 million, or a 0.7% decrease. This decrease was primarily due to decreases in travel and material expenses of $54.6 million offset by increases in other billable expenses of $36.1 million incurred to perform on contracts and an increase in subcontractor-related expenses of $8.3 million. The increase in direct subcontractor expenses was in support of growth on existing and new contracts and task orders during fiscal 2013. Billable expenses as a percentage of revenue was 26.6% and 26.3% in fiscal 2013 and fiscal 2012,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General and administrative expenses increased to $834.0 million from $903.7 million, or a 7.7% decrease. This decrease was primarily due to a decrease of $59.5 million in other business-related expenses and professional fees attributable to the Company's disciplined management of corporate-related expenditures, a decrease of $17.2 million in salaries and salary-related benefits, and a decrease in stock-based compensation of $4.7 million. The decrease in salaries and salary related expenses was primarily due to the net reduction in our headcount. The decrease in stock-based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w:t>
      </w:r>
    </w:p>
    <w:p>
      <w:pPr>
        <w:spacing w:after="0" w:line="4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decrease in general and administrative expenses was partially offset by increases of $8.6 million in incentive compensation costs and $3.1 million in employer retirement plan contributions. The increase in incentive compensation costs was due to increased compensation under our annual performance bonus program for senior personnel. The increase in employer retirement plan contributions was due to the number of employees who completed one year of service and became eligible to participate in our defined contribution plan, the ECAP. General and administrative expenses as a percentage of revenue were 14.5% and 15.4% for fiscal 2013 and fiscal 2012, respectively.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Depreciation and amortization decreased to $74.0 million from $75.2 million, or a 1.6% decrease. This decrease was primarily due to a decrease of $1.6 million in the amortization of our intangible assets, which includes below market rate leases and contract backlog that were recorded in connection with the acquisition and are amortized based on contractual lease terms and projected future cash flows, respectively, thereby reflecting higher amortization expense initially and declining expense in subsequent periods. Intangible asset amortization expense decreased to $14.8 million in fiscal 2013 compared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$16.4 million in fiscal 2012.</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Interest expense decreased to $70.3 million from $48.1 million, or a 46.2% increase. This increase was primarily due to debt incurred in connection with the Recapitalization Transaction consummated on July 31, 2012.</w:t>
      </w:r>
    </w:p>
    <w:p>
      <w:pPr>
        <w:spacing w:after="0" w:line="11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Interest is accrued on our $1,726.8 million outstanding debt principal balance as of March 31, 2013 at contractually specified rates ranging from 2.7% to 4.5%, and is generally required to be paid to our syndicate of lenders on a monthly or quarterly basis.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Income tax expense increased to $149.3 million from $103.9 million, or a 43.6% increase. The effective tax rate increased to 40.5% from 30.2% primarily due to the release of uncertain tax position reserves in the prior year.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3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$260.0 million and $350.4 million in cash and cash equivalents as of March 31, 2014 and 2013,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7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shareholders in the form of payment of special dividends and share repurchases. The Company is currently authorized by the Board of Directors to repurchase up to $30.0 million of our shares, of which no shares have been repurchased as of March 31, 2014.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6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debt totaled $1,658.9 million and $1,715.2 million as of March 31, 2014 and 2013, respectively. Our debt bears interest at specified rates and is held by a syndicate of lenders (see Note 10 in our consolidated financial statements).</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senior secured loan facilities consist of a $725.0 million Tranche A term facility, or Term Loan A, and a $1,025.0 million Tranche B term facility, or Term Loan B. As of March 31, 2014 we had $661.6 million and $1,009.6 million principal outstanding under the Term Loan A facility and Term Loan B facility, respectively. As of March 31, 2013, we had $706.9 million and $1,019.9 million principal outstanding under the Term Loan A facility and Term Loan B facility, respectively of our prior credit facility.</w:t>
      </w:r>
    </w:p>
    <w:p>
      <w:pPr>
        <w:spacing w:after="0" w:line="18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August 16, 2013, the Company consummated the First Amendment to its senior secured credit agreement, dated July 31, 2012, the interest rate applicable to the Term Loan B facility was reduced to LIBOR +3.0%, with a 0.75% LIBOR floor. On May 7, 2014, the Company consummated the Second Amendment to its senior secured credit agreement, whereby the maturities of the Term Loan A facility and the revolving credit facility were each extended to May 31, 2019 and the Term Loan A facility was upsized by $168 million, with such funds used to pay off a portion of the principal of the Term Loan B facility. See "-- Indebtedness."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Fiscal Year Ended 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19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Special dividends (2)</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1,073,733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equivalents (3)</w:t>
            </w:r>
          </w:p>
        </w:tc>
        <w:tc>
          <w:tcPr>
            <w:tcW w:w="1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57"/>
        </w:trPr>
        <w:tc>
          <w:tcPr>
            <w:tcW w:w="300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16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1,181,940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80" w:type="dxa"/>
            <w:vAlign w:val="bottom"/>
            <w:vMerge w:val="restart"/>
          </w:tcPr>
          <w:p>
            <w:pPr>
              <w:jc w:val="right"/>
              <w:ind w:right="23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932" w:right="259" w:bottom="1440" w:gutter="0" w:footer="0" w:header="0"/>
        </w:sectPr>
      </w:pPr>
    </w:p>
    <w:bookmarkStart w:id="58" w:name="page59"/>
    <w:bookmarkEnd w:id="58"/>
    <w:p>
      <w:pPr>
        <w:ind w:right="120" w:firstLine="8"/>
        <w:spacing w:after="0" w:line="258" w:lineRule="auto"/>
        <w:tabs>
          <w:tab w:leader="none" w:pos="4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represent recurring dividends of $0.10 per share and $0.09 per share that were declared and paid for during each quarter of fiscal 2014, fiscal 2013, and fiscal 2012, respectively.</w:t>
      </w:r>
    </w:p>
    <w:p>
      <w:pPr>
        <w:spacing w:after="0" w:line="1" w:lineRule="exact"/>
        <w:rPr>
          <w:rFonts w:ascii="Arial" w:cs="Arial" w:eastAsia="Arial" w:hAnsi="Arial"/>
          <w:sz w:val="18"/>
          <w:szCs w:val="18"/>
          <w:color w:val="auto"/>
        </w:rPr>
      </w:pPr>
    </w:p>
    <w:p>
      <w:pPr>
        <w:ind w:right="300" w:firstLine="8"/>
        <w:spacing w:after="0" w:line="281" w:lineRule="auto"/>
        <w:tabs>
          <w:tab w:leader="none" w:pos="4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represent aggregate special dividends of $2.00 per share ($1.00 paid November 29, 2013 and $1.00 paid February 28, 2014) and $8.00 per share ($1.50 paid June 29, 2012 and $6.50 paid August 31, 2012) that were declared and paid for during fiscal 2014 and 2013, respectively.</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21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May 21, 2014, we announced a regular quarterly cash dividend in the amount of $0.11 per share. The quarterly dividend is payable on June 30, 2014 to stockholders of record on June 10, 2014.</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For each special dividend declared, the Compensation Committee, as Administrator of the Officers' Rollover Stock Plan and the Equity Incentive Plan, as amended, is required to make a determination under the respective plan's antidilution provision to adjust the outstanding options. For the $1.50 special dividend announced May 29, 2012, the $6.50 dividend announced July 30, 2012, and the $1.00 special dividends announced October 29, 2013 and January 31, 2014, holders of the Rollover Options received a cash payment equal to the amount of the special dividend on the options' mandatory exercise date. For the $1.50 special dividend, holders of EIP options were granted a dividend equivalent equal to the special dividend payable on June 29, 2012 or the vesting of the EIP option, whichever is later. For the $6.50 special dividend, holders of EIP options with a pre-dividend exercise price less than $11.00 per share received a dividend equivalent equal to the amount of the special dividend payable on August 31, 2012 or the vesting of the EIP option, whichever is later. All other EIP options were adjusted by reducing the exercise price by $6.36 which is equal to the difference between the pre-dividend closing fair market value of our Class A Common Stock and the post-dividend opening fair market value of our Class A Common Stock as noted on the New York Stock Exchange. For the $1.00 special dividends, holders of EIP options received a cash payment equal to the amount of the special dividend paid on November 29, 2013 and February 28, 2014, respectively, or the vesting of the EIP option, whichever is later.</w:t>
      </w:r>
    </w:p>
    <w:p>
      <w:pPr>
        <w:spacing w:after="0" w:line="18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Associated with the payment of the dividends, and in connection with the authorization of the special dividends, the Company paid accrued interest on the DPO of $8.0 million and $7.4 million during fiscal 2014 and 2013,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We experienced a slight shift to fixed-price contracts year over year resulting in no material impact to operating cash flow. In addition, a number of our contracts may provide for performance-based payments, which allow us to bill and collect cash prior to completing the work.</w:t>
      </w:r>
    </w:p>
    <w:p>
      <w:pPr>
        <w:spacing w:after="0" w:line="17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60 and 61 as of March 31, 2014 and 2013, respectively.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92" w:right="259" w:bottom="1440" w:gutter="0" w:footer="0" w:header="0"/>
        </w:sectPr>
      </w:pPr>
    </w:p>
    <w:bookmarkStart w:id="59" w:name="page60"/>
    <w:bookmarkEnd w:id="59"/>
    <w:tbl>
      <w:tblPr>
        <w:tblLayout w:type="fixed"/>
        <w:tblInd w:w="74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332,718</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464,654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360,046</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(53,593)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(409,552)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Total increase / (decrease)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(90,390)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291,737</w:t>
            </w:r>
          </w:p>
        </w:tc>
      </w:tr>
      <w:tr>
        <w:trPr>
          <w:trHeight w:val="27"/>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$332.7 million in fiscal 2014 compared to $464.7 million in the same prior year period, or a 28.4% decrease. The decrease in net cash provided by operations was primarily due to an increase in cash paid for taxes due to a rise in expected taxable income as well as the timing of payments related to fiscal 2013.</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Net cash used in investing activities was $13.6 million in fiscal 2014 compared to $190.5 million in the same prior year period, or a 92.9% decrease. The decrease in net cash used in investing activities was primarily due to the $155.1 million in cash paid to ARINC for the acquisition of BES during fiscal 2013. There was no similar transaction during fiscal 2014.</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Net cash used in financing activities was $409.6 million in fiscal 2014 compared to $408.2 million in the same prior year period, or a 0.3% increase. The increase in net cash used in financing activities was primarily due to the net proceeds from the July 31, 2012 Recapitalization Transaction in fiscal 2013, partially offset by a decrease in special cash dividends paid in fiscal 2014 as compared to fiscal 2013.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August 16, 2013, the Company consummated a repricing of its outstanding Term Loan B indebtedness by entering into the First Amendment to 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whereby the interest rate applicable to the Term Loan B facility was reduced to LIBOR +3.0%, with a 0.75% LIBOR floor.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2014, the Credit Agreement provided the Company with a $725.0 million Term Loan A facility and a $1,025.0 million Term Loan B facility, and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$500.0 million revolving credit facility with a $100.0 million sublimit for letters of credit. On May 7, 2014, the Company consummated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to its senior secured credit agreement, whereby the maturities of the Term Loan A facility and the revolving credit facility were both extended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31, 2019 and the Term Loan A facility was upsized by $168 million, with such funds used to pay off a portion of the principal of the Term Loan 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occasionally borrow under our revolving credit facility in anticipation of cash demands. On October 15, 2013, the Company's wholly-owned subsidiary Booz Allen Hamilton Inc. accessed $250.0 million of its $500.0 million revolving credit facility to safeguard against the possible consequences of a failure by Congress to increase the U.S. government's ability to incur indebtedness in excess of its current limit. On October 18, 2013, following the increase of the debt limit by Congress, the Company repaid the $250.0 million borrowed from the revolving credit facility. On February 27, 2014, the Company's wholly-owned subsidiary Booz Allen Hamilton Inc. accessed $50.0 million of its $500.0 million revolving credit facility to provide sufficient available cash given the timing of certain cash payments. The Company repaid the $50.0 million borrowed from the revolving credit facility on March 6, 2014.</w:t>
      </w:r>
    </w:p>
    <w:p>
      <w:pPr>
        <w:spacing w:after="0" w:line="18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the Term Loan A facility, with annual incremental increases to 1.875%, 2.50%, 3.125%, and 13%, prior to Term Loan A facility's maturity date of May 31, 2019, and 0.25% of the stated principal amount of Term Loan B facility, with the remaining balance payable on Term Loan B facility's maturity date of July 31, 2019. The revolving credit facility matures on May 31, 2019, at which time any outstanding principal balance is due in full.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interest rate on borrowings under Term Loan A facility is, at the Company's option, LIBOR + 2.50% or ABR (as defined in the Credit Agreement)</w:t>
      </w:r>
    </w:p>
    <w:p>
      <w:pPr>
        <w:spacing w:after="0" w:line="46" w:lineRule="exact"/>
        <w:rPr>
          <w:sz w:val="20"/>
          <w:szCs w:val="20"/>
          <w:color w:val="auto"/>
        </w:rPr>
      </w:pPr>
    </w:p>
    <w:p>
      <w:pPr>
        <w:ind w:left="5620" w:right="4600" w:hanging="5612"/>
        <w:spacing w:after="0" w:line="542" w:lineRule="auto"/>
        <w:tabs>
          <w:tab w:leader="none" w:pos="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1.50%. The spread ranges from 2.00% to 2.75% and 1.00% to 1.75%, respectively, based on 57</w:t>
      </w:r>
    </w:p>
    <w:p>
      <w:pPr>
        <w:sectPr>
          <w:pgSz w:w="11900" w:h="16838" w:orient="portrait"/>
          <w:cols w:equalWidth="0" w:num="1">
            <w:col w:w="11400"/>
          </w:cols>
          <w:pgMar w:left="240" w:top="846" w:right="259" w:bottom="1440" w:gutter="0" w:footer="0" w:header="0"/>
        </w:sectPr>
      </w:pPr>
    </w:p>
    <w:bookmarkStart w:id="60" w:name="page61"/>
    <w:bookmarkEnd w:id="60"/>
    <w:p>
      <w:pPr>
        <w:ind w:right="60"/>
        <w:spacing w:after="0" w:line="255" w:lineRule="auto"/>
        <w:rPr>
          <w:sz w:val="20"/>
          <w:szCs w:val="20"/>
          <w:color w:val="auto"/>
        </w:rPr>
      </w:pPr>
      <w:r>
        <w:rPr>
          <w:rFonts w:ascii="Arial" w:cs="Arial" w:eastAsia="Arial" w:hAnsi="Arial"/>
          <w:sz w:val="18"/>
          <w:szCs w:val="18"/>
          <w:color w:val="auto"/>
        </w:rPr>
        <w:t>the Company's total leverage ratio. The interest rate on borrowings under the Term Loan B facility is LIBOR + 3.0% with a 0.75% floor or ABR + 2.00%. The revolving credit facility margin and commitment fee are subject to the leveraged based pricing grid, as set forth in the Credit Agreement, as amended. As of March 31, 2014, we were contingently liable under open standby letters of credit and bank guarantees issued by our banks in favor of third parties that totaled $2.4 million. These letters of credit and bank guarantees primarily support insurance obligations. These instruments reduce our available borrowings under the revolving credit facility. As of March 31, 2014, we had $497.6 million of capacity available for additional borrowings under the revolving credit facility.</w:t>
      </w:r>
    </w:p>
    <w:p>
      <w:pPr>
        <w:spacing w:after="0" w:line="193"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March 31, 2014 we were compliant with these covenants.</w:t>
      </w:r>
    </w:p>
    <w:p>
      <w:pPr>
        <w:spacing w:after="0" w:line="125"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During fiscal 2014, interest payments of $19.0 million and $41.9 million were made for the Term Loan A and Term Loan B facilities, respectively. During fiscal 2013, interest payments of $18.8 million and $40.0 million were made for the Term Loan A and Term Loan B facilities, respectively. As of March 31, 2014, no amounts were drawn on the revolving credit facility.</w:t>
      </w:r>
    </w:p>
    <w:p>
      <w:pPr>
        <w:spacing w:after="0" w:line="12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consolidated balance sheets net of unamortized discount of $12.3 million and $11.6 million as of March 31, 2014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 xml:space="preserve">Our stockholders’ equity amounted to $171.6 million as of March 31, 2014, a decrease of $55.2 million compared to stockholders’ equity of $226.8 million as of March 31, 2013, </w:t>
      </w:r>
      <w:r>
        <w:rPr>
          <w:rFonts w:ascii="Arial" w:cs="Arial" w:eastAsia="Arial" w:hAnsi="Arial"/>
          <w:sz w:val="18"/>
          <w:szCs w:val="18"/>
          <w:color w:val="231F20"/>
        </w:rPr>
        <w:t>primarily due to</w:t>
      </w:r>
      <w:r>
        <w:rPr>
          <w:rFonts w:ascii="Arial" w:cs="Arial" w:eastAsia="Arial" w:hAnsi="Arial"/>
          <w:sz w:val="18"/>
          <w:szCs w:val="18"/>
          <w:color w:val="auto"/>
        </w:rPr>
        <w:t xml:space="preserve"> net income of $232.2 million in fiscal 2014, stock option exercises, common stock issuances, and stock-based compensation expense of $20.1 million, offset by dividends paid of $345.8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2014,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that require us to make future cash payments as of March 31, 2014. For contractual obligations, we included payments that we have an unconditional obligation to make.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Payments Due by Period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98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1 to 3</w:t>
            </w:r>
          </w:p>
        </w:tc>
        <w:tc>
          <w:tcPr>
            <w:tcW w:w="280" w:type="dxa"/>
            <w:vAlign w:val="bottom"/>
          </w:tcPr>
          <w:p>
            <w:pPr>
              <w:spacing w:after="0"/>
              <w:rPr>
                <w:sz w:val="13"/>
                <w:szCs w:val="13"/>
                <w:color w:val="auto"/>
              </w:rPr>
            </w:pPr>
          </w:p>
        </w:tc>
        <w:tc>
          <w:tcPr>
            <w:tcW w:w="10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3 to 5</w:t>
            </w:r>
          </w:p>
        </w:tc>
        <w:tc>
          <w:tcPr>
            <w:tcW w:w="200" w:type="dxa"/>
            <w:vAlign w:val="bottom"/>
          </w:tcPr>
          <w:p>
            <w:pPr>
              <w:spacing w:after="0"/>
              <w:rPr>
                <w:sz w:val="13"/>
                <w:szCs w:val="13"/>
                <w:color w:val="auto"/>
              </w:rPr>
            </w:pPr>
          </w:p>
        </w:tc>
        <w:tc>
          <w:tcPr>
            <w:tcW w:w="106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1,671,188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335,875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303,250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958,375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237,505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93,639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35,965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28,315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payment obligation (b)</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87,651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87,651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to option holders (c)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liabilities for uncertain tax positions (d)</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57,406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57,139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2,402,880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276,466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709,447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418,106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998,861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 Note 10 to our consolidated financial statements for additional information regarding debt and related matters.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$60.4 million deferred payment obligation balance, plus current and future interest accruals.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1" w:name="page62"/>
    <w:bookmarkEnd w:id="61"/>
    <w:p>
      <w:pPr>
        <w:ind w:left="540" w:right="120" w:hanging="316"/>
        <w:spacing w:after="0" w:line="256"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liabilities to holders of stock options issued under our Officers’ Rollover Stock Plan and Equity Incentive Plan related to the reduction in the exercise price of such options as a result of special dividends issued in July 2009, December 2009, May 2012, August 2012, November 2013, and February 2014.</w:t>
      </w:r>
    </w:p>
    <w:p>
      <w:pPr>
        <w:ind w:left="540" w:hanging="316"/>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$19.6 million of tax liabilities offset by amounts owed under the deferred payment obligation. The remainder is related to other tax liabilities.</w:t>
      </w:r>
    </w:p>
    <w:p>
      <w:pPr>
        <w:spacing w:after="0" w:line="18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fiscal 2014 and 2013 were $20.9 million and $33.1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20 to our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exposure to market risk for changes in interest rates relates primarily to our outstanding debt and cash equivalents, which consist primarily of funds invested in U.S. government insured money-market accounts and prime money-market funds. As of March 31, 2014 and 2013, we had $260.0 million and $350.4 million, respectively, in cash and cash equivalents. The interest expense associated with our term loans and any loans under our revolving credit facility will vary with market rates.</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exposure to market risk for changes in interest rates related to our outstanding debt will impact our senior secured loan facilities. A hypothetical 1% increase in interest rates would have increased interest expense related to the term facilities under our senior secured loan facilities by approximately $8.1 million in fiscal 2014 and $5.7 million in fiscal 2013, and likewise decreased our income and cash flows. A hypothetical increase of LIBOR to 4%, the average historical three-month LIBOR, would have increased interest expense related to all term facilities under our senior secured loan facilities by approximately $58.3 million in fiscal 2014 and $57.5 million in fiscal 2013, and likewise decreased our income and cash flows. The year over year increase in interest expense is primarily due to additional principal incurred in connection with the Company's debt recapitalization consummated on July 31, 2012.</w:t>
      </w:r>
    </w:p>
    <w:p>
      <w:pPr>
        <w:spacing w:after="0" w:line="111"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The return on our cash and cash equivalents balance as of March 31, 2014 and 2013 was less than 1%. Therefore, although investment interest rates may continue to decrease in the future, the corresponding impact to our interest income, and likewise to our income and cash flow, would not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use derivative financial instruments in our investment portfolio and have not entered into any hedging transactions.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w:t>
            </w:r>
          </w:p>
        </w:tc>
        <w:tc>
          <w:tcPr>
            <w:tcW w:w="942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9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gridSpan w:val="4"/>
          </w:tcPr>
          <w:p>
            <w:pPr>
              <w:ind w:left="440"/>
              <w:spacing w:after="0"/>
              <w:rPr>
                <w:sz w:val="20"/>
                <w:szCs w:val="20"/>
                <w:color w:val="auto"/>
              </w:rPr>
            </w:pPr>
            <w:r>
              <w:rPr>
                <w:rFonts w:ascii="Arial" w:cs="Arial" w:eastAsia="Arial" w:hAnsi="Arial"/>
                <w:sz w:val="18"/>
                <w:szCs w:val="18"/>
                <w:b w:val="1"/>
                <w:bCs w:val="1"/>
                <w:color w:val="auto"/>
              </w:rPr>
              <w:t>Page</w:t>
            </w:r>
          </w:p>
        </w:tc>
      </w:tr>
      <w:tr>
        <w:trPr>
          <w:trHeight w:val="27"/>
        </w:trPr>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8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Report of Ernst &amp; Young LLP, Independent Registered Public Accounting Firm</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F-2</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March 31, 2014 and 2013</w:t>
              </w:r>
            </w:hyperlink>
          </w:p>
        </w:tc>
        <w:tc>
          <w:tcPr>
            <w:tcW w:w="34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F-3</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gridSpan w:val="4"/>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Operations for the Fiscal Years Ended March 31, 2014, 2013 and 2012</w:t>
              </w:r>
            </w:hyperlink>
          </w:p>
        </w:tc>
        <w:tc>
          <w:tcPr>
            <w:tcW w:w="20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F-4</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Income for the Fiscal Years Ended March 31, 2014, 2013 and 2012</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F-5</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5"/>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Cash Flows for the Fiscal Years Ended March 31, 2014, 2013 and 2012</w:t>
              </w:r>
            </w:hyperlink>
          </w:p>
        </w:tc>
        <w:tc>
          <w:tcPr>
            <w:tcW w:w="8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F-6</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Stockholders' Equity for the Fiscal Years Ended March 31, 2014, 2013 and 2012</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F-7</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1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F-8</w:t>
              </w:r>
            </w:hyperlink>
          </w:p>
        </w:tc>
      </w:tr>
      <w:tr>
        <w:trPr>
          <w:trHeight w:val="723"/>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4800" w:type="dxa"/>
            <w:vAlign w:val="bottom"/>
            <w:gridSpan w:val="6"/>
          </w:tcPr>
          <w:p>
            <w:pPr>
              <w:jc w:val="center"/>
              <w:ind w:right="4140"/>
              <w:spacing w:after="0"/>
              <w:rPr>
                <w:sz w:val="20"/>
                <w:szCs w:val="20"/>
                <w:color w:val="auto"/>
              </w:rPr>
            </w:pPr>
            <w:r>
              <w:rPr>
                <w:rFonts w:ascii="Arial" w:cs="Arial" w:eastAsia="Arial" w:hAnsi="Arial"/>
                <w:sz w:val="18"/>
                <w:szCs w:val="18"/>
                <w:color w:val="auto"/>
                <w:w w:val="96"/>
              </w:rPr>
              <w:t>F-1</w:t>
            </w:r>
          </w:p>
        </w:tc>
        <w:tc>
          <w:tcPr>
            <w:tcW w:w="5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Booz Allen Hamilton Holding Corporation as of March 31, 2014 and 2013, and the related consolidated statements of operations, comprehensive income, stockholders’ equity and cash flows for each of the three years in the period ended March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Booz Allen Hamilton Holding Corporation at March 31, 2014 and 2013, and the consolidated results of its operations and its cash flows for each of the three years in the period ended March 31, 2014, in conformity with U.S. generally accepted accounting principles.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Booz Allen Hamilton Holding Corporation’s internal control over financial reporting as of March 31, 2014, based on criteria established in Internal Control-Integrated Framework issued by the Committee of Sponsoring Organizations of the Treadway Commission (1992 framework) and our report dated May 22,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905" w:right="2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259,994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350,384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1,029,586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29,687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44,382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1,255,977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1,424,352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236,220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1,273,789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1,277,369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62,985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2,940,818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2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55,562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488,807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451,065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385,433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62,300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917,104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964,646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1,585,231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1,659,611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reserve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201,210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269,460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2,950,735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20)</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143,962,073 shares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w w:val="91"/>
              </w:rPr>
              <w:t>March 31, 2014 and 136,457,444 shares at March 31, 2013; outstanding, 143,352,448 shares at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2014 and 136,051,601 shares at March 31, 2013</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582,080 shares at March 31, 2014 and 1,451,600 shares at March 31, 2013</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outstanding, 935,871 shares at March 31, 2014 and 1,224,319 shares at March 31, 2013</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outstanding, 4,424,814 shares at March 31, 2014 and 7,478,522 shares at March 31, 2013</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w w:val="99"/>
              </w:rPr>
              <w:t>Treasury stock, at cost — 609,625 shares at March 31, 2014 and 405,843 shares at March 31, 2013</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120,836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124,775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171,636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2,940,818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3"/>
          </w:tcPr>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340" w:type="dxa"/>
            <w:vAlign w:val="bottom"/>
          </w:tcPr>
          <w:p>
            <w:pPr>
              <w:ind w:left="5580"/>
              <w:spacing w:after="0"/>
              <w:rPr>
                <w:sz w:val="20"/>
                <w:szCs w:val="20"/>
                <w:color w:val="auto"/>
              </w:rPr>
            </w:pPr>
            <w:r>
              <w:rPr>
                <w:rFonts w:ascii="Arial" w:cs="Arial" w:eastAsia="Arial" w:hAnsi="Arial"/>
                <w:sz w:val="18"/>
                <w:szCs w:val="18"/>
                <w:color w:val="auto"/>
              </w:rPr>
              <w:t>F-3</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0"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713"/>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r>
      <w:tr>
        <w:trPr>
          <w:trHeight w:val="264"/>
        </w:trPr>
        <w:tc>
          <w:tcPr>
            <w:tcW w:w="5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r>
      <w:tr>
        <w:trPr>
          <w:trHeight w:val="196"/>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gridSpan w:val="7"/>
          </w:tcPr>
          <w:p>
            <w:pPr>
              <w:jc w:val="center"/>
              <w:ind w:right="211"/>
              <w:spacing w:after="0"/>
              <w:rPr>
                <w:sz w:val="20"/>
                <w:szCs w:val="20"/>
                <w:color w:val="auto"/>
              </w:rPr>
            </w:pPr>
            <w:r>
              <w:rPr>
                <w:rFonts w:ascii="Arial" w:cs="Arial" w:eastAsia="Arial" w:hAnsi="Arial"/>
                <w:sz w:val="14"/>
                <w:szCs w:val="14"/>
                <w:b w:val="1"/>
                <w:bCs w:val="1"/>
                <w:color w:val="auto"/>
                <w:w w:val="91"/>
              </w:rPr>
              <w:t>(Amounts in thousands, except per share data)</w:t>
            </w: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5,478,693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5,758,059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5,859,218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2,716,113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2,934,378</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1,487,115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1,532,590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1,542,822</w:t>
            </w: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903,721</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75,205</w:t>
            </w: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15,660</w:t>
            </w:r>
          </w:p>
        </w:tc>
      </w:tr>
      <w:tr>
        <w:trPr>
          <w:trHeight w:val="237"/>
        </w:trPr>
        <w:tc>
          <w:tcPr>
            <w:tcW w:w="5780" w:type="dxa"/>
            <w:vAlign w:val="bottom"/>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5,018,082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5,311,825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5,471,786</w:t>
            </w: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387,432</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(48,078)</w:t>
            </w: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380,787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368,311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343,874</w:t>
            </w: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148,599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103,919</w:t>
            </w: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232,188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219,058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239,955</w:t>
            </w:r>
          </w:p>
        </w:tc>
      </w:tr>
      <w:tr>
        <w:trPr>
          <w:trHeight w:val="67"/>
        </w:trPr>
        <w:tc>
          <w:tcPr>
            <w:tcW w:w="57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5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(Note 3):</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67"/>
        </w:trPr>
        <w:tc>
          <w:tcPr>
            <w:tcW w:w="57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57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320"/>
          </w:cols>
          <w:pgMar w:left="240" w:top="1418" w:right="1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196"/>
        </w:trPr>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232,188</w:t>
            </w:r>
          </w:p>
        </w:tc>
        <w:tc>
          <w:tcPr>
            <w:tcW w:w="5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239,955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7"/>
        </w:trPr>
        <w:tc>
          <w:tcPr>
            <w:tcW w:w="5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239,339</w:t>
            </w:r>
          </w:p>
        </w:tc>
        <w:tc>
          <w:tcPr>
            <w:tcW w:w="5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236,693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260"/>
          </w:cols>
          <w:pgMar w:left="240" w:top="1256" w:right="13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2"/>
              </w:rPr>
              <w:t>Fiscal Year Ended March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0"/>
              </w:rPr>
              <w:t>(Amounts in thousands)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232,188</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219,058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239,955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72,327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74,009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75,205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31,263</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74,785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benefits from the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(16,461)</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Amortization of debt issuance costs and loss on extinguishment</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17,224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Losses on dispositions and impairments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Gain on sales of businesses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(4,082)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110,308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25,275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receivable /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(31,832)</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7,622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Accrued compensation and benefits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(72,881)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(35,287)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other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35,390</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(11,801)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reserves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(35,192)</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11,367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7,573</w:t>
            </w:r>
          </w:p>
        </w:tc>
        <w:tc>
          <w:tcPr>
            <w:tcW w:w="0" w:type="dxa"/>
            <w:vAlign w:val="bottom"/>
          </w:tcPr>
          <w:p>
            <w:pPr>
              <w:spacing w:after="0"/>
              <w:rPr>
                <w:sz w:val="1"/>
                <w:szCs w:val="1"/>
                <w:color w:val="auto"/>
              </w:rPr>
            </w:pPr>
          </w:p>
        </w:tc>
      </w:tr>
      <w:tr>
        <w:trPr>
          <w:trHeight w:val="217"/>
        </w:trPr>
        <w:tc>
          <w:tcPr>
            <w:tcW w:w="7540" w:type="dxa"/>
            <w:vAlign w:val="bottom"/>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332,718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464,654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360,046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(76,925)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business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Proceeds from sales of businesses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23,332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Escrow receipts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40" w:type="dxa"/>
            <w:vAlign w:val="bottom"/>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(190,452)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(53,593)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Net proceeds from issuance of common stock</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6,373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8,757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 option exercises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7,349</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Excess tax benefits from the exercise of stock options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38,185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26,860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16,461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(345,802)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(1,122,457)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(11,906)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 equivalents paid to option holders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Proceeds from debt issuance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1,739,750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(409,552)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(408,186)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(14,716)</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(90,390)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(133,984)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291,737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350,384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192,631</w:t>
            </w:r>
          </w:p>
        </w:tc>
        <w:tc>
          <w:tcPr>
            <w:tcW w:w="0" w:type="dxa"/>
            <w:vAlign w:val="bottom"/>
          </w:tcPr>
          <w:p>
            <w:pPr>
              <w:spacing w:after="0"/>
              <w:rPr>
                <w:sz w:val="1"/>
                <w:szCs w:val="1"/>
                <w:color w:val="auto"/>
              </w:rPr>
            </w:pP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Cash and cash equivalents––end of year</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259,994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350,384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484,368</w:t>
            </w:r>
          </w:p>
        </w:tc>
        <w:tc>
          <w:tcPr>
            <w:tcW w:w="0" w:type="dxa"/>
            <w:vAlign w:val="bottom"/>
          </w:tcPr>
          <w:p>
            <w:pPr>
              <w:spacing w:after="0"/>
              <w:rPr>
                <w:sz w:val="1"/>
                <w:szCs w:val="1"/>
                <w:color w:val="auto"/>
              </w:rPr>
            </w:pPr>
          </w:p>
        </w:tc>
      </w:tr>
      <w:tr>
        <w:trPr>
          <w:trHeight w:val="73"/>
        </w:trPr>
        <w:tc>
          <w:tcPr>
            <w:tcW w:w="75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5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53,993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178,411</w:t>
            </w:r>
          </w:p>
        </w:tc>
        <w:tc>
          <w:tcPr>
            <w:tcW w:w="1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90,146</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89,314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40" w:right="239" w:bottom="424" w:gutter="0" w:footer="0" w:header="0"/>
        </w:sectPr>
      </w:pPr>
    </w:p>
    <w:bookmarkStart w:id="68" w:name="page69"/>
    <w:bookmarkEnd w:id="68"/>
    <w:p>
      <w:pPr>
        <w:jc w:val="center"/>
        <w:ind w:right="-4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226"/>
              <w:spacing w:after="0"/>
              <w:rPr>
                <w:sz w:val="20"/>
                <w:szCs w:val="20"/>
                <w:color w:val="auto"/>
              </w:rPr>
            </w:pPr>
            <w:r>
              <w:rPr>
                <w:rFonts w:ascii="Arial" w:cs="Arial" w:eastAsia="Arial" w:hAnsi="Arial"/>
                <w:sz w:val="11"/>
                <w:szCs w:val="11"/>
                <w:b w:val="1"/>
                <w:bCs w:val="1"/>
                <w:color w:val="auto"/>
                <w:w w:val="84"/>
              </w:rPr>
              <w:t>Class B</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left="226"/>
              <w:spacing w:after="0"/>
              <w:rPr>
                <w:sz w:val="20"/>
                <w:szCs w:val="20"/>
                <w:color w:val="auto"/>
              </w:rPr>
            </w:pPr>
            <w:r>
              <w:rPr>
                <w:rFonts w:ascii="Arial" w:cs="Arial" w:eastAsia="Arial" w:hAnsi="Arial"/>
                <w:sz w:val="11"/>
                <w:szCs w:val="11"/>
                <w:b w:val="1"/>
                <w:bCs w:val="1"/>
                <w:color w:val="auto"/>
                <w:w w:val="84"/>
              </w:rPr>
              <w:t>Class C</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left="346"/>
              <w:spacing w:after="0"/>
              <w:rPr>
                <w:sz w:val="20"/>
                <w:szCs w:val="20"/>
                <w:color w:val="auto"/>
              </w:rPr>
            </w:pPr>
            <w:r>
              <w:rPr>
                <w:rFonts w:ascii="Arial" w:cs="Arial" w:eastAsia="Arial" w:hAnsi="Arial"/>
                <w:sz w:val="11"/>
                <w:szCs w:val="11"/>
                <w:b w:val="1"/>
                <w:bCs w:val="1"/>
                <w:color w:val="auto"/>
                <w:w w:val="85"/>
              </w:rPr>
              <w:t>Class E</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0" w:type="dxa"/>
            <w:vAlign w:val="bottom"/>
            <w:gridSpan w:val="3"/>
          </w:tcPr>
          <w:p>
            <w:pPr>
              <w:jc w:val="center"/>
              <w:ind w:left="386"/>
              <w:spacing w:after="0" w:line="122" w:lineRule="exact"/>
              <w:rPr>
                <w:sz w:val="20"/>
                <w:szCs w:val="20"/>
                <w:color w:val="auto"/>
              </w:rPr>
            </w:pPr>
            <w:r>
              <w:rPr>
                <w:rFonts w:ascii="Arial" w:cs="Arial" w:eastAsia="Arial" w:hAnsi="Arial"/>
                <w:sz w:val="11"/>
                <w:szCs w:val="11"/>
                <w:b w:val="1"/>
                <w:bCs w:val="1"/>
                <w:color w:val="auto"/>
                <w:w w:val="89"/>
              </w:rPr>
              <w:t>Class A</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226"/>
              <w:spacing w:after="0" w:line="122" w:lineRule="exact"/>
              <w:rPr>
                <w:sz w:val="20"/>
                <w:szCs w:val="20"/>
                <w:color w:val="auto"/>
              </w:rPr>
            </w:pPr>
            <w:r>
              <w:rPr>
                <w:rFonts w:ascii="Arial" w:cs="Arial" w:eastAsia="Arial" w:hAnsi="Arial"/>
                <w:sz w:val="11"/>
                <w:szCs w:val="11"/>
                <w:b w:val="1"/>
                <w:bCs w:val="1"/>
                <w:color w:val="auto"/>
                <w:w w:val="91"/>
              </w:rPr>
              <w:t>Non-Voting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left="226"/>
              <w:spacing w:after="0" w:line="122" w:lineRule="exact"/>
              <w:rPr>
                <w:sz w:val="20"/>
                <w:szCs w:val="20"/>
                <w:color w:val="auto"/>
              </w:rPr>
            </w:pPr>
            <w:r>
              <w:rPr>
                <w:rFonts w:ascii="Arial" w:cs="Arial" w:eastAsia="Arial" w:hAnsi="Arial"/>
                <w:sz w:val="11"/>
                <w:szCs w:val="11"/>
                <w:b w:val="1"/>
                <w:bCs w:val="1"/>
                <w:color w:val="auto"/>
                <w:w w:val="85"/>
              </w:rPr>
              <w:t>Restricted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tcPr>
          <w:p>
            <w:pPr>
              <w:jc w:val="center"/>
              <w:ind w:left="166"/>
              <w:spacing w:after="0" w:line="122" w:lineRule="exact"/>
              <w:rPr>
                <w:sz w:val="20"/>
                <w:szCs w:val="20"/>
                <w:color w:val="auto"/>
              </w:rPr>
            </w:pPr>
            <w:r>
              <w:rPr>
                <w:rFonts w:ascii="Arial" w:cs="Arial" w:eastAsia="Arial" w:hAnsi="Arial"/>
                <w:sz w:val="11"/>
                <w:szCs w:val="11"/>
                <w:b w:val="1"/>
                <w:bCs w:val="1"/>
                <w:color w:val="auto"/>
                <w:w w:val="87"/>
              </w:rPr>
              <w:t>Special Voting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5"/>
          </w:tcPr>
          <w:p>
            <w:pPr>
              <w:ind w:left="380"/>
              <w:spacing w:after="0" w:line="122" w:lineRule="exact"/>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34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89"/>
              </w:rPr>
              <w:t>Common Stock</w:t>
            </w:r>
          </w:p>
        </w:tc>
        <w:tc>
          <w:tcPr>
            <w:tcW w:w="120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89"/>
              </w:rPr>
              <w:t>Common Stock</w:t>
            </w:r>
          </w:p>
        </w:tc>
        <w:tc>
          <w:tcPr>
            <w:tcW w:w="120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86"/>
              </w:rPr>
              <w:t>Common Stock</w:t>
            </w:r>
          </w:p>
        </w:tc>
        <w:tc>
          <w:tcPr>
            <w:tcW w:w="960" w:type="dxa"/>
            <w:vAlign w:val="bottom"/>
            <w:gridSpan w:val="4"/>
            <w:vMerge w:val="restart"/>
          </w:tcPr>
          <w:p>
            <w:pPr>
              <w:jc w:val="center"/>
              <w:ind w:left="166"/>
              <w:spacing w:after="0"/>
              <w:rPr>
                <w:sz w:val="20"/>
                <w:szCs w:val="20"/>
                <w:color w:val="auto"/>
              </w:rPr>
            </w:pPr>
            <w:r>
              <w:rPr>
                <w:rFonts w:ascii="Arial" w:cs="Arial" w:eastAsia="Arial" w:hAnsi="Arial"/>
                <w:sz w:val="11"/>
                <w:szCs w:val="11"/>
                <w:b w:val="1"/>
                <w:bCs w:val="1"/>
                <w:color w:val="auto"/>
                <w:w w:val="86"/>
              </w:rPr>
              <w:t>Common Stock</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Stock</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5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1"/>
        </w:trPr>
        <w:tc>
          <w:tcPr>
            <w:tcW w:w="1580" w:type="dxa"/>
            <w:vAlign w:val="bottom"/>
          </w:tcPr>
          <w:p>
            <w:pPr>
              <w:ind w:left="40"/>
              <w:spacing w:after="0" w:line="102" w:lineRule="exact"/>
              <w:rPr>
                <w:sz w:val="20"/>
                <w:szCs w:val="20"/>
                <w:color w:val="auto"/>
              </w:rPr>
            </w:pPr>
            <w:r>
              <w:rPr>
                <w:rFonts w:ascii="Arial" w:cs="Arial" w:eastAsia="Arial" w:hAnsi="Arial"/>
                <w:sz w:val="11"/>
                <w:szCs w:val="11"/>
                <w:b w:val="1"/>
                <w:bCs w:val="1"/>
                <w:color w:val="auto"/>
                <w:w w:val="92"/>
              </w:rPr>
              <w:t>(Amounts in thousands, except</w:t>
            </w: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8"/>
                <w:szCs w:val="8"/>
                <w:color w:val="auto"/>
              </w:rPr>
            </w:pPr>
          </w:p>
        </w:tc>
        <w:tc>
          <w:tcPr>
            <w:tcW w:w="66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Retained</w:t>
            </w:r>
          </w:p>
        </w:tc>
        <w:tc>
          <w:tcPr>
            <w:tcW w:w="8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Comprehensive</w:t>
            </w:r>
          </w:p>
        </w:tc>
        <w:tc>
          <w:tcPr>
            <w:tcW w:w="66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40"/>
        </w:trPr>
        <w:tc>
          <w:tcPr>
            <w:tcW w:w="1580" w:type="dxa"/>
            <w:vAlign w:val="bottom"/>
          </w:tcPr>
          <w:p>
            <w:pPr>
              <w:ind w:left="40"/>
              <w:spacing w:after="0"/>
              <w:rPr>
                <w:sz w:val="20"/>
                <w:szCs w:val="20"/>
                <w:color w:val="auto"/>
              </w:rPr>
            </w:pPr>
            <w:r>
              <w:rPr>
                <w:rFonts w:ascii="Arial" w:cs="Arial" w:eastAsia="Arial" w:hAnsi="Arial"/>
                <w:sz w:val="11"/>
                <w:szCs w:val="11"/>
                <w:b w:val="1"/>
                <w:bCs w:val="1"/>
                <w:color w:val="auto"/>
              </w:rPr>
              <w:t>share data)</w:t>
            </w:r>
          </w:p>
        </w:tc>
        <w:tc>
          <w:tcPr>
            <w:tcW w:w="800" w:type="dxa"/>
            <w:vAlign w:val="bottom"/>
            <w:gridSpan w:val="3"/>
          </w:tcPr>
          <w:p>
            <w:pPr>
              <w:ind w:left="18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8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5"/>
              </w:rPr>
              <w:t>Income (Loss)</w:t>
            </w:r>
          </w:p>
        </w:tc>
        <w:tc>
          <w:tcPr>
            <w:tcW w:w="8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122,784,835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$ 1,227</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3,053,130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2,028,270</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12,348,860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37</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840,058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71,330</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(5,453)</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907,250</w:t>
            </w:r>
          </w:p>
        </w:tc>
        <w:tc>
          <w:tcPr>
            <w:tcW w:w="0" w:type="dxa"/>
            <w:vAlign w:val="bottom"/>
          </w:tcPr>
          <w:p>
            <w:pPr>
              <w:spacing w:after="0"/>
              <w:rPr>
                <w:sz w:val="1"/>
                <w:szCs w:val="1"/>
                <w:color w:val="auto"/>
              </w:rPr>
            </w:pPr>
          </w:p>
        </w:tc>
      </w:tr>
      <w:tr>
        <w:trPr>
          <w:trHeight w:val="117"/>
        </w:trPr>
        <w:tc>
          <w:tcPr>
            <w:tcW w:w="15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1,080,245</w:t>
            </w: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8,749</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8,760</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3,799,989</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(2,208,793)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7,315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7,346</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180"/>
              <w:spacing w:after="0"/>
              <w:rPr>
                <w:sz w:val="20"/>
                <w:szCs w:val="20"/>
                <w:color w:val="auto"/>
              </w:rPr>
            </w:pPr>
            <w:r>
              <w:rPr>
                <w:rFonts w:ascii="Arial" w:cs="Arial" w:eastAsia="Arial" w:hAnsi="Arial"/>
                <w:sz w:val="11"/>
                <w:szCs w:val="11"/>
                <w:color w:val="auto"/>
                <w:w w:val="99"/>
              </w:rPr>
              <w:t>Excess tax benefits from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16,461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16,461</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1,061,255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(566,005)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(495,250)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580" w:type="dxa"/>
            <w:vAlign w:val="bottom"/>
          </w:tcPr>
          <w:p>
            <w:pPr>
              <w:ind w:left="180"/>
              <w:spacing w:after="0"/>
              <w:rPr>
                <w:sz w:val="20"/>
                <w:szCs w:val="20"/>
                <w:color w:val="auto"/>
              </w:rPr>
            </w:pPr>
            <w:r>
              <w:rPr>
                <w:rFonts w:ascii="Arial" w:cs="Arial" w:eastAsia="Arial" w:hAnsi="Arial"/>
                <w:sz w:val="11"/>
                <w:szCs w:val="11"/>
                <w:color w:val="auto"/>
                <w:w w:val="94"/>
              </w:rPr>
              <w:t>Repurchase of common stock</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(333,775)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restart"/>
          </w:tcPr>
          <w:p>
            <w:pPr>
              <w:jc w:val="right"/>
              <w:ind w:right="26"/>
              <w:spacing w:after="0"/>
              <w:rPr>
                <w:sz w:val="20"/>
                <w:szCs w:val="20"/>
                <w:color w:val="auto"/>
              </w:rPr>
            </w:pPr>
            <w:r>
              <w:rPr>
                <w:rFonts w:ascii="Arial" w:cs="Arial" w:eastAsia="Arial" w:hAnsi="Arial"/>
                <w:sz w:val="11"/>
                <w:szCs w:val="11"/>
                <w:color w:val="auto"/>
              </w:rPr>
              <w:t>(5,377)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(5,377)</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9"/>
              </w:rPr>
              <w:t>related to future stock option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(5,305)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(5,305)</w:t>
            </w:r>
          </w:p>
        </w:tc>
        <w:tc>
          <w:tcPr>
            <w:tcW w:w="0" w:type="dxa"/>
            <w:vAlign w:val="bottom"/>
          </w:tcPr>
          <w:p>
            <w:pPr>
              <w:spacing w:after="0"/>
              <w:rPr>
                <w:sz w:val="1"/>
                <w:szCs w:val="1"/>
                <w:color w:val="auto"/>
              </w:rPr>
            </w:pPr>
          </w:p>
        </w:tc>
      </w:tr>
      <w:tr>
        <w:trPr>
          <w:trHeight w:val="154"/>
        </w:trPr>
        <w:tc>
          <w:tcPr>
            <w:tcW w:w="158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239,955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239,955</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postretirement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plan costs, net of tax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(3,262)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(3,262)</w:t>
            </w: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236,693</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(11,906)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(11,906)</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180"/>
              <w:spacing w:after="0"/>
              <w:rPr>
                <w:sz w:val="20"/>
                <w:szCs w:val="20"/>
                <w:color w:val="auto"/>
              </w:rPr>
            </w:pPr>
            <w:r>
              <w:rPr>
                <w:rFonts w:ascii="Arial" w:cs="Arial" w:eastAsia="Arial" w:hAnsi="Arial"/>
                <w:sz w:val="11"/>
                <w:szCs w:val="11"/>
                <w:color w:val="auto"/>
              </w:rPr>
              <w:t>expense</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31,263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31,263</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2012</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128,726,324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$ 1,287</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2,487,125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1,533,020</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10,140,067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30</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(333,775)</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(5,377)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898,541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299,379</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(8,715)</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3"/>
              </w:rPr>
              <w:t>1,185,185</w:t>
            </w:r>
          </w:p>
        </w:tc>
        <w:tc>
          <w:tcPr>
            <w:tcW w:w="0" w:type="dxa"/>
            <w:vAlign w:val="bottom"/>
          </w:tcPr>
          <w:p>
            <w:pPr>
              <w:spacing w:after="0"/>
              <w:rPr>
                <w:sz w:val="1"/>
                <w:szCs w:val="1"/>
                <w:color w:val="auto"/>
              </w:rPr>
            </w:pPr>
          </w:p>
        </w:tc>
      </w:tr>
      <w:tr>
        <w:trPr>
          <w:trHeight w:val="117"/>
        </w:trPr>
        <w:tc>
          <w:tcPr>
            <w:tcW w:w="15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1,182,004</w:t>
            </w: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6,361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6,373</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5,204,890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(2,661,545)</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14,933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14,977</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180"/>
              <w:spacing w:after="0"/>
              <w:rPr>
                <w:sz w:val="20"/>
                <w:szCs w:val="20"/>
                <w:color w:val="auto"/>
              </w:rPr>
            </w:pPr>
            <w:r>
              <w:rPr>
                <w:rFonts w:ascii="Arial" w:cs="Arial" w:eastAsia="Arial" w:hAnsi="Arial"/>
                <w:sz w:val="11"/>
                <w:szCs w:val="11"/>
                <w:color w:val="auto"/>
                <w:w w:val="99"/>
              </w:rPr>
              <w:t>Excess tax benefits from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26,860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26,860</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1,344,226</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2"/>
              </w:rPr>
              <w:t>(1,035,525)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1"/>
              </w:rPr>
              <w:t>(10)</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(308,701)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580" w:type="dxa"/>
            <w:vAlign w:val="bottom"/>
          </w:tcPr>
          <w:p>
            <w:pPr>
              <w:ind w:left="180"/>
              <w:spacing w:after="0"/>
              <w:rPr>
                <w:sz w:val="20"/>
                <w:szCs w:val="20"/>
                <w:color w:val="auto"/>
              </w:rPr>
            </w:pPr>
            <w:r>
              <w:rPr>
                <w:rFonts w:ascii="Arial" w:cs="Arial" w:eastAsia="Arial" w:hAnsi="Arial"/>
                <w:sz w:val="11"/>
                <w:szCs w:val="11"/>
                <w:color w:val="auto"/>
                <w:w w:val="94"/>
              </w:rPr>
              <w:t>Repurchase of common stock</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(72,068)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restart"/>
          </w:tcPr>
          <w:p>
            <w:pPr>
              <w:jc w:val="right"/>
              <w:ind w:right="26"/>
              <w:spacing w:after="0"/>
              <w:rPr>
                <w:sz w:val="20"/>
                <w:szCs w:val="20"/>
                <w:color w:val="auto"/>
              </w:rPr>
            </w:pPr>
            <w:r>
              <w:rPr>
                <w:rFonts w:ascii="Arial" w:cs="Arial" w:eastAsia="Arial" w:hAnsi="Arial"/>
                <w:sz w:val="11"/>
                <w:szCs w:val="11"/>
                <w:color w:val="auto"/>
              </w:rPr>
              <w:t>(1,067)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9"/>
              </w:rPr>
              <w:t>related to future stock option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 (Note 17)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3"/>
              </w:rPr>
              <w:t>(121,905)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(121,905)</w:t>
            </w:r>
          </w:p>
        </w:tc>
        <w:tc>
          <w:tcPr>
            <w:tcW w:w="0" w:type="dxa"/>
            <w:vAlign w:val="bottom"/>
          </w:tcPr>
          <w:p>
            <w:pPr>
              <w:spacing w:after="0"/>
              <w:rPr>
                <w:sz w:val="1"/>
                <w:szCs w:val="1"/>
                <w:color w:val="auto"/>
              </w:rPr>
            </w:pPr>
          </w:p>
        </w:tc>
      </w:tr>
      <w:tr>
        <w:trPr>
          <w:trHeight w:val="154"/>
        </w:trPr>
        <w:tc>
          <w:tcPr>
            <w:tcW w:w="158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219,058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219,058</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postretirement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plan costs, net of tax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(5,072)</w:t>
            </w: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213,986</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 (Note 16)</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3"/>
              </w:rPr>
              <w:t>(728,795)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(393,662)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(1,122,457)</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180"/>
              <w:spacing w:after="0"/>
              <w:rPr>
                <w:sz w:val="20"/>
                <w:szCs w:val="20"/>
                <w:color w:val="auto"/>
              </w:rPr>
            </w:pPr>
            <w:r>
              <w:rPr>
                <w:rFonts w:ascii="Arial" w:cs="Arial" w:eastAsia="Arial" w:hAnsi="Arial"/>
                <w:sz w:val="11"/>
                <w:szCs w:val="11"/>
                <w:color w:val="auto"/>
              </w:rPr>
              <w:t>expense</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24,841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24,841</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2013</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136,457,444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$ 1,364</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1,451,600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1,224,319</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7,478,522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22</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(405,843)</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(6,444)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120,836</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124,775</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(13,787)</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226,793</w:t>
            </w:r>
          </w:p>
        </w:tc>
        <w:tc>
          <w:tcPr>
            <w:tcW w:w="0" w:type="dxa"/>
            <w:vAlign w:val="bottom"/>
          </w:tcPr>
          <w:p>
            <w:pPr>
              <w:spacing w:after="0"/>
              <w:rPr>
                <w:sz w:val="1"/>
                <w:szCs w:val="1"/>
                <w:color w:val="auto"/>
              </w:rPr>
            </w:pPr>
          </w:p>
        </w:tc>
      </w:tr>
      <w:tr>
        <w:trPr>
          <w:trHeight w:val="117"/>
        </w:trPr>
        <w:tc>
          <w:tcPr>
            <w:tcW w:w="15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1,047,160</w:t>
            </w: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5,068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5,078</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5,299,501</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(3,053,708)</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14,575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14,620</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180"/>
              <w:spacing w:after="0"/>
              <w:rPr>
                <w:sz w:val="20"/>
                <w:szCs w:val="20"/>
                <w:color w:val="auto"/>
              </w:rPr>
            </w:pPr>
            <w:r>
              <w:rPr>
                <w:rFonts w:ascii="Arial" w:cs="Arial" w:eastAsia="Arial" w:hAnsi="Arial"/>
                <w:sz w:val="11"/>
                <w:szCs w:val="11"/>
                <w:color w:val="auto"/>
                <w:w w:val="99"/>
              </w:rPr>
              <w:t>Excess tax benefits from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38,185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38,185</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1,157,968</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(869,520)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(288,448)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580" w:type="dxa"/>
            <w:vAlign w:val="bottom"/>
          </w:tcPr>
          <w:p>
            <w:pPr>
              <w:ind w:left="180"/>
              <w:spacing w:after="0"/>
              <w:rPr>
                <w:sz w:val="20"/>
                <w:szCs w:val="20"/>
                <w:color w:val="auto"/>
              </w:rPr>
            </w:pPr>
            <w:r>
              <w:rPr>
                <w:rFonts w:ascii="Arial" w:cs="Arial" w:eastAsia="Arial" w:hAnsi="Arial"/>
                <w:sz w:val="11"/>
                <w:szCs w:val="11"/>
                <w:color w:val="auto"/>
                <w:w w:val="94"/>
              </w:rPr>
              <w:t>Repurchase of common stock</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(203,782)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restart"/>
          </w:tcPr>
          <w:p>
            <w:pPr>
              <w:jc w:val="right"/>
              <w:ind w:right="26"/>
              <w:spacing w:after="0"/>
              <w:rPr>
                <w:sz w:val="20"/>
                <w:szCs w:val="20"/>
                <w:color w:val="auto"/>
              </w:rPr>
            </w:pPr>
            <w:r>
              <w:rPr>
                <w:rFonts w:ascii="Arial" w:cs="Arial" w:eastAsia="Arial" w:hAnsi="Arial"/>
                <w:sz w:val="11"/>
                <w:szCs w:val="11"/>
                <w:color w:val="auto"/>
              </w:rPr>
              <w:t>(3,709)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(3,709)</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9"/>
              </w:rPr>
              <w:t>related to future stock option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 (Note 17)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(22,933)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(22,933)</w:t>
            </w:r>
          </w:p>
        </w:tc>
        <w:tc>
          <w:tcPr>
            <w:tcW w:w="0" w:type="dxa"/>
            <w:vAlign w:val="bottom"/>
          </w:tcPr>
          <w:p>
            <w:pPr>
              <w:spacing w:after="0"/>
              <w:rPr>
                <w:sz w:val="1"/>
                <w:szCs w:val="1"/>
                <w:color w:val="auto"/>
              </w:rPr>
            </w:pPr>
          </w:p>
        </w:tc>
      </w:tr>
      <w:tr>
        <w:trPr>
          <w:trHeight w:val="154"/>
        </w:trPr>
        <w:tc>
          <w:tcPr>
            <w:tcW w:w="158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232,188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232,188</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postretirement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plan costs, net of tax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7,151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7,151</w:t>
            </w: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239,339</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 (Note 16)</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(31,527)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(314,275)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(345,802)</w:t>
            </w:r>
          </w:p>
        </w:tc>
        <w:tc>
          <w:tcPr>
            <w:tcW w:w="0" w:type="dxa"/>
            <w:vAlign w:val="bottom"/>
          </w:tcPr>
          <w:p>
            <w:pPr>
              <w:spacing w:after="0"/>
              <w:rPr>
                <w:sz w:val="1"/>
                <w:szCs w:val="1"/>
                <w:color w:val="auto"/>
              </w:rPr>
            </w:pPr>
          </w:p>
        </w:tc>
      </w:tr>
      <w:tr>
        <w:trPr>
          <w:trHeight w:val="97"/>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180"/>
              <w:spacing w:after="0"/>
              <w:rPr>
                <w:sz w:val="20"/>
                <w:szCs w:val="20"/>
                <w:color w:val="auto"/>
              </w:rPr>
            </w:pPr>
            <w:r>
              <w:rPr>
                <w:rFonts w:ascii="Arial" w:cs="Arial" w:eastAsia="Arial" w:hAnsi="Arial"/>
                <w:sz w:val="11"/>
                <w:szCs w:val="11"/>
                <w:color w:val="auto"/>
              </w:rPr>
              <w:t>expense</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20,065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20,065</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143,962,073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$ 1,440</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582,080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935,871</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4,424,814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81"/>
              </w:rPr>
              <w:t>13</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(609,625)</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2"/>
              </w:rPr>
              <w:t>(10,153)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144,269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42,688</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(6,636)</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171,636</w:t>
            </w:r>
          </w:p>
        </w:tc>
        <w:tc>
          <w:tcPr>
            <w:tcW w:w="0" w:type="dxa"/>
            <w:vAlign w:val="bottom"/>
          </w:tcPr>
          <w:p>
            <w:pPr>
              <w:spacing w:after="0"/>
              <w:rPr>
                <w:sz w:val="1"/>
                <w:szCs w:val="1"/>
                <w:color w:val="auto"/>
              </w:rPr>
            </w:pPr>
          </w:p>
        </w:tc>
      </w:tr>
      <w:tr>
        <w:trPr>
          <w:trHeight w:val="103"/>
        </w:trPr>
        <w:tc>
          <w:tcPr>
            <w:tcW w:w="15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vMerge w:val="continue"/>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4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80"/>
          </w:cols>
          <w:pgMar w:left="240" w:top="688" w:right="679" w:bottom="1440" w:gutter="0" w:footer="0" w:header="0"/>
        </w:sectPr>
      </w:pPr>
    </w:p>
    <w:bookmarkStart w:id="69" w:name="page70"/>
    <w:bookmarkEnd w:id="69"/>
    <w:p>
      <w:pPr>
        <w:ind w:left="344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share and per share data or unless otherwise noted)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and not-for-profit organizations. The Company reports operating results and financial data in one operating segment. The Company is headquartered in McLean, Virginia, with approximately 22,700 employees as of March 31, 2014.</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accounting principles generally accepted in the United States, or U.S. GAAP. All intercompany balances and transactions have been eliminated in consolidation.</w:t>
      </w:r>
    </w:p>
    <w:p>
      <w:pPr>
        <w:spacing w:after="0" w:line="12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2014 and 2013 and the Company’s results of operations for fiscal 2014, fiscal 2013, and fiscal 2012.</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Substantially all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127"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Revenue on cost-reimbursable-plus-fee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evaluation of the performance on such contracts. Contract costs, including indirect expenses, are subject to audit by the Defense Contract Audit Agency, or DCAA, and, accordingly, are subject to possible cost disallowances.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688" w:right="239" w:bottom="1440" w:gutter="0" w:footer="0" w:header="0"/>
        </w:sectPr>
      </w:pPr>
    </w:p>
    <w:bookmarkStart w:id="70" w:name="page71"/>
    <w:bookmarkEnd w:id="70"/>
    <w:p>
      <w:pPr>
        <w:ind w:right="440" w:firstLine="432"/>
        <w:spacing w:after="0" w:line="264" w:lineRule="auto"/>
        <w:rPr>
          <w:sz w:val="20"/>
          <w:szCs w:val="20"/>
          <w:color w:val="auto"/>
        </w:rPr>
      </w:pPr>
      <w:r>
        <w:rPr>
          <w:rFonts w:ascii="Arial" w:cs="Arial" w:eastAsia="Arial" w:hAnsi="Arial"/>
          <w:sz w:val="18"/>
          <w:szCs w:val="18"/>
          <w:color w:val="auto"/>
        </w:rPr>
        <w:t>Revenue for time-and-materials contracts is recognized as services are performed, generally on the basis of contract allowable labor hours worked multiplied by the contract-defined billing rates, plus allowable direct costs and indirect cost allocations associated with materials used and other direct expenses incurred in connection with the performance of the contract.</w:t>
      </w:r>
    </w:p>
    <w:p>
      <w:pPr>
        <w:spacing w:after="0" w:line="127"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Revenue on fixed-price contracts is recognized using percentage-of-completion based on actual costs incurred relative to total estimated costs for the contract. These estimated costs are updated during the term of the contract, and may result in revision by the Company of recognized revenue and estimated costs in the period in which they are identified. Profits on fixed-price contracts result from the difference between incurred costs and revenue earned.</w:t>
      </w:r>
    </w:p>
    <w:p>
      <w:pPr>
        <w:spacing w:after="0" w:line="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estimates requires the use of significant judgment. Contract costs include direct labor and billable expenses, an allocation of allowable indirect costs, and warranty obligations. Billable expenses is comprised of subcontracting costs and other “out of pocket” costs that often include, but are not limited to, travel-related costs and telecommunications charges. The Company recognizes revenue and billable expenses from these transactions on a gross basis.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1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contracts may include the delivery of a combination of one or more of the Company’s service offerings. In these situations, the Company determines whether such arrangements with multiple service offerings should be treated as separate units of accounting based on how the elements are bid or negotiated, whether the customer can accept separate elements of the arrangement, and the relationship between the pricing on the elements individually and combined.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Cash and cash equivalents include cash on hand and highly liquid investments having an original maturity of three months or less. The Company’s investments consist primarily of institutional money market funds. The Company maintains its cash and cash equivalents in bank accounts that, at times, exceed the federally insured limits. The Company has not experienced any losses in such accounts.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Accounts Receivable</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Company maintains allowances for doubtful accounts against certain billed receivables based upon the latest information regarding whether invoices are ultimately collectible. Assessing the collectability of customer receivables requires management judgment. The Company determines its allowance for doubtful accounts by specifically analyzing individual accounts receivable, historical bad debts, customer credit-worthiness, current economic conditions, and accounts receivable aging trends. Valuation reserves are periodically re-evaluated and adjusted as more information about the ultimate collectability of accounts receivable becomes available. Upon determination that a receivable is uncollectible, the receivable balance and any associated reserve are written off.</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equivalents and accounts receivable. The Company’s cash equivalents are generally invested in Prime or U.S. government money market funds, which minimizes the credit risk. The Company believes that credit risk, with respect to accounts receivable, is limited as the receivables are primarily with the U.S. government.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Property and equipment are recorded at cost, and the balances are presented net of accumulated depreciation. The cost of software purchased or internally developed is capitalized. Depreciation is calculated using the straight-line method over the estimated useful lives of the assets. Furniture and equipment is depreciated over five to ten years, computer equipment is depreciated over four years, and software purchased or developed for internal use is depreciated over three to five years. Leasehold improvements are amortized over the shorter of the useful life of the asset or the lease term. Maintenance and repairs are charged to expense as incurred.</w:t>
      </w:r>
    </w:p>
    <w:p>
      <w:pPr>
        <w:spacing w:after="0" w:line="5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Rent expense is recorded on a straight-line basis over the life of the respective lease. The difference between the cash payment and rent expense is recorded as deferred rent in either accounts payable and other accrued expenses or other long-term liabilities in the consolidated balance sheets, depending on when the amounts will be recognized. The Company receives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854" w:right="259" w:bottom="1440" w:gutter="0" w:footer="0" w:header="0"/>
        </w:sectPr>
      </w:pPr>
    </w:p>
    <w:bookmarkStart w:id="71" w:name="page72"/>
    <w:bookmarkEnd w:id="71"/>
    <w:p>
      <w:pPr>
        <w:jc w:val="both"/>
        <w:ind w:right="200"/>
        <w:spacing w:after="0" w:line="259" w:lineRule="auto"/>
        <w:rPr>
          <w:sz w:val="20"/>
          <w:szCs w:val="20"/>
          <w:color w:val="auto"/>
        </w:rPr>
      </w:pPr>
      <w:r>
        <w:rPr>
          <w:rFonts w:ascii="Arial" w:cs="Arial" w:eastAsia="Arial" w:hAnsi="Arial"/>
          <w:sz w:val="18"/>
          <w:szCs w:val="18"/>
          <w:color w:val="auto"/>
        </w:rPr>
        <w:t>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either accounts payable and other accrued expenses or other long-term liabilities in the consolidated balance sheets, and are amortized on a straight line basis over the lease term.</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has engaged in business acquisition activity. 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each acquisition, as goodwill represents the excess of the purchase price of an acquired business over the fair value of its net tangible and identifiable intangible assets.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2014, the Company performed its annual impairment test of goodwill by comparing the fair value of the Company (primarily based on market capitalization) to the carrying value of equity, and concluded that the fair value of the reporting unit was greater than the carrying amount. During the fiscal years ended March 31, 2014, 2013 and 2012 the Company did not record any goodwill impairment.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Intangible assets consist of trade name and customer relationships. Customer relationships are amortized on an accelerated basis over the expected backlog life based on projected future cash flows of approximately five to nine years. The trade name is not amortized, but is tested on at least an annual basis as of January 1 unless interim indicators of impairment exist. The trade name is considered to be impaired when the net book value exceeds its estimated fair value. As of January 1, 2014 the Company performed its annual impairment test of the trade name, and concluded that the fair value of the trade name was greater than the carrying amount. The Company used the relief from royalty method for valuation. The fair value of the asset is the present value of the license fees avoided by owning the asset, or the royalty savings.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2014, 2013 and 2012 the Company did not record any impairment charges.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provides for income taxes as a “C” corporation on income earned from operations. The Company is subject to federal, state, and foreign taxation in various jurisdictions.</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11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Company periodically assesses its tax positions for all periods open to examination by tax authorities based on the latest available information. Where it is not more likely that not that the Company’s tax position will be sustained, the Company records its best estimate of the resulting tax liability, penalties and interest in the consolidated financial statements. These uncertain tax positions are recorded as a component of income tax expense. As uncertain tax positions in periods open to examination are closed out, or as new information becomes available, the resulting change is reflected in the recorded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773" w:right="239" w:bottom="1440" w:gutter="0" w:footer="0" w:header="0"/>
        </w:sectPr>
      </w:pPr>
    </w:p>
    <w:bookmarkStart w:id="72" w:name="page73"/>
    <w:bookmarkEnd w:id="72"/>
    <w:p>
      <w:pPr>
        <w:ind w:right="520"/>
        <w:spacing w:after="0" w:line="277" w:lineRule="auto"/>
        <w:rPr>
          <w:sz w:val="20"/>
          <w:szCs w:val="20"/>
          <w:color w:val="auto"/>
        </w:rPr>
      </w:pPr>
      <w:r>
        <w:rPr>
          <w:rFonts w:ascii="Arial" w:cs="Arial" w:eastAsia="Arial" w:hAnsi="Arial"/>
          <w:sz w:val="18"/>
          <w:szCs w:val="18"/>
          <w:color w:val="auto"/>
        </w:rPr>
        <w:t>and income tax expense. Penalties and interest recognized related to the reserves for uncertain tax positions are recorded as a component of income tax expense.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income (loss) as of March 31, 2014 and 2013 consisted of unrealized gains (losses) on the Company’s defined and postretirement benefit plans.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Share-based payments to employees are recognized in the consolidated statements of operations based on their grant date fair values with the expense recognized on an accelerated basis over the vesting period. The Company uses the Black-Scholes option-pricing model to determine the fair value of its awards at the time of the grant.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Defined Benefit Plan and Other Postretirement Benefits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recognizes the underfunded status of defined benefit plans on the consolidated balance sheets. Gains and losses and prior service costs and credits that have not yet been recognized through net periodic benefit cost are recognized in accumulated other comprehensive income, net of tax effects, and will be amortized as a component of net periodic cost in future periods. The measurement date, the date at which the benefit obligations and plan assets are measured, is the Company’s fiscal year end.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Self-Funded Medical Plans</w:t>
      </w:r>
    </w:p>
    <w:p>
      <w:pPr>
        <w:spacing w:after="0" w:line="90"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The Company maintains self-funded medical insurance. Self-funded plans include a health maintenance organization, preferred provider organization, point of service, qualified point of service, and traditional choice. Further, self-funded plans also include prescription drug and dental benefits. The Company records an incurred but unreported claim liability in the accrued compensation and benefits line of the consolidated balance sheets for self-funded plans based on an actuarial valuation. Data that drives this estimate is primarily based on claims and enrollment data provided by a third party valuation firm for medical and pharmacy related costs.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accounts for its deferred compensation plan in accordance with the terms of the underlying plan agreement. To the extent the terms of the contract attribute all or a portion of the expected future benefit to an individual year of the employee’s service, the cost of the benefits are recognized in that year. Therefore, the Company estimates the cost of future benefits that are expected to be paid and expenses the present value of those costs in the year as services are provided.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4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fair values of the Company’s cash and cash equivalents (including money market funds), trade accounts receivable and accounts payable, approximates their carrying values at March 31, 2014 and 2013 because of the short-term nature of these amounts. The fair values of the Company’s debt instruments approximates their carrying value at March 31, 2014 and 2013. The fair value of debt is determined based on interest rates available for debt with terms and maturities similar to the Company’s existing debt arrangements (Level 2 inputs).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Recent accounting pronouncements issued by the FASB during fiscal 2014 and through the filing date did not and are not believed by management to have a material impact on the Company's present or historical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854"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1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shares participated in the Company's dividends declared and paid each quarter in fiscal 2014 and fiscal 2013, and the fourth quarter of fiscal 2012. </w:t>
      </w:r>
      <w:r>
        <w:rPr>
          <w:rFonts w:ascii="Arial" w:cs="Arial" w:eastAsia="Arial" w:hAnsi="Arial"/>
          <w:sz w:val="17"/>
          <w:szCs w:val="17"/>
          <w:color w:val="231F20"/>
        </w:rPr>
        <w:t>As such, EPS is calculated using the two-class method whereby earnings are reduced by</w:t>
      </w:r>
      <w:r>
        <w:rPr>
          <w:rFonts w:ascii="Arial" w:cs="Arial" w:eastAsia="Arial" w:hAnsi="Arial"/>
          <w:sz w:val="17"/>
          <w:szCs w:val="17"/>
          <w:color w:val="auto"/>
        </w:rPr>
        <w:t xml:space="preserve"> </w:t>
      </w:r>
      <w:r>
        <w:rPr>
          <w:rFonts w:ascii="Arial" w:cs="Arial" w:eastAsia="Arial" w:hAnsi="Arial"/>
          <w:sz w:val="17"/>
          <w:szCs w:val="17"/>
          <w:color w:val="231F20"/>
        </w:rPr>
        <w:t xml:space="preserve">distributed earnings as well as any available undistributed earnings allocable to holders of unvested restricted shares. </w:t>
      </w:r>
      <w:r>
        <w:rPr>
          <w:rFonts w:ascii="Arial" w:cs="Arial" w:eastAsia="Arial" w:hAnsi="Arial"/>
          <w:sz w:val="17"/>
          <w:szCs w:val="17"/>
          <w:color w:val="000000"/>
        </w:rPr>
        <w:t>A reconciliation of the income used to</w:t>
      </w:r>
      <w:r>
        <w:rPr>
          <w:rFonts w:ascii="Arial" w:cs="Arial" w:eastAsia="Arial" w:hAnsi="Arial"/>
          <w:sz w:val="17"/>
          <w:szCs w:val="17"/>
          <w:color w:val="231F20"/>
        </w:rPr>
        <w:t xml:space="preserve"> </w:t>
      </w:r>
      <w:r>
        <w:rPr>
          <w:rFonts w:ascii="Arial" w:cs="Arial" w:eastAsia="Arial" w:hAnsi="Arial"/>
          <w:sz w:val="17"/>
          <w:szCs w:val="17"/>
          <w:color w:val="000000"/>
        </w:rPr>
        <w:t>compute basic and diluted EPS for the periods presented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229,082</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238,761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139,275,596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131,068,847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125,894,644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1,019,051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2,080,050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2,791,917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1,019,897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1,253,832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1,459,128</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Total weighted-average common shares outstanding for basic computations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141,314,544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134,402,729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130,145,689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229,082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209,994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238,761</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7,366,530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10,451,995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10,666,323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7"/>
              </w:rPr>
              <w:t>Average number of common shares outstanding for diluted computations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148,681,074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144,854,724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140,812,012</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1.83</w:t>
            </w: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8"/>
        <w:spacing w:after="0" w:line="276"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During fiscal 2014, 2013, and 2012 approximately 1.3 million, 1.2 million, and 787,000 shares of participating securities were paid dividends totaling $3.1 million, $9.1 million, and $71,000, respectively. Additionally, for fiscal 2012 there were undistributed earnings of $1.1 million allocated to the participating class of securities in basic and diluted earnings per share. The allocated earnings and the dividends paid for fiscal 2012 comprise the difference from net income presented on the consolidated statements of operations, while only dividends paid for fiscal 2014 and 2013 comprise the difference from net income presented on the consolidated statements of operations, as there were no excess undistributed earnings.</w:t>
      </w: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EPS calculation for fiscal 2014, 2013, and 2012 excludes 1,072,000, 328,000 and 2,529,000 options as their impact was anti-dilutive.</w:t>
      </w:r>
    </w:p>
    <w:p>
      <w:pPr>
        <w:spacing w:after="0" w:line="200" w:lineRule="exact"/>
        <w:rPr>
          <w:sz w:val="20"/>
          <w:szCs w:val="20"/>
          <w:color w:val="auto"/>
        </w:rPr>
      </w:pPr>
    </w:p>
    <w:p>
      <w:pPr>
        <w:spacing w:after="0" w:line="264" w:lineRule="exact"/>
        <w:rPr>
          <w:sz w:val="20"/>
          <w:szCs w:val="20"/>
          <w:color w:val="auto"/>
        </w:rPr>
      </w:pPr>
    </w:p>
    <w:p>
      <w:pPr>
        <w:ind w:left="260" w:right="7860" w:hanging="252"/>
        <w:spacing w:after="0" w:line="346" w:lineRule="auto"/>
        <w:tabs>
          <w:tab w:leader="none" w:pos="19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March 31, 2014 and 2013, goodwill was $1,273.8 million and $1,277.4 million, respectively. The decrease in the carrying amount of goodwill is primarily attributable to the settlement of various FIN 48 tax contingencies indemnified by the DPO, as defined and explained in greater detail in Note 9. During the fiscal years ended March 31, 2014, 2013 and 2012, the Company did not record any goodwill impairment. Further, the Company does not consider any of the goodwill at risk of impairment.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904" w:right="239" w:bottom="1440" w:gutter="0" w:footer="0" w:header="0"/>
        </w:sectPr>
      </w:pPr>
    </w:p>
    <w:bookmarkStart w:id="74" w:name="page75"/>
    <w:bookmarkEnd w:id="74"/>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5"/>
          </w:tcPr>
          <w:p>
            <w:pPr>
              <w:ind w:left="40"/>
              <w:spacing w:after="0"/>
              <w:rPr>
                <w:sz w:val="20"/>
                <w:szCs w:val="20"/>
                <w:color w:val="auto"/>
              </w:rPr>
            </w:pPr>
            <w:r>
              <w:rPr>
                <w:rFonts w:ascii="Arial" w:cs="Arial" w:eastAsia="Arial" w:hAnsi="Arial"/>
                <w:sz w:val="16"/>
                <w:szCs w:val="16"/>
                <w:b w:val="1"/>
                <w:bCs w:val="1"/>
                <w:color w:val="auto"/>
              </w:rPr>
              <w:t>As of March 31, 2014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As of March 31, 2013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Net Carrying Value</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Value</w:t>
            </w:r>
          </w:p>
        </w:tc>
      </w:tr>
      <w:tr>
        <w:trPr>
          <w:trHeight w:val="33"/>
        </w:trPr>
        <w:tc>
          <w:tcPr>
            <w:tcW w:w="2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820" w:type="dxa"/>
            <w:vAlign w:val="bottom"/>
          </w:tcPr>
          <w:p>
            <w:pPr>
              <w:ind w:left="26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187,758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157,071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30,687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187,758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141,738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46,020</w:t>
            </w:r>
          </w:p>
        </w:tc>
      </w:tr>
      <w:tr>
        <w:trPr>
          <w:trHeight w:val="33"/>
        </w:trPr>
        <w:tc>
          <w:tcPr>
            <w:tcW w:w="2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46,020</w:t>
            </w:r>
          </w:p>
        </w:tc>
      </w:tr>
      <w:tr>
        <w:trPr>
          <w:trHeight w:val="324"/>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820" w:type="dxa"/>
            <w:vAlign w:val="bottom"/>
          </w:tcPr>
          <w:p>
            <w:pPr>
              <w:ind w:left="260"/>
              <w:spacing w:after="0"/>
              <w:rPr>
                <w:sz w:val="20"/>
                <w:szCs w:val="20"/>
                <w:color w:val="auto"/>
              </w:rPr>
            </w:pPr>
            <w:r>
              <w:rPr>
                <w:rFonts w:ascii="Arial" w:cs="Arial" w:eastAsia="Arial" w:hAnsi="Arial"/>
                <w:sz w:val="16"/>
                <w:szCs w:val="16"/>
                <w:color w:val="auto"/>
              </w:rPr>
              <w:t>Trade name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190,200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190,200</w:t>
            </w:r>
          </w:p>
        </w:tc>
      </w:tr>
      <w:tr>
        <w:trPr>
          <w:trHeight w:val="33"/>
        </w:trPr>
        <w:tc>
          <w:tcPr>
            <w:tcW w:w="2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377,958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157,071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377,958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141,738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236,220</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Intangible assets are primarily amortized on an accelerated basis over periods ranging from 7 years to 9 years. The weighted-average remaining period of amortization for all customer relationships is 4.6 years.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performed an annual impairment test of the trade name as of January 1, 2014 and 2013, noting no impairment.</w:t>
      </w:r>
    </w:p>
    <w:p>
      <w:pPr>
        <w:spacing w:after="0" w:line="171"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Amortization expense for fiscal 2014, 2013, and 2012 was $14.8 million, $14.8 million, and $16.4 million, respectively. The following table summarizes the estimated annual amortization expense for future periods indicated below:</w:t>
      </w: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9060" w:type="dxa"/>
            <w:vAlign w:val="bottom"/>
          </w:tcPr>
          <w:p>
            <w:pPr>
              <w:ind w:left="40"/>
              <w:spacing w:after="0"/>
              <w:rPr>
                <w:sz w:val="20"/>
                <w:szCs w:val="20"/>
                <w:color w:val="auto"/>
              </w:rPr>
            </w:pPr>
            <w:r>
              <w:rPr>
                <w:rFonts w:ascii="Arial" w:cs="Arial" w:eastAsia="Arial" w:hAnsi="Arial"/>
                <w:sz w:val="16"/>
                <w:szCs w:val="16"/>
                <w:b w:val="1"/>
                <w:bCs w:val="1"/>
                <w:color w:val="auto"/>
              </w:rPr>
              <w:t>For the Fiscal Year Ended March 31,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9,617</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8,643</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7,696</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2,523</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30,687</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00" w:lineRule="exact"/>
        <w:rPr>
          <w:sz w:val="20"/>
          <w:szCs w:val="20"/>
          <w:color w:val="auto"/>
        </w:rPr>
      </w:pPr>
    </w:p>
    <w:p>
      <w:pPr>
        <w:spacing w:after="0" w:line="21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23495</wp:posOffset>
            </wp:positionV>
            <wp:extent cx="1938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395,509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431,770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598,004</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1,029,586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19,779</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939,614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1,049,365</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Unbilled amounts represent sales for which billings have not been presented to customers at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as accounts receivable in the accompanying consolidated balance sheets. The Company</w:t>
      </w:r>
    </w:p>
    <w:p>
      <w:pPr>
        <w:sectPr>
          <w:pgSz w:w="11900" w:h="16838" w:orient="portrait"/>
          <w:cols w:equalWidth="0" w:num="1">
            <w:col w:w="11380"/>
          </w:cols>
          <w:pgMar w:left="240" w:top="774" w:right="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380"/>
          </w:cols>
          <w:pgMar w:left="240" w:top="774" w:right="279" w:bottom="1440" w:gutter="0" w:footer="0" w:header="0"/>
          <w:type w:val="continuous"/>
        </w:sectPr>
      </w:pPr>
    </w:p>
    <w:bookmarkStart w:id="75" w:name="page76"/>
    <w:bookmarkEnd w:id="75"/>
    <w:p>
      <w:pPr>
        <w:jc w:val="both"/>
        <w:ind w:right="20"/>
        <w:spacing w:after="0" w:line="264" w:lineRule="auto"/>
        <w:rPr>
          <w:sz w:val="20"/>
          <w:szCs w:val="20"/>
          <w:color w:val="auto"/>
        </w:rPr>
      </w:pPr>
      <w:r>
        <w:rPr>
          <w:rFonts w:ascii="Arial" w:cs="Arial" w:eastAsia="Arial" w:hAnsi="Arial"/>
          <w:sz w:val="18"/>
          <w:szCs w:val="18"/>
          <w:color w:val="auto"/>
        </w:rPr>
        <w:t>recognized a provision for doubtful accounts (including certain unbilled reserves) of $1.3 million, $544,000, and $2.7 million for fiscal 2014, 2013 and 2012, respectively. Because the Company's accounts receivable are primarily with U.S. Government and its agencies, the Company does not have material exposure to accounts receivable credit risk.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311"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135,281</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46,872</w:t>
            </w:r>
          </w:p>
        </w:tc>
      </w:tr>
      <w:tr>
        <w:trPr>
          <w:trHeight w:val="27"/>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36,690</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201,166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154,167</w:t>
            </w:r>
          </w:p>
        </w:tc>
      </w:tr>
      <w:tr>
        <w:trPr>
          <w:trHeight w:val="27"/>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373,010</w:t>
            </w:r>
          </w:p>
        </w:tc>
      </w:tr>
      <w:tr>
        <w:trPr>
          <w:trHeight w:val="243"/>
        </w:trPr>
        <w:tc>
          <w:tcPr>
            <w:tcW w:w="7260" w:type="dxa"/>
            <w:vAlign w:val="bottom"/>
          </w:tcPr>
          <w:p>
            <w:pPr>
              <w:ind w:left="70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(251,051)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(206,440)</w:t>
            </w:r>
          </w:p>
        </w:tc>
      </w:tr>
      <w:tr>
        <w:trPr>
          <w:trHeight w:val="27"/>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2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Property and equipment, net, includes $6.6 million, and $9.7 million of internally developed software, net of depreciation as of March 31, 2014 and 2013, respectively. Depreciation and amortization expense relating to property and equipment for fiscal 2014, 2013, and 2012 was $57.6 million, $59.5 million, and $58.8 million, respectively. During fiscal 2014 and 2013, the Company reduced the gross cost and accumulated depreciation and amortization by $17.3 million and $22.9 million, respectively, for zero net book value assets deemed no longer in service.</w:t>
      </w:r>
    </w:p>
    <w:p>
      <w:pPr>
        <w:spacing w:after="0" w:line="167" w:lineRule="exact"/>
        <w:rPr>
          <w:sz w:val="20"/>
          <w:szCs w:val="20"/>
          <w:color w:val="auto"/>
        </w:rPr>
      </w:pPr>
    </w:p>
    <w:p>
      <w:pPr>
        <w:ind w:left="440" w:right="5680" w:hanging="432"/>
        <w:spacing w:after="0" w:line="677" w:lineRule="auto"/>
        <w:tabs>
          <w:tab w:leader="none" w:pos="18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41"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Vendor payables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265,079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248,471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223,728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202,594</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488,807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451,065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20 for further discussion of this reserve.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COMPENSATION AND BENEFITS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30"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89,389</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43,405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83,071</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136,528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17)</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39,922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48,468</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27,977</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331,440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385,433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4"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maintains a deferred compensation plan, or EPP, established in January 2009, for the benefit of certain employees. The EPP allows eligible participants to defer all or a portion of their annual performance bonus, reduced by amounts withheld for the payment of taxes or other deductions required by law. The Company makes no contributions to the</w:t>
      </w:r>
    </w:p>
    <w:p>
      <w:pPr>
        <w:sectPr>
          <w:pgSz w:w="11900" w:h="16838" w:orient="portrait"/>
          <w:cols w:equalWidth="0" w:num="1">
            <w:col w:w="11400"/>
          </w:cols>
          <w:pgMar w:left="240" w:top="855"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00"/>
          </w:cols>
          <w:pgMar w:left="240" w:top="855" w:right="259" w:bottom="1440" w:gutter="0" w:footer="0" w:header="0"/>
          <w:type w:val="continuous"/>
        </w:sectPr>
      </w:pPr>
    </w:p>
    <w:bookmarkStart w:id="76" w:name="page77"/>
    <w:bookmarkEnd w:id="76"/>
    <w:p>
      <w:pPr>
        <w:jc w:val="both"/>
        <w:ind w:right="180"/>
        <w:spacing w:after="0" w:line="312" w:lineRule="auto"/>
        <w:rPr>
          <w:sz w:val="20"/>
          <w:szCs w:val="20"/>
          <w:color w:val="auto"/>
        </w:rPr>
      </w:pPr>
      <w:r>
        <w:rPr>
          <w:rFonts w:ascii="Arial" w:cs="Arial" w:eastAsia="Arial" w:hAnsi="Arial"/>
          <w:sz w:val="16"/>
          <w:szCs w:val="16"/>
          <w:color w:val="auto"/>
        </w:rPr>
        <w:t>EPP, but maintains participant accounts for deferred amounts and interest earned. The deferred balance generally will be paid within 180 days of the final determination of the interest to be accrued for 2014, upon retirement, or termination. The deferred balance will be paid prior to December 31, 2014, and as such, the entire deferred compensation balance of $27.5 million as of March 31, 2014 is classified as a component of accrued compensation and benefits.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PAYMENT OBLIGATION</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13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remaining $80.0 million is available to indemnify the Company for certain pre-acquisition tax contingencies, related interest and penalties, and other matters pursuant to the Merger Agreement. Any amounts remaining after the settlement of claims will be paid out to the selling shareholders. As of March 31, 2014 and 2013, the Company has recorded $56.8 million and $55.8 million, respectively, for pre-acquisition uncertain tax positions, of which approximately $19.6 million and $18.5 million, respectively, may be indemnified under the remaining available DPO. During fiscal 2014, the Company accrued additional interest for certain pre-acquisition uncertain tax positions, thereby increasing the estimated amount to be indemnified under the remaining available DPO and decreasing the DPO amount to be paid to the selling shareholders. Offsetting this decrease in the DPO amount is interest accrued at a rate of 5% per six-month period on the unpaid DPO balance, net of any settled claims or payments, which was $80.0 million as of March 31, 2014 and 2013. Accordingly, the $61.7 million and $62.8 million DPO balance recorded as of March 31, 2014 and 2013, respectively, within other long-term liabilities, except the current portion of accrued interest expense which is recorded within short-term liabilities, represents the residual balance estimated to be paid to the selling shareholders based on consideration of contingent tax claims, accrued interest and other matters.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the principal balance of the DPO to the amount recorded in the consolidated balance sheets for the periods presented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Indemnified pre-acquisition uncertain tax positions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(19,556)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(18,527)</w:t>
            </w:r>
          </w:p>
        </w:tc>
      </w:tr>
      <w:tr>
        <w:trPr>
          <w:trHeight w:val="27"/>
        </w:trPr>
        <w:tc>
          <w:tcPr>
            <w:tcW w:w="7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r>
      <w:tr>
        <w:trPr>
          <w:trHeight w:val="237"/>
        </w:trPr>
        <w:tc>
          <w:tcPr>
            <w:tcW w:w="7820" w:type="dxa"/>
            <w:vAlign w:val="bottom"/>
          </w:tcPr>
          <w:p>
            <w:pPr>
              <w:ind w:left="720"/>
              <w:spacing w:after="0"/>
              <w:rPr>
                <w:sz w:val="20"/>
                <w:szCs w:val="20"/>
                <w:color w:val="auto"/>
              </w:rPr>
            </w:pPr>
            <w:r>
              <w:rPr>
                <w:rFonts w:ascii="Arial" w:cs="Arial" w:eastAsia="Arial" w:hAnsi="Arial"/>
                <w:sz w:val="18"/>
                <w:szCs w:val="18"/>
                <w:color w:val="auto"/>
              </w:rPr>
              <w:t>Amount recorded in the consolidated balance sheets</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61,748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62,777</w:t>
            </w:r>
          </w:p>
        </w:tc>
      </w:tr>
      <w:tr>
        <w:trPr>
          <w:trHeight w:val="27"/>
        </w:trPr>
        <w:tc>
          <w:tcPr>
            <w:tcW w:w="7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fiscal 2014 and 2013, the Company paid $8.0 million and $7.4 million, respectively, of accrued interest to the selling shareholders.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2013</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660,317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706,134</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998,602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1,009,039</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1,658,919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1,715,173</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(55,562)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1,585,231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1,659,611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August 16, 2013, the Company consummated a repricing of its outstanding Term Loan B indebtedness, or repricing transaction, by entering into the First Amendment to its senior secured credit agreement, effective July 31, 2012, or Credit Agreement. On July 31, 2012, the Company consummated the Recapitalization Transaction which included the refinancing</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20"/>
          </w:cols>
          <w:pgMar w:left="240" w:top="692" w:right="339" w:bottom="1440" w:gutter="0" w:footer="0" w:header="0"/>
        </w:sectPr>
      </w:pPr>
    </w:p>
    <w:bookmarkStart w:id="77" w:name="page78"/>
    <w:bookmarkEnd w:id="77"/>
    <w:p>
      <w:pPr>
        <w:ind w:right="60"/>
        <w:spacing w:after="0" w:line="255" w:lineRule="auto"/>
        <w:rPr>
          <w:sz w:val="20"/>
          <w:szCs w:val="20"/>
          <w:color w:val="auto"/>
        </w:rPr>
      </w:pPr>
      <w:r>
        <w:rPr>
          <w:rFonts w:ascii="Arial" w:cs="Arial" w:eastAsia="Arial" w:hAnsi="Arial"/>
          <w:sz w:val="18"/>
          <w:szCs w:val="18"/>
          <w:color w:val="auto"/>
        </w:rPr>
        <w:t>and termination of the Company's existing senior secured credit agreement with the proceeds of the borrowings under the Company's new Credit Agreement. The Credit Agreement provided the Company with a $725.0 million Term Loan A and a $1,025.0 million Term Loan B, and a $500.0 million revolving credit facility, with a sublimit for letters of credit of $100.0 million. The outstanding obligations under the Credit Agreement are secured by a security interest in substantially all of the assets of the Company, subject to certain exceptions set forth in the Credit Agreement and related documentation. With no increase in borrowing, the First Amendment reduced the interest rate applicable to Term Loan B. The rates for Term Loan A loans outstanding under the Company's Credit Agreement, as amended, remain unchanged.</w:t>
      </w:r>
    </w:p>
    <w:p>
      <w:pPr>
        <w:spacing w:after="0" w:line="193"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In connection with the August 16, 2013 Repricing Transaction, the Company accelerated the amortization of ratable portions of the DIC and Original Issue Discount, or OID, associated with the prior senior secured term loan facilities of $1.2 million. These amounts are reflected in other expense, net in the consolidated statements of operations. Furthermore, the Company expensed third party debt issuance costs of $1.6 million that did not qualify for deferral, which are reflected in general and administrative costs in the consolidated statements of operations.</w:t>
      </w:r>
    </w:p>
    <w:p>
      <w:pPr>
        <w:spacing w:after="0" w:line="18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occasionally borrow under our revolving credit facility in anticipation of cash demands. On October 15, 2013, the Company's wholly-owned subsidiary Booz Allen Hamilton Inc. accessed $250.0 million of its $500.0 million revolving credit facility to safeguard against the possible consequences of a failure by Congress to increase the U.S. government's ability to incur indebtedness in excess of its current limit. On October 18, 2013, following the increase of the debt limit by Congress, the Company repaid the $250.0 million borrowed from the revolving credit facility. On February 27, 2014, the Company's wholly-owned subsidiary Booz Allen Hamilton Inc. accessed $50.0 million of its $500.0 million revolving credit facility to provide sufficient available cash given the timing of certain cash payments. The Company repaid the $50.0 million borrowed from the revolving credit facility on March 6, 2014.</w:t>
      </w:r>
    </w:p>
    <w:p>
      <w:pPr>
        <w:spacing w:after="0" w:line="20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Credit Agreement requires quarterly principal payments of 1.25% of the stated principal amount of Term Loan A, with annual incremental increases to 1.875%, 2.50%, 3.125%, and 13.0%, prior to the Term Loan A's maturity date of December 31, 2017, and 0.25% of the stated principal amount of Term Loan B, with the remaining balance payable on the Term Loan B's maturity date of July 31, 2019. Both these stated principal repayment schedules are reflected in the table below. The revolving credit facility matures on December 31, 2017, at which time any outstanding principal balance is due in full.</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required future debt principal repayments: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March 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19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Thereafter</w:t>
            </w: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233,812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1,009,625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958,375</w:t>
            </w:r>
          </w:p>
        </w:tc>
      </w:tr>
      <w:tr>
        <w:trPr>
          <w:trHeight w:val="27"/>
        </w:trPr>
        <w:tc>
          <w:tcPr>
            <w:tcW w:w="1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1,671,188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244,062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958,375</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2.50% spread. The spread ranges from 2.00% to 2.75% based on the Company's total leverage ratio. The interest rate on borrowings under Term Loan B is LIBOR plus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13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fiscal 2014, interest payments of $19.0 million and $41.9 million were made for Term Loan A and Term Loan B, respectively. During fiscal 2013, interest payments of $18.8 million and $40.0 million were made for Term Loan A and Term Loan B, respectively. As of March 31, 2014 and 2013, no amounts were outstanding on the revolving credit facility.</w:t>
      </w:r>
    </w:p>
    <w:p>
      <w:pPr>
        <w:spacing w:after="0" w:line="18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total outstanding debt balance was recorded in the accompanying consolidated balance sheets, net of unamortized discount of $12.3 million and $11.6 million as of March 31, 2014 and 2013, respectively. As of March 31, 2014 and 2013, the Company was in compliance with all of the Credit Agreement's debt covenants.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69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11. DEFERRED FINANCING COSTS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Debt Issuance Costs, or DIC, for the periods presented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31,820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16,190</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(5,865)</w:t>
            </w:r>
          </w:p>
        </w:tc>
      </w:tr>
      <w:tr>
        <w:trPr>
          <w:trHeight w:val="27"/>
        </w:trPr>
        <w:tc>
          <w:tcPr>
            <w:tcW w:w="7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Accelerated amortization of DIC related to August 2013 Repricing Transaction and July</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2012 Recapitalization Transaction</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r>
      <w:tr>
        <w:trPr>
          <w:trHeight w:val="229"/>
        </w:trPr>
        <w:tc>
          <w:tcPr>
            <w:tcW w:w="7240" w:type="dxa"/>
            <w:vAlign w:val="bottom"/>
          </w:tcPr>
          <w:p>
            <w:pPr>
              <w:ind w:left="380"/>
              <w:spacing w:after="0"/>
              <w:rPr>
                <w:sz w:val="20"/>
                <w:szCs w:val="20"/>
                <w:color w:val="auto"/>
              </w:rPr>
            </w:pPr>
            <w:r>
              <w:rPr>
                <w:rFonts w:ascii="Arial" w:cs="Arial" w:eastAsia="Arial" w:hAnsi="Arial"/>
                <w:sz w:val="18"/>
                <w:szCs w:val="18"/>
                <w:color w:val="auto"/>
              </w:rPr>
              <w:t>Additional DIC related to August 2013 Repricing Transaction and July 2012</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7240" w:type="dxa"/>
            <w:vAlign w:val="bottom"/>
            <w:tcBorders>
              <w:bottom w:val="single" w:sz="8" w:color="CCEEFF"/>
            </w:tcBorders>
          </w:tcPr>
          <w:p>
            <w:pPr>
              <w:ind w:left="380"/>
              <w:spacing w:after="0" w:line="257" w:lineRule="exact"/>
              <w:rPr>
                <w:sz w:val="20"/>
                <w:szCs w:val="20"/>
                <w:color w:val="auto"/>
              </w:rPr>
            </w:pPr>
            <w:r>
              <w:rPr>
                <w:rFonts w:ascii="Arial" w:cs="Arial" w:eastAsia="Arial" w:hAnsi="Arial"/>
                <w:sz w:val="18"/>
                <w:szCs w:val="18"/>
                <w:color w:val="auto"/>
              </w:rPr>
              <w:t>Recapitalization Transaction</w:t>
            </w:r>
            <w:r>
              <w:rPr>
                <w:rFonts w:ascii="Arial" w:cs="Arial" w:eastAsia="Arial" w:hAnsi="Arial"/>
                <w:sz w:val="25"/>
                <w:szCs w:val="25"/>
                <w:color w:val="auto"/>
                <w:vertAlign w:val="superscript"/>
              </w:rPr>
              <w:t>1</w:t>
            </w:r>
          </w:p>
        </w:tc>
        <w:tc>
          <w:tcPr>
            <w:tcW w:w="10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26,881</w:t>
            </w:r>
          </w:p>
        </w:tc>
      </w:tr>
      <w:tr>
        <w:trPr>
          <w:trHeight w:val="269"/>
        </w:trPr>
        <w:tc>
          <w:tcPr>
            <w:tcW w:w="7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25,670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31,820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2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Included in "Debt issuance costs" in the consolidated statement of cash flows.</w:t>
      </w:r>
    </w:p>
    <w:p>
      <w:pPr>
        <w:spacing w:after="0" w:line="14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Costs incurred in connection with the August 16, 2013 Repricing Transaction were $2.8 million, of which $1.2 million was recorded as other long-term assets and will be amortized and reflected in interest expense in the consolidated statements of operations over the term of the loans. Amortization of these costs will be accelerated to the extent that any prepayment is made on the Credit Agreement. The remaining amount of $1.6 million, which was not deferred, was recorded as general and administrative expenses in the consolidated statements of operations in fiscal 2014.</w:t>
      </w:r>
    </w:p>
    <w:p>
      <w:pPr>
        <w:spacing w:after="0" w:line="11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Costs incurred in connection with the July 31, 2012 Recapitalization Transaction were $29.6 million, of which $26.9 million was recorded as other long-term assets and will be amortized and reflected in interest expense in the consolidated statements of operations over the term of the loans. Amortization of these costs will be accelerated to the extent that any prepayment is made on the Credit Agreement. The remaining amount of $2.7 million, which was not deferred, was recorded as general and administrative expenses in the consolidated statements of operations in fiscal 2013.</w:t>
      </w:r>
    </w:p>
    <w:p>
      <w:pPr>
        <w:spacing w:after="0" w:line="117"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Absent any prepayment accelerations of DIC or the effect of changes in interest rates, the following table summarizes the estimated annual amortization expense of DIC using the effective interest rate method, as a component of interest expense, for the future fiscal periods indicated below:</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4"/>
              </w:rPr>
              <w:t>DIC Amortization Expense</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Thereafter</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Term Loan B</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9,033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1,789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610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25,670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1,789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gridSpan w:val="7"/>
          </w:tcPr>
          <w:p>
            <w:pPr>
              <w:ind w:left="420"/>
              <w:spacing w:after="0"/>
              <w:rPr>
                <w:sz w:val="20"/>
                <w:szCs w:val="20"/>
                <w:color w:val="auto"/>
              </w:rPr>
            </w:pPr>
            <w:r>
              <w:rPr>
                <w:rFonts w:ascii="Arial" w:cs="Arial" w:eastAsia="Arial" w:hAnsi="Arial"/>
                <w:sz w:val="18"/>
                <w:szCs w:val="18"/>
                <w:color w:val="auto"/>
                <w:w w:val="99"/>
              </w:rPr>
              <w:t>The components of income tax expense were as follows: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7"/>
              </w:rPr>
              <w:t>Fiscal Year Ended March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148,908</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161,838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26,062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35,503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17,241</w:t>
            </w:r>
          </w:p>
        </w:tc>
        <w:tc>
          <w:tcPr>
            <w:tcW w:w="0" w:type="dxa"/>
            <w:vAlign w:val="bottom"/>
          </w:tcPr>
          <w:p>
            <w:pPr>
              <w:spacing w:after="0"/>
              <w:rPr>
                <w:sz w:val="1"/>
                <w:szCs w:val="1"/>
                <w:color w:val="auto"/>
              </w:rPr>
            </w:pPr>
          </w:p>
        </w:tc>
      </w:tr>
      <w:tr>
        <w:trPr>
          <w:trHeight w:val="237"/>
        </w:trPr>
        <w:tc>
          <w:tcPr>
            <w:tcW w:w="254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174,970</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197,341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29,134</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(40,652)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71,683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37"/>
        </w:trPr>
        <w:tc>
          <w:tcPr>
            <w:tcW w:w="25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(26,371)</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(48,088)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74,785</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148,599</w:t>
            </w:r>
          </w:p>
        </w:tc>
        <w:tc>
          <w:tcPr>
            <w:tcW w:w="7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149,253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688" w:right="239" w:bottom="1440" w:gutter="0" w:footer="0" w:header="0"/>
          <w:type w:val="continuous"/>
        </w:sectPr>
      </w:pPr>
    </w:p>
    <w:bookmarkStart w:id="79" w:name="page80"/>
    <w:bookmarkEnd w:id="79"/>
    <w:p>
      <w:pPr>
        <w:ind w:right="260" w:firstLine="405"/>
        <w:spacing w:after="0" w:line="277" w:lineRule="auto"/>
        <w:rPr>
          <w:sz w:val="20"/>
          <w:szCs w:val="20"/>
          <w:color w:val="auto"/>
        </w:rPr>
      </w:pPr>
      <w:r>
        <w:rPr>
          <w:rFonts w:ascii="Arial" w:cs="Arial" w:eastAsia="Arial" w:hAnsi="Arial"/>
          <w:sz w:val="18"/>
          <w:szCs w:val="18"/>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7"/>
              </w:rPr>
              <w:t>Fiscal Year Ended March 31,</w:t>
            </w:r>
          </w:p>
        </w:tc>
        <w:tc>
          <w:tcPr>
            <w:tcW w:w="130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computed at U.S. federal statutory rate (35%)</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133,275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128,909</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120,356</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Increases (reductions) resulting from:</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uncertain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(32,528)</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State income taxes, net of the federal tax benefit</w:t>
            </w:r>
          </w:p>
        </w:tc>
        <w:tc>
          <w:tcPr>
            <w:tcW w:w="420" w:type="dxa"/>
            <w:vAlign w:val="bottom"/>
          </w:tcPr>
          <w:p>
            <w:pPr>
              <w:spacing w:after="0"/>
              <w:rPr>
                <w:sz w:val="21"/>
                <w:szCs w:val="21"/>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13,847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17,039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13,431</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Meals and entertainment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2,177</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Release of Valuation Allowance</w:t>
            </w:r>
          </w:p>
        </w:tc>
        <w:tc>
          <w:tcPr>
            <w:tcW w:w="420" w:type="dxa"/>
            <w:vAlign w:val="bottom"/>
          </w:tcPr>
          <w:p>
            <w:pPr>
              <w:spacing w:after="0"/>
              <w:rPr>
                <w:sz w:val="21"/>
                <w:szCs w:val="21"/>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(5,211)</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state and local transportation business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3,772</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1,922</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 expense from operations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148,599</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149,253</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103,919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800" w:type="dxa"/>
            <w:vAlign w:val="bottom"/>
            <w:gridSpan w:val="4"/>
          </w:tcPr>
          <w:p>
            <w:pPr>
              <w:ind w:left="420"/>
              <w:spacing w:after="0"/>
              <w:rPr>
                <w:sz w:val="20"/>
                <w:szCs w:val="20"/>
                <w:color w:val="auto"/>
              </w:rPr>
            </w:pPr>
            <w:r>
              <w:rPr>
                <w:rFonts w:ascii="Arial" w:cs="Arial" w:eastAsia="Arial" w:hAnsi="Arial"/>
                <w:sz w:val="18"/>
                <w:szCs w:val="18"/>
                <w:color w:val="auto"/>
                <w:w w:val="94"/>
              </w:rPr>
              <w:t>Significant components of the Company’s net deferred income tax (liability) asset were as follows: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96,554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78,563</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45,031</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34,532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46,735</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insurance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33,009</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7,753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4,086</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&amp; Capital loss carryforwards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Deferred rent and tenant allowance</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11,256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15,979</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Total gross deferred income tax assets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229,575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229,536</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Less: 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1460"/>
              <w:spacing w:after="0"/>
              <w:rPr>
                <w:sz w:val="20"/>
                <w:szCs w:val="20"/>
                <w:color w:val="auto"/>
              </w:rPr>
            </w:pPr>
            <w:r>
              <w:rPr>
                <w:rFonts w:ascii="Arial" w:cs="Arial" w:eastAsia="Arial" w:hAnsi="Arial"/>
                <w:sz w:val="18"/>
                <w:szCs w:val="18"/>
                <w:color w:val="auto"/>
              </w:rPr>
              <w:t>Total net deferred income tax assets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229,575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229,536</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Accrued compensation-IRC Section 481(a)</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(30,090)</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(98,129)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(112,876)</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(83,279)</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income tax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(208,119)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(229,790)</w:t>
            </w:r>
          </w:p>
        </w:tc>
      </w:tr>
      <w:tr>
        <w:trPr>
          <w:trHeight w:val="237"/>
        </w:trPr>
        <w:tc>
          <w:tcPr>
            <w:tcW w:w="6080" w:type="dxa"/>
            <w:vAlign w:val="bottom"/>
          </w:tcPr>
          <w:p>
            <w:pPr>
              <w:ind w:left="1140"/>
              <w:spacing w:after="0"/>
              <w:rPr>
                <w:sz w:val="20"/>
                <w:szCs w:val="20"/>
                <w:color w:val="auto"/>
              </w:rPr>
            </w:pPr>
            <w:r>
              <w:rPr>
                <w:rFonts w:ascii="Arial" w:cs="Arial" w:eastAsia="Arial" w:hAnsi="Arial"/>
                <w:sz w:val="18"/>
                <w:szCs w:val="18"/>
                <w:color w:val="auto"/>
              </w:rPr>
              <w:t>Net deferred income tax (liability) asset</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21,456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book earnings, future reversals of existing taxable temporary differences, projected future taxable income, as well as any tax planning strategies. The Company believes it is more likely than not that the results of future operations will generate sufficient taxable income to realize the net deferred tax assets.</w:t>
      </w:r>
    </w:p>
    <w:p>
      <w:pPr>
        <w:spacing w:after="0" w:line="124"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of March 31, 2014, the Company has approximately $0.4 million of State net operating loss, or NOL, carryforwards. The State NOL carryforwards expires in 2028. The Company believes that it is more likely than not that the Company will generate sufficient taxable income to fully realize the tax benefit of our State NOL carryforwards.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854" w:right="239" w:bottom="1440" w:gutter="0" w:footer="0" w:header="0"/>
        </w:sectPr>
      </w:pPr>
    </w:p>
    <w:bookmarkStart w:id="80" w:name="page81"/>
    <w:bookmarkEnd w:id="80"/>
    <w:p>
      <w:pPr>
        <w:ind w:left="2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reserves for uncertain tax positions related to income tax benefits recognized. These reserves involve considerable judgment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estimation and are evaluated by management based on the best information available including changes in tax laws and other information.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2014, 2013 and 2012 the Company has recorded $57.4 million, $57.0 million and $55.3 million respectively, of reserves for uncertain tax positions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includes potential tax benefits of $55.0 million, $55.7 million and $54.9 million respectively, that, if recognized, would impact the effective tax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$57.4 million, $57.0 million and $55.3 million of reserves for uncertain tax positions as of March 31, 2014, 2013 and 2012 respectively,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$19.6 million , $18.5 million and $17.5 million respectively, may be indemnified under the remaining available DPO.</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potential tax benefits for the periods presented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55,679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77,304</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Federal benefit from change in reserve</w:t>
            </w:r>
          </w:p>
        </w:tc>
        <w:tc>
          <w:tcPr>
            <w:tcW w:w="9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5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prior year position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Settlements with taxing authorities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(14,399)</w:t>
            </w:r>
          </w:p>
        </w:tc>
      </w:tr>
      <w:tr>
        <w:trPr>
          <w:trHeight w:val="27"/>
        </w:trPr>
        <w:tc>
          <w:tcPr>
            <w:tcW w:w="5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Lapse of statute of limitations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End of year</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54,966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55,679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54,895</w:t>
            </w:r>
          </w:p>
        </w:tc>
      </w:tr>
      <w:tr>
        <w:trPr>
          <w:trHeight w:val="27"/>
        </w:trPr>
        <w:tc>
          <w:tcPr>
            <w:tcW w:w="5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Company recognized accrued interest and penalties of approximately $1.1 million, $952,000 and $362,000 for fiscal 2014, 2013, and 2012, respectively, related to the reserves for uncertain tax positions in the income tax provision. Included in the total reserve for uncertain tax positions are accrued penalties and interest of approximately $2.4 million, $1.3 million and $387,000 at March 31, 2014, 2013 and 2012 respectively.</w:t>
      </w:r>
    </w:p>
    <w:p>
      <w:pPr>
        <w:spacing w:after="0" w:line="11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did not have any material settlements or lapse of statute of limitations during fiscal year 2014. The Company is subject to taxation in the United States and various state and foreign jurisdictions. As of March 31, 2014, the Company's tax years ended July 31, 2008 and forward are open and subject to examination by the tax authorities. The jurisdictions currently under examination are not considered to be material. Additionally, no significant increases or decreases for uncertain tax positions are reasonably possible within the next twelve months.</w:t>
      </w:r>
    </w:p>
    <w:p>
      <w:pPr>
        <w:spacing w:after="0" w:line="183" w:lineRule="exact"/>
        <w:rPr>
          <w:sz w:val="20"/>
          <w:szCs w:val="20"/>
          <w:color w:val="auto"/>
        </w:rPr>
      </w:pPr>
    </w:p>
    <w:p>
      <w:pPr>
        <w:ind w:left="340" w:right="8620" w:hanging="332"/>
        <w:spacing w:after="0" w:line="346" w:lineRule="auto"/>
        <w:tabs>
          <w:tab w:leader="none" w:pos="28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spacing w:after="0" w:line="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2013 the Company reduced its discretionary contribution percentage for the ECAP. Total expense recognized under ECAP for fiscal 2014, 2013, and 2012 was $165.6 million, $237.1 million, and $235.4 million, respectively, and the Company-paid contributions were $205.2 million, $242.6 million, and $242.5 million, respectively.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the Company provides postretirement healthcare benefits to former Officers under a medical indemnity insurance plan, with premiums paid by the Company. This plan is referred to as the Officer Medical Plan.</w:t>
      </w:r>
    </w:p>
    <w:p>
      <w:pPr>
        <w:spacing w:after="0" w:line="116"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935" w:right="259" w:bottom="1440" w:gutter="0" w:footer="0" w:header="0"/>
        </w:sectPr>
      </w:pPr>
    </w:p>
    <w:bookmarkStart w:id="81" w:name="page82"/>
    <w:bookmarkEnd w:id="81"/>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2,987</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37"/>
        </w:trPr>
        <w:tc>
          <w:tcPr>
            <w:tcW w:w="5140" w:type="dxa"/>
            <w:vAlign w:val="bottom"/>
            <w:gridSpan w:val="2"/>
          </w:tcPr>
          <w:p>
            <w:pPr>
              <w:ind w:left="380"/>
              <w:spacing w:after="0"/>
              <w:rPr>
                <w:sz w:val="20"/>
                <w:szCs w:val="20"/>
                <w:color w:val="auto"/>
              </w:rPr>
            </w:pPr>
            <w:r>
              <w:rPr>
                <w:rFonts w:ascii="Arial" w:cs="Arial" w:eastAsia="Arial" w:hAnsi="Arial"/>
                <w:sz w:val="18"/>
                <w:szCs w:val="18"/>
                <w:color w:val="auto"/>
              </w:rPr>
              <w:t>Total postretirement medical expense</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11,133</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7,717</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weighted-average discount rate used to determine the year-end benefit obligations 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23495</wp:posOffset>
            </wp:positionV>
            <wp:extent cx="30702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6"/>
              <w:spacing w:after="0"/>
              <w:rPr>
                <w:sz w:val="20"/>
                <w:szCs w:val="20"/>
                <w:color w:val="auto"/>
              </w:rPr>
            </w:pPr>
            <w:r>
              <w:rPr>
                <w:rFonts w:ascii="Arial" w:cs="Arial" w:eastAsia="Arial" w:hAnsi="Arial"/>
                <w:sz w:val="14"/>
                <w:szCs w:val="14"/>
                <w:b w:val="1"/>
                <w:bCs w:val="1"/>
                <w:color w:val="auto"/>
              </w:rPr>
              <w:t>2012</w:t>
            </w:r>
          </w:p>
        </w:tc>
      </w:tr>
      <w:tr>
        <w:trPr>
          <w:trHeight w:val="250"/>
        </w:trPr>
        <w:tc>
          <w:tcPr>
            <w:tcW w:w="5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Medical Plan</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Retired Officers’ Bonus Plan</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4.75%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4.75%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Assumed healthcare cost trend rates for the Officer Medical Plan at March 31, 2014 and 2013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Pre-65 initial rate</w:t>
            </w:r>
          </w:p>
        </w:tc>
        <w:tc>
          <w:tcPr>
            <w:tcW w:w="1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 cost trend rate assumed for next year</w:t>
            </w:r>
          </w:p>
        </w:tc>
        <w:tc>
          <w:tcPr>
            <w:tcW w:w="10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w w:val="92"/>
              </w:rPr>
              <w:t>Rate to which the cost trend rate is assumed to decline (the ultimate trend rate)</w:t>
            </w:r>
          </w:p>
        </w:tc>
        <w:tc>
          <w:tcPr>
            <w:tcW w:w="1000" w:type="dxa"/>
            <w:vAlign w:val="bottom"/>
          </w:tcPr>
          <w:p>
            <w:pPr>
              <w:spacing w:after="0"/>
              <w:rPr>
                <w:sz w:val="21"/>
                <w:szCs w:val="21"/>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0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2023</w:t>
            </w:r>
          </w:p>
        </w:tc>
      </w:tr>
      <w:tr>
        <w:trPr>
          <w:trHeight w:val="39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Post-65 initial rate</w:t>
            </w: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 cost trend rate assumed for next year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w w:val="92"/>
              </w:rPr>
              <w:t>Rate to which the cost trend rate is assumed to decline (the ultimate trend rate)</w:t>
            </w: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2022</w:t>
            </w:r>
          </w:p>
        </w:tc>
        <w:tc>
          <w:tcPr>
            <w:tcW w:w="11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bl>
    <w:p>
      <w:pPr>
        <w:spacing w:after="0" w:line="14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Assumed healthcare cost trend rates have a significant effect on the amounts reported for the healthcare plans. A one-percentage-point change in assumed healthcare cost trend rates calculated as of March 31, 2014 would have the following effects: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1% Decrease</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12,634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(10,202)</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defined benefit plan expense, consisting of service and interest, associated with the Retired Officers' Bonus Plan was $768,000, $743,000,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$868,000 for fiscal 2014, fiscal 2013, and fiscal 2012, respectively. Benefits paid associated with the Retired Officers’ Bonus Plan were $1.1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$361,000, and $1.2 million for fiscal 2014, fiscal 2013, and fiscal 2012, respectively. The end-of-period benefit obligation of $4.7 million and $5.0 million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March 31, 2014 and 2013, respectively, is included in postretirement obligations within other long-term liabilities in the accompanying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18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Accumulated other comprehensive loss as of March 31, 2014 includes unrecognized actuarial gain of $6.7 million, net of taxes of $4.4 million, that has not yet been recognized in net periodic pension cost for the Retired Officers’ Bonus Plan and the Officer Medical Plan. Accumulated other comprehensive loss as of March 31, 2013, includes unrecognized net actuarial loss of $8.1 million, net of taxes of $3.3 million, that has not yet been recognized in net periodic pension cost for the Retired Officers’ Bonus Plan and the Officer Medical Plan.</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amounts in accumulated other comprehensive income expected to be recognized as components of net periodic cost in fiscal 2015 are $582,000 of net actuarial gain (loss), $0 of net prior service cost (credit), and $0 of net transition (asset) obligation.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854" w:right="319" w:bottom="1440" w:gutter="0" w:footer="0" w:header="0"/>
        </w:sectPr>
      </w:pPr>
    </w:p>
    <w:bookmarkStart w:id="82" w:name="page83"/>
    <w:bookmarkEnd w:id="82"/>
    <w:p>
      <w:pPr>
        <w:ind w:left="420"/>
        <w:spacing w:after="0"/>
        <w:rPr>
          <w:sz w:val="20"/>
          <w:szCs w:val="20"/>
          <w:color w:val="auto"/>
        </w:rPr>
      </w:pPr>
      <w:r>
        <w:rPr>
          <w:rFonts w:ascii="Arial" w:cs="Arial" w:eastAsia="Arial" w:hAnsi="Arial"/>
          <w:sz w:val="18"/>
          <w:szCs w:val="18"/>
          <w:color w:val="auto"/>
        </w:rPr>
        <w:t>The changes in the benefit obligation, plan assets, and funded status of the Officer Medical Plan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6"/>
              </w:rPr>
              <w:t>Fiscal Year Ended March 31,</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60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the year</w:t>
            </w:r>
          </w:p>
        </w:tc>
        <w:tc>
          <w:tcPr>
            <w:tcW w:w="10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78,735</w:t>
            </w:r>
          </w:p>
        </w:tc>
        <w:tc>
          <w:tcPr>
            <w:tcW w:w="5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3,892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3,912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Net actuarial (gain) loss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9,891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Benefit obligation, end of the year</w:t>
            </w:r>
          </w:p>
        </w:tc>
        <w:tc>
          <w:tcPr>
            <w:tcW w:w="1060" w:type="dxa"/>
            <w:vAlign w:val="bottom"/>
            <w:tcBorders>
              <w:top w:val="single" w:sz="8" w:color="auto"/>
            </w:tcBorders>
            <w:gridSpan w:val="2"/>
          </w:tcPr>
          <w:p>
            <w:pPr>
              <w:jc w:val="right"/>
              <w:ind w:right="94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75,902</w:t>
            </w:r>
          </w:p>
        </w:tc>
        <w:tc>
          <w:tcPr>
            <w:tcW w:w="120" w:type="dxa"/>
            <w:vAlign w:val="bottom"/>
            <w:gridSpan w:val="2"/>
          </w:tcPr>
          <w:p>
            <w:pPr>
              <w:spacing w:after="0"/>
              <w:rPr>
                <w:sz w:val="20"/>
                <w:szCs w:val="20"/>
                <w:color w:val="auto"/>
              </w:rPr>
            </w:pPr>
          </w:p>
        </w:tc>
        <w:tc>
          <w:tcPr>
            <w:tcW w:w="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78,735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63,585</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plan assets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 beginning of the year</w:t>
            </w:r>
          </w:p>
        </w:tc>
        <w:tc>
          <w:tcPr>
            <w:tcW w:w="1060" w:type="dxa"/>
            <w:vAlign w:val="bottom"/>
            <w:gridSpan w:val="2"/>
          </w:tcPr>
          <w:p>
            <w:pPr>
              <w:jc w:val="right"/>
              <w:ind w:right="9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Fair value of plan assets, end of the year</w:t>
            </w:r>
          </w:p>
        </w:tc>
        <w:tc>
          <w:tcPr>
            <w:tcW w:w="10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As of March 31, 2014 and 2013, the unfunded status of the Officer Medical Plan was $75.9 million and $78.7 million, respectively, which is included in other long-term liabilities in the accompanying consolidated balance sheets.</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Funded Status for Defined Benefit Plans</w:t>
      </w:r>
    </w:p>
    <w:p>
      <w:pPr>
        <w:spacing w:after="0" w:line="9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Generally, annual contributions are made at such times and in amounts as required by law and may, from time to time, exceed minimum funding requirements. The Retired Officers’ Bonus Plan is an unfunded plan and contributions are made as benefits are paid. As of March 31, 2014 and 2013, there were no plan assets for the Retired Officers’ Bonus Plan and therefore, the accumulated liability of $4.7 million and $5.0 million, respectively, is unfunded. The liability will be distributed in a lump-sum payment as each Officer retires.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expected future medical benefit payments and related contributions are as follows: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3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2016</w:t>
            </w:r>
          </w:p>
        </w:tc>
        <w:tc>
          <w:tcPr>
            <w:tcW w:w="3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2,378</w:t>
            </w:r>
          </w:p>
        </w:tc>
      </w:tr>
      <w:tr>
        <w:trPr>
          <w:trHeight w:val="27"/>
        </w:trPr>
        <w:tc>
          <w:tcPr>
            <w:tcW w:w="50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2018</w:t>
            </w:r>
          </w:p>
        </w:tc>
        <w:tc>
          <w:tcPr>
            <w:tcW w:w="3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2,969</w:t>
            </w:r>
          </w:p>
        </w:tc>
      </w:tr>
      <w:tr>
        <w:trPr>
          <w:trHeight w:val="27"/>
        </w:trPr>
        <w:tc>
          <w:tcPr>
            <w:tcW w:w="50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2020-2024</w:t>
            </w:r>
          </w:p>
        </w:tc>
        <w:tc>
          <w:tcPr>
            <w:tcW w:w="3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23,107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231F20"/>
        </w:rPr>
        <w:t xml:space="preserve">All amounts recorded in other comprehensive loss are related to the Company's pension plan. </w:t>
      </w:r>
      <w:r>
        <w:rPr>
          <w:rFonts w:ascii="Arial" w:cs="Arial" w:eastAsia="Arial" w:hAnsi="Arial"/>
          <w:sz w:val="18"/>
          <w:szCs w:val="18"/>
          <w:color w:val="000000"/>
        </w:rPr>
        <w:t>The following table represents a rollforward of amounts</w:t>
      </w:r>
      <w:r>
        <w:rPr>
          <w:rFonts w:ascii="Arial" w:cs="Arial" w:eastAsia="Arial" w:hAnsi="Arial"/>
          <w:sz w:val="18"/>
          <w:szCs w:val="18"/>
          <w:color w:val="231F20"/>
        </w:rPr>
        <w:t xml:space="preserve"> </w:t>
      </w:r>
      <w:r>
        <w:rPr>
          <w:rFonts w:ascii="Arial" w:cs="Arial" w:eastAsia="Arial" w:hAnsi="Arial"/>
          <w:sz w:val="18"/>
          <w:szCs w:val="18"/>
          <w:color w:val="000000"/>
        </w:rPr>
        <w:t>recognized in accumulated other comprehensive loss, net of tax:</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5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854" w:right="239" w:bottom="1440" w:gutter="0" w:footer="0" w:header="0"/>
          <w:type w:val="continuous"/>
        </w:sectPr>
      </w:pPr>
    </w:p>
    <w:bookmarkStart w:id="83" w:name="page84"/>
    <w:bookmarkEnd w:id="83"/>
    <w:p>
      <w:pPr>
        <w:ind w:left="420"/>
        <w:spacing w:after="0"/>
        <w:rPr>
          <w:sz w:val="20"/>
          <w:szCs w:val="20"/>
          <w:color w:val="auto"/>
        </w:rPr>
      </w:pPr>
      <w:r>
        <w:rPr>
          <w:rFonts w:ascii="Arial" w:cs="Arial" w:eastAsia="Arial" w:hAnsi="Arial"/>
          <w:sz w:val="18"/>
          <w:szCs w:val="18"/>
          <w:color w:val="auto"/>
        </w:rPr>
        <w:t>The following table present the reclassifications out of accumulated other comprehensive loss to net income:</w:t>
      </w:r>
    </w:p>
    <w:p>
      <w:pPr>
        <w:spacing w:after="0" w:line="230"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8220"/>
        <w:spacing w:after="0"/>
        <w:tabs>
          <w:tab w:leader="none" w:pos="9440" w:val="left"/>
          <w:tab w:leader="none" w:pos="106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200"/>
              <w:spacing w:after="0"/>
              <w:rPr>
                <w:sz w:val="20"/>
                <w:szCs w:val="20"/>
                <w:color w:val="auto"/>
              </w:rPr>
            </w:pPr>
            <w:r>
              <w:rPr>
                <w:rFonts w:ascii="Arial" w:cs="Arial" w:eastAsia="Arial" w:hAnsi="Arial"/>
                <w:sz w:val="18"/>
                <w:szCs w:val="18"/>
                <w:color w:val="auto"/>
              </w:rPr>
              <w:t>Amortization of net actuarial loss included in net periodic benefit cost (See Note 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1,524</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768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924</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15. OTHER LONG-TERM LIABILITIES</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80" w:type="dxa"/>
            <w:vAlign w:val="bottom"/>
          </w:tcPr>
          <w:p>
            <w:pPr>
              <w:ind w:left="440"/>
              <w:spacing w:after="0"/>
              <w:rPr>
                <w:sz w:val="20"/>
                <w:szCs w:val="20"/>
                <w:color w:val="auto"/>
              </w:rPr>
            </w:pPr>
            <w:r>
              <w:rPr>
                <w:rFonts w:ascii="Arial" w:cs="Arial" w:eastAsia="Arial" w:hAnsi="Arial"/>
                <w:sz w:val="18"/>
                <w:szCs w:val="18"/>
                <w:color w:val="auto"/>
              </w:rPr>
              <w:t>Other long-term liabilities consisted of the following: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40,548</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compensation (1)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gridSpan w:val="4"/>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26,443</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50,625</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payment obligation</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60,444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61,473</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83,761</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6,610</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long-term liabilities</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201,210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269,460</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8"/>
        <w:spacing w:after="0" w:line="264" w:lineRule="auto"/>
        <w:tabs>
          <w:tab w:leader="none" w:pos="255"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As disclosed in Note 8, the Company anticipates paying the entire deferred compensation balance of the EPP prior to December 31, 2014, and as such, the entire deferred compensation balance was reclassified from other long-term liabilities as of March 31, 2013 to accrued compensation and benefits as of March 31, 2014.</w:t>
      </w:r>
    </w:p>
    <w:p>
      <w:pPr>
        <w:spacing w:after="0" w:line="127"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In fiscal 2014 and 2013, the Company recorded a stock-based compensation liability of $65.9 million and $99.1 million, respectively, including $39.9 million and $48.5 million, respectively, expected to be paid within one year, related to special dividends paid in July and December 2009, June 2012, August 2012, November 2013, and February 2014. Rollover options vested and not yet exercised that would have had an exercise price below zero as a result of the dividend were reduced to one cent, with the remaining reduction to be paid in cash upon exercise of the options. Payments of the special dividends to EIP option holders is linked to vesting. Refer to Note 17 for further discussion of the special dividends.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Holders of Class A Common Stock, Class C Restricted Common Stock, and Class E Special Voting Common Stock are entitled to one vote for each share as a holder. The holders of the Voting Common Stock shall vote together as a single class. The holders of Class B Non-Voting Common Stock have no voting rights.</w:t>
      </w:r>
    </w:p>
    <w:p>
      <w:pPr>
        <w:spacing w:after="0" w:line="12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When shares of Class B Non-Voting Common Stock or Class C Restricted Common Stock are sold on the open market, they become Class A Common Stock shares. During fiscal 2014, 869,520 and 288,448 shares of Class B Non-Voting Common Stock and Class C Restricted Common stock, respectively, were sold and converted to Class A Common Stock shares.</w:t>
      </w:r>
    </w:p>
    <w:p>
      <w:pPr>
        <w:spacing w:after="0" w:line="12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Class C Restricted Common Stock is restricted in that a holder’s shares vest as set forth in the Rollover Plan. Refer to Note 17 for further discussion of the Rollover Plan.</w:t>
      </w:r>
    </w:p>
    <w:p>
      <w:pPr>
        <w:spacing w:after="0" w:line="116"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Class E Special Voting Common Stock represents the voting rights that accompany the Rollover Options. Rollover Options have a fixed vesting and exercise schedule to comply with IRS section 409A. Upon exercise, the option will convert to Class A Common Stock, and the corresponding Class E Special Voting Common Stock will be repurchased by the Company and retired. Refer to Note 17 for further discussion of the Rollover Options.</w:t>
      </w:r>
    </w:p>
    <w:p>
      <w:pPr>
        <w:spacing w:after="0" w:line="11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Each share of common stock, except for Class E Special Voting Common Stock, is entitled to participate equally in dividends, when and if declared by the Board of Directors from time to time, such dividends and other distributions in 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908" w:right="239" w:bottom="1440" w:gutter="0" w:footer="0" w:header="0"/>
        </w:sectPr>
      </w:pPr>
    </w:p>
    <w:bookmarkStart w:id="84" w:name="page85"/>
    <w:bookmarkEnd w:id="84"/>
    <w:p>
      <w:pPr>
        <w:ind w:right="20"/>
        <w:spacing w:after="0" w:line="264" w:lineRule="auto"/>
        <w:rPr>
          <w:sz w:val="20"/>
          <w:szCs w:val="20"/>
          <w:color w:val="auto"/>
        </w:rPr>
      </w:pPr>
      <w:r>
        <w:rPr>
          <w:rFonts w:ascii="Arial" w:cs="Arial" w:eastAsia="Arial" w:hAnsi="Arial"/>
          <w:sz w:val="18"/>
          <w:szCs w:val="18"/>
          <w:color w:val="auto"/>
        </w:rPr>
        <w:t>stock, or property from the Company’s assets or funds become legally available for such purposes subject to any dividend preferences that may be attributable to preferred stock that may be authorized. The Company’s ability to pay dividends to stockholders is limited as a practical matter by restrictions in the credit agreements governing the Senior Credit Facilities.</w:t>
      </w:r>
    </w:p>
    <w:p>
      <w:pPr>
        <w:spacing w:after="0" w:line="12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authorized and unissued Class A Common Stock shares are available for future issuance upon share option exercises, without additional stockholder approval.</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year ended March 31, 2014, 276,529 Class A Common Stock shares were purchased by employees under the ESPP. As of the program's inception, 1,295,070 shares have been purchased by employees.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March 31, 2014 no shares have been repurchased under the program.</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216"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Fiscal Year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 dividends (2)</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1,073,733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equivalents (3)</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r>
      <w:tr>
        <w:trPr>
          <w:trHeight w:val="257"/>
        </w:trPr>
        <w:tc>
          <w:tcPr>
            <w:tcW w:w="470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1,181,940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58"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represent recurring dividends of $0.10 per share and $0.09 per share that were declared and paid for during each quarter of fiscal 2014, fiscal 2013, and fiscal 2012, respectively.</w:t>
      </w:r>
    </w:p>
    <w:p>
      <w:pPr>
        <w:spacing w:after="0" w:line="1" w:lineRule="exact"/>
        <w:rPr>
          <w:rFonts w:ascii="Arial" w:cs="Arial" w:eastAsia="Arial" w:hAnsi="Arial"/>
          <w:sz w:val="18"/>
          <w:szCs w:val="18"/>
          <w:color w:val="auto"/>
        </w:rPr>
      </w:pPr>
    </w:p>
    <w:p>
      <w:pPr>
        <w:ind w:right="80" w:firstLine="8"/>
        <w:spacing w:after="0" w:line="265"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Amounts represent aggregate special dividends of $2.00 per share ($1.00 paid November 29, 2013 and $1.00 paid February 28, 2014) and $8.00 per share ($1.50 paid June 29, 2012 and $6.50 paid August 31, 2012) that were declared and paid for during fiscal 2014 and 2013, respectively.</w:t>
      </w: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21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On May 21, 2014, the Company announced a regular quarterly cash dividend in the amount of $0.11 per share. The quarterly dividend is payable on June 30, 2014 to stockholders of record on June 10, 2014.</w:t>
      </w:r>
    </w:p>
    <w:p>
      <w:pPr>
        <w:spacing w:after="0" w:line="1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For each special dividend declared, the Compensation Committee, as Administrator of the Officers' Rollover Stock Plan and the Equity Incentive Plan, as amended, is required to make a determination under the respective plan's antidilution provision to adjust the outstanding options. For the $1.50 special dividend announced May 29, 2012, the $6.50 dividend announced July 30, 2012, and the $1.00 special dividends announced October 29, 2013 and January 31, 2014, holders of the Rollover Options received a cash payment equal to the amount of the special dividend on the options' mandatory exercise date. For the $1.50 special dividend, holders of EIP options were granted a dividend equivalent equal to the special dividend payable on June 29, 2012 or the vesting of the EIP option, whichever is later. For the $6.50 special dividend, holders of EIP options with a pre-dividend exercise price less than $11.00 per share received a dividend equivalent equal to the amount of the special dividend payable on August 31, 2012 or the vesting of the EIP option, whichever is later. All other EIP options were adjusted by reducing the exercise price by $6.36 which is equal to the difference between the pre-dividend closing fair market value of our Class A Common Stock and the post-dividend opening fair market value of our Class A Common Stock as noted on the New York Stock Exchange. For the $1.00 special dividends, holders of EIP options received a cash payment equal to the amount of the special dividend paid on November 29, 2013 and February 28, 2014, respectively, or the vesting of the EIP option, whichever is later.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854" w:right="239" w:bottom="1440" w:gutter="0" w:footer="0" w:header="0"/>
        </w:sectPr>
      </w:pPr>
    </w:p>
    <w:bookmarkStart w:id="85" w:name="page86"/>
    <w:bookmarkEnd w:id="85"/>
    <w:p>
      <w:pPr>
        <w:ind w:right="400" w:firstLine="405"/>
        <w:spacing w:after="0" w:line="277" w:lineRule="auto"/>
        <w:rPr>
          <w:sz w:val="20"/>
          <w:szCs w:val="20"/>
          <w:color w:val="auto"/>
        </w:rPr>
      </w:pPr>
      <w:r>
        <w:rPr>
          <w:rFonts w:ascii="Arial" w:cs="Arial" w:eastAsia="Arial" w:hAnsi="Arial"/>
          <w:sz w:val="18"/>
          <w:szCs w:val="18"/>
          <w:color w:val="auto"/>
        </w:rPr>
        <w:t>The total payout of the dividend and the dividend equivalents have been presented as a financing activity within the consolidated statement of cash flows.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consolidated statements of operations:</w:t>
      </w:r>
    </w:p>
    <w:p>
      <w:pPr>
        <w:spacing w:after="0" w:line="167"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Fiscal Year Ended March 31,</w:t>
            </w:r>
          </w:p>
        </w:tc>
        <w:tc>
          <w:tcPr>
            <w:tcW w:w="10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22,168</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31,263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consolidated statements of operations by the following types of equity awards:</w:t>
      </w:r>
    </w:p>
    <w:p>
      <w:pPr>
        <w:spacing w:after="0" w:line="275"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Fiscal Year Ended March 31,</w:t>
            </w:r>
          </w:p>
        </w:tc>
        <w:tc>
          <w:tcPr>
            <w:tcW w:w="10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5,963</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Rollover Options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11,176</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Class C Restricted Stock</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31,263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As of March 31, 2014 and 2013, there was $16.4 million and $19.5 million of total unrecognized compensation cost related to unvested stock-based compensation agreements. The unrecognized compensation cost as of March 31, 2014 is expected to be fully amortized over the next 5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40" w:type="dxa"/>
            <w:vAlign w:val="bottom"/>
            <w:gridSpan w:val="13"/>
          </w:tcPr>
          <w:p>
            <w:pPr>
              <w:jc w:val="right"/>
              <w:ind w:right="420"/>
              <w:spacing w:after="0"/>
              <w:rPr>
                <w:sz w:val="20"/>
                <w:szCs w:val="20"/>
                <w:color w:val="auto"/>
              </w:rPr>
            </w:pPr>
            <w:r>
              <w:rPr>
                <w:rFonts w:ascii="Arial" w:cs="Arial" w:eastAsia="Arial" w:hAnsi="Arial"/>
                <w:sz w:val="18"/>
                <w:szCs w:val="18"/>
                <w:b w:val="1"/>
                <w:bCs w:val="1"/>
                <w:color w:val="auto"/>
                <w:w w:val="96"/>
              </w:rPr>
              <w:t>Unrecognized Compensation</w:t>
            </w:r>
          </w:p>
        </w:tc>
        <w:tc>
          <w:tcPr>
            <w:tcW w:w="248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w w:val="90"/>
              </w:rPr>
              <w:t>Weighted Average Remaining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8"/>
              </w:rPr>
              <w:t>Period to be Recognized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8"/>
              </w:rPr>
              <w:t>March 31,</w:t>
            </w:r>
          </w:p>
        </w:tc>
        <w:tc>
          <w:tcPr>
            <w:tcW w:w="12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1"/>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2.77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7"/>
              </w:rPr>
              <w:t>Class A Restricted Common Stock</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color w:val="auto"/>
                <w:w w:val="91"/>
              </w:rPr>
              <w:t>2.02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Rollover Options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0.25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Class C Restricted Stock</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color w:val="auto"/>
                <w:w w:val="91"/>
              </w:rPr>
              <w:t>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16,406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14"/>
          </w:tcPr>
          <w:p>
            <w:pPr>
              <w:jc w:val="right"/>
              <w:ind w:right="300"/>
              <w:spacing w:after="0"/>
              <w:rPr>
                <w:sz w:val="20"/>
                <w:szCs w:val="20"/>
                <w:color w:val="auto"/>
              </w:rPr>
            </w:pPr>
            <w:r>
              <w:rPr>
                <w:rFonts w:ascii="Arial" w:cs="Arial" w:eastAsia="Arial" w:hAnsi="Arial"/>
                <w:sz w:val="18"/>
                <w:szCs w:val="18"/>
                <w:b w:val="1"/>
                <w:bCs w:val="1"/>
                <w:color w:val="auto"/>
                <w:w w:val="91"/>
              </w:rPr>
              <w:t>Total Unrecognized Compensation Cost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Thereafter</w:t>
            </w:r>
          </w:p>
        </w:tc>
        <w:tc>
          <w:tcPr>
            <w:tcW w:w="0" w:type="dxa"/>
            <w:vAlign w:val="bottom"/>
          </w:tcPr>
          <w:p>
            <w:pPr>
              <w:spacing w:after="0"/>
              <w:rPr>
                <w:sz w:val="1"/>
                <w:szCs w:val="1"/>
                <w:color w:val="auto"/>
              </w:rPr>
            </w:pPr>
          </w:p>
        </w:tc>
      </w:tr>
      <w:tr>
        <w:trPr>
          <w:trHeight w:val="27"/>
        </w:trPr>
        <w:tc>
          <w:tcPr>
            <w:tcW w:w="2760" w:type="dxa"/>
            <w:vAlign w:val="bottom"/>
            <w:gridSpan w:val="2"/>
            <w:vMerge w:val="restart"/>
          </w:tcPr>
          <w:p>
            <w:pPr>
              <w:ind w:left="4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8,249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2,360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1,037</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Class A Restricted Common Stock</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8"/>
              </w:rPr>
              <w:t>2,051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333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2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16,406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84"/>
              </w:rPr>
              <w:t>4,411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1,370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F-24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54" w:right="259" w:bottom="1440" w:gutter="0" w:footer="0" w:header="0"/>
        </w:sectPr>
      </w:pPr>
    </w:p>
    <w:bookmarkStart w:id="86" w:name="page87"/>
    <w:bookmarkEnd w:id="86"/>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EIP was created in connection with the Merger Transaction for employees and directors of Holding. The Company created a pool of options, or EIP Options, to draw upon for future grants that would be governed by the EIP. All options under the EIP are exercisable, upon vesting, for shares of common stock of Holding.</w:t>
      </w:r>
    </w:p>
    <w:p>
      <w:pPr>
        <w:spacing w:after="0" w:line="127"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Stock options are granted at the discretion of the Board of Directors or its Compensation Committee and expire ten years from the grant date. Options generally vest over a five-year period based upon required service and performance conditions. Starting on February 1, 2012, the Board of Directors or its Compensation Committee updated vesting conditions for stock options, whereby stock options only vest upon a required service condition. The Company calculates the pool of additional paid-in capital associated with excess tax benefits using the “simplified method.”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aggregate grant date fair value of the EIP Options issued during fiscal 2014, fiscal 2013, and fiscal 2012, was $4.9 million, $4.2 million, and $18.5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and is being recorded as expense over the vesting period. The total fair value of EIP Options vested during fiscal 2014 and 2013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and $18.2 million, respectively. As of March 31, 2014 and 2013, there were 9,197,629 and 10,319,906 options, respectively, available for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 under the EIP.</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Adoption of Annual Incentive Plan</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October 1, 2010, the Board of Directors adopted a new compensation plan in connection with the initial public offering to more appropriately align the Company’s compensation programs with those of similarly situated companies. The amount of the annual incentive payment will be determined based on performance targets established by the Board of Directors and a portion of the bonus may be paid in the form of equity (including stock and other awards under the EIP). If the Board of Directors elects to make payments in equity, the value of the overall award will be increased by 20%, related to the portion paid in equity.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The portion to be paid in cash is accrued ratably during the fiscal year in which the employees provide service and paid out during the first quarter of the subsequent fiscal year.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of Class A Restricted Common Stock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July 1, 2013, the Board of Directors granted 744,926 shares of Class A Restricted Stock in conjunction with the Annual Incentive Plan adopted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October 1, 2010. The amount of the annual incentive payment was determined based on performance targets established by the Compensation Committee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portion of the bonus was paid in the form of Class A Restricted Stock. The aggregate value was estimated at $13.1 million based on the stock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$17.57 on the grant date. On August 21, 2013, the Board of Directors granted 25,705 shares of Class A Restricted Stock to certain members of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7"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As permitted under the terms of the Equity Incentive Plan, the Compensation Committee as Administrator of the Plan, authorized the withholding of taxes not to exceed the minimum statutory withholding amount, through the surrender of shares of Class A common stock issuable upon the vesting or accelerated vesting of Restricted Stock. For those holders who elected to participate, the trade dates were as follows for the vesting or accelerated vesting of Restricted Stock. As a result of these transactions, the Company repurchased a total of 203,782 shares and recorded them as treasury shares at a cost of $3.7 million, detailed as follows: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Shares Withheld to Cover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34290</wp:posOffset>
            </wp:positionV>
            <wp:extent cx="5934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5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2"/>
              </w:rPr>
              <w:t>Trade Date</w:t>
            </w:r>
          </w:p>
        </w:tc>
        <w:tc>
          <w:tcPr>
            <w:tcW w:w="1960" w:type="dxa"/>
            <w:vAlign w:val="bottom"/>
          </w:tcPr>
          <w:p>
            <w:pPr>
              <w:ind w:left="720"/>
              <w:spacing w:after="0"/>
              <w:rPr>
                <w:sz w:val="20"/>
                <w:szCs w:val="20"/>
                <w:color w:val="auto"/>
              </w:rPr>
            </w:pPr>
            <w:r>
              <w:rPr>
                <w:rFonts w:ascii="Arial" w:cs="Arial" w:eastAsia="Arial" w:hAnsi="Arial"/>
                <w:sz w:val="18"/>
                <w:szCs w:val="18"/>
                <w:b w:val="1"/>
                <w:bCs w:val="1"/>
                <w:color w:val="auto"/>
              </w:rPr>
              <w:t>Shares</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44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jc w:val="center"/>
              <w:spacing w:after="0"/>
              <w:rPr>
                <w:sz w:val="20"/>
                <w:szCs w:val="20"/>
                <w:color w:val="auto"/>
              </w:rPr>
            </w:pPr>
            <w:r>
              <w:rPr>
                <w:rFonts w:ascii="Arial" w:cs="Arial" w:eastAsia="Arial" w:hAnsi="Arial"/>
                <w:sz w:val="18"/>
                <w:szCs w:val="18"/>
                <w:color w:val="auto"/>
                <w:w w:val="96"/>
              </w:rPr>
              <w:t>April 1, 2013</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10,219</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$13.45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137,446</w:t>
            </w:r>
          </w:p>
        </w:tc>
      </w:tr>
      <w:tr>
        <w:trPr>
          <w:trHeight w:val="27"/>
        </w:trPr>
        <w:tc>
          <w:tcPr>
            <w:tcW w:w="3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June 30, 2013</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137,111</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$17.38</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2,382,989</w:t>
            </w:r>
          </w:p>
        </w:tc>
      </w:tr>
      <w:tr>
        <w:trPr>
          <w:trHeight w:val="243"/>
        </w:trPr>
        <w:tc>
          <w:tcPr>
            <w:tcW w:w="3460" w:type="dxa"/>
            <w:vAlign w:val="bottom"/>
          </w:tcPr>
          <w:p>
            <w:pPr>
              <w:jc w:val="center"/>
              <w:spacing w:after="0"/>
              <w:rPr>
                <w:sz w:val="20"/>
                <w:szCs w:val="20"/>
                <w:color w:val="auto"/>
              </w:rPr>
            </w:pPr>
            <w:r>
              <w:rPr>
                <w:rFonts w:ascii="Arial" w:cs="Arial" w:eastAsia="Arial" w:hAnsi="Arial"/>
                <w:sz w:val="18"/>
                <w:szCs w:val="18"/>
                <w:color w:val="auto"/>
                <w:w w:val="91"/>
              </w:rPr>
              <w:t>July 15, 2013</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3,959</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$18.40</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72,846</w:t>
            </w:r>
          </w:p>
        </w:tc>
      </w:tr>
      <w:tr>
        <w:trPr>
          <w:trHeight w:val="27"/>
        </w:trPr>
        <w:tc>
          <w:tcPr>
            <w:tcW w:w="3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31, 2013</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5,844</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$21.38</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124,945</w:t>
            </w:r>
          </w:p>
        </w:tc>
      </w:tr>
      <w:tr>
        <w:trPr>
          <w:trHeight w:val="243"/>
        </w:trPr>
        <w:tc>
          <w:tcPr>
            <w:tcW w:w="3460" w:type="dxa"/>
            <w:vAlign w:val="bottom"/>
          </w:tcPr>
          <w:p>
            <w:pPr>
              <w:jc w:val="center"/>
              <w:spacing w:after="0"/>
              <w:rPr>
                <w:sz w:val="20"/>
                <w:szCs w:val="20"/>
                <w:color w:val="auto"/>
              </w:rPr>
            </w:pPr>
            <w:r>
              <w:rPr>
                <w:rFonts w:ascii="Arial" w:cs="Arial" w:eastAsia="Arial" w:hAnsi="Arial"/>
                <w:sz w:val="18"/>
                <w:szCs w:val="18"/>
                <w:color w:val="auto"/>
                <w:w w:val="89"/>
              </w:rPr>
              <w:t>September 13, 2013</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7,309</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$19.19</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140,260</w:t>
            </w:r>
          </w:p>
        </w:tc>
      </w:tr>
      <w:tr>
        <w:trPr>
          <w:trHeight w:val="27"/>
        </w:trPr>
        <w:tc>
          <w:tcPr>
            <w:tcW w:w="3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7, 2013</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4,162</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$18.59</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77,372</w:t>
            </w:r>
          </w:p>
        </w:tc>
      </w:tr>
      <w:tr>
        <w:trPr>
          <w:trHeight w:val="243"/>
        </w:trPr>
        <w:tc>
          <w:tcPr>
            <w:tcW w:w="346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35,178</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$22.00</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773,916</w:t>
            </w:r>
          </w:p>
        </w:tc>
      </w:tr>
      <w:tr>
        <w:trPr>
          <w:trHeight w:val="27"/>
        </w:trPr>
        <w:tc>
          <w:tcPr>
            <w:tcW w:w="346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203,782</w:t>
            </w:r>
          </w:p>
        </w:tc>
        <w:tc>
          <w:tcPr>
            <w:tcW w:w="19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3,709,774</w:t>
            </w:r>
          </w:p>
        </w:tc>
      </w:tr>
      <w:tr>
        <w:trPr>
          <w:trHeight w:val="20"/>
        </w:trPr>
        <w:tc>
          <w:tcPr>
            <w:tcW w:w="3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46"/>
        </w:trPr>
        <w:tc>
          <w:tcPr>
            <w:tcW w:w="346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Arial" w:cs="Arial" w:eastAsia="Arial" w:hAnsi="Arial"/>
                <w:sz w:val="18"/>
                <w:szCs w:val="18"/>
                <w:color w:val="auto"/>
              </w:rPr>
              <w:t>F-25</w:t>
            </w:r>
          </w:p>
        </w:tc>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936" w:right="239" w:bottom="1440" w:gutter="0" w:footer="0" w:header="0"/>
        </w:sectPr>
      </w:pPr>
    </w:p>
    <w:bookmarkStart w:id="87" w:name="page88"/>
    <w:bookmarkEnd w:id="87"/>
    <w:p>
      <w:pPr>
        <w:ind w:left="26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Rollover Plan was adopted as a mechanism to enable Company Officers to exchange a portion of their previous equity interests in the pre-acquisition Company for equity interests in the Company. Among the equity interests that were eligible for exchange were common stock and stock rights, both vested and unvested.</w:t>
      </w:r>
    </w:p>
    <w:p>
      <w:pPr>
        <w:spacing w:after="0" w:line="12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Unvested stock rights that would have vested in 2008 were exchanged for 2,028,270 shares of new Class C Restricted Stock issued by the Company at an estimated fair value of $10.00 at August 1, 2008. The aggregate grant date fair value of the Class C Restricted Stock issued of $20.3 million was recorded as expense over the vesting period. For the fiscal years ended March 31, 2014 and 2013, 136,200 cumulative shares of Class C Restricted Stock vested for each year. At March 31, 2014 and 2013, 3,971,730 shares of Class C Restricted Stock were authorized but unissued under the Plan. Notwithstanding the foregoing, Class C Restricted Stock was intended to be issued only in connection with the exchange process described above.</w:t>
      </w:r>
    </w:p>
    <w:p>
      <w:pPr>
        <w:spacing w:after="0" w:line="10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 addition to the conversion of the stock rights that would have vested in 2008 to Class C Restricted Stock, Options were issued in exchange for old stock rights held by the U.S. government consulting partners of the pre-acquisition Company. The Rollover Options were granted based on the retirement eligibility of the Officer. For the purposes of these options, there were two categories of Officers — retirement eligible and non-retirement eligible. Rollover Options granted to retirement eligible Officers vested in equal annual installments on June 30, 2009, 2010, and 2011.</w:t>
      </w:r>
    </w:p>
    <w:p>
      <w:pPr>
        <w:spacing w:after="0" w:line="11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table summarizes the exercise schedule for Officers who were deemed retirement eligible. Exercise schedules are based on original vesting dates applicable to the stock rights surrendered:</w:t>
      </w:r>
    </w:p>
    <w:p>
      <w:pPr>
        <w:spacing w:after="0" w:line="329" w:lineRule="exact"/>
        <w:rPr>
          <w:sz w:val="20"/>
          <w:szCs w:val="20"/>
          <w:color w:val="auto"/>
        </w:rPr>
      </w:pPr>
    </w:p>
    <w:p>
      <w:pPr>
        <w:jc w:val="center"/>
        <w:ind w:left="4340"/>
        <w:spacing w:after="0"/>
        <w:rPr>
          <w:sz w:val="20"/>
          <w:szCs w:val="20"/>
          <w:color w:val="auto"/>
        </w:rPr>
      </w:pPr>
      <w:r>
        <w:rPr>
          <w:rFonts w:ascii="Arial" w:cs="Arial" w:eastAsia="Arial" w:hAnsi="Arial"/>
          <w:sz w:val="18"/>
          <w:szCs w:val="18"/>
          <w:b w:val="1"/>
          <w:bCs w:val="1"/>
          <w:color w:val="auto"/>
        </w:rPr>
        <w:t>Percentage of Rollover Options to be Exercised</w:t>
      </w:r>
    </w:p>
    <w:p>
      <w:pPr>
        <w:spacing w:after="0" w:line="27" w:lineRule="exact"/>
        <w:rPr>
          <w:sz w:val="20"/>
          <w:szCs w:val="20"/>
          <w:color w:val="auto"/>
        </w:rPr>
      </w:pPr>
    </w:p>
    <w:p>
      <w:pPr>
        <w:jc w:val="center"/>
        <w:ind w:left="434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22860</wp:posOffset>
            </wp:positionV>
            <wp:extent cx="4476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Eligible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Original vesting date of June 30,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Original vesting date of June 30, 2010</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Original vesting date of June 30, 2011</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30%</w:t>
            </w:r>
          </w:p>
        </w:tc>
      </w:tr>
    </w:tbl>
    <w:p>
      <w:pPr>
        <w:spacing w:after="0" w:line="17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Those individuals who were considered retirement eligible also were given the opportunity to make a one-time election to be treated as non-retirement eligible. The determination of retirement eligibility was made as of a set point in time and could not be changed at a future date.</w:t>
      </w:r>
    </w:p>
    <w:p>
      <w:pPr>
        <w:spacing w:after="0" w:line="9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Rollover Options granted to Officers who were categorized as non-retirement eligible vested 50% on June 30, 2011, 25% on June 30, 2012, and 25% on June 30, 2013.</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summarizes the exercise schedule for Officers who were deemed non-retirement eligible. Exercise schedules are based on original vesting dates applicable to the stock rights surrendered:</w:t>
      </w:r>
    </w:p>
    <w:p>
      <w:pPr>
        <w:spacing w:after="0" w:line="302" w:lineRule="exact"/>
        <w:rPr>
          <w:sz w:val="20"/>
          <w:szCs w:val="20"/>
          <w:color w:val="auto"/>
        </w:rPr>
      </w:pPr>
    </w:p>
    <w:p>
      <w:pPr>
        <w:jc w:val="center"/>
        <w:ind w:left="4680"/>
        <w:spacing w:after="0"/>
        <w:rPr>
          <w:sz w:val="20"/>
          <w:szCs w:val="20"/>
          <w:color w:val="auto"/>
        </w:rPr>
      </w:pPr>
      <w:r>
        <w:rPr>
          <w:rFonts w:ascii="Arial" w:cs="Arial" w:eastAsia="Arial" w:hAnsi="Arial"/>
          <w:sz w:val="18"/>
          <w:szCs w:val="18"/>
          <w:b w:val="1"/>
          <w:bCs w:val="1"/>
          <w:color w:val="auto"/>
        </w:rPr>
        <w:t>Percentage of Rollover Options to be Exercised</w:t>
      </w:r>
    </w:p>
    <w:p>
      <w:pPr>
        <w:spacing w:after="0" w:line="27" w:lineRule="exact"/>
        <w:rPr>
          <w:sz w:val="20"/>
          <w:szCs w:val="20"/>
          <w:color w:val="auto"/>
        </w:rPr>
      </w:pPr>
    </w:p>
    <w:p>
      <w:pPr>
        <w:jc w:val="center"/>
        <w:ind w:left="468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22860</wp:posOffset>
            </wp:positionV>
            <wp:extent cx="42621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Non-Retirement Eligible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Original vesting date of June 30, 2011</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20%</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Original vesting date of June 30, 2012</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Original vesting date of June 30, 2013</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33%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34%</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grant date fair value of the Rollover Options issued of $127.1 million was recorded as compensation expense over the vesting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grant date fair value of Rollover Options vested during fiscal 2014 and 2013 was $16.2 million for each year.</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Methodology</w:t>
      </w:r>
    </w:p>
    <w:p>
      <w:pPr>
        <w:spacing w:after="0" w:line="9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uses the Black-Scholes option-pricing model to determine the estimated fair value for stock-based awards. The fair value of the Company’s stock is based on the closing price on the New York Stock Exchange.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936" w:right="259" w:bottom="1440" w:gutter="0" w:footer="0" w:header="0"/>
        </w:sectPr>
      </w:pPr>
    </w:p>
    <w:bookmarkStart w:id="88" w:name="page89"/>
    <w:bookmarkEnd w:id="88"/>
    <w:p>
      <w:pPr>
        <w:ind w:right="40" w:firstLine="405"/>
        <w:spacing w:after="0" w:line="291" w:lineRule="auto"/>
        <w:rPr>
          <w:sz w:val="20"/>
          <w:szCs w:val="20"/>
          <w:color w:val="auto"/>
        </w:rPr>
      </w:pPr>
      <w:r>
        <w:rPr>
          <w:rFonts w:ascii="Arial" w:cs="Arial" w:eastAsia="Arial" w:hAnsi="Arial"/>
          <w:sz w:val="16"/>
          <w:szCs w:val="16"/>
          <w:color w:val="auto"/>
        </w:rPr>
        <w:t>During fiscal year 2014, the Company’s Board of Directors authorized and declared four regular quarterly cash dividends of $0.10 per share. Therefore, an annualized dividend yield between 1.92% and 2.26% was used in the Black-Scholes option-pricing model for all grants issued during the fiscal year. The Company has excluded any special dividends from the annualized dividend yield because of their classification as special dividends and their non-recurring nature. The Company plans to continue paying recurring dividends in the near term and assessing its excess cash resources to determine the best way to utilize its excess cash flow in order to meet its objectives. One way the Company may utilize excess cash includes the payment of special dividends. The Company does not anticipate or forecast the payment of special dividends and therefore does not include special dividends in the annual dividend yield which the company uses to calculate the fair value of stock options, as the Company does not pay these special dividends on a regular basis.</w:t>
      </w:r>
    </w:p>
    <w:p>
      <w:pPr>
        <w:spacing w:after="0" w:line="11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Implied volatility is calculated as of each grant date based on our historical volatility along with an assessment of a peer group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in the Black-Scholes option-pricing model for stock option awards were as follows:</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440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Through Fiscal Year Ended March 31,</w:t>
            </w:r>
          </w:p>
        </w:tc>
      </w:tr>
      <w:tr>
        <w:trPr>
          <w:trHeight w:val="27"/>
        </w:trPr>
        <w:tc>
          <w:tcPr>
            <w:tcW w:w="48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8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0.28%</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30.97%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33.12%</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36.80%</w:t>
            </w: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2.35%</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6.64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7.00</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7.00</w:t>
            </w: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$4.69</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$7.56</w:t>
            </w:r>
          </w:p>
        </w:tc>
      </w:tr>
      <w:tr>
        <w:trPr>
          <w:trHeight w:val="27"/>
        </w:trPr>
        <w:tc>
          <w:tcPr>
            <w:tcW w:w="48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Board of Directors, as the Administrator of the Officers' Rollover Stock Plan and the Amended and Restated Equity Incentive Plan have discretion in how to effect the required adjustment to keep option holders whole in the event of a distribution of dividends that trigger certain anti-dilution clauses within the respective plans. In the event the Board of Directors elect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6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On May 29, 2012, our Board of Directors declared a special cash dividend of $1.50 per share that was paid on June 29, 2012 to stockholders of record on June 11, 2012. The Compensation Committee, as the Administrator of the Officers' Rollover Stock Plan and the EIP, made a required adjustment to the outstanding options under each plan by granting holders of the Rollover Options a cash payment equal to the amount of the special dividend on the options' mandatory exercise date and by granting the holders of EIP options a dividend equivalent equal to the special dividend and payable on June 29, 2012 or the vesting of the EIP option, whichever is later.</w:t>
      </w:r>
    </w:p>
    <w:p>
      <w:pPr>
        <w:spacing w:after="0" w:line="269"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On July 30, 2012, our Board of Directors authorized and declared a special cash dividend of $6.50 per share. The dividend was accounted for on July 31, 2012, the declaration date, by reducing retained earnings to zero with the remainder being recorded as a reduction to additional paid-in capital. The dividend was paid on August 31, 2012 to stockholders of record on August 13, 2012. The Board of Directors, as the Administrator of the Officers' Rollover Stock Plan and the EIP, made a determination to adjust the outstanding options under each plan.</w:t>
      </w:r>
    </w:p>
    <w:p>
      <w:pPr>
        <w:spacing w:after="0" w:line="171"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On October 29, 2013, our Board of Directors authorized and declared a special cash dividend of $1.00 per share. The dividend was paid on November 29, 2013 to stockholders of record on November 11, 2013. The Compensation Committee, as the Administrator of the Officers' Rollover Stock Plan and the EIP, made a required adjustment to the outstanding options under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854" w:right="239" w:bottom="1440" w:gutter="0" w:footer="0" w:header="0"/>
        </w:sectPr>
      </w:pPr>
    </w:p>
    <w:bookmarkStart w:id="89" w:name="page90"/>
    <w:bookmarkEnd w:id="89"/>
    <w:p>
      <w:pPr>
        <w:ind w:right="80"/>
        <w:spacing w:after="0" w:line="264" w:lineRule="auto"/>
        <w:rPr>
          <w:sz w:val="20"/>
          <w:szCs w:val="20"/>
          <w:color w:val="auto"/>
        </w:rPr>
      </w:pPr>
      <w:r>
        <w:rPr>
          <w:rFonts w:ascii="Arial" w:cs="Arial" w:eastAsia="Arial" w:hAnsi="Arial"/>
          <w:sz w:val="18"/>
          <w:szCs w:val="18"/>
          <w:color w:val="auto"/>
        </w:rPr>
        <w:t>each plan by granting holders of the Rollover options a cash payment equal to the amount of the special dividend on the options' mandatory exercise date and by granting the holders of EIP options a dividend equivalent equal to the special dividend and payable on November 29, 2013 or the vesting of the EIP option, whichever is later.</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January 31, 2014, our Board of Directors authorized and declared a special cash dividend of $1.00 per share. The dividend was paid on February 28, 2014 to stockholders of record on February 10, 2014. The Board of Directors, acting as the Administrator of the Officers' Rollover Stock Plan and the Amended and Restated Equity Incentive Plan, made a determination to adjust the outstanding Rollover and EIP options for the special dividend to prevent the dilution of the benefit or potential benefit of the options. The adjustment is in the form of a $1.00 dividend equivalent. Holders of the Rollover Options will receive a cash payment equal to the amount of the special dividend on the exercise of the option during the options' mandatory exercise period. Holders of EIP options received or will receive a cash payment equal to the amount of the special dividend payable on February 28, 2014 or the vesting of the EIP option, whichever is later.</w:t>
      </w:r>
    </w:p>
    <w:p>
      <w:pPr>
        <w:spacing w:after="0" w:line="5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September 30, 2013, Rollover Options holders received a dividend equivalent payment of $34.0 million related to special dividends declared in fiscal years 2010 and 2013. On June 28, 2013 vested outstanding EIP option holders received a dividend equivalent payment of $13.9 million related to the special dividends declared in fiscal year 2013. On November 29, 2013 vested EIP option holders received a payment of $4.2 million related to the special dividend declared in October 2013. On February 28, 2014 and March 31, 2014 vested EIP option holders received a total payment of $4.1 million, related to the special dividend declared in January 2014. Payment of the dividend equivalents were accounted for as modifications resulting in incremental benefit to the option holders resulting in additional compensation expense of $1.6 million. Total compensation expense recorded in conjunction with the payment of all dividend equivalent to holders of unvested EIP options for the fiscal year ended March 31, 2014 was $2.1 million. Future compensation cost related to payment of the dividend equivalents to holders of EIP options not yet recognized in the statement of operations is $1.0 million and is expected to be recognized over 3.25 years.</w:t>
      </w:r>
    </w:p>
    <w:p>
      <w:pPr>
        <w:spacing w:after="0" w:line="27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March 31, 2014 and March 31, 2013, the Company calculated a total recorded and unrecorded stock-based compensation liability of $73.1 million and $106.4 million, respectively, related to the special dividends paid in July 2009, December 2009, June 2012, August 2012, November 2013 and February 2014,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March 31, 2014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2013</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EIP Options</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Current portion of liability</w:t>
            </w:r>
            <w:r>
              <w:rPr>
                <w:rFonts w:ascii="Arial" w:cs="Arial" w:eastAsia="Arial" w:hAnsi="Arial"/>
                <w:sz w:val="25"/>
                <w:szCs w:val="25"/>
                <w:color w:val="auto"/>
                <w:vertAlign w:val="superscript"/>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48,468</w:t>
            </w:r>
          </w:p>
        </w:tc>
      </w:tr>
      <w:tr>
        <w:trPr>
          <w:trHeight w:val="270"/>
        </w:trPr>
        <w:tc>
          <w:tcPr>
            <w:tcW w:w="3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Long-term portion of liability</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25,966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25,966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120" w:hanging="112"/>
        <w:spacing w:after="0"/>
        <w:tabs>
          <w:tab w:leader="none" w:pos="12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Included in accrued compensation and benefits (Note 8).</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Included in other long-term liabilities.</w:t>
      </w:r>
    </w:p>
    <w:p>
      <w:pPr>
        <w:spacing w:after="0" w:line="1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As of March 31, 2014, $7.2 million related to EIP Options will be recorded as liabilities as the options vest over the next 5 years. There is no unrecorded liability related to Rollover options as of March 31, 2014, as the Rollover options are fully vested. As of March 31, 2013, there were unrecognized liabilities of $2.8 million related to Rollover Options and $4.5 million related to EIP options.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92"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7960" w:type="dxa"/>
            <w:vAlign w:val="bottom"/>
          </w:tcPr>
          <w:p>
            <w:pPr>
              <w:ind w:left="420"/>
              <w:spacing w:after="0"/>
              <w:rPr>
                <w:sz w:val="20"/>
                <w:szCs w:val="20"/>
                <w:color w:val="auto"/>
              </w:rPr>
            </w:pPr>
            <w:r>
              <w:rPr>
                <w:rFonts w:ascii="Arial" w:cs="Arial" w:eastAsia="Arial" w:hAnsi="Arial"/>
                <w:sz w:val="18"/>
                <w:szCs w:val="18"/>
                <w:color w:val="auto"/>
              </w:rPr>
              <w:t>The following table summarizes stock option activity for the periods presented: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Officers’ Rollover Stock Plan Options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Retirement Eligible: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2013</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1,699,939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971,389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at March 31, 2014</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728,550</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Non-Retirement Eligible:</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Options outstanding at March 31, 2013</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5,544,156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1,848,053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2014</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3,696,103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2013</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8,975,830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1,071,738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2,480,293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960" w:type="dxa"/>
            <w:vAlign w:val="bottom"/>
          </w:tcPr>
          <w:p>
            <w:pPr>
              <w:ind w:left="40"/>
              <w:spacing w:after="0"/>
              <w:rPr>
                <w:sz w:val="20"/>
                <w:szCs w:val="20"/>
                <w:color w:val="auto"/>
              </w:rPr>
            </w:pPr>
            <w:r>
              <w:rPr>
                <w:rFonts w:ascii="Arial" w:cs="Arial" w:eastAsia="Arial" w:hAnsi="Arial"/>
                <w:sz w:val="18"/>
                <w:szCs w:val="18"/>
                <w:color w:val="auto"/>
              </w:rPr>
              <w:t>Options outstanding at March 31, 2014</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7,050,965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8"/>
        <w:spacing w:after="0" w:line="277" w:lineRule="auto"/>
        <w:tabs>
          <w:tab w:leader="none" w:pos="1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 reduced for $4.642 dividend issued December 11, 2009, $1.087 dividend issued July 27, 2009, $1.50 dividend issued May 29, 2012, and the $6.50 dividend issued July 30, 2012.</w:t>
      </w:r>
    </w:p>
    <w:p>
      <w:pPr>
        <w:spacing w:after="0" w:line="170" w:lineRule="exact"/>
        <w:rPr>
          <w:sz w:val="20"/>
          <w:szCs w:val="20"/>
          <w:color w:val="auto"/>
        </w:rPr>
      </w:pPr>
    </w:p>
    <w:p>
      <w:pPr>
        <w:ind w:left="5540" w:right="3420" w:hanging="5532"/>
        <w:spacing w:after="0" w:line="810" w:lineRule="auto"/>
        <w:tabs>
          <w:tab w:leader="none" w:pos="2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exercise price adjustment of $6.36 per grant for the $6.50 dividend per share issued July 30, 2012. F-29</w:t>
      </w:r>
    </w:p>
    <w:p>
      <w:pPr>
        <w:sectPr>
          <w:pgSz w:w="11900" w:h="16838" w:orient="portrait"/>
          <w:cols w:equalWidth="0" w:num="1">
            <w:col w:w="11360"/>
          </w:cols>
          <w:pgMar w:left="240" w:top="908" w:right="299" w:bottom="1440" w:gutter="0" w:footer="0" w:header="0"/>
        </w:sectPr>
      </w:pPr>
    </w:p>
    <w:bookmarkStart w:id="91" w:name="page92"/>
    <w:bookmarkEnd w:id="91"/>
    <w:p>
      <w:pPr>
        <w:ind w:left="420"/>
        <w:spacing w:after="0"/>
        <w:rPr>
          <w:sz w:val="20"/>
          <w:szCs w:val="20"/>
          <w:color w:val="auto"/>
        </w:rPr>
      </w:pPr>
      <w:r>
        <w:rPr>
          <w:rFonts w:ascii="Arial" w:cs="Arial" w:eastAsia="Arial" w:hAnsi="Arial"/>
          <w:sz w:val="18"/>
          <w:szCs w:val="18"/>
          <w:color w:val="auto"/>
        </w:rPr>
        <w:t>The following table summarizes unvested stock options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c>
          <w:tcPr>
            <w:tcW w:w="1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 on</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Officers’ Rollover Stock Plan Options</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Non-Retirement Eligible:</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2013</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1,879,375</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18,775</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1,879,375</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18,775</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2014</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2013</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5,486,060</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1,071,738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2,640,429</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514,310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2014</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3,403,059</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options outstanding at March 31,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92"/>
        </w:trPr>
        <w:tc>
          <w:tcPr>
            <w:tcW w:w="242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6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5"/>
              </w:rPr>
              <w:t>Officers’ Rollover Stock Plan</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tcPr>
          <w:p>
            <w:pPr>
              <w:jc w:val="right"/>
              <w:ind w:right="794"/>
              <w:spacing w:after="0"/>
              <w:rPr>
                <w:sz w:val="20"/>
                <w:szCs w:val="20"/>
                <w:color w:val="auto"/>
              </w:rPr>
            </w:pPr>
            <w:r>
              <w:rPr>
                <w:rFonts w:ascii="Arial" w:cs="Arial" w:eastAsia="Arial" w:hAnsi="Arial"/>
                <w:sz w:val="18"/>
                <w:szCs w:val="18"/>
                <w:color w:val="auto"/>
              </w:rPr>
              <w:t>$0.01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4,424,653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0.67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4,424,653</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0.67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jc w:val="right"/>
              <w:ind w:right="474"/>
              <w:spacing w:after="0"/>
              <w:rPr>
                <w:sz w:val="20"/>
                <w:szCs w:val="20"/>
                <w:color w:val="auto"/>
              </w:rPr>
            </w:pPr>
            <w:r>
              <w:rPr>
                <w:rFonts w:ascii="Arial" w:cs="Arial" w:eastAsia="Arial" w:hAnsi="Arial"/>
                <w:sz w:val="18"/>
                <w:szCs w:val="18"/>
                <w:color w:val="auto"/>
              </w:rPr>
              <w:t>$4.27 - $20.85</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7,050,965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$9.39</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6.58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3,647,906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$6.48</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8"/>
        <w:spacing w:after="0" w:line="277" w:lineRule="auto"/>
        <w:tabs>
          <w:tab w:leader="none" w:pos="1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 reduced for $ 4.642 dividend issued December 11, 2009, $1.087 dividend issued July 27, 2009, $1.50 dividend issued May 29, 2012 and the $6.50 dividend issued July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Reflects exercise price adjustment of $6.36 per grant for the $6.50 dividend per share issued July 30, 2012.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FINANCIAL INSTRUMENTS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following table set forth by levels represents the fair value of the Company's cash and cash equivalents as of March 31,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92" w:right="239" w:bottom="1440" w:gutter="0" w:footer="0" w:header="0"/>
        </w:sectPr>
      </w:pPr>
    </w:p>
    <w:bookmarkStart w:id="92" w:name="page93"/>
    <w:bookmarkEnd w:id="92"/>
    <w:tbl>
      <w:tblPr>
        <w:tblLayout w:type="fixed"/>
        <w:tblInd w:w="72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Fair Value of Cash and Cash Equivalents</w:t>
            </w:r>
          </w:p>
        </w:tc>
        <w:tc>
          <w:tcPr>
            <w:tcW w:w="92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1"/>
              </w:rPr>
              <w:t>as of March 31, 2014</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Level 3</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37,886</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37,886</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 (1)</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222,108</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222,108</w:t>
            </w:r>
          </w:p>
        </w:tc>
      </w:tr>
      <w:tr>
        <w:trPr>
          <w:trHeight w:val="257"/>
        </w:trPr>
        <w:tc>
          <w:tcPr>
            <w:tcW w:w="482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37,886</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222,108</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259,994</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 forth by levels represents the fair value of the Company's cash and cash equivalents as of March 31, 2013.</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0"/>
              </w:rPr>
              <w:t>Fair Value of Cash and Cash Equivalents</w:t>
            </w: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as of March 31, 2013</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4"/>
              </w:rPr>
              <w:t>Level 1</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4"/>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111,805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111,805</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 (1)</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238,579</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238,579</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111,805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238,579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350,384</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6"/>
          <w:szCs w:val="16"/>
          <w:color w:val="auto"/>
        </w:rPr>
        <w:t>Level two cash and cash equivalents are invested in money market funds that are intended to maintain a stable net asset value of $1.00 per share by</w:t>
      </w:r>
    </w:p>
    <w:p>
      <w:pPr>
        <w:spacing w:after="0" w:line="49" w:lineRule="exact"/>
        <w:rPr>
          <w:rFonts w:ascii="Arial" w:cs="Arial" w:eastAsia="Arial" w:hAnsi="Arial"/>
          <w:sz w:val="18"/>
          <w:szCs w:val="18"/>
          <w:color w:val="auto"/>
        </w:rPr>
      </w:pPr>
    </w:p>
    <w:p>
      <w:pPr>
        <w:ind w:right="100"/>
        <w:spacing w:after="0" w:line="293" w:lineRule="auto"/>
        <w:rPr>
          <w:rFonts w:ascii="Arial" w:cs="Arial" w:eastAsia="Arial" w:hAnsi="Arial"/>
          <w:sz w:val="18"/>
          <w:szCs w:val="18"/>
          <w:color w:val="auto"/>
        </w:rPr>
      </w:pPr>
      <w:r>
        <w:rPr>
          <w:rFonts w:ascii="Arial" w:cs="Arial" w:eastAsia="Arial" w:hAnsi="Arial"/>
          <w:sz w:val="18"/>
          <w:szCs w:val="18"/>
          <w:color w:val="auto"/>
        </w:rPr>
        <w:t>investing in liquid, high quality U.S. dollar-denominated money market instruments. Depending on our short-term liquidity needs, we make regular transfers between money market funds and other cash equivalents.</w:t>
      </w:r>
    </w:p>
    <w:p>
      <w:pPr>
        <w:spacing w:after="0" w:line="15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fair value of the Company's trade accounts receivable and accounts payable approximates its carrying value at March 31, 2014 and March 31, 2013 because of the short-term nature of these instruments. The fair value of the Company's debt instruments approximates its carrying value at March 31, 2014 and March 31, 2013. The fair value of debt is determined based on interest rates available for debt with terms and maturities similar to the Company's existing debt arrangements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RELATED-PARTY TRANSACTIONS</w:t>
      </w:r>
    </w:p>
    <w:p>
      <w:pPr>
        <w:spacing w:after="0" w:line="9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Carlyle Group is the majority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fiscal 2014 were $444,000 and $368,000, respectively. Revenue and cost associated with these related parties for fiscal 2013 were $739,000 and $657,000, respectively. Revenue and cost associated with these related party transactions for fiscal 2012 were $1.5 million and $1.4 million, respectively.</w:t>
      </w:r>
    </w:p>
    <w:p>
      <w:pPr>
        <w:spacing w:after="0" w:line="3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amounts of $55.5 million and $58.3 million at March 31, 2014 and 2013, respectively. The participation by such investment vehicles in the syndication of the Company's debt during fiscal 2014 and fiscal 2013 was done on an arm’s length basis.</w:t>
      </w:r>
    </w:p>
    <w:p>
      <w:pPr>
        <w:spacing w:after="0" w:line="46"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In addition, the Company made a one-time payment to TC Group of $20.0 million for investment banking, financial advisory and other services provided to the Company in connection with the acquisition of Booz Allen Hamilton, Inc. in 2008 by The Carlyle Group, or acquisition. For fiscal 2014, fiscal 2013, and fiscal 2012, the Company incurred $1.0 million per year in advisory fees.</w:t>
      </w:r>
    </w:p>
    <w:p>
      <w:pPr>
        <w:spacing w:after="0" w:line="189" w:lineRule="exact"/>
        <w:rPr>
          <w:sz w:val="20"/>
          <w:szCs w:val="20"/>
          <w:color w:val="auto"/>
        </w:rPr>
      </w:pPr>
    </w:p>
    <w:p>
      <w:pPr>
        <w:ind w:left="260" w:right="7680" w:hanging="252"/>
        <w:spacing w:after="0" w:line="346" w:lineRule="auto"/>
        <w:tabs>
          <w:tab w:leader="none" w:pos="287"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leases office space under noncancelable operating leases that expire at various dates through 2022. The terms for the facility leases generally provide for rental payments on a graduated scale, which are recognized on a straight-line basis over the terms of the leases, including reasonably assured renewal periods, from the time the Company controls the leased property. Lease incentives are recorded as a deferred credit and recognized as a reduction to rent expense on a straight-line basis over the lease term. Rent expense was approximately $103.5 million, net of $2.5 million of sublease income, $105.9</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958" w:right="259" w:bottom="1440" w:gutter="0" w:footer="0" w:header="0"/>
        </w:sectPr>
      </w:pPr>
    </w:p>
    <w:bookmarkStart w:id="93" w:name="page94"/>
    <w:bookmarkEnd w:id="93"/>
    <w:p>
      <w:pPr>
        <w:ind w:right="440"/>
        <w:spacing w:after="0" w:line="277" w:lineRule="auto"/>
        <w:rPr>
          <w:sz w:val="20"/>
          <w:szCs w:val="20"/>
          <w:color w:val="auto"/>
        </w:rPr>
      </w:pPr>
      <w:r>
        <w:rPr>
          <w:rFonts w:ascii="Arial" w:cs="Arial" w:eastAsia="Arial" w:hAnsi="Arial"/>
          <w:sz w:val="18"/>
          <w:szCs w:val="18"/>
          <w:color w:val="auto"/>
        </w:rPr>
        <w:t>million, net of $5.5 million of sublease income, and $113.9 million, net of $5.7 million of sublease income, for fiscal 2014, fiscal 2013, and fiscal 2012, respectively.</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Future minimum operating lease payments for noncancelable operating leases and future minimum noncancelable sublease rentals are summarized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49"/>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Lease</w:t>
            </w:r>
          </w:p>
        </w:tc>
        <w:tc>
          <w:tcPr>
            <w:tcW w:w="20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92"/>
        </w:trPr>
        <w:tc>
          <w:tcPr>
            <w:tcW w:w="8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200" w:type="dxa"/>
            <w:vAlign w:val="bottom"/>
          </w:tcPr>
          <w:p>
            <w:pPr>
              <w:spacing w:after="0"/>
              <w:rPr>
                <w:sz w:val="16"/>
                <w:szCs w:val="16"/>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61,182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28,315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237,505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As a result of the Merger Transaction, the Company assigned a total of nine leases to Booz &amp; Co. The facilities are located in New York, New York; Troy, Michigan; Florham Park, New Jersey; Parsippany, New Jersey; Houston, Texas; Chicago, Illinois; Cleveland, Ohio; Dallas, Texas; and London, England. Except for the Florham Park, Parsippany, Troy, Houston, Cleveland and Dallas leases, which expired, the Company remains liable under the terms of the original leases should Booz &amp; Co. default on its obligations. There were no events of default under these leases as of March 31, 2014 or March 31, 2013. The maximum potential amount of undiscounted future payments is $14.9 million, and the leases expire at different dates between April 2014 and March 2017. Based on the Company’s assessment of the likelihood of future payment, no amounts have been recorded related to the Company’s contingent liability on such leases.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For fiscal 2014, fiscal 2013, and fiscal 2012, approximately 98%, 99%, and 98%, respectively,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 experienced from any such reductions and/or penalties. As of March 31, 2014 and 2013, the Company has recorded a liability of approximately $189.8 million and $156.2 million, respectively, for its current best estimate of amounts to be refunded to customers for potential adjustments from such audits or reviews of contract costs incurred subsequent to fiscal year 2007.</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March 31, 2014 and 2013, there are no material amounts accrued in the consolidated financial statements related to these proceedings.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773" w:right="279" w:bottom="1440" w:gutter="0" w:footer="0" w:header="0"/>
        </w:sectPr>
      </w:pPr>
    </w:p>
    <w:bookmarkStart w:id="94" w:name="page95"/>
    <w:bookmarkEnd w:id="94"/>
    <w:p>
      <w:pPr>
        <w:ind w:right="40" w:firstLine="648"/>
        <w:spacing w:after="0" w:line="269" w:lineRule="auto"/>
        <w:rPr>
          <w:sz w:val="20"/>
          <w:szCs w:val="20"/>
          <w:color w:val="auto"/>
        </w:rPr>
      </w:pPr>
      <w:r>
        <w:rPr>
          <w:rFonts w:ascii="Arial" w:cs="Arial" w:eastAsia="Arial" w:hAnsi="Arial"/>
          <w:sz w:val="17"/>
          <w:szCs w:val="17"/>
          <w:color w:val="auto"/>
        </w:rPr>
        <w:t>Six former officers and stockholders who had departed the firm prior to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Five of the remaining suits are pending in the United States District Court for the Southern District of New York, and the sixth is pending in the United States District Court for the Southern District of California. As of March 31, 2014 and 2013, the aggregate alleged damages sought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UNAUDITED QUARTERLY FINANCIAL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w w:val="92"/>
              </w:rPr>
              <w:t>2014 Quarters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116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First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Second</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Fourth</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1,427,691</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1,378,020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1,273,150</w:t>
            </w:r>
          </w:p>
        </w:tc>
        <w:tc>
          <w:tcPr>
            <w:tcW w:w="7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1,399,832</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138,673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97,034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89,237</w:t>
            </w: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118,015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113,798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70,793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70,313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67,813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47,167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46,895</w:t>
            </w: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Basic (1)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0.48</w:t>
            </w:r>
          </w:p>
        </w:tc>
        <w:tc>
          <w:tcPr>
            <w:tcW w:w="100" w:type="dxa"/>
            <w:vAlign w:val="bottom"/>
          </w:tcPr>
          <w:p>
            <w:pPr>
              <w:spacing w:after="0"/>
              <w:rPr>
                <w:sz w:val="21"/>
                <w:szCs w:val="21"/>
                <w:color w:val="auto"/>
              </w:rPr>
            </w:pP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0.32</w:t>
            </w:r>
          </w:p>
        </w:tc>
        <w:tc>
          <w:tcPr>
            <w:tcW w:w="7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0.32</w:t>
            </w: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0.48</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7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0.30</w:t>
            </w:r>
          </w:p>
        </w:tc>
      </w:tr>
      <w:tr>
        <w:trPr>
          <w:trHeight w:val="56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2"/>
              </w:rPr>
              <w:t>2013 Quarters</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First</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Second</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Third</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Fourth</w:t>
            </w:r>
          </w:p>
        </w:tc>
        <w:tc>
          <w:tcPr>
            <w:tcW w:w="1140" w:type="dxa"/>
            <w:vAlign w:val="bottom"/>
          </w:tcPr>
          <w:p>
            <w:pPr>
              <w:spacing w:after="0"/>
              <w:rPr>
                <w:sz w:val="22"/>
                <w:szCs w:val="22"/>
                <w:color w:val="auto"/>
              </w:rPr>
            </w:pPr>
          </w:p>
        </w:tc>
      </w:tr>
      <w:tr>
        <w:trPr>
          <w:trHeight w:val="250"/>
        </w:trPr>
        <w:tc>
          <w:tcPr>
            <w:tcW w:w="116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1,432,424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1,387,650</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1,392,695</w:t>
            </w:r>
          </w:p>
        </w:tc>
        <w:tc>
          <w:tcPr>
            <w:tcW w:w="720" w:type="dxa"/>
            <w:vAlign w:val="bottom"/>
            <w:tcBorders>
              <w:bottom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1,545,290</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114,736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102,029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112,873</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6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103,007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93,430</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54,813</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6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080" w:type="dxa"/>
            <w:vAlign w:val="bottom"/>
          </w:tcPr>
          <w:p>
            <w:pPr>
              <w:ind w:left="360"/>
              <w:spacing w:after="0"/>
              <w:rPr>
                <w:sz w:val="20"/>
                <w:szCs w:val="20"/>
                <w:color w:val="auto"/>
              </w:rPr>
            </w:pPr>
            <w:r>
              <w:rPr>
                <w:rFonts w:ascii="Arial" w:cs="Arial" w:eastAsia="Arial" w:hAnsi="Arial"/>
                <w:sz w:val="18"/>
                <w:szCs w:val="18"/>
                <w:color w:val="auto"/>
              </w:rPr>
              <w:t>Basic (1)</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21"/>
                <w:szCs w:val="21"/>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720" w:type="dxa"/>
            <w:vAlign w:val="bottom"/>
            <w:gridSpan w:val="3"/>
          </w:tcPr>
          <w:p>
            <w:pPr>
              <w:jc w:val="right"/>
              <w:ind w:right="368"/>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0.40</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1160" w:type="dxa"/>
            <w:vAlign w:val="bottom"/>
          </w:tcPr>
          <w:p>
            <w:pPr>
              <w:spacing w:after="0"/>
              <w:rPr>
                <w:sz w:val="21"/>
                <w:szCs w:val="21"/>
                <w:color w:val="auto"/>
              </w:rPr>
            </w:pPr>
          </w:p>
        </w:tc>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72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bl>
    <w:p>
      <w:pPr>
        <w:spacing w:after="0" w:line="14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Change in estimate adjustment - </w:t>
      </w:r>
      <w:r>
        <w:rPr>
          <w:rFonts w:ascii="Arial" w:cs="Arial" w:eastAsia="Arial" w:hAnsi="Arial"/>
          <w:sz w:val="17"/>
          <w:szCs w:val="17"/>
          <w:color w:val="auto"/>
        </w:rPr>
        <w:t>During the fourth quarter of fiscal 2013, the Company recorded a change in estimate to revenue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recovery of allowable indirect expenses that in the aggregate increased both quarter and year-to-date revenue and operating income by approximately $29.5 million ($17.5 million net of taxes). The change in estimate reflects managements' revised best estimate of allowable indirect expenses using new information received in the fourth quarter of fiscal 2013. This change in estimate excludes the effects of an offsetting decrease to operating income associated with a discretionary increase to incentive compensation recorded during the fourth quarter of fiscal 2013.</w:t>
      </w:r>
    </w:p>
    <w:p>
      <w:pPr>
        <w:spacing w:after="0" w:line="119" w:lineRule="exact"/>
        <w:rPr>
          <w:sz w:val="20"/>
          <w:szCs w:val="20"/>
          <w:color w:val="auto"/>
        </w:rPr>
      </w:pPr>
    </w:p>
    <w:p>
      <w:pPr>
        <w:ind w:left="5540" w:right="1100" w:hanging="5478"/>
        <w:spacing w:after="0" w:line="559" w:lineRule="auto"/>
        <w:tabs>
          <w:tab w:leader="none" w:pos="3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Earnings per share are computed independently for each of the quarters presented and therefore may not sum to the total for the fiscal year. F-33</w:t>
      </w:r>
    </w:p>
    <w:p>
      <w:pPr>
        <w:sectPr>
          <w:pgSz w:w="11900" w:h="16838" w:orient="portrait"/>
          <w:cols w:equalWidth="0" w:num="1">
            <w:col w:w="11420"/>
          </w:cols>
          <w:pgMar w:left="240" w:top="85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23. SUBSEQUENT EVENT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First Agreement to the Credit Agreement, dated as of August 16, 2013). Prior to the Second Amendment, approximately $660 million of Term Loan 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$1,010 million of Term Loan B was outstanding. Pursuant to the Second Amendment, the Company borrowed additional Term Loan A of approximately $170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the proceeds of which were used to partially prepay outstanding principal on the Term Loan B. Following the Amendment, $830 million of 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Loan A and approximately $841 million of Term Loan B were outstanding under the Credit Agreement. The rates for Term Loan A and Term Loan B,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remain unchanged. The amendment also extends the maturity date of Term Loan A and the revolving credit facility to May 31, 2019. The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for Term Loan B remains unchanged. The Company also amended its existing debt covenants to provide for greater operational and financial flexibility.</w:t>
      </w:r>
    </w:p>
    <w:p>
      <w:pPr>
        <w:spacing w:after="0" w:line="234"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In connection with the Second Amendment the Company expects to accelerate the amortization of ratable portions of the DIC and OID that do not qualify for deferral of approximately $1.0 million. These expenses will be reflected in other expense, net in the three months ended June 30, 2014. Furthermore, the Company expects to expense third party debt issuance costs of approximately $2.0 million that did not qualify for deferral and will be reflected in general and administrative costs in the three months ended June 30, 2014.</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SUPPLEMENTAL FINANCIAL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summarizes valuation and qualifying accounts for the periods presented: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Fiscal 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2012</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6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1,348</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Allowance for doubtful accounts from acquisitions</w:t>
            </w: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against allowance</w:t>
            </w:r>
          </w:p>
        </w:tc>
        <w:tc>
          <w:tcPr>
            <w:tcW w:w="1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37"/>
        </w:trPr>
        <w:tc>
          <w:tcPr>
            <w:tcW w:w="4800" w:type="dxa"/>
            <w:vAlign w:val="bottom"/>
          </w:tcPr>
          <w:p>
            <w:pPr>
              <w:ind w:left="720"/>
              <w:spacing w:after="0"/>
              <w:rPr>
                <w:sz w:val="20"/>
                <w:szCs w:val="20"/>
                <w:color w:val="auto"/>
              </w:rPr>
            </w:pPr>
            <w:r>
              <w:rPr>
                <w:rFonts w:ascii="Arial" w:cs="Arial" w:eastAsia="Arial" w:hAnsi="Arial"/>
                <w:sz w:val="18"/>
                <w:szCs w:val="18"/>
                <w:color w:val="auto"/>
              </w:rPr>
              <w:t>Ending balance</w:t>
            </w:r>
          </w:p>
        </w:tc>
        <w:tc>
          <w:tcPr>
            <w:tcW w:w="16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1,457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799</w:t>
            </w:r>
          </w:p>
        </w:tc>
      </w:tr>
      <w:tr>
        <w:trPr>
          <w:trHeight w:val="67"/>
        </w:trPr>
        <w:tc>
          <w:tcPr>
            <w:tcW w:w="480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Tax valuation allowance:</w:t>
            </w:r>
          </w:p>
        </w:tc>
        <w:tc>
          <w:tcPr>
            <w:tcW w:w="16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6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36,335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42,379</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 and other adjustments</w:t>
            </w:r>
          </w:p>
        </w:tc>
        <w:tc>
          <w:tcPr>
            <w:tcW w:w="1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Sale of capital assets</w:t>
            </w: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(6,044)</w:t>
            </w:r>
          </w:p>
        </w:tc>
      </w:tr>
      <w:tr>
        <w:trPr>
          <w:trHeight w:val="27"/>
        </w:trPr>
        <w:tc>
          <w:tcPr>
            <w:tcW w:w="48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264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36,335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800" w:type="dxa"/>
            <w:vAlign w:val="bottom"/>
          </w:tcPr>
          <w:p>
            <w:pPr>
              <w:spacing w:after="0"/>
              <w:rPr>
                <w:sz w:val="24"/>
                <w:szCs w:val="24"/>
                <w:color w:val="auto"/>
              </w:rPr>
            </w:pPr>
          </w:p>
        </w:tc>
        <w:tc>
          <w:tcPr>
            <w:tcW w:w="2640" w:type="dxa"/>
            <w:vAlign w:val="bottom"/>
            <w:gridSpan w:val="2"/>
          </w:tcPr>
          <w:p>
            <w:pPr>
              <w:jc w:val="right"/>
              <w:ind w:right="1470"/>
              <w:spacing w:after="0"/>
              <w:rPr>
                <w:sz w:val="20"/>
                <w:szCs w:val="20"/>
                <w:color w:val="auto"/>
              </w:rPr>
            </w:pPr>
            <w:r>
              <w:rPr>
                <w:rFonts w:ascii="Arial" w:cs="Arial" w:eastAsia="Arial" w:hAnsi="Arial"/>
                <w:sz w:val="18"/>
                <w:szCs w:val="18"/>
                <w:color w:val="auto"/>
              </w:rPr>
              <w:t>F-34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6" w:name="page97"/>
    <w:bookmarkEnd w:id="96"/>
    <w:p>
      <w:pPr>
        <w:spacing w:after="0"/>
        <w:tabs>
          <w:tab w:leader="none" w:pos="96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106"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financial statements for external purposes.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Our management conducted an assessment of the effectiveness of our internal control over financial reporting as of March 31, 2014. This assessment was based on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(1992 framework)</w:t>
      </w:r>
      <w:r>
        <w:rPr>
          <w:rFonts w:ascii="Arial" w:cs="Arial" w:eastAsia="Arial" w:hAnsi="Arial"/>
          <w:sz w:val="18"/>
          <w:szCs w:val="18"/>
          <w:color w:val="auto"/>
        </w:rPr>
        <w:t>. Based on this assessment, management has concluded that, as of March 31, 2014, our internal control over financial reporting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13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independent registered public accounting firm has issued a report on the effectiveness of our internal control over financial reporting, which is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688" w:right="3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Regarding Internal Control over Financial Reporting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audited Booz Allen Hamilton Holding Corporation’s internal control over financial reporting as of March 31, 2014, based on criteria established in Internal Control - Integrated Framework issued by the Committee of Sponsoring Organizations of the Treadway Commission (1992 framework) (the COSO criteria). Booz Allen Hamilton Holding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our opinion, Booz Allen Hamilton Holding Corporation maintained, in all material respects, effective internal control over financial reporting as of March 31, 2014 based on the COSO criteria.</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Booz Allen Hamilton Holding Corporation as of March 31, 2014 and March 31, 2013 and the related consolidated statements of operations, comprehensive income, stockholders’ equity, and cash flows for each of the three years in the period ended March 31, 2014 of Booz Allen Hamilton Holding Corporation and our report dated May 22,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04" w:right="239" w:bottom="1440" w:gutter="0" w:footer="0" w:header="0"/>
        </w:sectPr>
      </w:pPr>
    </w:p>
    <w:bookmarkStart w:id="98" w:name="page99"/>
    <w:bookmarkEnd w:id="98"/>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4"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Information related to our directors is set forth under the caption “Election of Directors” of our Proxy Statement for our Annual Meeting of Stockholders scheduled for July 31, 2014. Such information is incorporated herein by reference.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relating to our Executive Officers is included in Part I of this Annual Report under the caption “Executive Officers of the Registrant.”</w:t>
      </w:r>
    </w:p>
    <w:p>
      <w:pPr>
        <w:spacing w:after="0" w:line="183"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Information relating to compliance with Section 16(a) of the Exchange Act is set forth under the caption “Section 16(a) Beneficial Ownership Reporting Compliance” of our 2014 Proxy Statement. Such information is incorporated herein by reference.</w:t>
      </w:r>
    </w:p>
    <w:p>
      <w:pPr>
        <w:spacing w:after="0" w:line="116"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Information related to our code of ethics is set forth under the caption “Corporate Governance and General Information Concerning the Board of Directors and its Committees” of our 2014 Proxy Statement. Such information is incorporated herein by reference.</w:t>
      </w:r>
    </w:p>
    <w:p>
      <w:pPr>
        <w:spacing w:after="0" w:line="116"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2014 Proxy Statement. Such information is incorporated herein by reference.</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4"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“Compensation Discussion and Analysis,” “Director Compensation,” “Compensation Committee Interlocks and Insider Participation” and “Compensation Committee Report on Executive Compensation” of our 2014 Proxy Statement. Such information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Information relating to this item is set forth in this Annual Report under the caption “Item 5. Market for Registrant’s Common Equity, Related Stockholder Matters and Issuer Purchases of Equity Securities — Equity Compensation Plan Information” and under the caption “Security Ownership of Certain Beneficial Owners and Management” of our 2014 Proxy Statement. Such information is incorporated herein by reference.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“Certain Relationships and Related Party Transactions” and “Corporate Governance and General Information Concerning the Board of Directors and its Committees” of our 2014 Proxy Statement. Such information is incorporated herein by reference.</w:t>
      </w: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this item is set forth under the caption “Independent Registered Public Accounting Firm Fees” of our 2014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is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4" w:lineRule="exact"/>
        <w:rPr>
          <w:sz w:val="20"/>
          <w:szCs w:val="20"/>
          <w:color w:val="auto"/>
        </w:rPr>
      </w:pPr>
    </w:p>
    <w:p>
      <w:pPr>
        <w:ind w:left="900" w:hanging="24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Our financial statements filed herewith are set forth in Item 8 of this Annual Report.</w:t>
      </w:r>
    </w:p>
    <w:p>
      <w:pPr>
        <w:spacing w:after="0" w:line="117" w:lineRule="exact"/>
        <w:rPr>
          <w:rFonts w:ascii="Arial" w:cs="Arial" w:eastAsia="Arial" w:hAnsi="Arial"/>
          <w:sz w:val="18"/>
          <w:szCs w:val="18"/>
          <w:color w:val="auto"/>
        </w:rPr>
      </w:pPr>
    </w:p>
    <w:p>
      <w:pPr>
        <w:ind w:left="1460" w:right="340" w:hanging="480"/>
        <w:spacing w:after="0" w:line="277"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either they are not applicable or the required information is included in the financial statements or the notes thereto.</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688" w:right="319" w:bottom="1440" w:gutter="0" w:footer="0" w:header="0"/>
        </w:sectPr>
      </w:pPr>
    </w:p>
    <w:bookmarkStart w:id="99" w:name="page100"/>
    <w:bookmarkEnd w:id="99"/>
    <w:p>
      <w:pPr>
        <w:ind w:left="480" w:hanging="480"/>
        <w:spacing w:after="0" w:line="277" w:lineRule="auto"/>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attached list of exhibits in the “Exhibit Index” immediately following the signature pages to this Annual Report is filed as part of this Annual Report and is incorporated herein by reference.</w:t>
      </w: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400"/>
          </w:cols>
          <w:pgMar w:left="1220" w:top="800" w:right="279" w:bottom="1440" w:gutter="0" w:footer="0" w:header="0"/>
        </w:sectPr>
      </w:pPr>
    </w:p>
    <w:bookmarkStart w:id="100" w:name="page101"/>
    <w:bookmarkEnd w:id="100"/>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Washington, DC, on this 22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May, 2014.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BOOZ ALLEN HAMILTON HOLDING CORPORATION</w:t>
      </w:r>
    </w:p>
    <w:p>
      <w:pPr>
        <w:spacing w:after="0" w:line="23"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58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Ralph W. Shrader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 and Director</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1934, this report has been signed by the following persons in the capacities and on the dates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ind w:left="1820"/>
              <w:spacing w:after="0"/>
              <w:rPr>
                <w:sz w:val="20"/>
                <w:szCs w:val="20"/>
                <w:color w:val="auto"/>
              </w:rPr>
            </w:pPr>
            <w:r>
              <w:rPr>
                <w:rFonts w:ascii="Arial" w:cs="Arial" w:eastAsia="Arial" w:hAnsi="Arial"/>
                <w:sz w:val="14"/>
                <w:szCs w:val="14"/>
                <w:b w:val="1"/>
                <w:bCs w:val="1"/>
                <w:color w:val="auto"/>
              </w:rPr>
              <w:t>Signature</w:t>
            </w: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jc w:val="center"/>
              <w:ind w:left="43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65"/>
        </w:trPr>
        <w:tc>
          <w:tcPr>
            <w:tcW w:w="4240" w:type="dxa"/>
            <w:vAlign w:val="bottom"/>
          </w:tcPr>
          <w:p>
            <w:pPr>
              <w:ind w:left="40"/>
              <w:spacing w:after="0"/>
              <w:rPr>
                <w:sz w:val="20"/>
                <w:szCs w:val="20"/>
                <w:color w:val="auto"/>
              </w:rPr>
            </w:pPr>
            <w:r>
              <w:rPr>
                <w:rFonts w:ascii="Arial" w:cs="Arial" w:eastAsia="Arial" w:hAnsi="Arial"/>
                <w:sz w:val="18"/>
                <w:szCs w:val="18"/>
                <w:color w:val="auto"/>
              </w:rPr>
              <w:t>/s/ Ralph W. Shrader</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 (Principal</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120" w:type="dxa"/>
            <w:vAlign w:val="bottom"/>
            <w:vMerge w:val="restart"/>
          </w:tcPr>
          <w:p>
            <w:pPr>
              <w:jc w:val="center"/>
              <w:spacing w:after="0"/>
              <w:rPr>
                <w:sz w:val="20"/>
                <w:szCs w:val="20"/>
                <w:color w:val="auto"/>
              </w:rPr>
            </w:pPr>
            <w:r>
              <w:rPr>
                <w:rFonts w:ascii="Arial" w:cs="Arial" w:eastAsia="Arial" w:hAnsi="Arial"/>
                <w:sz w:val="18"/>
                <w:szCs w:val="18"/>
                <w:color w:val="auto"/>
                <w:w w:val="94"/>
              </w:rPr>
              <w:t>Executive Officer)</w:t>
            </w: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Ralph W. Shrader</w:t>
            </w:r>
          </w:p>
        </w:tc>
        <w:tc>
          <w:tcPr>
            <w:tcW w:w="51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240" w:type="dxa"/>
            <w:vAlign w:val="bottom"/>
          </w:tcPr>
          <w:p>
            <w:pPr>
              <w:ind w:left="40"/>
              <w:spacing w:after="0"/>
              <w:rPr>
                <w:sz w:val="20"/>
                <w:szCs w:val="20"/>
                <w:color w:val="auto"/>
              </w:rPr>
            </w:pPr>
            <w:r>
              <w:rPr>
                <w:rFonts w:ascii="Arial" w:cs="Arial" w:eastAsia="Arial" w:hAnsi="Arial"/>
                <w:sz w:val="18"/>
                <w:szCs w:val="18"/>
                <w:color w:val="auto"/>
              </w:rPr>
              <w:t>/s/ Samuel R. Strickland</w:t>
            </w:r>
          </w:p>
        </w:tc>
        <w:tc>
          <w:tcPr>
            <w:tcW w:w="512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 Chief</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109"/>
        </w:trPr>
        <w:tc>
          <w:tcPr>
            <w:tcW w:w="4240" w:type="dxa"/>
            <w:vAlign w:val="bottom"/>
            <w:tcBorders>
              <w:bottom w:val="single" w:sz="8" w:color="auto"/>
            </w:tcBorders>
          </w:tcPr>
          <w:p>
            <w:pPr>
              <w:spacing w:after="0"/>
              <w:rPr>
                <w:sz w:val="9"/>
                <w:szCs w:val="9"/>
                <w:color w:val="auto"/>
              </w:rPr>
            </w:pPr>
          </w:p>
        </w:tc>
        <w:tc>
          <w:tcPr>
            <w:tcW w:w="5120" w:type="dxa"/>
            <w:vAlign w:val="bottom"/>
            <w:vMerge w:val="restart"/>
          </w:tcPr>
          <w:p>
            <w:pPr>
              <w:jc w:val="center"/>
              <w:spacing w:after="0"/>
              <w:rPr>
                <w:sz w:val="20"/>
                <w:szCs w:val="20"/>
                <w:color w:val="auto"/>
              </w:rPr>
            </w:pPr>
            <w:r>
              <w:rPr>
                <w:rFonts w:ascii="Arial" w:cs="Arial" w:eastAsia="Arial" w:hAnsi="Arial"/>
                <w:sz w:val="18"/>
                <w:szCs w:val="18"/>
                <w:color w:val="auto"/>
                <w:w w:val="94"/>
              </w:rPr>
              <w:t>Administrative Officer and Director (Principal Financial</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Samuel R. Strickland</w:t>
            </w:r>
          </w:p>
        </w:tc>
        <w:tc>
          <w:tcPr>
            <w:tcW w:w="512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5120" w:type="dxa"/>
            <w:vAlign w:val="bottom"/>
            <w:vMerge w:val="restart"/>
          </w:tcPr>
          <w:p>
            <w:pPr>
              <w:jc w:val="center"/>
              <w:spacing w:after="0"/>
              <w:rPr>
                <w:sz w:val="20"/>
                <w:szCs w:val="20"/>
                <w:color w:val="auto"/>
              </w:rPr>
            </w:pPr>
            <w:r>
              <w:rPr>
                <w:rFonts w:ascii="Arial" w:cs="Arial" w:eastAsia="Arial" w:hAnsi="Arial"/>
                <w:sz w:val="18"/>
                <w:szCs w:val="18"/>
                <w:color w:val="auto"/>
                <w:w w:val="94"/>
              </w:rPr>
              <w:t>and Accounting Officer)</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Joan Lordi C. Amble</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Joan Lordi C. Amble</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Peter Clare</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Peter Clare</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Ian Fujiyama</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Ian Fujiyama</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Mark Gaumond</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Mark Gaumond</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Allan M. Holt</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Arthur E. Johnson</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Arthur E. Johnson</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Philip A. Odeen</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Philip A. Odeen</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Charles O. Rossotti</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22, 2014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Charles O. Rossotti</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688"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00"/>
          </w:cols>
          <w:pgMar w:left="240" w:top="688" w:right="45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00" w:type="dxa"/>
            <w:vAlign w:val="bottom"/>
            <w:gridSpan w:val="3"/>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Stockholders Agreement (Incorporated by reference to Exhibit 4.3 to the Company’s Quarterly Report for the period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ended 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5"/>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80" w:top="1337" w:right="29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20"/>
          </w:cols>
          <w:pgMar w:left="280" w:top="1337" w:right="29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2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458"/>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608"/>
        </w:trPr>
        <w:tc>
          <w:tcPr>
            <w:tcW w:w="660" w:type="dxa"/>
            <w:vAlign w:val="bottom"/>
          </w:tcPr>
          <w:p>
            <w:pPr>
              <w:spacing w:after="0"/>
              <w:rPr>
                <w:sz w:val="24"/>
                <w:szCs w:val="24"/>
                <w:color w:val="auto"/>
              </w:rPr>
            </w:pPr>
          </w:p>
        </w:tc>
        <w:tc>
          <w:tcPr>
            <w:tcW w:w="10680" w:type="dxa"/>
            <w:vAlign w:val="bottom"/>
          </w:tcPr>
          <w:p>
            <w:pPr>
              <w:ind w:left="49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ectPr>
          <w:pgSz w:w="11900" w:h="16838" w:orient="portrait"/>
          <w:cols w:equalWidth="0" w:num="1">
            <w:col w:w="11340"/>
          </w:cols>
          <w:pgMar w:left="280" w:top="854" w:right="279" w:bottom="1440" w:gutter="0" w:footer="0" w:header="0"/>
        </w:sectPr>
      </w:pPr>
    </w:p>
    <w:bookmarkStart w:id="103" w:name="page104"/>
    <w:bookmarkEnd w:id="10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10.26</w:t>
            </w:r>
          </w:p>
        </w:tc>
        <w:tc>
          <w:tcPr>
            <w:tcW w:w="10660" w:type="dxa"/>
            <w:vAlign w:val="bottom"/>
            <w:vMerge w:val="restart"/>
          </w:tcPr>
          <w:p>
            <w:pPr>
              <w:ind w:left="260"/>
              <w:spacing w:after="0"/>
              <w:rPr>
                <w:sz w:val="20"/>
                <w:szCs w:val="20"/>
                <w:color w:val="auto"/>
              </w:rPr>
            </w:pPr>
            <w:r>
              <w:rPr>
                <w:rFonts w:ascii="Arial" w:cs="Arial" w:eastAsia="Arial" w:hAnsi="Arial"/>
                <w:sz w:val="18"/>
                <w:szCs w:val="18"/>
                <w:color w:val="auto"/>
                <w:w w:val="95"/>
              </w:rPr>
              <w:t>First Amendment to Credit Agreement, dated as of August 16, 2013, among Booz Allen Hamilton Inc., as Borrower, Booz Allen Hamilton</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8"/>
              </w:rPr>
              <w:t>Corporation, ASE, Inc. and , Booz Allen Hamilton International, Inc., as Guarantors,, Bank of America, N.A., as Administrative Agent,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Collateral Agent and New Refinancing Tranche B Term Lender, and the other Lenders and financial institutions from time to time party thereto.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20 2013 (File No. 001-34972))</w:t>
            </w:r>
          </w:p>
        </w:tc>
        <w:tc>
          <w:tcPr>
            <w:tcW w:w="0" w:type="dxa"/>
            <w:vAlign w:val="bottom"/>
          </w:tcPr>
          <w:p>
            <w:pPr>
              <w:spacing w:after="0"/>
              <w:rPr>
                <w:sz w:val="1"/>
                <w:szCs w:val="1"/>
                <w:color w:val="auto"/>
              </w:rPr>
            </w:pPr>
          </w:p>
        </w:tc>
      </w:tr>
      <w:tr>
        <w:trPr>
          <w:trHeight w:val="473"/>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tcPr>
          <w:p>
            <w:pPr>
              <w:ind w:left="260"/>
              <w:spacing w:after="0"/>
              <w:rPr>
                <w:sz w:val="20"/>
                <w:szCs w:val="20"/>
                <w:color w:val="auto"/>
              </w:rPr>
            </w:pPr>
            <w:r>
              <w:rPr>
                <w:rFonts w:ascii="Arial" w:cs="Arial" w:eastAsia="Arial" w:hAnsi="Arial"/>
                <w:sz w:val="18"/>
                <w:szCs w:val="18"/>
                <w:color w:val="auto"/>
              </w:rPr>
              <w:t>Form of Employment Agreement*</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10.28</w:t>
            </w:r>
          </w:p>
        </w:tc>
        <w:tc>
          <w:tcPr>
            <w:tcW w:w="10660" w:type="dxa"/>
            <w:vAlign w:val="bottom"/>
          </w:tcPr>
          <w:p>
            <w:pPr>
              <w:ind w:left="260"/>
              <w:spacing w:after="0"/>
              <w:rPr>
                <w:sz w:val="20"/>
                <w:szCs w:val="20"/>
                <w:color w:val="auto"/>
              </w:rPr>
            </w:pPr>
            <w:r>
              <w:rPr>
                <w:rFonts w:ascii="Arial" w:cs="Arial" w:eastAsia="Arial" w:hAnsi="Arial"/>
                <w:sz w:val="18"/>
                <w:szCs w:val="18"/>
                <w:color w:val="auto"/>
                <w:w w:val="94"/>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10.29</w:t>
            </w:r>
          </w:p>
        </w:tc>
        <w:tc>
          <w:tcPr>
            <w:tcW w:w="10660" w:type="dxa"/>
            <w:vAlign w:val="bottom"/>
          </w:tcPr>
          <w:p>
            <w:pPr>
              <w:ind w:left="260"/>
              <w:spacing w:after="0"/>
              <w:rPr>
                <w:sz w:val="20"/>
                <w:szCs w:val="20"/>
                <w:color w:val="auto"/>
              </w:rPr>
            </w:pPr>
            <w:r>
              <w:rPr>
                <w:rFonts w:ascii="Arial" w:cs="Arial" w:eastAsia="Arial" w:hAnsi="Arial"/>
                <w:sz w:val="18"/>
                <w:szCs w:val="18"/>
                <w:color w:val="auto"/>
              </w:rPr>
              <w:t>Form of Restricted Stock Unit Agreement under the Amended and Restated Equity Incentive Plan of Booz Allen Hamilton Holding</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10.30</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23</w:t>
            </w:r>
          </w:p>
        </w:tc>
        <w:tc>
          <w:tcPr>
            <w:tcW w:w="10660" w:type="dxa"/>
            <w:vAlign w:val="bottom"/>
          </w:tcPr>
          <w:p>
            <w:pPr>
              <w:ind w:left="26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60" w:right="240" w:hanging="925"/>
        <w:spacing w:after="0" w:line="270" w:lineRule="auto"/>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Annual Report on Form 10-K for the fiscal year ended March 31, 2014, formatted in XBRL (eXtensible Business Reporting Language): (i) Consolidated Balance Sheets as of March 31, 2014 and 2013; (ii) Consolidated Statements of Operations for the fiscal years ended March 31, 2014, 2013 and 2012; (iii) Consolidated Statements of Comprehensive Income for the fiscal years ended March 31, 2014, 2013 and 2012; (iv) Consolidated Statements of Cash Flows for the fiscal years ended March 31, 2014, 2012 and 2013; (v) Consolidated Statements of Stockholders' Equity for the fiscal years ended March 31, 2014, 2013 and 2012; and (vi) 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80" w:hanging="652"/>
        <w:spacing w:after="0" w:line="277"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854" w:right="2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April 24, 2014</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STRICTLY CONFIDENTIAL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[Name and Address]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00" w:lineRule="exact"/>
        <w:rPr>
          <w:sz w:val="20"/>
          <w:szCs w:val="20"/>
          <w:color w:val="auto"/>
        </w:rPr>
      </w:pPr>
    </w:p>
    <w:p>
      <w:pPr>
        <w:spacing w:after="0" w:line="236" w:lineRule="exact"/>
        <w:rPr>
          <w:sz w:val="20"/>
          <w:szCs w:val="20"/>
          <w:color w:val="auto"/>
        </w:rPr>
      </w:pPr>
    </w:p>
    <w:p>
      <w:pPr>
        <w:ind w:right="220" w:firstLine="648"/>
        <w:spacing w:after="0" w:line="248" w:lineRule="auto"/>
        <w:rPr>
          <w:sz w:val="20"/>
          <w:szCs w:val="20"/>
          <w:color w:val="auto"/>
        </w:rPr>
      </w:pPr>
      <w:r>
        <w:rPr>
          <w:rFonts w:ascii="Arial" w:cs="Arial" w:eastAsia="Arial" w:hAnsi="Arial"/>
          <w:sz w:val="22"/>
          <w:szCs w:val="22"/>
          <w:color w:val="auto"/>
        </w:rPr>
        <w:t>We are pleased to confirm the terms of your continued employment with Booz Allen Hamilton, Inc., a Delaware corporation (the “</w:t>
      </w:r>
      <w:r>
        <w:rPr>
          <w:rFonts w:ascii="Arial" w:cs="Arial" w:eastAsia="Arial" w:hAnsi="Arial"/>
          <w:sz w:val="22"/>
          <w:szCs w:val="22"/>
          <w:u w:val="single" w:color="auto"/>
          <w:color w:val="auto"/>
        </w:rPr>
        <w:t>Booz Allen</w:t>
      </w:r>
      <w:r>
        <w:rPr>
          <w:rFonts w:ascii="Arial" w:cs="Arial" w:eastAsia="Arial" w:hAnsi="Arial"/>
          <w:sz w:val="22"/>
          <w:szCs w:val="22"/>
          <w:color w:val="auto"/>
        </w:rPr>
        <w:t>”). As of April 1, 2014 (the “</w:t>
      </w:r>
      <w:r>
        <w:rPr>
          <w:rFonts w:ascii="Arial" w:cs="Arial" w:eastAsia="Arial" w:hAnsi="Arial"/>
          <w:sz w:val="22"/>
          <w:szCs w:val="22"/>
          <w:u w:val="single" w:color="auto"/>
          <w:color w:val="auto"/>
        </w:rPr>
        <w:t>Effective Date</w:t>
      </w:r>
      <w:r>
        <w:rPr>
          <w:rFonts w:ascii="Arial" w:cs="Arial" w:eastAsia="Arial" w:hAnsi="Arial"/>
          <w:sz w:val="22"/>
          <w:szCs w:val="22"/>
          <w:color w:val="auto"/>
        </w:rPr>
        <w:t>”), your employment with the Company will continue on the terms set forth in this letter agreement (“Agreement”). For purposes of this Agreement, “</w:t>
      </w:r>
      <w:r>
        <w:rPr>
          <w:rFonts w:ascii="Arial" w:cs="Arial" w:eastAsia="Arial" w:hAnsi="Arial"/>
          <w:sz w:val="22"/>
          <w:szCs w:val="22"/>
          <w:u w:val="single" w:color="auto"/>
          <w:color w:val="auto"/>
        </w:rPr>
        <w:t>Firm</w:t>
      </w:r>
      <w:r>
        <w:rPr>
          <w:rFonts w:ascii="Arial" w:cs="Arial" w:eastAsia="Arial" w:hAnsi="Arial"/>
          <w:sz w:val="22"/>
          <w:szCs w:val="22"/>
          <w:color w:val="auto"/>
        </w:rPr>
        <w:t>” “Booz Allen” or “We” shall mean, individually and collectively, Booz Allen Hamilton Holding Company (the “Company”), Booz Allen and their respective subsidiaries and affiliates.</w:t>
      </w:r>
    </w:p>
    <w:p>
      <w:pPr>
        <w:spacing w:after="0" w:line="200" w:lineRule="exact"/>
        <w:rPr>
          <w:sz w:val="20"/>
          <w:szCs w:val="20"/>
          <w:color w:val="auto"/>
        </w:rPr>
      </w:pPr>
    </w:p>
    <w:p>
      <w:pPr>
        <w:spacing w:after="0" w:line="20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You understand and agree that the Firm would not enter into this Agreement or provide the additional compensation and benefits to you outlined in this Agreement in the absence of your agreement to fulfill your obligations contained in this Agreement. These obligations include but are not limited to your compliance with the restrictive covenants set forth in Section 6. Entering into this Agreement is to our mutual benefit.</w:t>
      </w:r>
    </w:p>
    <w:p>
      <w:pPr>
        <w:spacing w:after="0" w:line="200" w:lineRule="exact"/>
        <w:rPr>
          <w:sz w:val="20"/>
          <w:szCs w:val="20"/>
          <w:color w:val="auto"/>
        </w:rPr>
      </w:pPr>
    </w:p>
    <w:p>
      <w:pPr>
        <w:spacing w:after="0" w:line="205" w:lineRule="exact"/>
        <w:rPr>
          <w:sz w:val="20"/>
          <w:szCs w:val="20"/>
          <w:color w:val="auto"/>
        </w:rPr>
      </w:pPr>
    </w:p>
    <w:p>
      <w:pPr>
        <w:ind w:right="620" w:firstLine="656"/>
        <w:spacing w:after="0" w:line="263" w:lineRule="auto"/>
        <w:tabs>
          <w:tab w:leader="none" w:pos="1459"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xml:space="preserve"> You shall continue to be employed by Booz Allen on an at-will basis, subject to the terms and provisions of this Agreement.</w:t>
      </w:r>
    </w:p>
    <w:p>
      <w:pPr>
        <w:spacing w:after="0" w:line="390" w:lineRule="exact"/>
        <w:rPr>
          <w:rFonts w:ascii="Arial" w:cs="Arial" w:eastAsia="Arial" w:hAnsi="Arial"/>
          <w:sz w:val="22"/>
          <w:szCs w:val="22"/>
          <w:color w:val="auto"/>
        </w:rPr>
      </w:pPr>
    </w:p>
    <w:p>
      <w:pPr>
        <w:ind w:right="100" w:firstLine="656"/>
        <w:spacing w:after="0" w:line="270" w:lineRule="auto"/>
        <w:tabs>
          <w:tab w:leader="none" w:pos="99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Duties; Exclusive Service</w:t>
      </w:r>
      <w:r>
        <w:rPr>
          <w:rFonts w:ascii="Arial" w:cs="Arial" w:eastAsia="Arial" w:hAnsi="Arial"/>
          <w:sz w:val="21"/>
          <w:szCs w:val="21"/>
          <w:color w:val="auto"/>
        </w:rPr>
        <w:t>. You shall serve as a senior officer of the Firm and shall perform such duties as shall be reasonably assigned to you. You shall devote your full business time, attention and skill to the performance of such duties, services and responsibilities, shall use your best efforts to promote and act in the best interests of the Firm at all times and shall comply at all times with all applicable Firm policies as amended and in effect from time to time.</w:t>
      </w:r>
    </w:p>
    <w:p>
      <w:pPr>
        <w:spacing w:after="0" w:line="385" w:lineRule="exact"/>
        <w:rPr>
          <w:rFonts w:ascii="Arial" w:cs="Arial" w:eastAsia="Arial" w:hAnsi="Arial"/>
          <w:sz w:val="21"/>
          <w:szCs w:val="21"/>
          <w:color w:val="auto"/>
        </w:rPr>
      </w:pPr>
    </w:p>
    <w:p>
      <w:pPr>
        <w:ind w:left="1000" w:hanging="344"/>
        <w:spacing w:after="0"/>
        <w:tabs>
          <w:tab w:leader="none" w:pos="10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20" w:firstLine="656"/>
        <w:spacing w:after="0" w:line="290" w:lineRule="auto"/>
        <w:tabs>
          <w:tab w:leader="none" w:pos="106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You shall be compensated consistent with Booz Allen’s compensation program for officers based on the number of points assigned to you and the per point value determined by the Firm. You shall receive a base draw, payable monthly. In addition, you shall be eligible to participate in Booz Allen’s annual incentive compensation program under the Firm’s Annual Incentive Plan. Your initial compensation under this Agreement shall be based on the compensation value of an Officer with not less than the number of points currently assigned to you. The number of points, base draw point value and annual incentive compensation is subject to adjustment from time to time as determined by the Firm in its sole discretion. There is no guarantee of any bonus or other incentive compensation in any given year. All bonus payments or other incentive compensation are subject to approval of the Firm in its sole discretion. Bonuses are not earned or accrued by you until so approved. In the event that the system of points is changed during the course of this agreement, the number of points assigned to you shall be among one of the top three point values and within one of the top two levels, exclusive of the point value and level assigned to the CEO.</w:t>
      </w:r>
    </w:p>
    <w:p>
      <w:pPr>
        <w:sectPr>
          <w:pgSz w:w="11900" w:h="16838" w:orient="portrait"/>
          <w:cols w:equalWidth="0" w:num="1">
            <w:col w:w="11420"/>
          </w:cols>
          <w:pgMar w:left="240" w:top="621" w:right="239" w:bottom="1440" w:gutter="0" w:footer="0" w:header="0"/>
        </w:sectPr>
      </w:pPr>
    </w:p>
    <w:bookmarkStart w:id="105" w:name="page106"/>
    <w:bookmarkEnd w:id="105"/>
    <w:p>
      <w:pPr>
        <w:ind w:left="-40" w:right="1040" w:firstLine="656"/>
        <w:spacing w:after="0" w:line="358" w:lineRule="auto"/>
        <w:tabs>
          <w:tab w:leader="none" w:pos="104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Award of Points</w:t>
      </w:r>
      <w:r>
        <w:rPr>
          <w:rFonts w:ascii="Arial" w:cs="Arial" w:eastAsia="Arial" w:hAnsi="Arial"/>
          <w:sz w:val="19"/>
          <w:szCs w:val="19"/>
          <w:color w:val="auto"/>
        </w:rPr>
        <w:t>. The award of points by the Firm does not in any way constitute or imply any guarantee or commitment to pay to you any amounts beyond those paid prior to an actual date of termination of employment.</w:t>
      </w:r>
    </w:p>
    <w:p>
      <w:pPr>
        <w:spacing w:after="0" w:line="307" w:lineRule="exact"/>
        <w:rPr>
          <w:rFonts w:ascii="Arial" w:cs="Arial" w:eastAsia="Arial" w:hAnsi="Arial"/>
          <w:sz w:val="19"/>
          <w:szCs w:val="19"/>
          <w:color w:val="auto"/>
        </w:rPr>
      </w:pPr>
    </w:p>
    <w:p>
      <w:pPr>
        <w:ind w:left="-40" w:firstLine="656"/>
        <w:spacing w:after="0" w:line="254" w:lineRule="auto"/>
        <w:tabs>
          <w:tab w:leader="none" w:pos="102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You shall be entitled to participate in employee benefit plans, policies, programs and arrangements (including, without limitation, paid vacation and holidays, and sick leave), as they may be amended from time to time, on the same terms as similarly situated officers of the Firm to the extent you meet the eligibility requirements for any such plan, policy, program or arrangement.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40" w:right="60" w:firstLine="656"/>
        <w:spacing w:after="0" w:line="291" w:lineRule="auto"/>
        <w:tabs>
          <w:tab w:leader="none" w:pos="104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Special Cash Bonus</w:t>
      </w:r>
      <w:r>
        <w:rPr>
          <w:rFonts w:ascii="Arial" w:cs="Arial" w:eastAsia="Arial" w:hAnsi="Arial"/>
          <w:sz w:val="19"/>
          <w:szCs w:val="19"/>
          <w:color w:val="auto"/>
        </w:rPr>
        <w:t>. In addition to any annual incentive you may earn for the 2015 fiscal year as provided in Section 3(a), you shall be entitled to receive a special cash bonus under the Firm’s Annual Incentive Plan in the amount of $[XXX,XXX] (“Special Cash Bonus”) subject to (i) your continuous employment with the Firm through March 31, 2015, (ii) your continued compliance with this Agreement, (iii) the terms and provisions of the Annual Incentive Plan, and (iv) the approval of the grant of the Special Cash Bonus and the performance goals for 2015 applicable to such grant by a special compensation committee of the Company’s Board of Directors consisting solely of “outside directors”, as defined under Section 162(m) of the Internal Revenue Code of 1986, as amended, and the Treasury Regulations and IRS guidance thereunder (the “Outside Director Committee”), by June 29, 2014 and the Outside Director Committee’s written certification of the achievement of such performance goals. Subject to the foregoing and to Section 4, the Special Cash Bonus will be paid no later than June 15, 2015.</w:t>
      </w:r>
    </w:p>
    <w:p>
      <w:pPr>
        <w:spacing w:after="0" w:line="370" w:lineRule="exact"/>
        <w:rPr>
          <w:rFonts w:ascii="Arial" w:cs="Arial" w:eastAsia="Arial" w:hAnsi="Arial"/>
          <w:sz w:val="19"/>
          <w:szCs w:val="19"/>
          <w:color w:val="auto"/>
        </w:rPr>
      </w:pPr>
    </w:p>
    <w:p>
      <w:pPr>
        <w:ind w:left="-40" w:right="200" w:firstLine="656"/>
        <w:spacing w:after="0" w:line="260" w:lineRule="auto"/>
        <w:tabs>
          <w:tab w:leader="none" w:pos="1028"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Special Equity Grant</w:t>
      </w:r>
      <w:r>
        <w:rPr>
          <w:rFonts w:ascii="Arial" w:cs="Arial" w:eastAsia="Arial" w:hAnsi="Arial"/>
          <w:sz w:val="21"/>
          <w:szCs w:val="21"/>
          <w:color w:val="auto"/>
        </w:rPr>
        <w:t>. You shall be entitled to receive a special award under the Company’s Equity Incentive Plan of shares of restricted Common Stock of the Company with an initial value of $[X,XXX,XXX] as of the Effective Date, subject to approval by the Board or a duly authorized committee thereof. The number of shares of restricted stock you receive will be determined based on the closing price of the Company’s Common Stock on the New York Stock Exchange on the Effective Date. The restricted stock will vest as follows: 33% will vest on March 31, 2016, 34% will vest on March 31, 2017, and the remaining 33% will vest on March 31, 2018, subject to your continued employment through such vesting dates, your continued compliance with this Agreement and the terms and conditions of the Equity Incentive Plan and the related restricted stock award agreement. Notwithstanding the preceding, in the event you are terminated by the Company not for Cause and are therefore not employed through the vesting dates, the Company shall accelerate the vesting of the remaining equity to the effective date of your termination.</w:t>
      </w:r>
    </w:p>
    <w:p>
      <w:pPr>
        <w:spacing w:after="0" w:line="395" w:lineRule="exact"/>
        <w:rPr>
          <w:rFonts w:ascii="Arial" w:cs="Arial" w:eastAsia="Arial" w:hAnsi="Arial"/>
          <w:sz w:val="21"/>
          <w:szCs w:val="21"/>
          <w:color w:val="auto"/>
        </w:rPr>
      </w:pPr>
    </w:p>
    <w:p>
      <w:pPr>
        <w:jc w:val="both"/>
        <w:ind w:left="40" w:right="200" w:firstLine="563"/>
        <w:spacing w:after="0" w:line="320" w:lineRule="auto"/>
        <w:tabs>
          <w:tab w:leader="none" w:pos="949"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You shall be solely responsible for taxes imposed on you by reason of any compensation and benefits provided under this Agreement. Booz Allen or another member of the Firm shall deduct from any payments to be made by it to or on your behalf under this Agreement any amounts required to be withheld in respect of any federal, state or local income or other taxes.</w:t>
      </w:r>
    </w:p>
    <w:p>
      <w:pPr>
        <w:spacing w:after="0" w:line="342" w:lineRule="exact"/>
        <w:rPr>
          <w:sz w:val="20"/>
          <w:szCs w:val="20"/>
          <w:color w:val="auto"/>
        </w:rPr>
      </w:pPr>
    </w:p>
    <w:p>
      <w:pPr>
        <w:ind w:left="960" w:hanging="344"/>
        <w:spacing w:after="0"/>
        <w:tabs>
          <w:tab w:leader="none" w:pos="9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right="1040" w:firstLine="656"/>
        <w:spacing w:after="0" w:line="276" w:lineRule="auto"/>
        <w:tabs>
          <w:tab w:leader="none" w:pos="1028" w:val="left"/>
        </w:tabs>
        <w:numPr>
          <w:ilvl w:val="0"/>
          <w:numId w:val="80"/>
        </w:numPr>
        <w:rPr>
          <w:rFonts w:ascii="Arial" w:cs="Arial" w:eastAsia="Arial" w:hAnsi="Arial"/>
          <w:sz w:val="22"/>
          <w:szCs w:val="22"/>
          <w:color w:val="auto"/>
        </w:rPr>
      </w:pPr>
      <w:r>
        <w:rPr>
          <w:rFonts w:ascii="Arial" w:cs="Arial" w:eastAsia="Arial" w:hAnsi="Arial"/>
          <w:sz w:val="22"/>
          <w:szCs w:val="22"/>
          <w:color w:val="auto"/>
        </w:rPr>
        <w:t>Your employment will terminate upon occurrence of any of the following events (the date of termination of employment,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w:t>
      </w:r>
    </w:p>
    <w:p>
      <w:pPr>
        <w:spacing w:after="0" w:line="377" w:lineRule="exact"/>
        <w:rPr>
          <w:rFonts w:ascii="Arial" w:cs="Arial" w:eastAsia="Arial" w:hAnsi="Arial"/>
          <w:sz w:val="22"/>
          <w:szCs w:val="22"/>
          <w:color w:val="auto"/>
        </w:rPr>
      </w:pPr>
    </w:p>
    <w:p>
      <w:pPr>
        <w:ind w:left="1640" w:hanging="375"/>
        <w:spacing w:after="0"/>
        <w:tabs>
          <w:tab w:leader="none" w:pos="16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termination of employment by reason of your death.</w:t>
      </w:r>
    </w:p>
    <w:p>
      <w:pPr>
        <w:spacing w:after="0" w:line="233" w:lineRule="exact"/>
        <w:rPr>
          <w:rFonts w:ascii="Arial" w:cs="Arial" w:eastAsia="Arial" w:hAnsi="Arial"/>
          <w:sz w:val="22"/>
          <w:szCs w:val="22"/>
          <w:color w:val="auto"/>
        </w:rPr>
      </w:pPr>
    </w:p>
    <w:p>
      <w:pPr>
        <w:ind w:left="620" w:right="60" w:firstLine="645"/>
        <w:spacing w:after="0" w:line="254" w:lineRule="auto"/>
        <w:tabs>
          <w:tab w:leader="none" w:pos="1712"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termination of your employment by the Firm at any time, with or without notice, for any reason whatsoever or for no reason, with or without Cause. Termination of employment for “Cause” shall have the same definition as that in the Equity Incentive Plan. Upon notice of termination for Cause, you shall have ten (10) days to cure should the action be curable.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80" w:top="591" w:right="259" w:bottom="1440" w:gutter="0" w:footer="0" w:header="0"/>
        </w:sectPr>
      </w:pPr>
    </w:p>
    <w:bookmarkStart w:id="106" w:name="page107"/>
    <w:bookmarkEnd w:id="106"/>
    <w:p>
      <w:pPr>
        <w:ind w:left="640" w:right="180"/>
        <w:spacing w:after="0" w:line="312" w:lineRule="auto"/>
        <w:rPr>
          <w:sz w:val="20"/>
          <w:szCs w:val="20"/>
          <w:color w:val="auto"/>
        </w:rPr>
      </w:pPr>
      <w:r>
        <w:rPr>
          <w:rFonts w:ascii="Arial" w:cs="Arial" w:eastAsia="Arial" w:hAnsi="Arial"/>
          <w:sz w:val="19"/>
          <w:szCs w:val="19"/>
          <w:color w:val="auto"/>
        </w:rPr>
        <w:t>The Board, acting in good faith, shall make the determination as to whether “Cause” has occurred. In the event you are terminated not for Cause, we shall, in good faith, upon your request, consider a request to the Board to allow you to retire, with all benefits that are then in effect for a retiring partner, regardless of your length of service at that time.</w:t>
      </w:r>
    </w:p>
    <w:p>
      <w:pPr>
        <w:spacing w:after="0" w:line="350" w:lineRule="exact"/>
        <w:rPr>
          <w:sz w:val="20"/>
          <w:szCs w:val="20"/>
          <w:color w:val="auto"/>
        </w:rPr>
      </w:pPr>
    </w:p>
    <w:p>
      <w:pPr>
        <w:ind w:left="640" w:right="300" w:firstLine="645"/>
        <w:spacing w:after="0" w:line="358" w:lineRule="auto"/>
        <w:tabs>
          <w:tab w:leader="none" w:pos="179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termination of employment as a result of your retirement, provided that you comply with all applicable notice and other conditions contained in the Booz Allen Officer Retirement Policy, as amended from time to time.</w:t>
      </w:r>
    </w:p>
    <w:p>
      <w:pPr>
        <w:spacing w:after="0" w:line="307" w:lineRule="exact"/>
        <w:rPr>
          <w:rFonts w:ascii="Arial" w:cs="Arial" w:eastAsia="Arial" w:hAnsi="Arial"/>
          <w:sz w:val="19"/>
          <w:szCs w:val="19"/>
          <w:color w:val="auto"/>
        </w:rPr>
      </w:pPr>
    </w:p>
    <w:p>
      <w:pPr>
        <w:ind w:left="640" w:right="280" w:firstLine="645"/>
        <w:spacing w:after="0" w:line="260" w:lineRule="auto"/>
        <w:tabs>
          <w:tab w:leader="none" w:pos="17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termination of employment by you or the Firm as a result of your Disability (as defined in (</w:t>
      </w:r>
      <w:r>
        <w:rPr>
          <w:rFonts w:ascii="Arial" w:cs="Arial" w:eastAsia="Arial" w:hAnsi="Arial"/>
          <w:sz w:val="22"/>
          <w:szCs w:val="22"/>
          <w:i w:val="1"/>
          <w:iCs w:val="1"/>
          <w:color w:val="auto"/>
        </w:rPr>
        <w:t>A</w:t>
      </w:r>
      <w:r>
        <w:rPr>
          <w:rFonts w:ascii="Arial" w:cs="Arial" w:eastAsia="Arial" w:hAnsi="Arial"/>
          <w:sz w:val="22"/>
          <w:szCs w:val="22"/>
          <w:color w:val="auto"/>
        </w:rPr>
        <w:t>) the long-term disability plan of the Firm as in effect from time to time or (</w:t>
      </w:r>
      <w:r>
        <w:rPr>
          <w:rFonts w:ascii="Arial" w:cs="Arial" w:eastAsia="Arial" w:hAnsi="Arial"/>
          <w:sz w:val="22"/>
          <w:szCs w:val="22"/>
          <w:i w:val="1"/>
          <w:iCs w:val="1"/>
          <w:color w:val="auto"/>
        </w:rPr>
        <w:t>B</w:t>
      </w:r>
      <w:r>
        <w:rPr>
          <w:rFonts w:ascii="Arial" w:cs="Arial" w:eastAsia="Arial" w:hAnsi="Arial"/>
          <w:sz w:val="22"/>
          <w:szCs w:val="22"/>
          <w:color w:val="auto"/>
        </w:rPr>
        <w:t>) if no such plan is in effect, Section 22(e)(3) of the Internal Revenue Code).</w:t>
      </w:r>
    </w:p>
    <w:p>
      <w:pPr>
        <w:spacing w:after="0" w:line="393" w:lineRule="exact"/>
        <w:rPr>
          <w:rFonts w:ascii="Arial" w:cs="Arial" w:eastAsia="Arial" w:hAnsi="Arial"/>
          <w:sz w:val="22"/>
          <w:szCs w:val="22"/>
          <w:color w:val="auto"/>
        </w:rPr>
      </w:pPr>
    </w:p>
    <w:p>
      <w:pPr>
        <w:ind w:left="640" w:firstLine="645"/>
        <w:spacing w:after="0" w:line="297" w:lineRule="auto"/>
        <w:tabs>
          <w:tab w:leader="none" w:pos="1720" w:val="left"/>
        </w:tabs>
        <w:numPr>
          <w:ilvl w:val="1"/>
          <w:numId w:val="81"/>
        </w:numPr>
        <w:rPr>
          <w:rFonts w:ascii="Arial" w:cs="Arial" w:eastAsia="Arial" w:hAnsi="Arial"/>
          <w:sz w:val="19"/>
          <w:szCs w:val="19"/>
          <w:color w:val="auto"/>
        </w:rPr>
      </w:pPr>
      <w:r>
        <w:rPr>
          <w:rFonts w:ascii="Arial" w:cs="Arial" w:eastAsia="Arial" w:hAnsi="Arial"/>
          <w:sz w:val="19"/>
          <w:szCs w:val="19"/>
          <w:color w:val="auto"/>
        </w:rPr>
        <w:t>Your resignation of employment at any time or for any reason other than retirement or Disability by providing the Firm with ninety (90) days’ advance written notice of your intention to terminate your employment or such longer period specified in the applicable Officer or Firm policy. Upon receipt of your written notice of termination, the Firm may in its sole and absolute discretion (</w:t>
      </w:r>
      <w:r>
        <w:rPr>
          <w:rFonts w:ascii="Arial" w:cs="Arial" w:eastAsia="Arial" w:hAnsi="Arial"/>
          <w:sz w:val="19"/>
          <w:szCs w:val="19"/>
          <w:i w:val="1"/>
          <w:iCs w:val="1"/>
          <w:color w:val="auto"/>
        </w:rPr>
        <w:t>i</w:t>
      </w:r>
      <w:r>
        <w:rPr>
          <w:rFonts w:ascii="Arial" w:cs="Arial" w:eastAsia="Arial" w:hAnsi="Arial"/>
          <w:sz w:val="19"/>
          <w:szCs w:val="19"/>
          <w:color w:val="auto"/>
        </w:rPr>
        <w:t>) accept the resignation on the terms indicated in the notice or upon a mutually agreeable basis, (</w:t>
      </w:r>
      <w:r>
        <w:rPr>
          <w:rFonts w:ascii="Arial" w:cs="Arial" w:eastAsia="Arial" w:hAnsi="Arial"/>
          <w:sz w:val="19"/>
          <w:szCs w:val="19"/>
          <w:i w:val="1"/>
          <w:iCs w:val="1"/>
          <w:color w:val="auto"/>
        </w:rPr>
        <w:t>ii</w:t>
      </w:r>
      <w:r>
        <w:rPr>
          <w:rFonts w:ascii="Arial" w:cs="Arial" w:eastAsia="Arial" w:hAnsi="Arial"/>
          <w:sz w:val="19"/>
          <w:szCs w:val="19"/>
          <w:color w:val="auto"/>
        </w:rPr>
        <w:t>) accept your resignation as effective immediately or any other date prior to the end of the notice period, or (</w:t>
      </w:r>
      <w:r>
        <w:rPr>
          <w:rFonts w:ascii="Arial" w:cs="Arial" w:eastAsia="Arial" w:hAnsi="Arial"/>
          <w:sz w:val="19"/>
          <w:szCs w:val="19"/>
          <w:i w:val="1"/>
          <w:iCs w:val="1"/>
          <w:color w:val="auto"/>
        </w:rPr>
        <w:t>iii</w:t>
      </w:r>
      <w:r>
        <w:rPr>
          <w:rFonts w:ascii="Arial" w:cs="Arial" w:eastAsia="Arial" w:hAnsi="Arial"/>
          <w:sz w:val="19"/>
          <w:szCs w:val="19"/>
          <w:color w:val="auto"/>
        </w:rPr>
        <w:t>) require you not to perform any duties at all, or to perform only such duties it may allocate to you during such period.</w:t>
      </w:r>
    </w:p>
    <w:p>
      <w:pPr>
        <w:spacing w:after="0" w:line="363" w:lineRule="exact"/>
        <w:rPr>
          <w:rFonts w:ascii="Arial" w:cs="Arial" w:eastAsia="Arial" w:hAnsi="Arial"/>
          <w:sz w:val="19"/>
          <w:szCs w:val="19"/>
          <w:color w:val="auto"/>
        </w:rPr>
      </w:pPr>
    </w:p>
    <w:p>
      <w:pPr>
        <w:jc w:val="both"/>
        <w:ind w:left="-20" w:firstLine="656"/>
        <w:spacing w:after="0" w:line="307" w:lineRule="auto"/>
        <w:tabs>
          <w:tab w:leader="none" w:pos="10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Benefits upon Termination</w:t>
      </w:r>
      <w:r>
        <w:rPr>
          <w:rFonts w:ascii="Arial" w:cs="Arial" w:eastAsia="Arial" w:hAnsi="Arial"/>
          <w:sz w:val="19"/>
          <w:szCs w:val="19"/>
          <w:color w:val="auto"/>
        </w:rPr>
        <w:t>. In the event of termination of your employment by the Firm other than for Cause or your termination for retirement or Disability, subject to meeting the applicable eligibility criteria, you shall receive separation benefits, transition benefits, Disability benefits and/or retirement benefits under the Booz Allen Officer Retirement Policy, Officer Transition Policy, Disability plan or policy and/or other severance policy, as applicable, as amended from the time to time.</w:t>
      </w:r>
    </w:p>
    <w:p>
      <w:pPr>
        <w:spacing w:after="0" w:line="354" w:lineRule="exact"/>
        <w:rPr>
          <w:rFonts w:ascii="Arial" w:cs="Arial" w:eastAsia="Arial" w:hAnsi="Arial"/>
          <w:sz w:val="19"/>
          <w:szCs w:val="19"/>
          <w:color w:val="auto"/>
        </w:rPr>
      </w:pPr>
    </w:p>
    <w:p>
      <w:pPr>
        <w:ind w:left="-20" w:firstLine="656"/>
        <w:spacing w:after="0" w:line="294" w:lineRule="auto"/>
        <w:tabs>
          <w:tab w:leader="none" w:pos="104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Notice/Transition</w:t>
      </w:r>
      <w:r>
        <w:rPr>
          <w:rFonts w:ascii="Arial" w:cs="Arial" w:eastAsia="Arial" w:hAnsi="Arial"/>
          <w:sz w:val="19"/>
          <w:szCs w:val="19"/>
          <w:color w:val="auto"/>
        </w:rPr>
        <w:t>. If you accept an offer to provide services to any third party during your employment with the Firm or during the Restricted Period (as defined in Section 6), you shall immediately (i) provide a copy of the restrictions contained in Section 6 to such third party, (ii) notify the Firm or the appropriate member of the Firm of such offer, the name of the company, and such other details relating to the role that the Firm may request in order to ascertain its rights under the terms of this Agreement, and (iii) comply with any directions given by the Firm so as to enable the Firm to take steps to arrange the proper hand over of your duties (including customers and business) to another employee. The obligation set out in this Section is not intended to detract from your general obligation to immediately disclose any conflict of interest to the Firm.</w:t>
      </w:r>
    </w:p>
    <w:p>
      <w:pPr>
        <w:spacing w:after="0" w:line="368" w:lineRule="exact"/>
        <w:rPr>
          <w:rFonts w:ascii="Arial" w:cs="Arial" w:eastAsia="Arial" w:hAnsi="Arial"/>
          <w:sz w:val="19"/>
          <w:szCs w:val="19"/>
          <w:color w:val="auto"/>
        </w:rPr>
      </w:pPr>
    </w:p>
    <w:p>
      <w:pPr>
        <w:ind w:left="-20" w:right="140" w:firstLine="656"/>
        <w:spacing w:after="0" w:line="292" w:lineRule="auto"/>
        <w:tabs>
          <w:tab w:leader="none" w:pos="10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Post-Termination Activities</w:t>
      </w:r>
      <w:r>
        <w:rPr>
          <w:rFonts w:ascii="Arial" w:cs="Arial" w:eastAsia="Arial" w:hAnsi="Arial"/>
          <w:sz w:val="19"/>
          <w:szCs w:val="19"/>
          <w:color w:val="auto"/>
        </w:rPr>
        <w:t>. After the cessation of your employment for any reason, neither party shall (a) represent itself as having any on-going relationship with the other, (b) make or cause to be made (whether directly or indirectly) any derogatory comments or statements about the you or the Firm or its officers or employees, as applicable and (c) make, or cause to be made (whether directly or indirectly), any statement or comment to the press or other media concerning your employment or termination of employment with the Firm or your termination or resignation from any directorships or other offices with the Firm, without the prior written consent of the other party except in the case of the Company as necessary to comply with applicable law or the rules of the New York Stock Exchange or any other stock exchange on which the Company’s stock may be traded (and any public statements made in good faith by the Company in connection therewith).</w:t>
      </w:r>
    </w:p>
    <w:p>
      <w:pPr>
        <w:spacing w:after="0" w:line="372" w:lineRule="exact"/>
        <w:rPr>
          <w:sz w:val="20"/>
          <w:szCs w:val="20"/>
          <w:color w:val="auto"/>
        </w:rPr>
      </w:pPr>
    </w:p>
    <w:p>
      <w:pPr>
        <w:ind w:left="980" w:hanging="344"/>
        <w:spacing w:after="0"/>
        <w:tabs>
          <w:tab w:leader="none" w:pos="9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60" w:top="375" w:right="259" w:bottom="1440" w:gutter="0" w:footer="0" w:header="0"/>
        </w:sectPr>
      </w:pPr>
    </w:p>
    <w:bookmarkStart w:id="107" w:name="page108"/>
    <w:bookmarkEnd w:id="107"/>
    <w:p>
      <w:pPr>
        <w:ind w:right="540" w:firstLine="656"/>
        <w:spacing w:after="0" w:line="276" w:lineRule="auto"/>
        <w:tabs>
          <w:tab w:leader="none" w:pos="1068"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Employment and Retention.</w:t>
      </w:r>
      <w:r>
        <w:rPr>
          <w:rFonts w:ascii="Arial" w:cs="Arial" w:eastAsia="Arial" w:hAnsi="Arial"/>
          <w:sz w:val="22"/>
          <w:szCs w:val="22"/>
          <w:color w:val="auto"/>
        </w:rPr>
        <w:t xml:space="preserve"> The following statements shall be taken into account in construing and enforcing the provisions of this Section 6:</w:t>
      </w:r>
    </w:p>
    <w:p>
      <w:pPr>
        <w:spacing w:after="0" w:line="160" w:lineRule="exact"/>
        <w:rPr>
          <w:rFonts w:ascii="Arial" w:cs="Arial" w:eastAsia="Arial" w:hAnsi="Arial"/>
          <w:sz w:val="22"/>
          <w:szCs w:val="22"/>
          <w:color w:val="auto"/>
        </w:rPr>
      </w:pPr>
    </w:p>
    <w:p>
      <w:pPr>
        <w:ind w:left="660" w:right="600" w:firstLine="1293"/>
        <w:spacing w:after="0" w:line="253" w:lineRule="auto"/>
        <w:tabs>
          <w:tab w:leader="none" w:pos="2373"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Firm provides management consulting services to diverse government and private clients throughout the world. The Firm’s intellectual capital is its most valued asset and critical to its ability to compete in an increasingly competitive global economy.</w:t>
      </w:r>
    </w:p>
    <w:p>
      <w:pPr>
        <w:spacing w:after="0" w:line="185" w:lineRule="exact"/>
        <w:rPr>
          <w:rFonts w:ascii="Arial" w:cs="Arial" w:eastAsia="Arial" w:hAnsi="Arial"/>
          <w:sz w:val="22"/>
          <w:szCs w:val="22"/>
          <w:color w:val="auto"/>
        </w:rPr>
      </w:pPr>
    </w:p>
    <w:p>
      <w:pPr>
        <w:ind w:left="660" w:firstLine="1293"/>
        <w:spacing w:after="0" w:line="294" w:lineRule="auto"/>
        <w:tabs>
          <w:tab w:leader="none" w:pos="2437" w:val="left"/>
        </w:tabs>
        <w:numPr>
          <w:ilvl w:val="2"/>
          <w:numId w:val="84"/>
        </w:numPr>
        <w:rPr>
          <w:rFonts w:ascii="Arial" w:cs="Arial" w:eastAsia="Arial" w:hAnsi="Arial"/>
          <w:sz w:val="19"/>
          <w:szCs w:val="19"/>
          <w:color w:val="auto"/>
        </w:rPr>
      </w:pPr>
      <w:r>
        <w:rPr>
          <w:rFonts w:ascii="Arial" w:cs="Arial" w:eastAsia="Arial" w:hAnsi="Arial"/>
          <w:sz w:val="19"/>
          <w:szCs w:val="19"/>
          <w:color w:val="auto"/>
        </w:rPr>
        <w:t>By conscious design to enable its officers to provide management consulting services to diverse government and private clients throughout the world, the Firm exposes its officers to its trade secrets, confidential information, market strategies, and clients. Such exposure and related training or opportunities for professional development provide the Firm’s officers with invaluable expertise and intimate knowledge of, and familiarity with, the Firm’s operations, strategic plans, and clients. You acknowledge and agree that given this expertise and knowledge, your competition with the Firm would provide you with an unfair advantage and would cause the Firm to suffer irreparable harm.</w:t>
      </w:r>
    </w:p>
    <w:p>
      <w:pPr>
        <w:spacing w:after="0" w:line="365" w:lineRule="exact"/>
        <w:rPr>
          <w:rFonts w:ascii="Arial" w:cs="Arial" w:eastAsia="Arial" w:hAnsi="Arial"/>
          <w:sz w:val="19"/>
          <w:szCs w:val="19"/>
          <w:color w:val="auto"/>
        </w:rPr>
      </w:pPr>
    </w:p>
    <w:p>
      <w:pPr>
        <w:ind w:right="60" w:firstLine="656"/>
        <w:spacing w:after="0" w:line="287" w:lineRule="auto"/>
        <w:tabs>
          <w:tab w:leader="none" w:pos="1080"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Protection of Confidential and Proprietary Information.</w:t>
      </w:r>
      <w:r>
        <w:rPr>
          <w:rFonts w:ascii="Arial" w:cs="Arial" w:eastAsia="Arial" w:hAnsi="Arial"/>
          <w:sz w:val="19"/>
          <w:szCs w:val="19"/>
          <w:color w:val="auto"/>
        </w:rPr>
        <w:t xml:space="preserve"> In addition to your obligations under the Agreement Concerning Proprietary Information and Intellectual Property, any Officer Non Competition Agreement, and any other restrictive covenant agreement with Booz Allen or any other member of the Firm to which you are subject, the obligations under which are made in addition to, not in lieu of, this Agreement, you acknowledge that as a result of your position with the Firm, you will have access to the Firm’s confidential affairs and proprietary information (“Confidential Information”) which is not available to the public and is of critical importance and value to the Firm. To ensure the protection of such Confidential Information, you agree that</w:t>
      </w:r>
    </w:p>
    <w:p>
      <w:pPr>
        <w:spacing w:after="0" w:line="3" w:lineRule="exact"/>
        <w:rPr>
          <w:rFonts w:ascii="Arial" w:cs="Arial" w:eastAsia="Arial" w:hAnsi="Arial"/>
          <w:sz w:val="19"/>
          <w:szCs w:val="19"/>
          <w:color w:val="auto"/>
        </w:rPr>
      </w:pPr>
    </w:p>
    <w:p>
      <w:pPr>
        <w:ind w:right="40" w:firstLine="8"/>
        <w:spacing w:after="0" w:line="257" w:lineRule="auto"/>
        <w:tabs>
          <w:tab w:leader="none" w:pos="258" w:val="left"/>
        </w:tabs>
        <w:numPr>
          <w:ilvl w:val="0"/>
          <w:numId w:val="85"/>
        </w:numPr>
        <w:rPr>
          <w:rFonts w:ascii="Arial" w:cs="Arial" w:eastAsia="Arial" w:hAnsi="Arial"/>
          <w:sz w:val="21"/>
          <w:szCs w:val="21"/>
          <w:color w:val="auto"/>
        </w:rPr>
      </w:pPr>
      <w:r>
        <w:rPr>
          <w:rFonts w:ascii="Arial" w:cs="Arial" w:eastAsia="Arial" w:hAnsi="Arial"/>
          <w:sz w:val="21"/>
          <w:szCs w:val="21"/>
          <w:color w:val="auto"/>
        </w:rPr>
        <w:t>all Confidential Information is owned by the Firm and is to be held in trust and solely for the benefit of the Firm both during and after your employment; (ii) you shall not disclose or otherwise reveal such Confidential Information to any person or entity without the prior written consent of the Firm, except as necessary for the performance of your services for the Firm; (iii) you shall not use such Confidential Information for your own personal gain or advantage, the gain or advantage of others, or to the detriment of any member or client of the Firm; and (iv) upon the cessation of your employment for any reason, you shall promptly return to the Firm all such Confidential Information (in paper, electronic, or other form, and wherever stored) and shall continue to abide by the confidentiality provisions of this Agreement.</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For purposes of this Agreement, “Confidential Information” includes three different categories of information: (1) confidential proprietary information about the Firm’s business including, but not limited to, information that is not readily available to the public, and which concerns the Firm’s operations, financial results, plans and compensation structure, strategies, knowledge on-line database, clients, trade secrets, or any other proprietary information; (2) confidential information entrusted to the Firm by third parties such as clients (including the U.S. government and its agencies) or vendors (“Third Party Information”); and (3) personally identifiable information received from employees, clients, or third parties (including, but not limited to, names, addresses, Social Security Numbers, background information, credit card or bank information, telephone or facsimile numbers, e-mail addresses and health information) (“Personal Information”) which if misused could result in identity theft, credit card fraud or other serious harm.</w:t>
      </w:r>
    </w:p>
    <w:p>
      <w:pPr>
        <w:spacing w:after="0" w:line="180" w:lineRule="exact"/>
        <w:rPr>
          <w:sz w:val="20"/>
          <w:szCs w:val="20"/>
          <w:color w:val="auto"/>
        </w:rPr>
      </w:pPr>
    </w:p>
    <w:p>
      <w:pPr>
        <w:ind w:right="220" w:firstLine="656"/>
        <w:spacing w:after="0" w:line="250" w:lineRule="auto"/>
        <w:tabs>
          <w:tab w:leader="none" w:pos="1104"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Non-Solicitation of Clients or Customers.</w:t>
      </w:r>
      <w:r>
        <w:rPr>
          <w:rFonts w:ascii="Arial" w:cs="Arial" w:eastAsia="Arial" w:hAnsi="Arial"/>
          <w:sz w:val="22"/>
          <w:szCs w:val="22"/>
          <w:color w:val="auto"/>
        </w:rPr>
        <w:t xml:space="preserve"> You agree that throughout the period of your employment and for a period of one (1) year following the cessation of your employment (regardless of the reason) or a period starting on the date of the cessation of your employment (regardless of the reason) and ending one (1) year after the date of issuance of a court order enforcing this Section 6(c), whichever is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108" w:name="page109"/>
    <w:bookmarkEnd w:id="108"/>
    <w:p>
      <w:pPr>
        <w:ind w:right="60"/>
        <w:spacing w:after="0" w:line="248" w:lineRule="auto"/>
        <w:rPr>
          <w:sz w:val="20"/>
          <w:szCs w:val="20"/>
          <w:color w:val="auto"/>
        </w:rPr>
      </w:pPr>
      <w:r>
        <w:rPr>
          <w:rFonts w:ascii="Arial" w:cs="Arial" w:eastAsia="Arial" w:hAnsi="Arial"/>
          <w:sz w:val="22"/>
          <w:szCs w:val="22"/>
          <w:color w:val="auto"/>
        </w:rPr>
        <w:t>longer, that you shall not, without the Firm’s prior written consent, solicit or attempt to secure business, either directly or indirectly, other than for the Firm’s sole benefit, from any of the Firm’s clients for whom you rendered consulting services during your employment with Booz Allen, or from any potential or actual clients of Booz Allen whom you, either directly or indirectly, individually or together with other Company employees, actively solicited for business within one (1) year of the cessation of your employment.</w:t>
      </w:r>
    </w:p>
    <w:p>
      <w:pPr>
        <w:spacing w:after="0" w:line="192" w:lineRule="exact"/>
        <w:rPr>
          <w:sz w:val="20"/>
          <w:szCs w:val="20"/>
          <w:color w:val="auto"/>
        </w:rPr>
      </w:pPr>
    </w:p>
    <w:p>
      <w:pPr>
        <w:ind w:right="100" w:firstLine="656"/>
        <w:spacing w:after="0" w:line="292" w:lineRule="auto"/>
        <w:tabs>
          <w:tab w:leader="none" w:pos="1116" w:val="left"/>
        </w:tabs>
        <w:numPr>
          <w:ilvl w:val="2"/>
          <w:numId w:val="87"/>
        </w:numPr>
        <w:rPr>
          <w:rFonts w:ascii="Arial" w:cs="Arial" w:eastAsia="Arial" w:hAnsi="Arial"/>
          <w:sz w:val="19"/>
          <w:szCs w:val="19"/>
          <w:color w:val="auto"/>
        </w:rPr>
      </w:pPr>
      <w:r>
        <w:rPr>
          <w:rFonts w:ascii="Arial" w:cs="Arial" w:eastAsia="Arial" w:hAnsi="Arial"/>
          <w:sz w:val="19"/>
          <w:szCs w:val="19"/>
          <w:u w:val="single" w:color="auto"/>
          <w:color w:val="auto"/>
        </w:rPr>
        <w:t>Non-Recruitment of Employees.</w:t>
      </w:r>
      <w:r>
        <w:rPr>
          <w:rFonts w:ascii="Arial" w:cs="Arial" w:eastAsia="Arial" w:hAnsi="Arial"/>
          <w:sz w:val="19"/>
          <w:szCs w:val="19"/>
          <w:color w:val="auto"/>
        </w:rPr>
        <w:t xml:space="preserve"> You agree that throughout the period of your employment and for a period of one (1) year following the cessation of your employment (regardless of the reason) or a period starting on the date of the cessation of your employment (regardless of the reason) and ending one (1) year after the date of issuance of a court order enforcing this Section 6(d), whichever is longer, that you shall not, without Booz Allen’s prior written consent, directly or indirectly solicit for employment, recruit for employment with any entity, or hire or cause to be hired, any employee of the Firm, former employee of the Firm, or independent contractor to the Firm employed by the Firm or who left the Firm or discontinued providing services to any member of the Firm within one (1) year of the cessation of your employment.</w:t>
      </w:r>
    </w:p>
    <w:p>
      <w:pPr>
        <w:spacing w:after="0" w:line="151" w:lineRule="exact"/>
        <w:rPr>
          <w:rFonts w:ascii="Arial" w:cs="Arial" w:eastAsia="Arial" w:hAnsi="Arial"/>
          <w:sz w:val="19"/>
          <w:szCs w:val="19"/>
          <w:color w:val="auto"/>
        </w:rPr>
      </w:pPr>
    </w:p>
    <w:p>
      <w:pPr>
        <w:ind w:left="1120" w:hanging="464"/>
        <w:spacing w:after="0"/>
        <w:tabs>
          <w:tab w:leader="none" w:pos="1120" w:val="left"/>
        </w:tabs>
        <w:numPr>
          <w:ilvl w:val="2"/>
          <w:numId w:val="87"/>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You agree that throughout the duration of your employment with Booz Allen and for a period of one</w:t>
      </w:r>
    </w:p>
    <w:p>
      <w:pPr>
        <w:spacing w:after="0" w:line="56" w:lineRule="exact"/>
        <w:rPr>
          <w:rFonts w:ascii="Arial" w:cs="Arial" w:eastAsia="Arial" w:hAnsi="Arial"/>
          <w:sz w:val="19"/>
          <w:szCs w:val="19"/>
          <w:color w:val="auto"/>
        </w:rPr>
      </w:pPr>
    </w:p>
    <w:p>
      <w:pPr>
        <w:ind w:right="120" w:firstLine="8"/>
        <w:spacing w:after="0" w:line="287" w:lineRule="auto"/>
        <w:tabs>
          <w:tab w:leader="none" w:pos="3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year following cessation of your employment (regardless of the reason) or a period starting on the date of cessation of your employment (regardless of the reason) and ending one (1) year after the date of issuance of a court order enforcing this Section 6(e), whichever is longer, you shall not, without the prior written consent of Booz Allen, serve in any capacity, job or function (including, but not limited to, as a proprietor, partner, member, executive, officer, director, employee, consultant, independent contractor, or agent) that is the same or similar to the capacities, jobs or functions in which you served any member of the Firm for the two (2) years immediately prior to the cessation of your employment with Booz Allen, when in such capacity, job or function, you could or would assist, support or further an entity or organization in competing with any member of the Firm in a business substantially similar to, or competitive with, the present business of any member of the Firm or such other business activity in which any member of the Firm may substantially engage during your term of employment with Booz Allen.</w:t>
      </w:r>
    </w:p>
    <w:p>
      <w:pPr>
        <w:spacing w:after="0" w:line="156" w:lineRule="exact"/>
        <w:rPr>
          <w:rFonts w:ascii="Arial" w:cs="Arial" w:eastAsia="Arial" w:hAnsi="Arial"/>
          <w:sz w:val="19"/>
          <w:szCs w:val="19"/>
          <w:color w:val="auto"/>
        </w:rPr>
      </w:pPr>
    </w:p>
    <w:p>
      <w:pPr>
        <w:ind w:right="100" w:firstLine="656"/>
        <w:spacing w:after="0" w:line="250" w:lineRule="auto"/>
        <w:tabs>
          <w:tab w:leader="none" w:pos="1080"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 xml:space="preserve"> You acknowledge and agree that the covenants and restrictions delineated in this Section 6 are supported by sufficient and valuable consideration including, but not limited to, the payments, compensation and benefits provided under this Agreement, your continued employment with Booz Allen, continued access to the Confidential Information, or continued access to training and opportunities for professional development.</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1080" w:firstLine="656"/>
        <w:spacing w:after="0" w:line="263" w:lineRule="auto"/>
        <w:tabs>
          <w:tab w:leader="none" w:pos="1116"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For the avoidance of doubt, the provisions of this Section 6 shall survive any termination of your employment.</w:t>
      </w:r>
    </w:p>
    <w:p>
      <w:pPr>
        <w:spacing w:after="0" w:line="390" w:lineRule="exact"/>
        <w:rPr>
          <w:rFonts w:ascii="Arial" w:cs="Arial" w:eastAsia="Arial" w:hAnsi="Arial"/>
          <w:sz w:val="22"/>
          <w:szCs w:val="22"/>
          <w:color w:val="auto"/>
        </w:rPr>
      </w:pPr>
    </w:p>
    <w:p>
      <w:pPr>
        <w:ind w:left="80" w:firstLine="563"/>
        <w:spacing w:after="0" w:line="301" w:lineRule="auto"/>
        <w:tabs>
          <w:tab w:leader="none" w:pos="989"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Employee Representation</w:t>
      </w:r>
      <w:r>
        <w:rPr>
          <w:rFonts w:ascii="Arial" w:cs="Arial" w:eastAsia="Arial" w:hAnsi="Arial"/>
          <w:sz w:val="21"/>
          <w:szCs w:val="21"/>
          <w:color w:val="auto"/>
        </w:rPr>
        <w:t>. You represent to Booz Allen that your execution and performance of this Agreement does not violate any agreement or obligation (whether or not written) that you have with or to any person or entity.</w:t>
      </w:r>
    </w:p>
    <w:p>
      <w:pPr>
        <w:spacing w:after="0" w:line="353" w:lineRule="exact"/>
        <w:rPr>
          <w:rFonts w:ascii="Arial" w:cs="Arial" w:eastAsia="Arial" w:hAnsi="Arial"/>
          <w:sz w:val="21"/>
          <w:szCs w:val="21"/>
          <w:color w:val="auto"/>
        </w:rPr>
      </w:pPr>
    </w:p>
    <w:p>
      <w:pPr>
        <w:ind w:left="80" w:right="240" w:firstLine="563"/>
        <w:spacing w:after="0" w:line="307" w:lineRule="auto"/>
        <w:tabs>
          <w:tab w:leader="none" w:pos="989"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Non-Waiver of Rights</w:t>
      </w:r>
      <w:r>
        <w:rPr>
          <w:rFonts w:ascii="Arial" w:cs="Arial" w:eastAsia="Arial" w:hAnsi="Arial"/>
          <w:sz w:val="19"/>
          <w:szCs w:val="19"/>
          <w:color w:val="auto"/>
        </w:rPr>
        <w:t>. The failure to enforce or exercise at any time the provisions of this Agreement in whole or in part or to require at any time performance by any other party of any of the provisions hereof shall in no way be construed to be a waiver of such provisions or to affect either the validity of this Agreement or any part hereof, or the right of any party to enforce each and every provision in accordance with its terms. No single or partial exercise of any right, remedy, or power under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09" w:name="page110"/>
    <w:bookmarkEnd w:id="109"/>
    <w:p>
      <w:pPr>
        <w:ind w:right="180"/>
        <w:spacing w:after="0" w:line="263" w:lineRule="auto"/>
        <w:rPr>
          <w:sz w:val="20"/>
          <w:szCs w:val="20"/>
          <w:color w:val="auto"/>
        </w:rPr>
      </w:pPr>
      <w:r>
        <w:rPr>
          <w:rFonts w:ascii="Arial" w:cs="Arial" w:eastAsia="Arial" w:hAnsi="Arial"/>
          <w:sz w:val="22"/>
          <w:szCs w:val="22"/>
          <w:color w:val="auto"/>
        </w:rPr>
        <w:t>this Agreement shall preclude any other or further exercise thereof, or the exercise of any other right, remedy, or power provided herein or by law or in equity.</w:t>
      </w:r>
    </w:p>
    <w:p>
      <w:pPr>
        <w:spacing w:after="0" w:line="391" w:lineRule="exact"/>
        <w:rPr>
          <w:sz w:val="20"/>
          <w:szCs w:val="20"/>
          <w:color w:val="auto"/>
        </w:rPr>
      </w:pPr>
    </w:p>
    <w:p>
      <w:pPr>
        <w:ind w:firstLine="563"/>
        <w:spacing w:after="0" w:line="300" w:lineRule="auto"/>
        <w:tabs>
          <w:tab w:leader="none" w:pos="909"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Every notice relating to this Agreement shall be in writing and shall be given by personal delivery, by a reputable same-day or overnight courier service (charges prepaid), by registered or certified mail, postage prepaid, return receipt requested or by facsimile or electronic mail to the recipient with a confirmation copy to follow the next day to be delivered by personal delivery or by a reputable same-day or overnight courier service to the appropriate party’s address or fax number or email address below (or such other address and fax number or email address as a party may designate by notice to the other parties):</w:t>
      </w:r>
    </w:p>
    <w:p>
      <w:pPr>
        <w:spacing w:after="0" w:line="147" w:lineRule="exact"/>
        <w:rPr>
          <w:sz w:val="20"/>
          <w:szCs w:val="20"/>
          <w:color w:val="auto"/>
        </w:rPr>
      </w:pPr>
    </w:p>
    <w:p>
      <w:pPr>
        <w:ind w:left="580"/>
        <w:spacing w:after="0"/>
        <w:tabs>
          <w:tab w:leader="none" w:pos="2500" w:val="left"/>
        </w:tabs>
        <w:rPr>
          <w:sz w:val="20"/>
          <w:szCs w:val="20"/>
          <w:color w:val="auto"/>
        </w:rPr>
      </w:pPr>
      <w:r>
        <w:rPr>
          <w:rFonts w:ascii="Arial" w:cs="Arial" w:eastAsia="Arial" w:hAnsi="Arial"/>
          <w:sz w:val="22"/>
          <w:szCs w:val="22"/>
          <w:color w:val="auto"/>
        </w:rPr>
        <w:t>If to Booz Allen:</w:t>
      </w:r>
      <w:r>
        <w:rPr>
          <w:sz w:val="20"/>
          <w:szCs w:val="20"/>
          <w:color w:val="auto"/>
        </w:rPr>
        <w:tab/>
      </w:r>
      <w:r>
        <w:rPr>
          <w:rFonts w:ascii="Arial" w:cs="Arial" w:eastAsia="Arial" w:hAnsi="Arial"/>
          <w:sz w:val="19"/>
          <w:szCs w:val="19"/>
          <w:color w:val="auto"/>
        </w:rPr>
        <w:t>Booz Allen Hamilton, Inc.</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8283 Greensboro Drive</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McLean, Virginia 22102</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Fax Number: (703) 902-3580</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email address: Laben_Nancy@bah.com</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If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-17780</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153035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324485</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-17780</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email address:</w:t>
      </w:r>
    </w:p>
    <w:p>
      <w:pPr>
        <w:spacing w:after="0" w:line="200" w:lineRule="exact"/>
        <w:rPr>
          <w:sz w:val="20"/>
          <w:szCs w:val="20"/>
          <w:color w:val="auto"/>
        </w:rPr>
      </w:pPr>
    </w:p>
    <w:p>
      <w:pPr>
        <w:spacing w:after="0" w:line="231" w:lineRule="exact"/>
        <w:rPr>
          <w:sz w:val="20"/>
          <w:szCs w:val="20"/>
          <w:color w:val="auto"/>
        </w:rPr>
      </w:pPr>
    </w:p>
    <w:p>
      <w:pPr>
        <w:ind w:firstLine="563"/>
        <w:spacing w:after="0" w:line="254" w:lineRule="auto"/>
        <w:tabs>
          <w:tab w:leader="none" w:pos="1017"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Binding Effect/Assignment</w:t>
      </w:r>
      <w:r>
        <w:rPr>
          <w:rFonts w:ascii="Arial" w:cs="Arial" w:eastAsia="Arial" w:hAnsi="Arial"/>
          <w:sz w:val="22"/>
          <w:szCs w:val="22"/>
          <w:color w:val="auto"/>
        </w:rPr>
        <w:t>. This Agreement shall inure to the benefit of and be binding upon the parties hereto and their respective heirs, executors, personal representatives, estates, successors (including, without limitation, by way of merger) and assigns. Notwithstanding the provisions of the immediately preceding sentence, you shall not assign all or any portion of this Agreement without the prior written consent of Booz Allen.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40" w:firstLine="563"/>
        <w:spacing w:after="0" w:line="291" w:lineRule="auto"/>
        <w:tabs>
          <w:tab w:leader="none" w:pos="1009"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Subject to the last sentence of this Section 11, this Agreement sets forth the entire understanding of the parties hereto with respect to the subject matter hereof and supersedes all prior agreements, written or oral, between them as to such subject matter. You and Booz Allen agree that this Agreement shall constitute the complete and exclusive statement of its terms and that no extrinsic evidence whatsoever may be introduced in any judicial, administrative, or other legal proceeding involving this Agreement. You and Booz Allen further acknowledge that this Agreement is not intended to supersede your obligations under the Agreement Concerning Proprietary Information and Intellectual Property, any Officer Non-Competition Agreement or any other restricted covenant agreement with Booz Allen to which you are subject, the obligations under which are made in addition to, not in lieu of, this Agreement. You and Booz Allen acknowledge and agree that you shall continue to be subject to all Officer and Firm Policies that may be applicable to you at any time.</w:t>
      </w:r>
    </w:p>
    <w:p>
      <w:pPr>
        <w:spacing w:after="0" w:line="370" w:lineRule="exact"/>
        <w:rPr>
          <w:rFonts w:ascii="Arial" w:cs="Arial" w:eastAsia="Arial" w:hAnsi="Arial"/>
          <w:sz w:val="19"/>
          <w:szCs w:val="19"/>
          <w:color w:val="auto"/>
        </w:rPr>
      </w:pPr>
    </w:p>
    <w:p>
      <w:pPr>
        <w:ind w:firstLine="563"/>
        <w:spacing w:after="0" w:line="262" w:lineRule="auto"/>
        <w:tabs>
          <w:tab w:leader="none" w:pos="1017"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are severable. Should any provision of this Agreement be found by a court of competent jurisdiction to be invalid or inoperative, the other portions of this Agreement shall be deemed valid and operative, and so far as it is reasonable and possible, effect shall be given to the intent manifested by the portion held invalid or inoperative so as to render such portion valid and enforceable to the maximum extent permissible. It is the intent and understanding of the parties hereto that if, in any action before a court of competent jurisdiction, any term, restriction, covenant, or promise in this Agreement is found to be unreasonable, overbroad or otherwise unenforceable, then such term, restriction, covenant, or promise shall be deemed modified to the extent</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00"/>
          </w:cols>
          <w:pgMar w:left="320" w:top="591" w:right="27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necessary to make it enforceable by such court.</w:t>
      </w:r>
    </w:p>
    <w:p>
      <w:pPr>
        <w:spacing w:after="0" w:line="200" w:lineRule="exact"/>
        <w:rPr>
          <w:sz w:val="20"/>
          <w:szCs w:val="20"/>
          <w:color w:val="auto"/>
        </w:rPr>
      </w:pPr>
    </w:p>
    <w:p>
      <w:pPr>
        <w:spacing w:after="0" w:line="236" w:lineRule="exact"/>
        <w:rPr>
          <w:sz w:val="20"/>
          <w:szCs w:val="20"/>
          <w:color w:val="auto"/>
        </w:rPr>
      </w:pPr>
    </w:p>
    <w:p>
      <w:pPr>
        <w:ind w:right="40" w:firstLine="563"/>
        <w:spacing w:after="0" w:line="254" w:lineRule="auto"/>
        <w:tabs>
          <w:tab w:leader="none" w:pos="1017"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You acknowledge that Booz Allen is organized under the laws of the State of Delaware, U.S.A. Therefore, you and Booz Allen agree that the validity, interpretation and performance of this Agreement shall be governed by, and construed in accordance with, the laws of the State of Delaware, U.S.A., without giving effect to any conflict of law principles that would apply the laws of any other jurisdiction.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right="440" w:firstLine="563"/>
        <w:spacing w:after="0" w:line="293" w:lineRule="auto"/>
        <w:tabs>
          <w:tab w:leader="none" w:pos="1017"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Forum Selection.</w:t>
      </w:r>
      <w:r>
        <w:rPr>
          <w:rFonts w:ascii="Arial" w:cs="Arial" w:eastAsia="Arial" w:hAnsi="Arial"/>
          <w:sz w:val="19"/>
          <w:szCs w:val="19"/>
          <w:color w:val="auto"/>
        </w:rPr>
        <w:t xml:space="preserve"> You acknowledge that Booz Allen’s principal place of business is in, and a substantial portion of Booz Allen’s business is based out of, the Commonwealth of Virginia, U.S.A. You also acknowledge that, as such, during the course of your employment with the Firm you will have substantial contacts with the Commonwealth of Virginia, U.S.A.</w:t>
      </w:r>
    </w:p>
    <w:p>
      <w:pPr>
        <w:spacing w:after="0" w:line="1" w:lineRule="exact"/>
        <w:rPr>
          <w:rFonts w:ascii="Arial" w:cs="Arial" w:eastAsia="Arial" w:hAnsi="Arial"/>
          <w:sz w:val="19"/>
          <w:szCs w:val="19"/>
          <w:color w:val="auto"/>
        </w:rPr>
      </w:pPr>
    </w:p>
    <w:p>
      <w:pPr>
        <w:ind w:right="40"/>
        <w:spacing w:after="0" w:line="258" w:lineRule="auto"/>
        <w:rPr>
          <w:rFonts w:ascii="Arial" w:cs="Arial" w:eastAsia="Arial" w:hAnsi="Arial"/>
          <w:sz w:val="19"/>
          <w:szCs w:val="19"/>
          <w:color w:val="auto"/>
        </w:rPr>
      </w:pPr>
      <w:r>
        <w:rPr>
          <w:rFonts w:ascii="Arial" w:cs="Arial" w:eastAsia="Arial" w:hAnsi="Arial"/>
          <w:sz w:val="21"/>
          <w:szCs w:val="21"/>
          <w:color w:val="auto"/>
        </w:rPr>
        <w:t>Therefore, you and Booz Allen agree that the exclusive forum for any action, demand, claim or counterclaim relating to the terms and provisions of this Agreement, or to their breach, shall be in the appropriate state or federal court located in the Commonwealth of Virginia, U.S.A. You and Booz Allen hereby consent to the personal jurisdiction of such courts over the parties to this Agreement. You and Booz Allen further agree that in any such action for breach or enforcement of this Agreement, no party will seek to challenge the validity or enforceability of any part of this Agreement.</w:t>
      </w:r>
    </w:p>
    <w:p>
      <w:pPr>
        <w:spacing w:after="0" w:line="399" w:lineRule="exact"/>
        <w:rPr>
          <w:rFonts w:ascii="Arial" w:cs="Arial" w:eastAsia="Arial" w:hAnsi="Arial"/>
          <w:sz w:val="19"/>
          <w:szCs w:val="19"/>
          <w:color w:val="auto"/>
        </w:rPr>
      </w:pPr>
    </w:p>
    <w:p>
      <w:pPr>
        <w:ind w:right="20" w:firstLine="563"/>
        <w:spacing w:after="0" w:line="288" w:lineRule="auto"/>
        <w:tabs>
          <w:tab w:leader="none" w:pos="1017"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You and Booz Allen agree (a) that the restrictions and covenants in this Agreement constitute consideration for inducing the Firm to continue to employ you and to provide you with the compensation, payments and benefits received in connection with entering into this Agreement; (b) that such restrictions and covenants are reasonable and necessary to protect the business and property interests of the Firm; (c) that such restrictions and covenants will not cause you any undue hardship and will not prevent you from earning a living; and (d) that any violation of such restrictions and covenants will cause the Firm substantial and irreparable injury for which the Firm would have no adequate remedy at law. You agree that the Firm shall be entitled, in addition to any other remedy, to specific enforcement, and to temporary, preliminary and permanent injunctive relief, to enjoin or remedy any breach or threatened or contemplated breach of this Agreement, without the necessity of proving actual damages or of posting an injunction bond or other security. The terms of this paragraph shall not prevent Booz Allen from pursuing any other available remedies for any breach or threatened breach hereof, including, but not limited to, the recovery of damages from you. The existence of any claim or cause of action by you against any member of the Firm, whether predicated on this Agreement or otherwise, shall not constitute a defense to the enforcement by Booz Allen of this Agreement or the covenants contained in Section 6.</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580" w:firstLine="563"/>
        <w:spacing w:after="0" w:line="276" w:lineRule="auto"/>
        <w:tabs>
          <w:tab w:leader="none" w:pos="1017"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This Agreement may not be modified, amended, or terminated except by an instrument in writing, signed by you and by a duly authorized representative of Booz Allen other than you.</w:t>
      </w:r>
    </w:p>
    <w:p>
      <w:pPr>
        <w:spacing w:after="0" w:line="377" w:lineRule="exact"/>
        <w:rPr>
          <w:rFonts w:ascii="Arial" w:cs="Arial" w:eastAsia="Arial" w:hAnsi="Arial"/>
          <w:sz w:val="22"/>
          <w:szCs w:val="22"/>
          <w:color w:val="auto"/>
        </w:rPr>
      </w:pPr>
    </w:p>
    <w:p>
      <w:pPr>
        <w:ind w:right="260" w:firstLine="563"/>
        <w:spacing w:after="0" w:line="276" w:lineRule="auto"/>
        <w:tabs>
          <w:tab w:leader="none" w:pos="1017"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herein are solely for the purposes of reference, are not part of this Agreement and shall not in any way affect the meaning or interpretation of this Agreement.</w:t>
      </w:r>
    </w:p>
    <w:p>
      <w:pPr>
        <w:spacing w:after="0" w:line="377" w:lineRule="exact"/>
        <w:rPr>
          <w:rFonts w:ascii="Arial" w:cs="Arial" w:eastAsia="Arial" w:hAnsi="Arial"/>
          <w:sz w:val="22"/>
          <w:szCs w:val="22"/>
          <w:color w:val="auto"/>
        </w:rPr>
      </w:pPr>
    </w:p>
    <w:p>
      <w:pPr>
        <w:ind w:firstLine="563"/>
        <w:spacing w:after="0" w:line="262" w:lineRule="auto"/>
        <w:tabs>
          <w:tab w:leader="none" w:pos="1017"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Applicability of Section 409A</w:t>
      </w:r>
      <w:r>
        <w:rPr>
          <w:rFonts w:ascii="Arial" w:cs="Arial" w:eastAsia="Arial" w:hAnsi="Arial"/>
          <w:sz w:val="21"/>
          <w:szCs w:val="21"/>
          <w:color w:val="auto"/>
        </w:rPr>
        <w:t>. It is intended that this Agreement comply with Section 409A of the Internal Revenue Code and the Treasury Regulations and IRS guidance thereunder (collectively referred to as “</w:t>
      </w:r>
      <w:r>
        <w:rPr>
          <w:rFonts w:ascii="Arial" w:cs="Arial" w:eastAsia="Arial" w:hAnsi="Arial"/>
          <w:sz w:val="21"/>
          <w:szCs w:val="21"/>
          <w:u w:val="single" w:color="auto"/>
          <w:color w:val="auto"/>
        </w:rPr>
        <w:t>Section 409A</w:t>
      </w:r>
      <w:r>
        <w:rPr>
          <w:rFonts w:ascii="Arial" w:cs="Arial" w:eastAsia="Arial" w:hAnsi="Arial"/>
          <w:sz w:val="21"/>
          <w:szCs w:val="21"/>
          <w:color w:val="auto"/>
        </w:rPr>
        <w:t>”), and that the compensation and benefits provided hereunder shall be exempt from or compliant with Section 409A. Notwithstanding anything to the contrary, this Agreement shall, to the maximum extent possible, be administered, interpreted and construed in a manner consistent with such intent. If and to the extent required to comply with Section 409A, no payment or benefit required to be paid under this Agreement on account of termination of your employment shall be made unless and until you incur a “</w:t>
      </w:r>
      <w:r>
        <w:rPr>
          <w:rFonts w:ascii="Arial" w:cs="Arial" w:eastAsia="Arial" w:hAnsi="Arial"/>
          <w:sz w:val="21"/>
          <w:szCs w:val="21"/>
          <w:u w:val="single" w:color="auto"/>
          <w:color w:val="auto"/>
        </w:rPr>
        <w:t>separation from</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service</w:t>
      </w:r>
      <w:r>
        <w:rPr>
          <w:rFonts w:ascii="Arial" w:cs="Arial" w:eastAsia="Arial" w:hAnsi="Arial"/>
          <w:sz w:val="21"/>
          <w:szCs w:val="21"/>
          <w:color w:val="auto"/>
        </w:rPr>
        <w:t>” within the meaning of Section 409A. If any</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40"/>
          </w:cols>
          <w:pgMar w:left="320" w:top="591" w:right="239" w:bottom="1440" w:gutter="0" w:footer="0" w:header="0"/>
        </w:sectPr>
      </w:pPr>
    </w:p>
    <w:bookmarkStart w:id="111" w:name="page112"/>
    <w:bookmarkEnd w:id="111"/>
    <w:p>
      <w:pPr>
        <w:ind w:left="80"/>
        <w:spacing w:after="0" w:line="302" w:lineRule="auto"/>
        <w:rPr>
          <w:sz w:val="20"/>
          <w:szCs w:val="20"/>
          <w:color w:val="auto"/>
        </w:rPr>
      </w:pPr>
      <w:r>
        <w:rPr>
          <w:rFonts w:ascii="Arial" w:cs="Arial" w:eastAsia="Arial" w:hAnsi="Arial"/>
          <w:sz w:val="19"/>
          <w:szCs w:val="19"/>
          <w:color w:val="auto"/>
        </w:rPr>
        <w:t>provision of this Agreement provides for payment within a time period, the determination of when such payment shall be made shall be solely in the discretion of Booz Allen. You acknowledge that payments under this Agreement may be subject to Booz Allen’s Section 409A Specified Employee Policy, as amended from time to time. Each payment payable hereunder or otherwise by the Company to you shall be a separate payment in a series of separate payments for purposes of Code Section 409A.</w:t>
      </w:r>
    </w:p>
    <w:p>
      <w:pPr>
        <w:spacing w:after="0" w:line="359" w:lineRule="exact"/>
        <w:rPr>
          <w:sz w:val="20"/>
          <w:szCs w:val="20"/>
          <w:color w:val="auto"/>
        </w:rPr>
      </w:pPr>
    </w:p>
    <w:p>
      <w:pPr>
        <w:ind w:left="80" w:right="220" w:firstLine="563"/>
        <w:spacing w:after="0" w:line="276" w:lineRule="auto"/>
        <w:tabs>
          <w:tab w:leader="none" w:pos="1097"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to be an original but all of which together shall constitute one and the same instrument.</w:t>
      </w:r>
    </w:p>
    <w:p>
      <w:pPr>
        <w:spacing w:after="0" w:line="377" w:lineRule="exact"/>
        <w:rPr>
          <w:rFonts w:ascii="Arial" w:cs="Arial" w:eastAsia="Arial" w:hAnsi="Arial"/>
          <w:sz w:val="22"/>
          <w:szCs w:val="22"/>
          <w:color w:val="auto"/>
        </w:rPr>
      </w:pPr>
    </w:p>
    <w:p>
      <w:pPr>
        <w:jc w:val="both"/>
        <w:ind w:right="140" w:firstLine="656"/>
        <w:spacing w:after="0" w:line="253" w:lineRule="auto"/>
        <w:tabs>
          <w:tab w:leader="none" w:pos="1134"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Attorney Review</w:t>
      </w:r>
      <w:r>
        <w:rPr>
          <w:rFonts w:ascii="Arial" w:cs="Arial" w:eastAsia="Arial" w:hAnsi="Arial"/>
          <w:sz w:val="22"/>
          <w:szCs w:val="22"/>
          <w:color w:val="auto"/>
        </w:rPr>
        <w:t>. You agree that you have been given the opportunity to have this agreement reviewed by counsel of your choice. We shall reimburse you for reasonable attorneys fees for such review upon presentation of a copy of an invoice from such counsel.</w:t>
      </w:r>
    </w:p>
    <w:p>
      <w:pPr>
        <w:spacing w:after="0" w:line="200" w:lineRule="exact"/>
        <w:rPr>
          <w:sz w:val="20"/>
          <w:szCs w:val="20"/>
          <w:color w:val="auto"/>
        </w:rPr>
      </w:pPr>
    </w:p>
    <w:p>
      <w:pPr>
        <w:spacing w:after="0" w:line="202"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If the foregoing accurately sets forth our mutual understanding, please so indicate by signing below and returning one signed copy of this Agreement to me.</w:t>
      </w: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BOOZ ALLEN HAMILTON,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Elizabeth M. Thompson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 and Chief</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Personnel Officer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591" w:right="2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10.28</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RESTRICTED STOCK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INCENTIVE PLAN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307" w:lineRule="exact"/>
        <w:rPr>
          <w:sz w:val="20"/>
          <w:szCs w:val="20"/>
          <w:color w:val="auto"/>
        </w:rPr>
      </w:pPr>
    </w:p>
    <w:p>
      <w:pPr>
        <w:ind w:right="20"/>
        <w:spacing w:after="0" w:line="271" w:lineRule="auto"/>
        <w:rPr>
          <w:sz w:val="20"/>
          <w:szCs w:val="20"/>
          <w:color w:val="auto"/>
        </w:rPr>
      </w:pPr>
      <w:r>
        <w:rPr>
          <w:rFonts w:ascii="Arial" w:cs="Arial" w:eastAsia="Arial" w:hAnsi="Arial"/>
          <w:sz w:val="21"/>
          <w:szCs w:val="21"/>
          <w:color w:val="auto"/>
        </w:rPr>
        <w:t>Unless otherwise defined herein, the terms defined in the Amended and Restated Equity Incentive Plan of Booz Allen Holding Corporation (the “</w:t>
      </w:r>
      <w:r>
        <w:rPr>
          <w:rFonts w:ascii="Arial" w:cs="Arial" w:eastAsia="Arial" w:hAnsi="Arial"/>
          <w:sz w:val="21"/>
          <w:szCs w:val="21"/>
          <w:u w:val="single" w:color="auto"/>
          <w:color w:val="auto"/>
        </w:rPr>
        <w:t>Plan</w:t>
      </w:r>
      <w:r>
        <w:rPr>
          <w:rFonts w:ascii="Arial" w:cs="Arial" w:eastAsia="Arial" w:hAnsi="Arial"/>
          <w:sz w:val="21"/>
          <w:szCs w:val="21"/>
          <w:color w:val="auto"/>
        </w:rPr>
        <w:t>”) shall have the same defined meanings in this Restricted Stock Agreement, which includes the terms in this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attached hereto (collectively, the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249"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You have been granted shares of restricted Company Common Stock, subject to the terms and conditions of the Plan and this Agreement, in the amounts and vesting schedule set forth in Appendix A attached hereto and on the Morgan Stanley Smith Barney Benefit Access system at www.benefitaccess.com. This grant is being made pursuant to Section 3(e) of your employment letter, dated April 1, 2014. By accepting this grant, you are hereby agreeing that this grant satisfies the obligations of the Company and its subsidiaries under said Section 3(e).</w:t>
      </w:r>
    </w:p>
    <w:p>
      <w:pPr>
        <w:spacing w:after="0" w:line="138" w:lineRule="exact"/>
        <w:rPr>
          <w:sz w:val="20"/>
          <w:szCs w:val="20"/>
          <w:color w:val="auto"/>
        </w:rPr>
      </w:pPr>
    </w:p>
    <w:p>
      <w:pPr>
        <w:ind w:right="200"/>
        <w:spacing w:after="0" w:line="291" w:lineRule="auto"/>
        <w:rPr>
          <w:sz w:val="20"/>
          <w:szCs w:val="20"/>
          <w:color w:val="auto"/>
        </w:rPr>
      </w:pPr>
      <w:r>
        <w:rPr>
          <w:rFonts w:ascii="Arial" w:cs="Arial" w:eastAsia="Arial" w:hAnsi="Arial"/>
          <w:sz w:val="19"/>
          <w:szCs w:val="19"/>
          <w:color w:val="auto"/>
        </w:rPr>
        <w:t xml:space="preserve">Your acceptance of this grant indicates your agreement and understanding that the Restricted Stock granted herein is subject to all of the terms and conditions contained in the Agreement and the Plan. </w:t>
      </w:r>
      <w:r>
        <w:rPr>
          <w:rFonts w:ascii="Arial" w:cs="Arial" w:eastAsia="Arial" w:hAnsi="Arial"/>
          <w:sz w:val="19"/>
          <w:szCs w:val="19"/>
          <w:b w:val="1"/>
          <w:bCs w:val="1"/>
          <w:color w:val="auto"/>
        </w:rPr>
        <w:t>ACCORDINGLY, PLEASE BE SURE TO READ ALL</w:t>
      </w:r>
    </w:p>
    <w:p>
      <w:pPr>
        <w:spacing w:after="0" w:line="1" w:lineRule="exact"/>
        <w:rPr>
          <w:sz w:val="20"/>
          <w:szCs w:val="20"/>
          <w:color w:val="auto"/>
        </w:rPr>
      </w:pPr>
    </w:p>
    <w:p>
      <w:pPr>
        <w:ind w:right="880"/>
        <w:spacing w:after="0" w:line="246" w:lineRule="auto"/>
        <w:rPr>
          <w:sz w:val="20"/>
          <w:szCs w:val="20"/>
          <w:color w:val="auto"/>
        </w:rPr>
      </w:pPr>
      <w:r>
        <w:rPr>
          <w:rFonts w:ascii="Arial" w:cs="Arial" w:eastAsia="Arial" w:hAnsi="Arial"/>
          <w:sz w:val="22"/>
          <w:szCs w:val="22"/>
          <w:b w:val="1"/>
          <w:bCs w:val="1"/>
          <w:color w:val="auto"/>
        </w:rPr>
        <w:t>OF THE PLAN AND APPENDIX A, WHICH CONTAIN THE SPECIFIC TERMS AND CONDITIONS OF THE RESTRICTED STOCK.</w:t>
      </w:r>
    </w:p>
    <w:p>
      <w:pPr>
        <w:spacing w:after="0" w:line="139" w:lineRule="exact"/>
        <w:rPr>
          <w:sz w:val="20"/>
          <w:szCs w:val="20"/>
          <w:color w:val="auto"/>
        </w:rPr>
      </w:pPr>
    </w:p>
    <w:p>
      <w:pPr>
        <w:ind w:right="160"/>
        <w:spacing w:after="0" w:line="287" w:lineRule="auto"/>
        <w:rPr>
          <w:sz w:val="20"/>
          <w:szCs w:val="20"/>
          <w:color w:val="auto"/>
        </w:rPr>
      </w:pPr>
      <w:r>
        <w:rPr>
          <w:rFonts w:ascii="Arial" w:cs="Arial" w:eastAsia="Arial" w:hAnsi="Arial"/>
          <w:sz w:val="21"/>
          <w:szCs w:val="21"/>
          <w:color w:val="auto"/>
        </w:rPr>
        <w:t>In order to accept this grant, please go to the Morgan Stanley Smith Barney Benefit Access system at www.benefitaccess.com and follow the instructions regarding this grant. You must accept your grant by May 16, 2014.</w:t>
      </w:r>
    </w:p>
    <w:p>
      <w:pPr>
        <w:sectPr>
          <w:pgSz w:w="11900" w:h="16838" w:orient="portrait"/>
          <w:cols w:equalWidth="0" w:num="1">
            <w:col w:w="11420"/>
          </w:cols>
          <w:pgMar w:left="240" w:top="36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u w:val="single" w:color="auto"/>
          <w:color w:val="auto"/>
        </w:rPr>
        <w:t>APPENDIX A TO RESTRICTED STOCK AGREEMENT</w:t>
      </w:r>
    </w:p>
    <w:p>
      <w:pPr>
        <w:spacing w:after="0" w:line="307" w:lineRule="exact"/>
        <w:rPr>
          <w:sz w:val="20"/>
          <w:szCs w:val="20"/>
          <w:color w:val="auto"/>
        </w:rPr>
      </w:pPr>
    </w:p>
    <w:p>
      <w:pPr>
        <w:ind w:left="-20" w:right="140" w:firstLine="656"/>
        <w:spacing w:after="0" w:line="259" w:lineRule="auto"/>
        <w:tabs>
          <w:tab w:leader="none" w:pos="1439"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w:t>
      </w:r>
      <w:r>
        <w:rPr>
          <w:rFonts w:ascii="Arial" w:cs="Arial" w:eastAsia="Arial" w:hAnsi="Arial"/>
          <w:sz w:val="21"/>
          <w:szCs w:val="21"/>
          <w:color w:val="auto"/>
        </w:rPr>
        <w:t>. Subject to the terms, conditions, and restrictions set forth in this Agreement (including the Grant Notice and the Morgan Stanley Smith Barney Benefit Access system at www.benefitaccess.com) and in the Plan, the Company hereby evidences and confirms its grant to the Participant, effective as of the Grant Date set forth in the Grant Notice of the number of shares of Restricted Stock set forth on the Morgan Stanley Smith Barney Benefit Access system (the “</w:t>
      </w:r>
      <w:r>
        <w:rPr>
          <w:rFonts w:ascii="Arial" w:cs="Arial" w:eastAsia="Arial" w:hAnsi="Arial"/>
          <w:sz w:val="21"/>
          <w:szCs w:val="21"/>
          <w:u w:val="single" w:color="auto"/>
          <w:color w:val="auto"/>
        </w:rPr>
        <w:t>Restricted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Shares</w:t>
      </w:r>
      <w:r>
        <w:rPr>
          <w:rFonts w:ascii="Arial" w:cs="Arial" w:eastAsia="Arial" w:hAnsi="Arial"/>
          <w:sz w:val="21"/>
          <w:szCs w:val="21"/>
          <w:color w:val="auto"/>
        </w:rPr>
        <w:t>”). Upon grant, the Company shall record the Restricted Shares in the books and records of the Company or a certificate of Shares will be issued, which entry or certificate shall bear the legends set forth in Section 5(b). Any certificate issued in respect of the Restricted Shares will be delivered on behalf of the Participant to the Secretary of the Company, to be held in custody until the later of the date (</w:t>
      </w:r>
      <w:r>
        <w:rPr>
          <w:rFonts w:ascii="Arial" w:cs="Arial" w:eastAsia="Arial" w:hAnsi="Arial"/>
          <w:sz w:val="21"/>
          <w:szCs w:val="21"/>
          <w:u w:val="single" w:color="auto"/>
          <w:color w:val="auto"/>
        </w:rPr>
        <w:t>i</w:t>
      </w:r>
      <w:r>
        <w:rPr>
          <w:rFonts w:ascii="Arial" w:cs="Arial" w:eastAsia="Arial" w:hAnsi="Arial"/>
          <w:sz w:val="21"/>
          <w:szCs w:val="21"/>
          <w:color w:val="auto"/>
        </w:rPr>
        <w:t>) they become vested in accordance with Section 3 and (</w:t>
      </w:r>
      <w:r>
        <w:rPr>
          <w:rFonts w:ascii="Arial" w:cs="Arial" w:eastAsia="Arial" w:hAnsi="Arial"/>
          <w:sz w:val="21"/>
          <w:szCs w:val="21"/>
          <w:u w:val="single" w:color="auto"/>
          <w:color w:val="auto"/>
        </w:rPr>
        <w:t>ii</w:t>
      </w:r>
      <w:r>
        <w:rPr>
          <w:rFonts w:ascii="Arial" w:cs="Arial" w:eastAsia="Arial" w:hAnsi="Arial"/>
          <w:sz w:val="21"/>
          <w:szCs w:val="21"/>
          <w:color w:val="auto"/>
        </w:rPr>
        <w:t>) the Participant requests such instrument from the Company.</w:t>
      </w:r>
    </w:p>
    <w:p>
      <w:pPr>
        <w:spacing w:after="0" w:line="396" w:lineRule="exact"/>
        <w:rPr>
          <w:rFonts w:ascii="Arial" w:cs="Arial" w:eastAsia="Arial" w:hAnsi="Arial"/>
          <w:sz w:val="21"/>
          <w:szCs w:val="21"/>
          <w:color w:val="auto"/>
        </w:rPr>
      </w:pPr>
    </w:p>
    <w:p>
      <w:pPr>
        <w:ind w:left="-20" w:right="20" w:firstLine="656"/>
        <w:spacing w:after="0" w:line="297" w:lineRule="auto"/>
        <w:tabs>
          <w:tab w:leader="none" w:pos="143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Forfeiture Risk</w:t>
      </w:r>
      <w:r>
        <w:rPr>
          <w:rFonts w:ascii="Arial" w:cs="Arial" w:eastAsia="Arial" w:hAnsi="Arial"/>
          <w:sz w:val="19"/>
          <w:szCs w:val="19"/>
          <w:color w:val="auto"/>
        </w:rPr>
        <w:t>. The Participant hereby (</w:t>
      </w:r>
      <w:r>
        <w:rPr>
          <w:rFonts w:ascii="Arial" w:cs="Arial" w:eastAsia="Arial" w:hAnsi="Arial"/>
          <w:sz w:val="19"/>
          <w:szCs w:val="19"/>
          <w:u w:val="single" w:color="auto"/>
          <w:color w:val="auto"/>
        </w:rPr>
        <w:t>i</w:t>
      </w:r>
      <w:r>
        <w:rPr>
          <w:rFonts w:ascii="Arial" w:cs="Arial" w:eastAsia="Arial" w:hAnsi="Arial"/>
          <w:sz w:val="19"/>
          <w:szCs w:val="19"/>
          <w:color w:val="auto"/>
        </w:rPr>
        <w:t>) appoints the Company as the limited attorney-in-fact of the Participant to take such actions as may be necessary or appropriate solely to effectuate a transfer of the record ownership of any such shares that are unvested and forfeited hereunder and (</w:t>
      </w:r>
      <w:r>
        <w:rPr>
          <w:rFonts w:ascii="Arial" w:cs="Arial" w:eastAsia="Arial" w:hAnsi="Arial"/>
          <w:sz w:val="19"/>
          <w:szCs w:val="19"/>
          <w:u w:val="single" w:color="auto"/>
          <w:color w:val="auto"/>
        </w:rPr>
        <w:t>ii</w:t>
      </w:r>
      <w:r>
        <w:rPr>
          <w:rFonts w:ascii="Arial" w:cs="Arial" w:eastAsia="Arial" w:hAnsi="Arial"/>
          <w:sz w:val="19"/>
          <w:szCs w:val="19"/>
          <w:color w:val="auto"/>
        </w:rPr>
        <w:t>) agrees to sign such stock powers and take such other actions as the Company may reasonably request to accomplish the transfer of any unvested Restricted Shares that are forfeited hereunder. The Company does hereby indemnify and hold harmless the Participant from any wrongful use of the power of attorney granted above.</w:t>
      </w:r>
    </w:p>
    <w:p>
      <w:pPr>
        <w:spacing w:after="0" w:line="363" w:lineRule="exact"/>
        <w:rPr>
          <w:rFonts w:ascii="Arial" w:cs="Arial" w:eastAsia="Arial" w:hAnsi="Arial"/>
          <w:sz w:val="19"/>
          <w:szCs w:val="19"/>
          <w:color w:val="auto"/>
        </w:rPr>
      </w:pPr>
    </w:p>
    <w:p>
      <w:pPr>
        <w:ind w:left="1440" w:hanging="804"/>
        <w:spacing w:after="0"/>
        <w:tabs>
          <w:tab w:leader="none" w:pos="144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Vesting and Forfeiture of Restricted Shares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0" w:right="140" w:firstLine="1305"/>
        <w:spacing w:after="0" w:line="300" w:lineRule="auto"/>
        <w:tabs>
          <w:tab w:leader="none" w:pos="1708"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Restricted Period for Restricted Shares</w:t>
      </w:r>
      <w:r>
        <w:rPr>
          <w:rFonts w:ascii="Arial" w:cs="Arial" w:eastAsia="Arial" w:hAnsi="Arial"/>
          <w:sz w:val="19"/>
          <w:szCs w:val="19"/>
          <w:color w:val="auto"/>
        </w:rPr>
        <w:t>. Subject to earlier forfeiture as provided in this Agreement and in the Plan and subject to Section 3(f), the Restricted Shares shall become vested, and the Restricted Period with respect thereto shall lapse, so long as the Participant remains continuously in service as a Service Provider and subject to the Participant’s continued compliance with the terms and conditions contained in the Employment Letter dated April 1, 2014 with Booz Allen Hamilton Inc. (the “</w:t>
      </w:r>
      <w:r>
        <w:rPr>
          <w:rFonts w:ascii="Arial" w:cs="Arial" w:eastAsia="Arial" w:hAnsi="Arial"/>
          <w:sz w:val="19"/>
          <w:szCs w:val="19"/>
          <w:u w:val="single" w:color="auto"/>
          <w:color w:val="auto"/>
        </w:rPr>
        <w:t>Employment Letter Agreement</w:t>
      </w:r>
      <w:r>
        <w:rPr>
          <w:rFonts w:ascii="Arial" w:cs="Arial" w:eastAsia="Arial" w:hAnsi="Arial"/>
          <w:sz w:val="19"/>
          <w:szCs w:val="19"/>
          <w:color w:val="auto"/>
        </w:rPr>
        <w:t>”), from the date hereof through each relevant date set forth below, as follows:</w:t>
      </w:r>
    </w:p>
    <w:p>
      <w:pPr>
        <w:spacing w:after="0" w:line="228" w:lineRule="exact"/>
        <w:rPr>
          <w:sz w:val="20"/>
          <w:szCs w:val="20"/>
          <w:color w:val="auto"/>
        </w:rPr>
      </w:pPr>
    </w:p>
    <w:p>
      <w:pPr>
        <w:ind w:left="640" w:right="180" w:firstLine="645"/>
        <w:spacing w:after="0" w:line="276" w:lineRule="auto"/>
        <w:tabs>
          <w:tab w:leader="none" w:pos="1672" w:val="left"/>
        </w:tabs>
        <w:numPr>
          <w:ilvl w:val="0"/>
          <w:numId w:val="94"/>
        </w:numPr>
        <w:rPr>
          <w:rFonts w:ascii="Arial" w:cs="Arial" w:eastAsia="Arial" w:hAnsi="Arial"/>
          <w:sz w:val="22"/>
          <w:szCs w:val="22"/>
          <w:color w:val="auto"/>
        </w:rPr>
      </w:pPr>
      <w:r>
        <w:rPr>
          <w:rFonts w:ascii="Arial" w:cs="Arial" w:eastAsia="Arial" w:hAnsi="Arial"/>
          <w:sz w:val="22"/>
          <w:szCs w:val="22"/>
          <w:color w:val="auto"/>
        </w:rPr>
        <w:t>33% of the Restricted Shares shall become vested and the Restricted Period with respect thereto shall lapse on March 31, 2016;</w:t>
      </w:r>
    </w:p>
    <w:p>
      <w:pPr>
        <w:spacing w:after="0" w:line="106" w:lineRule="exact"/>
        <w:rPr>
          <w:rFonts w:ascii="Arial" w:cs="Arial" w:eastAsia="Arial" w:hAnsi="Arial"/>
          <w:sz w:val="22"/>
          <w:szCs w:val="22"/>
          <w:color w:val="auto"/>
        </w:rPr>
      </w:pPr>
    </w:p>
    <w:p>
      <w:pPr>
        <w:ind w:left="640" w:right="240" w:firstLine="645"/>
        <w:spacing w:after="0" w:line="276" w:lineRule="auto"/>
        <w:tabs>
          <w:tab w:leader="none" w:pos="1732" w:val="left"/>
        </w:tabs>
        <w:numPr>
          <w:ilvl w:val="0"/>
          <w:numId w:val="94"/>
        </w:numPr>
        <w:rPr>
          <w:rFonts w:ascii="Arial" w:cs="Arial" w:eastAsia="Arial" w:hAnsi="Arial"/>
          <w:sz w:val="22"/>
          <w:szCs w:val="22"/>
          <w:color w:val="auto"/>
        </w:rPr>
      </w:pPr>
      <w:r>
        <w:rPr>
          <w:rFonts w:ascii="Arial" w:cs="Arial" w:eastAsia="Arial" w:hAnsi="Arial"/>
          <w:sz w:val="22"/>
          <w:szCs w:val="22"/>
          <w:color w:val="auto"/>
        </w:rPr>
        <w:t>34% of the Restricted Shares shall become vested and the Restricted Period with respect thereto shall lapse e on March 31, 2017; and</w:t>
      </w:r>
    </w:p>
    <w:p>
      <w:pPr>
        <w:spacing w:after="0" w:line="106" w:lineRule="exact"/>
        <w:rPr>
          <w:rFonts w:ascii="Arial" w:cs="Arial" w:eastAsia="Arial" w:hAnsi="Arial"/>
          <w:sz w:val="22"/>
          <w:szCs w:val="22"/>
          <w:color w:val="auto"/>
        </w:rPr>
      </w:pPr>
    </w:p>
    <w:p>
      <w:pPr>
        <w:ind w:left="640" w:right="60" w:firstLine="645"/>
        <w:spacing w:after="0" w:line="276" w:lineRule="auto"/>
        <w:tabs>
          <w:tab w:leader="none" w:pos="1792" w:val="left"/>
        </w:tabs>
        <w:numPr>
          <w:ilvl w:val="0"/>
          <w:numId w:val="94"/>
        </w:numPr>
        <w:rPr>
          <w:rFonts w:ascii="Arial" w:cs="Arial" w:eastAsia="Arial" w:hAnsi="Arial"/>
          <w:sz w:val="22"/>
          <w:szCs w:val="22"/>
          <w:color w:val="auto"/>
        </w:rPr>
      </w:pPr>
      <w:r>
        <w:rPr>
          <w:rFonts w:ascii="Arial" w:cs="Arial" w:eastAsia="Arial" w:hAnsi="Arial"/>
          <w:sz w:val="22"/>
          <w:szCs w:val="22"/>
          <w:color w:val="auto"/>
        </w:rPr>
        <w:t>33% of the Restricted Shares shall become vested and the Restricted Period with respect thereto shall lapse on March 31, 2018.</w:t>
      </w:r>
    </w:p>
    <w:p>
      <w:pPr>
        <w:spacing w:after="0" w:line="242" w:lineRule="exact"/>
        <w:rPr>
          <w:sz w:val="20"/>
          <w:szCs w:val="20"/>
          <w:color w:val="auto"/>
        </w:rPr>
      </w:pPr>
    </w:p>
    <w:p>
      <w:pPr>
        <w:ind w:left="-20" w:firstLine="1305"/>
        <w:spacing w:after="0" w:line="276" w:lineRule="auto"/>
        <w:tabs>
          <w:tab w:leader="none" w:pos="16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Participant’s employment or service terminates due to the Participant’s death, all unvested Restricted Shares shall immediately vest.</w:t>
      </w:r>
    </w:p>
    <w:p>
      <w:pPr>
        <w:spacing w:after="0" w:line="377" w:lineRule="exact"/>
        <w:rPr>
          <w:rFonts w:ascii="Arial" w:cs="Arial" w:eastAsia="Arial" w:hAnsi="Arial"/>
          <w:sz w:val="22"/>
          <w:szCs w:val="22"/>
          <w:color w:val="auto"/>
        </w:rPr>
      </w:pPr>
    </w:p>
    <w:p>
      <w:pPr>
        <w:ind w:left="-20" w:right="540" w:firstLine="1305"/>
        <w:spacing w:after="0" w:line="358" w:lineRule="auto"/>
        <w:tabs>
          <w:tab w:leader="none" w:pos="1708"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a Participant’s employment or service terminates due to Disability, all unvested Restricted Shares shall not be forfeited upon such termination and shall continue to vest as provided in Section 3(a).</w:t>
      </w:r>
    </w:p>
    <w:p>
      <w:pPr>
        <w:spacing w:after="0" w:line="307" w:lineRule="exact"/>
        <w:rPr>
          <w:rFonts w:ascii="Arial" w:cs="Arial" w:eastAsia="Arial" w:hAnsi="Arial"/>
          <w:sz w:val="19"/>
          <w:szCs w:val="19"/>
          <w:color w:val="auto"/>
        </w:rPr>
      </w:pPr>
    </w:p>
    <w:p>
      <w:pPr>
        <w:ind w:left="-20" w:firstLine="1305"/>
        <w:spacing w:after="0" w:line="276" w:lineRule="auto"/>
        <w:tabs>
          <w:tab w:leader="none" w:pos="16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other than for Cause</w:t>
      </w:r>
      <w:r>
        <w:rPr>
          <w:rFonts w:ascii="Arial" w:cs="Arial" w:eastAsia="Arial" w:hAnsi="Arial"/>
          <w:sz w:val="22"/>
          <w:szCs w:val="22"/>
          <w:color w:val="auto"/>
        </w:rPr>
        <w:t>. If a Participant’s employment or service is terminated by the Company other than for Cause, all unvested Restricted Shares shall immediately vest.</w:t>
      </w:r>
    </w:p>
    <w:p>
      <w:pPr>
        <w:sectPr>
          <w:pgSz w:w="11900" w:h="16838" w:orient="portrait"/>
          <w:cols w:equalWidth="0" w:num="1">
            <w:col w:w="11380"/>
          </w:cols>
          <w:pgMar w:left="260" w:top="450" w:right="259" w:bottom="1440" w:gutter="0" w:footer="0" w:header="0"/>
        </w:sectPr>
      </w:pPr>
    </w:p>
    <w:bookmarkStart w:id="114" w:name="page115"/>
    <w:bookmarkEnd w:id="114"/>
    <w:p>
      <w:pPr>
        <w:ind w:right="160" w:firstLine="1305"/>
        <w:spacing w:after="0" w:line="297" w:lineRule="auto"/>
        <w:tabs>
          <w:tab w:leader="none" w:pos="1692"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notice of a termination for Cause, the Participant shall have ten (10) days to cure should the action be curable. In the event the action is not cured or cannot be cured, all unvested Restricted Shares shall be immediately forfeited and canceled, effective as of the date of the Participant’s termination of service. In addition, any Restricted Shares that vested during the twelve months prior to or any time after the Participant engaged in the conduct that gave rise to the termination for Cause shall upon demand by the Administrator be immediately forfeited and disgorged or paid to the Company together with all gains earned or accrued due to the sale of such vested Restricted Shares.</w:t>
      </w:r>
    </w:p>
    <w:p>
      <w:pPr>
        <w:spacing w:after="0" w:line="363" w:lineRule="exact"/>
        <w:rPr>
          <w:rFonts w:ascii="Arial" w:cs="Arial" w:eastAsia="Arial" w:hAnsi="Arial"/>
          <w:sz w:val="19"/>
          <w:szCs w:val="19"/>
          <w:color w:val="auto"/>
        </w:rPr>
      </w:pPr>
    </w:p>
    <w:p>
      <w:pPr>
        <w:ind w:right="180" w:firstLine="1305"/>
        <w:spacing w:after="0" w:line="276" w:lineRule="auto"/>
        <w:tabs>
          <w:tab w:leader="none" w:pos="1728"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 If a Participant’s employment terminates for any reason other as specified above in Section 3(b), (c), (d) or (e), all unvested Restricted Shares shall immediately be forfeited.</w:t>
      </w:r>
    </w:p>
    <w:p>
      <w:pPr>
        <w:spacing w:after="0" w:line="377" w:lineRule="exact"/>
        <w:rPr>
          <w:rFonts w:ascii="Arial" w:cs="Arial" w:eastAsia="Arial" w:hAnsi="Arial"/>
          <w:sz w:val="22"/>
          <w:szCs w:val="22"/>
          <w:color w:val="auto"/>
        </w:rPr>
      </w:pPr>
    </w:p>
    <w:p>
      <w:pPr>
        <w:ind w:right="120" w:firstLine="1305"/>
        <w:spacing w:after="0" w:line="276" w:lineRule="auto"/>
        <w:tabs>
          <w:tab w:leader="none" w:pos="1728"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any unvested Restricted Shares shall vest, continue, or have such other treatment as provided in the Plan.</w:t>
      </w:r>
    </w:p>
    <w:p>
      <w:pPr>
        <w:spacing w:after="0" w:line="377" w:lineRule="exact"/>
        <w:rPr>
          <w:rFonts w:ascii="Arial" w:cs="Arial" w:eastAsia="Arial" w:hAnsi="Arial"/>
          <w:sz w:val="22"/>
          <w:szCs w:val="22"/>
          <w:color w:val="auto"/>
        </w:rPr>
      </w:pPr>
    </w:p>
    <w:p>
      <w:pPr>
        <w:ind w:right="40" w:firstLine="1305"/>
        <w:spacing w:after="0" w:line="276" w:lineRule="auto"/>
        <w:tabs>
          <w:tab w:leader="none" w:pos="1680"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Employment Letter Agreement.</w:t>
      </w:r>
      <w:r>
        <w:rPr>
          <w:rFonts w:ascii="Arial" w:cs="Arial" w:eastAsia="Arial" w:hAnsi="Arial"/>
          <w:sz w:val="22"/>
          <w:szCs w:val="22"/>
          <w:color w:val="auto"/>
        </w:rPr>
        <w:t xml:space="preserve"> In the event of the Participant’s breach of any of the provisions contained in the Employment Letter Agreement, all unvested Restricted Shares shall immediately be forfeited.</w:t>
      </w:r>
    </w:p>
    <w:p>
      <w:pPr>
        <w:spacing w:after="0" w:line="377" w:lineRule="exact"/>
        <w:rPr>
          <w:rFonts w:ascii="Arial" w:cs="Arial" w:eastAsia="Arial" w:hAnsi="Arial"/>
          <w:sz w:val="22"/>
          <w:szCs w:val="22"/>
          <w:color w:val="auto"/>
        </w:rPr>
      </w:pPr>
    </w:p>
    <w:p>
      <w:pPr>
        <w:jc w:val="both"/>
        <w:ind w:right="580" w:firstLine="1305"/>
        <w:spacing w:after="0" w:line="320" w:lineRule="auto"/>
        <w:tabs>
          <w:tab w:leader="none" w:pos="1680"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Other Forfeiture Provisions</w:t>
      </w:r>
      <w:r>
        <w:rPr>
          <w:rFonts w:ascii="Arial" w:cs="Arial" w:eastAsia="Arial" w:hAnsi="Arial"/>
          <w:sz w:val="19"/>
          <w:szCs w:val="19"/>
          <w:color w:val="auto"/>
        </w:rPr>
        <w:t>. The Restricted Shares shall also be subject to forfeiture, disgorgement and/or repayment to the Company in the event the Participant engages in financial or other misconduct (including but not limited to engaging in Competitive Activity) or as required by Applicable Law, as provided in the Plan.</w:t>
      </w:r>
    </w:p>
    <w:p>
      <w:pPr>
        <w:spacing w:after="0" w:line="341" w:lineRule="exact"/>
        <w:rPr>
          <w:rFonts w:ascii="Arial" w:cs="Arial" w:eastAsia="Arial" w:hAnsi="Arial"/>
          <w:sz w:val="19"/>
          <w:szCs w:val="19"/>
          <w:color w:val="auto"/>
        </w:rPr>
      </w:pPr>
    </w:p>
    <w:p>
      <w:pPr>
        <w:jc w:val="both"/>
        <w:ind w:firstLine="656"/>
        <w:spacing w:after="0" w:line="254" w:lineRule="auto"/>
        <w:tabs>
          <w:tab w:leader="none" w:pos="99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r>
        <w:rPr>
          <w:rFonts w:ascii="Arial" w:cs="Arial" w:eastAsia="Arial" w:hAnsi="Arial"/>
          <w:sz w:val="22"/>
          <w:szCs w:val="22"/>
          <w:color w:val="auto"/>
        </w:rPr>
        <w:t>. Unvested Restricted Shares may not be transferred, other than by will or by the laws of descent and distribution and provided that the deceased Participant’s beneficiary or the representative of his or her estate acknowledges and agrees in writing, in a form reasonably acceptable to the Company, to be bound by the provisions of the Plan and this Agreement as if such beneficiary or estate were the Participant.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000" w:hanging="344"/>
        <w:spacing w:after="0"/>
        <w:tabs>
          <w:tab w:leader="none" w:pos="10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Participant’s Representations, Warranties and Covenants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80" w:firstLine="1305"/>
        <w:spacing w:after="0" w:line="294" w:lineRule="auto"/>
        <w:tabs>
          <w:tab w:leader="none" w:pos="1728"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Participant or the Restricted Shares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368" w:lineRule="exact"/>
        <w:rPr>
          <w:rFonts w:ascii="Arial" w:cs="Arial" w:eastAsia="Arial" w:hAnsi="Arial"/>
          <w:sz w:val="19"/>
          <w:szCs w:val="19"/>
          <w:color w:val="auto"/>
        </w:rPr>
      </w:pPr>
    </w:p>
    <w:p>
      <w:pPr>
        <w:ind w:right="180" w:firstLine="1305"/>
        <w:spacing w:after="0" w:line="276" w:lineRule="auto"/>
        <w:tabs>
          <w:tab w:leader="none" w:pos="1716"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The Participant acknowledges and agrees that the Restricted Shares received hereby and represented by physical certificates(s) will bear the following legend (or one to substantially similar effect):</w:t>
      </w:r>
    </w:p>
    <w:p>
      <w:pPr>
        <w:spacing w:after="0" w:line="161"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i w:val="1"/>
          <w:iCs w:val="1"/>
          <w:color w:val="auto"/>
        </w:rPr>
        <w:t>“THE SECURITIES REPRESENTED HEREBY ARE SUBJECT TO ADDITIONAL RESTRICTIONS ON TRANSFER AND CERTAIN OTHER AGREEMENTS SET FORTH IN THE AMENDED AND RESTATED EQUITY INCENTIVE PLAN OF BOOZ ALLEN HAMILTON HOLDING CORPORATION AND A</w:t>
      </w:r>
    </w:p>
    <w:p>
      <w:pPr>
        <w:sectPr>
          <w:pgSz w:w="11900" w:h="16838" w:orient="portrait"/>
          <w:cols w:equalWidth="0" w:num="1">
            <w:col w:w="11420"/>
          </w:cols>
          <w:pgMar w:left="240" w:top="591" w:right="2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i w:val="1"/>
          <w:iCs w:val="1"/>
          <w:color w:val="auto"/>
        </w:rPr>
        <w:t>RESTRICTED STOCK AGREEMENT BETWEEN THE ISSUER AND THE HOLDER OF THIS CERTIFICATE DATED AS OF</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___________. A COPY OF SUCH PLAN AND AGREEMENT SHALL BE FURNISHED WITHOUT CHARGE BY THE ISSUER TO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HOLDER HEREOF UPON WRITTEN REQUEST.”</w:t>
      </w:r>
    </w:p>
    <w:p>
      <w:pPr>
        <w:spacing w:after="0" w:line="200" w:lineRule="exact"/>
        <w:rPr>
          <w:sz w:val="20"/>
          <w:szCs w:val="20"/>
          <w:color w:val="auto"/>
        </w:rPr>
      </w:pPr>
    </w:p>
    <w:p>
      <w:pPr>
        <w:spacing w:after="0" w:line="218" w:lineRule="exact"/>
        <w:rPr>
          <w:sz w:val="20"/>
          <w:szCs w:val="20"/>
          <w:color w:val="auto"/>
        </w:rPr>
      </w:pPr>
    </w:p>
    <w:p>
      <w:pPr>
        <w:jc w:val="both"/>
        <w:ind w:right="200" w:firstLine="1305"/>
        <w:spacing w:after="0" w:line="270" w:lineRule="auto"/>
        <w:tabs>
          <w:tab w:leader="none" w:pos="1728"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Compliance with Rule 144</w:t>
      </w:r>
      <w:r>
        <w:rPr>
          <w:rFonts w:ascii="Arial" w:cs="Arial" w:eastAsia="Arial" w:hAnsi="Arial"/>
          <w:sz w:val="21"/>
          <w:szCs w:val="21"/>
          <w:color w:val="auto"/>
        </w:rPr>
        <w:t>. If any of the Restricted Shares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385" w:lineRule="exact"/>
        <w:rPr>
          <w:rFonts w:ascii="Arial" w:cs="Arial" w:eastAsia="Arial" w:hAnsi="Arial"/>
          <w:sz w:val="21"/>
          <w:szCs w:val="21"/>
          <w:color w:val="auto"/>
        </w:rPr>
      </w:pPr>
    </w:p>
    <w:p>
      <w:pPr>
        <w:ind w:right="600" w:firstLine="1305"/>
        <w:spacing w:after="0" w:line="276" w:lineRule="auto"/>
        <w:tabs>
          <w:tab w:leader="none" w:pos="1716"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director or Consultant of the Company or a Subsidiary.</w:t>
      </w:r>
    </w:p>
    <w:p>
      <w:pPr>
        <w:spacing w:after="0" w:line="377" w:lineRule="exact"/>
        <w:rPr>
          <w:rFonts w:ascii="Arial" w:cs="Arial" w:eastAsia="Arial" w:hAnsi="Arial"/>
          <w:sz w:val="22"/>
          <w:szCs w:val="22"/>
          <w:color w:val="auto"/>
        </w:rPr>
      </w:pPr>
    </w:p>
    <w:p>
      <w:pPr>
        <w:ind w:right="220" w:firstLine="1305"/>
        <w:spacing w:after="0" w:line="250" w:lineRule="auto"/>
        <w:tabs>
          <w:tab w:leader="none" w:pos="1692"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Section 83(b) Election</w:t>
      </w:r>
      <w:r>
        <w:rPr>
          <w:rFonts w:ascii="Arial" w:cs="Arial" w:eastAsia="Arial" w:hAnsi="Arial"/>
          <w:sz w:val="22"/>
          <w:szCs w:val="22"/>
          <w:color w:val="auto"/>
        </w:rPr>
        <w:t>. The Participant agrees that, if the Participant makes an election pursuant to Section 83(b) of the Internal Revenue Code of 1986, as amended, with respect to the Restricted Shares acquired hereunder (an “</w:t>
      </w:r>
      <w:r>
        <w:rPr>
          <w:rFonts w:ascii="Arial" w:cs="Arial" w:eastAsia="Arial" w:hAnsi="Arial"/>
          <w:sz w:val="22"/>
          <w:szCs w:val="22"/>
          <w:u w:val="single" w:color="auto"/>
          <w:color w:val="auto"/>
        </w:rPr>
        <w:t>83(b)</w:t>
      </w:r>
      <w:r>
        <w:rPr>
          <w:rFonts w:ascii="Arial" w:cs="Arial" w:eastAsia="Arial" w:hAnsi="Arial"/>
          <w:sz w:val="22"/>
          <w:szCs w:val="22"/>
          <w:color w:val="auto"/>
        </w:rPr>
        <w:t xml:space="preserve"> </w:t>
      </w:r>
      <w:r>
        <w:rPr>
          <w:rFonts w:ascii="Arial" w:cs="Arial" w:eastAsia="Arial" w:hAnsi="Arial"/>
          <w:sz w:val="22"/>
          <w:szCs w:val="22"/>
          <w:u w:val="single" w:color="auto"/>
          <w:color w:val="auto"/>
        </w:rPr>
        <w:t>election</w:t>
      </w:r>
      <w:r>
        <w:rPr>
          <w:rFonts w:ascii="Arial" w:cs="Arial" w:eastAsia="Arial" w:hAnsi="Arial"/>
          <w:sz w:val="22"/>
          <w:szCs w:val="22"/>
          <w:color w:val="auto"/>
        </w:rPr>
        <w:t>”), then the Participant shall give notice to the Company of such 83(b) election within 30 days of the date of this Agreement. Any such 83(b) election shall use as the value of the Restricted Shares the Fair Market Value of the Restricted Shares on the Grant Date determined as provided in the Plan, and the Participant shall take a consistent position on the Participant’s tax returns.</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firstLine="656"/>
        <w:spacing w:after="0" w:line="247" w:lineRule="auto"/>
        <w:tabs>
          <w:tab w:leader="none" w:pos="99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Dividends, etc</w:t>
      </w:r>
      <w:r>
        <w:rPr>
          <w:rFonts w:ascii="Arial" w:cs="Arial" w:eastAsia="Arial" w:hAnsi="Arial"/>
          <w:sz w:val="22"/>
          <w:szCs w:val="22"/>
          <w:color w:val="auto"/>
        </w:rPr>
        <w:t>. The Participant shall be entitled to (</w:t>
      </w:r>
      <w:r>
        <w:rPr>
          <w:rFonts w:ascii="Arial" w:cs="Arial" w:eastAsia="Arial" w:hAnsi="Arial"/>
          <w:sz w:val="22"/>
          <w:szCs w:val="22"/>
          <w:u w:val="single" w:color="auto"/>
          <w:color w:val="auto"/>
        </w:rPr>
        <w:t>i</w:t>
      </w:r>
      <w:r>
        <w:rPr>
          <w:rFonts w:ascii="Arial" w:cs="Arial" w:eastAsia="Arial" w:hAnsi="Arial"/>
          <w:sz w:val="22"/>
          <w:szCs w:val="22"/>
          <w:color w:val="auto"/>
        </w:rPr>
        <w:t>) receive all dividends or other distributions at the time (and in the same calendar year as) such dividends or distributions are paid with respect to those vested and unvested Restricted Shares of which the Participant is the record owner on the record date for such dividend or other distribution and (</w:t>
      </w:r>
      <w:r>
        <w:rPr>
          <w:rFonts w:ascii="Arial" w:cs="Arial" w:eastAsia="Arial" w:hAnsi="Arial"/>
          <w:sz w:val="22"/>
          <w:szCs w:val="22"/>
          <w:u w:val="single" w:color="auto"/>
          <w:color w:val="auto"/>
        </w:rPr>
        <w:t>ii</w:t>
      </w:r>
      <w:r>
        <w:rPr>
          <w:rFonts w:ascii="Arial" w:cs="Arial" w:eastAsia="Arial" w:hAnsi="Arial"/>
          <w:sz w:val="22"/>
          <w:szCs w:val="22"/>
          <w:color w:val="auto"/>
        </w:rPr>
        <w:t>) vote any Restricted Shares of which the Participant is the record owner on the record date for such vote; provided, however, that any property (other than cash) distributed with respect to a Restricted Share (the “</w:t>
      </w:r>
      <w:r>
        <w:rPr>
          <w:rFonts w:ascii="Arial" w:cs="Arial" w:eastAsia="Arial" w:hAnsi="Arial"/>
          <w:sz w:val="22"/>
          <w:szCs w:val="22"/>
          <w:u w:val="single" w:color="auto"/>
          <w:color w:val="auto"/>
        </w:rPr>
        <w:t>Associated Share</w:t>
      </w:r>
      <w:r>
        <w:rPr>
          <w:rFonts w:ascii="Arial" w:cs="Arial" w:eastAsia="Arial" w:hAnsi="Arial"/>
          <w:sz w:val="22"/>
          <w:szCs w:val="22"/>
          <w:color w:val="auto"/>
        </w:rPr>
        <w:t>”) acquired hereunder, including without limitation a distribution of Restricted Shares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1000" w:hanging="344"/>
        <w:spacing w:after="0"/>
        <w:tabs>
          <w:tab w:leader="none" w:pos="10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305"/>
        <w:spacing w:after="0" w:line="260" w:lineRule="auto"/>
        <w:tabs>
          <w:tab w:leader="none" w:pos="1728"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xml:space="preserve">. Whenever any cash or other payment is to be made hereunder or with respect to the Restricted Shares, the Company or any Subsidiary shall have the power to withhold an amount (in cash or in Common Stock granted hereunder upon vesting) sufficient to satisfy federal, state, and local withholding tax requirements relating to such transaction and the Company or such Subsidiary may defer the payment of cash or other payment until such requirements are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Participant shall be responsible for all withholding taxes and other tax consequences of this award of Restricted Shares.</w:t>
      </w:r>
    </w:p>
    <w:p>
      <w:pPr>
        <w:sectPr>
          <w:pgSz w:w="11900" w:h="16838" w:orient="portrait"/>
          <w:cols w:equalWidth="0" w:num="1">
            <w:col w:w="11420"/>
          </w:cols>
          <w:pgMar w:left="240" w:top="375" w:right="239" w:bottom="1440" w:gutter="0" w:footer="0" w:header="0"/>
        </w:sectPr>
      </w:pPr>
    </w:p>
    <w:bookmarkStart w:id="116" w:name="page117"/>
    <w:bookmarkEnd w:id="116"/>
    <w:p>
      <w:pPr>
        <w:ind w:left="-1200" w:right="300" w:firstLine="1305"/>
        <w:spacing w:after="0" w:line="260" w:lineRule="auto"/>
        <w:tabs>
          <w:tab w:leader="none" w:pos="516"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Nothing in the Plan or this Agreement shall interfere with or limit in any way the right of the Company to terminate any Participant’s employment at any time, or confer upon any Participant any right to continue in the employ or retention of the Company.</w:t>
      </w:r>
    </w:p>
    <w:p>
      <w:pPr>
        <w:spacing w:after="0" w:line="393" w:lineRule="exact"/>
        <w:rPr>
          <w:rFonts w:ascii="Arial" w:cs="Arial" w:eastAsia="Arial" w:hAnsi="Arial"/>
          <w:sz w:val="22"/>
          <w:szCs w:val="22"/>
          <w:color w:val="auto"/>
        </w:rPr>
      </w:pPr>
    </w:p>
    <w:p>
      <w:pPr>
        <w:ind w:left="-1200" w:right="40" w:firstLine="1305"/>
        <w:spacing w:after="0" w:line="270" w:lineRule="auto"/>
        <w:tabs>
          <w:tab w:leader="none" w:pos="528"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Binding Effect; Benefits</w:t>
      </w:r>
      <w:r>
        <w:rPr>
          <w:rFonts w:ascii="Arial" w:cs="Arial" w:eastAsia="Arial" w:hAnsi="Arial"/>
          <w:sz w:val="21"/>
          <w:szCs w:val="21"/>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85" w:lineRule="exact"/>
        <w:rPr>
          <w:rFonts w:ascii="Arial" w:cs="Arial" w:eastAsia="Arial" w:hAnsi="Arial"/>
          <w:sz w:val="21"/>
          <w:szCs w:val="21"/>
          <w:color w:val="auto"/>
        </w:rPr>
      </w:pPr>
    </w:p>
    <w:p>
      <w:pPr>
        <w:ind w:left="-1200" w:right="440" w:firstLine="1305"/>
        <w:spacing w:after="0" w:line="276" w:lineRule="auto"/>
        <w:tabs>
          <w:tab w:leader="none" w:pos="516"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pacing w:after="0" w:line="377" w:lineRule="exact"/>
        <w:rPr>
          <w:rFonts w:ascii="Arial" w:cs="Arial" w:eastAsia="Arial" w:hAnsi="Arial"/>
          <w:sz w:val="22"/>
          <w:szCs w:val="22"/>
          <w:color w:val="auto"/>
        </w:rPr>
      </w:pPr>
    </w:p>
    <w:p>
      <w:pPr>
        <w:ind w:left="-1200" w:right="240" w:firstLine="1305"/>
        <w:spacing w:after="0" w:line="254" w:lineRule="auto"/>
        <w:tabs>
          <w:tab w:leader="none" w:pos="49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1200" w:right="180" w:firstLine="1305"/>
        <w:spacing w:after="0" w:line="260" w:lineRule="auto"/>
        <w:tabs>
          <w:tab w:leader="none" w:pos="52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construed in accordance with and governed by the laws of the State of Delaware, without reference to principles of conflict of laws which would give rise to the application of the substantive law of another jurisdiction.</w:t>
      </w:r>
    </w:p>
    <w:p>
      <w:pPr>
        <w:spacing w:after="0" w:line="393" w:lineRule="exact"/>
        <w:rPr>
          <w:rFonts w:ascii="Arial" w:cs="Arial" w:eastAsia="Arial" w:hAnsi="Arial"/>
          <w:sz w:val="22"/>
          <w:szCs w:val="22"/>
          <w:color w:val="auto"/>
        </w:rPr>
      </w:pPr>
    </w:p>
    <w:p>
      <w:pPr>
        <w:ind w:left="-1200" w:right="480" w:firstLine="1305"/>
        <w:spacing w:after="0" w:line="260" w:lineRule="auto"/>
        <w:tabs>
          <w:tab w:leader="none" w:pos="52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93" w:lineRule="exact"/>
        <w:rPr>
          <w:rFonts w:ascii="Arial" w:cs="Arial" w:eastAsia="Arial" w:hAnsi="Arial"/>
          <w:sz w:val="22"/>
          <w:szCs w:val="22"/>
          <w:color w:val="auto"/>
        </w:rPr>
      </w:pPr>
    </w:p>
    <w:p>
      <w:pPr>
        <w:jc w:val="both"/>
        <w:ind w:left="-1200" w:firstLine="1305"/>
        <w:spacing w:after="0" w:line="254" w:lineRule="auto"/>
        <w:tabs>
          <w:tab w:leader="none" w:pos="48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Consent to Electronic Delivery</w:t>
      </w:r>
      <w:r>
        <w:rPr>
          <w:rFonts w:ascii="Arial" w:cs="Arial" w:eastAsia="Arial" w:hAnsi="Arial"/>
          <w:sz w:val="22"/>
          <w:szCs w:val="22"/>
          <w:color w:val="auto"/>
        </w:rPr>
        <w:t>. By acceptance of this grant, the Participant hereby consents to the delivery of information (including, without limitation, information required to be delivered to the Participant pursuant to applicable securities laws) regarding the Company and the Subsidiaries, the Plan, and the Restricted Shares via the Company web site or other electronic delivery.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200" w:right="160" w:firstLine="1305"/>
        <w:spacing w:after="0" w:line="276" w:lineRule="auto"/>
        <w:tabs>
          <w:tab w:leader="none" w:pos="48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Section and Other Headings, etc</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377" w:lineRule="exact"/>
        <w:rPr>
          <w:rFonts w:ascii="Arial" w:cs="Arial" w:eastAsia="Arial" w:hAnsi="Arial"/>
          <w:sz w:val="22"/>
          <w:szCs w:val="22"/>
          <w:color w:val="auto"/>
        </w:rPr>
      </w:pPr>
    </w:p>
    <w:p>
      <w:pPr>
        <w:ind w:left="-1200" w:right="80" w:firstLine="1305"/>
        <w:spacing w:after="0" w:line="251" w:lineRule="auto"/>
        <w:tabs>
          <w:tab w:leader="none" w:pos="52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shall be (</w:t>
      </w:r>
      <w:r>
        <w:rPr>
          <w:rFonts w:ascii="Arial" w:cs="Arial" w:eastAsia="Arial" w:hAnsi="Arial"/>
          <w:sz w:val="22"/>
          <w:szCs w:val="22"/>
          <w:u w:val="single" w:color="auto"/>
          <w:color w:val="auto"/>
        </w:rPr>
        <w:t>i</w:t>
      </w:r>
      <w:r>
        <w:rPr>
          <w:rFonts w:ascii="Arial" w:cs="Arial" w:eastAsia="Arial" w:hAnsi="Arial"/>
          <w:sz w:val="22"/>
          <w:szCs w:val="22"/>
          <w:color w:val="auto"/>
        </w:rPr>
        <w:t>) delivered by hand, (</w:t>
      </w:r>
      <w:r>
        <w:rPr>
          <w:rFonts w:ascii="Arial" w:cs="Arial" w:eastAsia="Arial" w:hAnsi="Arial"/>
          <w:sz w:val="22"/>
          <w:szCs w:val="22"/>
          <w:u w:val="single" w:color="auto"/>
          <w:color w:val="auto"/>
        </w:rPr>
        <w:t>ii</w:t>
      </w:r>
      <w:r>
        <w:rPr>
          <w:rFonts w:ascii="Arial" w:cs="Arial" w:eastAsia="Arial" w:hAnsi="Arial"/>
          <w:sz w:val="22"/>
          <w:szCs w:val="22"/>
          <w:color w:val="auto"/>
        </w:rPr>
        <w:t>) sent by commercial overnight courier service, (</w:t>
      </w:r>
      <w:r>
        <w:rPr>
          <w:rFonts w:ascii="Arial" w:cs="Arial" w:eastAsia="Arial" w:hAnsi="Arial"/>
          <w:sz w:val="22"/>
          <w:szCs w:val="22"/>
          <w:u w:val="single" w:color="auto"/>
          <w:color w:val="auto"/>
        </w:rPr>
        <w:t>iii</w:t>
      </w:r>
      <w:r>
        <w:rPr>
          <w:rFonts w:ascii="Arial" w:cs="Arial" w:eastAsia="Arial" w:hAnsi="Arial"/>
          <w:sz w:val="22"/>
          <w:szCs w:val="22"/>
          <w:color w:val="auto"/>
        </w:rPr>
        <w:t>) sent by registered or certified mail, return receipt requested, and first-class postage prepaid, (</w:t>
      </w:r>
      <w:r>
        <w:rPr>
          <w:rFonts w:ascii="Arial" w:cs="Arial" w:eastAsia="Arial" w:hAnsi="Arial"/>
          <w:sz w:val="22"/>
          <w:szCs w:val="22"/>
          <w:u w:val="single" w:color="auto"/>
          <w:color w:val="auto"/>
        </w:rPr>
        <w:t>iv</w:t>
      </w:r>
      <w:r>
        <w:rPr>
          <w:rFonts w:ascii="Arial" w:cs="Arial" w:eastAsia="Arial" w:hAnsi="Arial"/>
          <w:sz w:val="22"/>
          <w:szCs w:val="22"/>
          <w:color w:val="auto"/>
        </w:rPr>
        <w:t>) sent by e-mail or any other form of electronic transfer or delivery approved by the Administrator, or (</w:t>
      </w:r>
      <w:r>
        <w:rPr>
          <w:rFonts w:ascii="Arial" w:cs="Arial" w:eastAsia="Arial" w:hAnsi="Arial"/>
          <w:sz w:val="22"/>
          <w:szCs w:val="22"/>
          <w:u w:val="single" w:color="auto"/>
          <w:color w:val="auto"/>
        </w:rPr>
        <w:t>v</w:t>
      </w:r>
      <w:r>
        <w:rPr>
          <w:rFonts w:ascii="Arial" w:cs="Arial" w:eastAsia="Arial" w:hAnsi="Arial"/>
          <w:sz w:val="22"/>
          <w:szCs w:val="22"/>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200" w:right="180" w:firstLine="1305"/>
        <w:spacing w:after="0" w:line="276" w:lineRule="auto"/>
        <w:tabs>
          <w:tab w:leader="none" w:pos="48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constitute one and the same instrument.</w:t>
      </w:r>
    </w:p>
    <w:p>
      <w:pPr>
        <w:spacing w:after="0" w:line="377" w:lineRule="exact"/>
        <w:rPr>
          <w:rFonts w:ascii="Arial" w:cs="Arial" w:eastAsia="Arial" w:hAnsi="Arial"/>
          <w:sz w:val="22"/>
          <w:szCs w:val="22"/>
          <w:color w:val="auto"/>
        </w:rPr>
      </w:pPr>
    </w:p>
    <w:p>
      <w:pPr>
        <w:ind w:left="-1200" w:right="160" w:firstLine="1305"/>
        <w:spacing w:after="0" w:line="254" w:lineRule="auto"/>
        <w:tabs>
          <w:tab w:leader="none" w:pos="58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w:t>
      </w:r>
    </w:p>
    <w:p>
      <w:pPr>
        <w:sectPr>
          <w:pgSz w:w="11900" w:h="16838" w:orient="portrait"/>
          <w:cols w:equalWidth="0" w:num="1">
            <w:col w:w="10220"/>
          </w:cols>
          <w:pgMar w:left="1440" w:top="591" w:right="239" w:bottom="1440" w:gutter="0" w:footer="0" w:header="0"/>
        </w:sectPr>
      </w:pPr>
    </w:p>
    <w:bookmarkStart w:id="117" w:name="page118"/>
    <w:bookmarkEnd w:id="117"/>
    <w:p>
      <w:pPr>
        <w:spacing w:after="0" w:line="294" w:lineRule="auto"/>
        <w:rPr>
          <w:sz w:val="20"/>
          <w:szCs w:val="20"/>
          <w:color w:val="auto"/>
        </w:rPr>
      </w:pPr>
      <w:r>
        <w:rPr>
          <w:rFonts w:ascii="Arial" w:cs="Arial" w:eastAsia="Arial" w:hAnsi="Arial"/>
          <w:sz w:val="19"/>
          <w:szCs w:val="19"/>
          <w:color w:val="auto"/>
        </w:rPr>
        <w:t>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ectPr>
          <w:pgSz w:w="11900" w:h="16838" w:orient="portrait"/>
          <w:cols w:equalWidth="0" w:num="1">
            <w:col w:w="11120"/>
          </w:cols>
          <w:pgMar w:left="240" w:top="591" w:right="5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10.29</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INCENTIVE PLAN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9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9"/>
          <w:szCs w:val="19"/>
          <w:color w:val="auto"/>
        </w:rPr>
        <w:t>Unless otherwise defined herein, the terms defined in the Amended and Restated Equity Incentive Plan of Booz Allen Holding Corporation (the “</w:t>
      </w:r>
      <w:r>
        <w:rPr>
          <w:rFonts w:ascii="Arial" w:cs="Arial" w:eastAsia="Arial" w:hAnsi="Arial"/>
          <w:sz w:val="19"/>
          <w:szCs w:val="19"/>
          <w:u w:val="single" w:color="auto"/>
          <w:color w:val="auto"/>
        </w:rPr>
        <w:t>Plan</w:t>
      </w:r>
      <w:r>
        <w:rPr>
          <w:rFonts w:ascii="Arial" w:cs="Arial" w:eastAsia="Arial" w:hAnsi="Arial"/>
          <w:sz w:val="19"/>
          <w:szCs w:val="19"/>
          <w:color w:val="auto"/>
        </w:rPr>
        <w:t>”) shall have the same defined meanings in this Restricted Stock Unit Agreement, which includes the terms in this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(collectively,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215"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You have been granted performance-based restricted stock units, subject to the terms and conditions of the Plan and this Agreement in an amount and vesting schedule, and subject to satisfaction of the performance goals, set forth on the Morgan Stanley Smith Barney Benefit Access system at www.benefitaccess.com.</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9"/>
          <w:szCs w:val="19"/>
          <w:color w:val="auto"/>
        </w:rPr>
        <w:t xml:space="preserve">Your acceptance of this grant indicates your agreement and understanding that the Restricted Stock Units granted herein are subject to all of the terms and conditions contained in the Agreement and the Plan. </w:t>
      </w:r>
      <w:r>
        <w:rPr>
          <w:rFonts w:ascii="Arial" w:cs="Arial" w:eastAsia="Arial" w:hAnsi="Arial"/>
          <w:sz w:val="19"/>
          <w:szCs w:val="19"/>
          <w:b w:val="1"/>
          <w:bCs w:val="1"/>
          <w:color w:val="auto"/>
        </w:rPr>
        <w:t>ACCORDINGLY, PLEASE BE SURE TO READ</w:t>
      </w:r>
    </w:p>
    <w:p>
      <w:pPr>
        <w:spacing w:after="0" w:line="1" w:lineRule="exact"/>
        <w:rPr>
          <w:sz w:val="20"/>
          <w:szCs w:val="20"/>
          <w:color w:val="auto"/>
        </w:rPr>
      </w:pPr>
    </w:p>
    <w:p>
      <w:pPr>
        <w:ind w:right="380"/>
        <w:spacing w:after="0" w:line="246" w:lineRule="auto"/>
        <w:rPr>
          <w:sz w:val="20"/>
          <w:szCs w:val="20"/>
          <w:color w:val="auto"/>
        </w:rPr>
      </w:pPr>
      <w:r>
        <w:rPr>
          <w:rFonts w:ascii="Arial" w:cs="Arial" w:eastAsia="Arial" w:hAnsi="Arial"/>
          <w:sz w:val="22"/>
          <w:szCs w:val="22"/>
          <w:b w:val="1"/>
          <w:bCs w:val="1"/>
          <w:color w:val="auto"/>
        </w:rPr>
        <w:t>ALL OF THE PLAN AND APPENDIX A, WHICH CONTAIN THE SPECIFIC TERMS AND CONDITIONS OF THE RESTRICTED STOCK UNITS.</w:t>
      </w:r>
    </w:p>
    <w:p>
      <w:pPr>
        <w:spacing w:after="0" w:line="139"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order to accept this grant, please go to the Morgan Stanley Smith Barney Benefit Access system at www.benefitaccess.com and follow the instructions regarding this grant.</w:t>
      </w:r>
    </w:p>
    <w:p>
      <w:pPr>
        <w:sectPr>
          <w:pgSz w:w="11900" w:h="16838" w:orient="portrait"/>
          <w:cols w:equalWidth="0" w:num="1">
            <w:col w:w="11420"/>
          </w:cols>
          <w:pgMar w:left="240" w:top="364" w:right="23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22"/>
          <w:szCs w:val="22"/>
          <w:b w:val="1"/>
          <w:bCs w:val="1"/>
          <w:color w:val="auto"/>
        </w:rPr>
        <w:t>APPENDIX A TO RESTRICTED STOCK UNIT AGREEMENT</w:t>
      </w:r>
    </w:p>
    <w:p>
      <w:pPr>
        <w:spacing w:after="0" w:line="28" w:lineRule="exact"/>
        <w:rPr>
          <w:sz w:val="20"/>
          <w:szCs w:val="20"/>
          <w:color w:val="auto"/>
        </w:rPr>
      </w:pPr>
    </w:p>
    <w:p>
      <w:pPr>
        <w:ind w:firstLine="656"/>
        <w:spacing w:after="0" w:line="289" w:lineRule="auto"/>
        <w:tabs>
          <w:tab w:leader="none" w:pos="151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Subject to the terms, conditions, and restrictions set forth in this Agreement (including the Grant Notice and the Morgan Stanley Smith Barney Benefit Access System at www.benefitaccess.com) and in the Plan, the Company hereby evidences and confirms its grant to the Participant, effective as of the Grant Date, of the number of restricted stock units specified in the Grant Notice set forth on the Morgan Stanley Smith Barney Benefit Access System, which shall be subject to the satisfaction of certain performance goals as set forth below (the “</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159" w:lineRule="exact"/>
        <w:rPr>
          <w:rFonts w:ascii="Arial" w:cs="Arial" w:eastAsia="Arial" w:hAnsi="Arial"/>
          <w:sz w:val="19"/>
          <w:szCs w:val="19"/>
          <w:color w:val="auto"/>
        </w:rPr>
      </w:pPr>
    </w:p>
    <w:p>
      <w:pPr>
        <w:ind w:left="1000" w:hanging="344"/>
        <w:spacing w:after="0"/>
        <w:tabs>
          <w:tab w:leader="none" w:pos="10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233" w:lineRule="exact"/>
        <w:rPr>
          <w:sz w:val="20"/>
          <w:szCs w:val="20"/>
          <w:color w:val="auto"/>
        </w:rPr>
      </w:pPr>
    </w:p>
    <w:p>
      <w:pPr>
        <w:ind w:right="60" w:firstLine="656"/>
        <w:spacing w:after="0" w:line="254" w:lineRule="auto"/>
        <w:tabs>
          <w:tab w:leader="none" w:pos="106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Except as otherwise provided in this Section 2, the Restricted Stock Units shall become vested, in the amount(s), and on the vesting date(s) set forth on the Morgan Stanley Smith Barney Benefit Access System (each, a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subject to the continued employment of the Participant by the Company or any Subsidiary thereof through such date and to the satisfaction of the applicable Performance Goal.</w:t>
      </w:r>
    </w:p>
    <w:p>
      <w:pPr>
        <w:spacing w:after="0" w:line="185" w:lineRule="exact"/>
        <w:rPr>
          <w:rFonts w:ascii="Arial" w:cs="Arial" w:eastAsia="Arial" w:hAnsi="Arial"/>
          <w:sz w:val="22"/>
          <w:szCs w:val="22"/>
          <w:color w:val="auto"/>
        </w:rPr>
      </w:pPr>
    </w:p>
    <w:p>
      <w:pPr>
        <w:ind w:right="240" w:firstLine="656"/>
        <w:spacing w:after="0" w:line="307" w:lineRule="auto"/>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Performance Based Vesting</w:t>
      </w:r>
      <w:r>
        <w:rPr>
          <w:rFonts w:ascii="Arial" w:cs="Arial" w:eastAsia="Arial" w:hAnsi="Arial"/>
          <w:sz w:val="19"/>
          <w:szCs w:val="19"/>
          <w:color w:val="auto"/>
        </w:rPr>
        <w:t>. Except as otherwise provided in this Section 2, the Restricted Stock Units shall only become vested on the applicable Vesting Date if, on or prior to such date (or, if the audited financial statements for the Company have not been finalized by such date, within 30 days thereafter), the Administrator determines that the Performance Goals for the applicable Fiscal Year as set forth on the Morgan Stanley Smith Barney Benefit Access System have been satisfied.</w:t>
      </w:r>
    </w:p>
    <w:p>
      <w:pPr>
        <w:spacing w:after="0" w:line="138" w:lineRule="exact"/>
        <w:rPr>
          <w:rFonts w:ascii="Arial" w:cs="Arial" w:eastAsia="Arial" w:hAnsi="Arial"/>
          <w:sz w:val="19"/>
          <w:szCs w:val="19"/>
          <w:color w:val="auto"/>
        </w:rPr>
      </w:pPr>
    </w:p>
    <w:p>
      <w:pPr>
        <w:ind w:left="1080" w:hanging="424"/>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firstLine="645"/>
        <w:spacing w:after="0" w:line="263" w:lineRule="auto"/>
        <w:tabs>
          <w:tab w:leader="none" w:pos="1728"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Participant’s employment or service terminates due to the Participant’s death, all unvested Restricted Stock Units shall immediately vest.</w:t>
      </w:r>
    </w:p>
    <w:p>
      <w:pPr>
        <w:spacing w:after="0" w:line="174" w:lineRule="exact"/>
        <w:rPr>
          <w:rFonts w:ascii="Arial" w:cs="Arial" w:eastAsia="Arial" w:hAnsi="Arial"/>
          <w:sz w:val="22"/>
          <w:szCs w:val="22"/>
          <w:color w:val="auto"/>
        </w:rPr>
      </w:pPr>
    </w:p>
    <w:p>
      <w:pPr>
        <w:ind w:left="660" w:right="200" w:firstLine="645"/>
        <w:spacing w:after="0" w:line="253" w:lineRule="auto"/>
        <w:tabs>
          <w:tab w:leader="none" w:pos="1788"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a Participant’s employment or service terminates due to Disability, all unvested Restricted Stock Units shall not be forfeited upon such termination and shall continue to vest in accordance with the schedule provided in Section 2(a) and (b).</w:t>
      </w: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660" w:right="20" w:firstLine="645"/>
        <w:spacing w:after="0" w:line="290" w:lineRule="auto"/>
        <w:tabs>
          <w:tab w:leader="none" w:pos="1848"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a Company Approved Departure; Termination by the Company Other than for Cause</w:t>
      </w:r>
      <w:r>
        <w:rPr>
          <w:rFonts w:ascii="Arial" w:cs="Arial" w:eastAsia="Arial" w:hAnsi="Arial"/>
          <w:sz w:val="19"/>
          <w:szCs w:val="19"/>
          <w:color w:val="auto"/>
        </w:rPr>
        <w:t>. If a Participant’s employment or service (</w:t>
      </w:r>
      <w:r>
        <w:rPr>
          <w:rFonts w:ascii="Arial" w:cs="Arial" w:eastAsia="Arial" w:hAnsi="Arial"/>
          <w:sz w:val="19"/>
          <w:szCs w:val="19"/>
          <w:u w:val="single" w:color="auto"/>
          <w:color w:val="auto"/>
        </w:rPr>
        <w:t>i</w:t>
      </w:r>
      <w:r>
        <w:rPr>
          <w:rFonts w:ascii="Arial" w:cs="Arial" w:eastAsia="Arial" w:hAnsi="Arial"/>
          <w:sz w:val="19"/>
          <w:szCs w:val="19"/>
          <w:color w:val="auto"/>
        </w:rPr>
        <w:t>) terminates in a Company Approved Departure (as defined below) or (</w:t>
      </w:r>
      <w:r>
        <w:rPr>
          <w:rFonts w:ascii="Arial" w:cs="Arial" w:eastAsia="Arial" w:hAnsi="Arial"/>
          <w:sz w:val="19"/>
          <w:szCs w:val="19"/>
          <w:u w:val="single" w:color="auto"/>
          <w:color w:val="auto"/>
        </w:rPr>
        <w:t>ii</w:t>
      </w:r>
      <w:r>
        <w:rPr>
          <w:rFonts w:ascii="Arial" w:cs="Arial" w:eastAsia="Arial" w:hAnsi="Arial"/>
          <w:sz w:val="19"/>
          <w:szCs w:val="19"/>
          <w:color w:val="auto"/>
        </w:rPr>
        <w:t>) is terminated by the Company for a reason other than for Cause, then, in each case, all unvested Restricted Stock Units shall not be forfeited upon such termination and shall continue to vest in accordance with the schedule, and shall continue to be subject to the achievement of the Performance Goals, as provided on the Morgan Stanley Smith Barney Benefit Access System. “Company Approved Departure”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156" w:lineRule="exact"/>
        <w:rPr>
          <w:rFonts w:ascii="Arial" w:cs="Arial" w:eastAsia="Arial" w:hAnsi="Arial"/>
          <w:sz w:val="19"/>
          <w:szCs w:val="19"/>
          <w:color w:val="auto"/>
        </w:rPr>
      </w:pPr>
    </w:p>
    <w:p>
      <w:pPr>
        <w:ind w:left="660" w:right="140" w:firstLine="645"/>
        <w:spacing w:after="0" w:line="263" w:lineRule="auto"/>
        <w:tabs>
          <w:tab w:leader="none" w:pos="1836"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a Participant’s employment or service terminates for Cause, all unvested Restricted Stock Units shall be immediately forfeited and canceled, effective</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69" w:right="259" w:bottom="1440" w:gutter="0" w:footer="0" w:header="0"/>
        </w:sectPr>
      </w:pPr>
    </w:p>
    <w:bookmarkStart w:id="120" w:name="page121"/>
    <w:bookmarkEnd w:id="120"/>
    <w:p>
      <w:pPr>
        <w:ind w:left="4" w:right="240"/>
        <w:spacing w:after="0" w:line="248" w:lineRule="auto"/>
        <w:rPr>
          <w:sz w:val="20"/>
          <w:szCs w:val="20"/>
          <w:color w:val="auto"/>
        </w:rPr>
      </w:pPr>
      <w:r>
        <w:rPr>
          <w:rFonts w:ascii="Arial" w:cs="Arial" w:eastAsia="Arial" w:hAnsi="Arial"/>
          <w:sz w:val="22"/>
          <w:szCs w:val="22"/>
          <w:color w:val="auto"/>
        </w:rPr>
        <w:t>as of the date of the Participant’s termination of service. In addition, any Restricted Stock Units that vested during the twelve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192" w:lineRule="exact"/>
        <w:rPr>
          <w:sz w:val="20"/>
          <w:szCs w:val="20"/>
          <w:color w:val="auto"/>
        </w:rPr>
      </w:pPr>
    </w:p>
    <w:p>
      <w:pPr>
        <w:ind w:left="4" w:right="280" w:firstLine="645"/>
        <w:spacing w:after="0" w:line="253" w:lineRule="auto"/>
        <w:tabs>
          <w:tab w:leader="none" w:pos="1120"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 If a Participant’s employment is terminated for any reason other than death, Disability, Company Approved Departure, Cause or by the Company without Cause, all unvested Restricted Stock Units shall immediately be forfeited.</w:t>
      </w:r>
    </w:p>
    <w:p>
      <w:pPr>
        <w:spacing w:after="0" w:line="185" w:lineRule="exact"/>
        <w:rPr>
          <w:rFonts w:ascii="Arial" w:cs="Arial" w:eastAsia="Arial" w:hAnsi="Arial"/>
          <w:sz w:val="22"/>
          <w:szCs w:val="22"/>
          <w:color w:val="auto"/>
        </w:rPr>
      </w:pPr>
    </w:p>
    <w:p>
      <w:pPr>
        <w:ind w:left="-656" w:right="40" w:firstLine="656"/>
        <w:spacing w:after="0" w:line="276" w:lineRule="auto"/>
        <w:tabs>
          <w:tab w:leader="none" w:pos="424"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then the Restricted Stock Units shall vest or continue and shall have such treatment, as set forth in the Plan.</w:t>
      </w:r>
    </w:p>
    <w:p>
      <w:pPr>
        <w:spacing w:after="0" w:line="160" w:lineRule="exact"/>
        <w:rPr>
          <w:rFonts w:ascii="Arial" w:cs="Arial" w:eastAsia="Arial" w:hAnsi="Arial"/>
          <w:sz w:val="22"/>
          <w:szCs w:val="22"/>
          <w:color w:val="auto"/>
        </w:rPr>
      </w:pPr>
    </w:p>
    <w:p>
      <w:pPr>
        <w:ind w:left="-656" w:right="200" w:firstLine="656"/>
        <w:spacing w:after="0" w:line="251" w:lineRule="auto"/>
        <w:tabs>
          <w:tab w:leader="none" w:pos="41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Other Forfeiture Provisions</w:t>
      </w:r>
      <w:r>
        <w:rPr>
          <w:rFonts w:ascii="Arial" w:cs="Arial" w:eastAsia="Arial" w:hAnsi="Arial"/>
          <w:sz w:val="22"/>
          <w:szCs w:val="22"/>
          <w:color w:val="auto"/>
        </w:rPr>
        <w:t>. The Restricted Stock Units shall also be forfeited and subject to disgorgement and/or repayment to the Company in the event the Participant (i) engages in financial or other misconduct (including but not limited to engaging in Competitive Activity) or as required by Applicable Law, as provided in the Plan or (ii) materially violates any restrictive covenant agreement (or any other agreement containing restrictive covenants) that the Participant has entered into with the Company.</w:t>
      </w:r>
    </w:p>
    <w:p>
      <w:pPr>
        <w:spacing w:after="0" w:line="189" w:lineRule="exact"/>
        <w:rPr>
          <w:rFonts w:ascii="Arial" w:cs="Arial" w:eastAsia="Arial" w:hAnsi="Arial"/>
          <w:sz w:val="22"/>
          <w:szCs w:val="22"/>
          <w:color w:val="auto"/>
        </w:rPr>
      </w:pPr>
    </w:p>
    <w:p>
      <w:pPr>
        <w:ind w:left="-656" w:right="20" w:firstLine="656"/>
        <w:spacing w:after="0" w:line="297" w:lineRule="auto"/>
        <w:tabs>
          <w:tab w:leader="none" w:pos="388"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Notwithstanding anything contained in this Agreement to the contrary, subject to Article XIII of the Plan, the Committee, in its sole discretion, may waive forfeiture provisions or accelerate the vesting with respect to any Restricted Stock Units under this Agreement, at such times and upon such terms and conditions as the Committee shall determine; provided, however, that such waiver or acceleration of vesting shall not change the settlement date of the Restricted Stock Units provided in Section 3 of this Agreement; and provided, further, that the Administrator shall not waive satisfaction of the Performance Goals with respect to a Participant who is a “covered employee” as defined in Section 162(m)(3) of the Code.</w:t>
      </w:r>
    </w:p>
    <w:p>
      <w:pPr>
        <w:spacing w:after="0" w:line="147" w:lineRule="exact"/>
        <w:rPr>
          <w:sz w:val="20"/>
          <w:szCs w:val="20"/>
          <w:color w:val="auto"/>
        </w:rPr>
      </w:pPr>
    </w:p>
    <w:p>
      <w:pPr>
        <w:ind w:left="-656" w:right="120" w:firstLine="656"/>
        <w:spacing w:after="0" w:line="260" w:lineRule="auto"/>
        <w:tabs>
          <w:tab w:leader="none" w:pos="334"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Settlement of Restricted Stock Units</w:t>
      </w:r>
      <w:r>
        <w:rPr>
          <w:rFonts w:ascii="Arial" w:cs="Arial" w:eastAsia="Arial" w:hAnsi="Arial"/>
          <w:sz w:val="21"/>
          <w:szCs w:val="21"/>
          <w:color w:val="auto"/>
        </w:rPr>
        <w:t>. Subject to Section 8(d), the Company shall deliver to the Participant one share of Stock (or the value thereof) in settlement of each outstanding Restricted Stock Unit that has vested as provided in Section 2(a) on the first to occur of (</w:t>
      </w:r>
      <w:r>
        <w:rPr>
          <w:rFonts w:ascii="Arial" w:cs="Arial" w:eastAsia="Arial" w:hAnsi="Arial"/>
          <w:sz w:val="21"/>
          <w:szCs w:val="21"/>
          <w:u w:val="single" w:color="auto"/>
          <w:color w:val="auto"/>
        </w:rPr>
        <w:t>i</w:t>
      </w:r>
      <w:r>
        <w:rPr>
          <w:rFonts w:ascii="Arial" w:cs="Arial" w:eastAsia="Arial" w:hAnsi="Arial"/>
          <w:sz w:val="21"/>
          <w:szCs w:val="21"/>
          <w:color w:val="auto"/>
        </w:rPr>
        <w:t>) the Vesting Date (or within 30 days thereafter) or (</w:t>
      </w:r>
      <w:r>
        <w:rPr>
          <w:rFonts w:ascii="Arial" w:cs="Arial" w:eastAsia="Arial" w:hAnsi="Arial"/>
          <w:sz w:val="21"/>
          <w:szCs w:val="21"/>
          <w:u w:val="single" w:color="auto"/>
          <w:color w:val="auto"/>
        </w:rPr>
        <w:t>ii</w:t>
      </w:r>
      <w:r>
        <w:rPr>
          <w:rFonts w:ascii="Arial" w:cs="Arial" w:eastAsia="Arial" w:hAnsi="Arial"/>
          <w:sz w:val="21"/>
          <w:szCs w:val="21"/>
          <w:color w:val="auto"/>
        </w:rPr>
        <w:t>) a Change in Control in which the Restricted Stock Units do not continue, in each case (</w:t>
      </w:r>
      <w:r>
        <w:rPr>
          <w:rFonts w:ascii="Arial" w:cs="Arial" w:eastAsia="Arial" w:hAnsi="Arial"/>
          <w:sz w:val="21"/>
          <w:szCs w:val="21"/>
          <w:u w:val="single" w:color="auto"/>
          <w:color w:val="auto"/>
        </w:rPr>
        <w:t>A</w:t>
      </w:r>
      <w:r>
        <w:rPr>
          <w:rFonts w:ascii="Arial" w:cs="Arial" w:eastAsia="Arial" w:hAnsi="Arial"/>
          <w:sz w:val="21"/>
          <w:szCs w:val="21"/>
          <w:color w:val="auto"/>
        </w:rPr>
        <w:t>) in Stock by either, (</w:t>
      </w:r>
      <w:r>
        <w:rPr>
          <w:rFonts w:ascii="Arial" w:cs="Arial" w:eastAsia="Arial" w:hAnsi="Arial"/>
          <w:sz w:val="21"/>
          <w:szCs w:val="21"/>
          <w:u w:val="single" w:color="auto"/>
          <w:color w:val="auto"/>
        </w:rPr>
        <w:t>x</w:t>
      </w:r>
      <w:r>
        <w:rPr>
          <w:rFonts w:ascii="Arial" w:cs="Arial" w:eastAsia="Arial" w:hAnsi="Arial"/>
          <w:sz w:val="21"/>
          <w:szCs w:val="21"/>
          <w:color w:val="auto"/>
        </w:rPr>
        <w:t>) issuing one or more certificates evidencing the Stock to the Participant or (</w:t>
      </w:r>
      <w:r>
        <w:rPr>
          <w:rFonts w:ascii="Arial" w:cs="Arial" w:eastAsia="Arial" w:hAnsi="Arial"/>
          <w:sz w:val="21"/>
          <w:szCs w:val="21"/>
          <w:u w:val="single" w:color="auto"/>
          <w:color w:val="auto"/>
        </w:rPr>
        <w:t>y</w:t>
      </w:r>
      <w:r>
        <w:rPr>
          <w:rFonts w:ascii="Arial" w:cs="Arial" w:eastAsia="Arial" w:hAnsi="Arial"/>
          <w:sz w:val="21"/>
          <w:szCs w:val="21"/>
          <w:color w:val="auto"/>
        </w:rPr>
        <w:t>) registering the issuance of the Stock in the name of the Participant through a book entry credit in the records of the Company’s transfer agent, or (B) in the event of settlement upon a Change in Control, a cash payment equal to the Change in Control Price, multiplied by the number of vested Restricted Stock Units). No fractional shares of Stock shall be issued in settlement of Restricted Stock Units. Fractional Restricted Stock Units shall be settled through a cash payment equal to the Fair Market Value of the Stock on the settlement date.</w:t>
      </w:r>
    </w:p>
    <w:p>
      <w:pPr>
        <w:spacing w:after="0" w:line="184" w:lineRule="exact"/>
        <w:rPr>
          <w:rFonts w:ascii="Arial" w:cs="Arial" w:eastAsia="Arial" w:hAnsi="Arial"/>
          <w:sz w:val="21"/>
          <w:szCs w:val="21"/>
          <w:color w:val="auto"/>
        </w:rPr>
      </w:pPr>
    </w:p>
    <w:p>
      <w:pPr>
        <w:ind w:left="-656" w:firstLine="656"/>
        <w:spacing w:after="0" w:line="264" w:lineRule="auto"/>
        <w:tabs>
          <w:tab w:leader="none" w:pos="334"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Securities Law Compliance</w:t>
      </w:r>
      <w:r>
        <w:rPr>
          <w:rFonts w:ascii="Arial" w:cs="Arial" w:eastAsia="Arial" w:hAnsi="Arial"/>
          <w:sz w:val="21"/>
          <w:szCs w:val="21"/>
          <w:color w:val="auto"/>
        </w:rPr>
        <w:t>. Notwithstanding any other provision of this Agreement, the Participant may not sell the shares of Stock acquired upon vesting of the Restricted Stock Units unless such shares are registered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Stock if the Company determines that such sale would not be in material compliance with such laws and regulations.</w:t>
      </w:r>
    </w:p>
    <w:p>
      <w:pPr>
        <w:spacing w:after="0" w:line="200" w:lineRule="exact"/>
        <w:rPr>
          <w:sz w:val="20"/>
          <w:szCs w:val="20"/>
          <w:color w:val="auto"/>
        </w:rPr>
      </w:pPr>
    </w:p>
    <w:p>
      <w:pPr>
        <w:spacing w:after="0" w:line="219"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44"/>
          </w:cols>
          <w:pgMar w:left="896" w:top="375" w:right="259" w:bottom="1440" w:gutter="0" w:footer="0" w:header="0"/>
        </w:sectPr>
      </w:pPr>
    </w:p>
    <w:bookmarkStart w:id="121" w:name="page122"/>
    <w:bookmarkEnd w:id="121"/>
    <w:p>
      <w:pPr>
        <w:ind w:left="344" w:hanging="344"/>
        <w:spacing w:after="0"/>
        <w:tabs>
          <w:tab w:leader="none" w:pos="3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Participant’s Rights with Respect to the Restricted Stock Units</w:t>
      </w:r>
      <w:r>
        <w:rPr>
          <w:rFonts w:ascii="Arial" w:cs="Arial" w:eastAsia="Arial" w:hAnsi="Arial"/>
          <w:sz w:val="22"/>
          <w:szCs w:val="22"/>
          <w:color w:val="auto"/>
        </w:rPr>
        <w:t>.</w:t>
      </w:r>
    </w:p>
    <w:p>
      <w:pPr>
        <w:spacing w:after="0" w:line="233" w:lineRule="exact"/>
        <w:rPr>
          <w:sz w:val="20"/>
          <w:szCs w:val="20"/>
          <w:color w:val="auto"/>
        </w:rPr>
      </w:pPr>
    </w:p>
    <w:p>
      <w:pPr>
        <w:ind w:left="-656" w:right="20" w:firstLine="656"/>
        <w:spacing w:after="0" w:line="297" w:lineRule="auto"/>
        <w:tabs>
          <w:tab w:leader="none" w:pos="412"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46" w:lineRule="exact"/>
        <w:rPr>
          <w:rFonts w:ascii="Arial" w:cs="Arial" w:eastAsia="Arial" w:hAnsi="Arial"/>
          <w:sz w:val="19"/>
          <w:szCs w:val="19"/>
          <w:color w:val="auto"/>
        </w:rPr>
      </w:pPr>
    </w:p>
    <w:p>
      <w:pPr>
        <w:ind w:left="-656" w:right="120" w:firstLine="656"/>
        <w:spacing w:after="0" w:line="278" w:lineRule="auto"/>
        <w:tabs>
          <w:tab w:leader="none" w:pos="424"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The Participant shall not have any rights as a stockholder including any voting, dividend or other rights or privileges as a stockholder of the Company with respect to any Stock corresponding to the Restricted Stock Units granted hereby unless and until shares of Stock are issued to the Participant in respect thereof.</w:t>
      </w:r>
    </w:p>
    <w:p>
      <w:pPr>
        <w:spacing w:after="0" w:line="160" w:lineRule="exact"/>
        <w:rPr>
          <w:rFonts w:ascii="Arial" w:cs="Arial" w:eastAsia="Arial" w:hAnsi="Arial"/>
          <w:sz w:val="21"/>
          <w:szCs w:val="21"/>
          <w:color w:val="auto"/>
        </w:rPr>
      </w:pPr>
    </w:p>
    <w:p>
      <w:pPr>
        <w:ind w:left="-656" w:firstLine="656"/>
        <w:spacing w:after="0" w:line="248" w:lineRule="auto"/>
        <w:tabs>
          <w:tab w:leader="none" w:pos="286" w:val="left"/>
        </w:tabs>
        <w:numPr>
          <w:ilvl w:val="0"/>
          <w:numId w:val="10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The Participant shall be credited with Dividend Equivalents in the form of a right to a cash payment when cash dividends are paid on the Stock. Such cash payment shall equal the amount obtained by multiplying the amount of the dividend declared and paid for each share of Stock by the number of Restricted Stock Units held by the Participant on the record date. Any cash amounts credited to the Participant’s account shall be paid to the Participant on the applicable Payment Date for the related cash dividends.</w:t>
      </w:r>
    </w:p>
    <w:p>
      <w:pPr>
        <w:spacing w:after="0" w:line="200" w:lineRule="exact"/>
        <w:rPr>
          <w:sz w:val="20"/>
          <w:szCs w:val="20"/>
          <w:color w:val="auto"/>
        </w:rPr>
      </w:pPr>
    </w:p>
    <w:p>
      <w:pPr>
        <w:spacing w:after="0" w:line="208" w:lineRule="exact"/>
        <w:rPr>
          <w:sz w:val="20"/>
          <w:szCs w:val="20"/>
          <w:color w:val="auto"/>
        </w:rPr>
      </w:pPr>
    </w:p>
    <w:p>
      <w:pPr>
        <w:ind w:left="344" w:hanging="344"/>
        <w:spacing w:after="0"/>
        <w:tabs>
          <w:tab w:leader="none" w:pos="34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Participant’s Representations, Warranties and Covenants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56" w:right="80" w:firstLine="1305"/>
        <w:spacing w:after="0" w:line="294" w:lineRule="auto"/>
        <w:tabs>
          <w:tab w:leader="none" w:pos="1060"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Participant or the Restricted Stock Units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368" w:lineRule="exact"/>
        <w:rPr>
          <w:rFonts w:ascii="Arial" w:cs="Arial" w:eastAsia="Arial" w:hAnsi="Arial"/>
          <w:sz w:val="19"/>
          <w:szCs w:val="19"/>
          <w:color w:val="auto"/>
        </w:rPr>
      </w:pPr>
    </w:p>
    <w:p>
      <w:pPr>
        <w:ind w:left="-656" w:right="160" w:firstLine="1305"/>
        <w:spacing w:after="0" w:line="307" w:lineRule="auto"/>
        <w:tabs>
          <w:tab w:leader="none" w:pos="1072"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Compliance with Rule 144</w:t>
      </w:r>
      <w:r>
        <w:rPr>
          <w:rFonts w:ascii="Arial" w:cs="Arial" w:eastAsia="Arial" w:hAnsi="Arial"/>
          <w:sz w:val="19"/>
          <w:szCs w:val="19"/>
          <w:color w:val="auto"/>
        </w:rPr>
        <w:t>. If any shares of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354" w:lineRule="exact"/>
        <w:rPr>
          <w:rFonts w:ascii="Arial" w:cs="Arial" w:eastAsia="Arial" w:hAnsi="Arial"/>
          <w:sz w:val="19"/>
          <w:szCs w:val="19"/>
          <w:color w:val="auto"/>
        </w:rPr>
      </w:pPr>
    </w:p>
    <w:p>
      <w:pPr>
        <w:ind w:left="-656" w:right="600" w:firstLine="1305"/>
        <w:spacing w:after="0" w:line="276" w:lineRule="auto"/>
        <w:tabs>
          <w:tab w:leader="none" w:pos="1060"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director or Consultant of the Company or a Subsidiary.</w:t>
      </w:r>
    </w:p>
    <w:p>
      <w:pPr>
        <w:spacing w:after="0" w:line="160" w:lineRule="exact"/>
        <w:rPr>
          <w:rFonts w:ascii="Arial" w:cs="Arial" w:eastAsia="Arial" w:hAnsi="Arial"/>
          <w:sz w:val="22"/>
          <w:szCs w:val="22"/>
          <w:color w:val="auto"/>
        </w:rPr>
      </w:pPr>
    </w:p>
    <w:p>
      <w:pPr>
        <w:ind w:left="-656" w:right="600" w:firstLine="656"/>
        <w:spacing w:after="0" w:line="270" w:lineRule="auto"/>
        <w:tabs>
          <w:tab w:leader="none" w:pos="334"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Adjustment in Capitalization</w:t>
      </w:r>
      <w:r>
        <w:rPr>
          <w:rFonts w:ascii="Arial" w:cs="Arial" w:eastAsia="Arial" w:hAnsi="Arial"/>
          <w:sz w:val="21"/>
          <w:szCs w:val="21"/>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Stock in such manner as it determines in its sole discretion.</w:t>
      </w:r>
    </w:p>
    <w:p>
      <w:pPr>
        <w:spacing w:after="0" w:line="200" w:lineRule="exact"/>
        <w:rPr>
          <w:sz w:val="20"/>
          <w:szCs w:val="20"/>
          <w:color w:val="auto"/>
        </w:rPr>
      </w:pPr>
    </w:p>
    <w:p>
      <w:pPr>
        <w:spacing w:after="0" w:line="212"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375" w:right="239" w:bottom="1440" w:gutter="0" w:footer="0" w:header="0"/>
        </w:sectPr>
      </w:pPr>
    </w:p>
    <w:bookmarkStart w:id="122" w:name="page123"/>
    <w:bookmarkEnd w:id="122"/>
    <w:p>
      <w:pPr>
        <w:ind w:left="344" w:hanging="344"/>
        <w:spacing w:after="0"/>
        <w:tabs>
          <w:tab w:leader="none" w:pos="34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656" w:right="40" w:firstLine="656"/>
        <w:spacing w:after="0" w:line="270" w:lineRule="auto"/>
        <w:tabs>
          <w:tab w:leader="none" w:pos="412"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Binding Effect; Benefits</w:t>
      </w:r>
      <w:r>
        <w:rPr>
          <w:rFonts w:ascii="Arial" w:cs="Arial" w:eastAsia="Arial" w:hAnsi="Arial"/>
          <w:sz w:val="21"/>
          <w:szCs w:val="21"/>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69" w:lineRule="exact"/>
        <w:rPr>
          <w:rFonts w:ascii="Arial" w:cs="Arial" w:eastAsia="Arial" w:hAnsi="Arial"/>
          <w:sz w:val="21"/>
          <w:szCs w:val="21"/>
          <w:color w:val="auto"/>
        </w:rPr>
      </w:pPr>
    </w:p>
    <w:p>
      <w:pPr>
        <w:ind w:left="-656" w:right="80" w:firstLine="656"/>
        <w:spacing w:after="0" w:line="260" w:lineRule="auto"/>
        <w:tabs>
          <w:tab w:leader="none" w:pos="424"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177" w:lineRule="exact"/>
        <w:rPr>
          <w:rFonts w:ascii="Arial" w:cs="Arial" w:eastAsia="Arial" w:hAnsi="Arial"/>
          <w:sz w:val="22"/>
          <w:szCs w:val="22"/>
          <w:color w:val="auto"/>
        </w:rPr>
      </w:pPr>
    </w:p>
    <w:p>
      <w:pPr>
        <w:ind w:left="-656" w:firstLine="656"/>
        <w:spacing w:after="0" w:line="291" w:lineRule="auto"/>
        <w:tabs>
          <w:tab w:leader="none" w:pos="41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54" w:lineRule="exact"/>
        <w:rPr>
          <w:rFonts w:ascii="Arial" w:cs="Arial" w:eastAsia="Arial" w:hAnsi="Arial"/>
          <w:sz w:val="19"/>
          <w:szCs w:val="19"/>
          <w:color w:val="auto"/>
        </w:rPr>
      </w:pPr>
    </w:p>
    <w:p>
      <w:pPr>
        <w:ind w:left="-656" w:right="40" w:firstLine="656"/>
        <w:spacing w:after="0" w:line="286" w:lineRule="auto"/>
        <w:tabs>
          <w:tab w:leader="none" w:pos="42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Whenever any cash or other payment is to be made hereunder or with respect to the Restricted Stock Units, the Company or any Subsidiary shall have the power to withhold an amount (in cash, Restricted Stock Units or in Stock issuable upon settlement of Restricted Stock Units or from other amounts paid to the Participant in cash (whether under the Plan or otherwise)) sufficient to satisfy federal, state, and local withholding tax requirements relating to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Company may require the recipient of shares of Stock to remit to the Company an amount in cash sufficient to satisfy the amount of taxes required to be withheld as a condition to the issuance of shares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Stock having a Fair Market Value sufficient to satisfy all or part of the amount required to be withheld. The Company or such Subsidiary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 The Participant shall be responsible for all withholding taxes and other tax consequences of this award of Restricted Stock Units.</w:t>
      </w:r>
    </w:p>
    <w:p>
      <w:pPr>
        <w:spacing w:after="0" w:line="169" w:lineRule="exact"/>
        <w:rPr>
          <w:rFonts w:ascii="Arial" w:cs="Arial" w:eastAsia="Arial" w:hAnsi="Arial"/>
          <w:sz w:val="19"/>
          <w:szCs w:val="19"/>
          <w:color w:val="auto"/>
        </w:rPr>
      </w:pPr>
    </w:p>
    <w:p>
      <w:pPr>
        <w:ind w:left="-656" w:right="500" w:firstLine="656"/>
        <w:spacing w:after="0" w:line="260" w:lineRule="auto"/>
        <w:tabs>
          <w:tab w:leader="none" w:pos="41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construed in accordance with and governed by the laws of the State of Delaware, without reference to principles of conflict of laws which would give rise to the application of the substantive law of another jurisdiction.</w:t>
      </w:r>
    </w:p>
    <w:p>
      <w:pPr>
        <w:spacing w:after="0" w:line="200" w:lineRule="exact"/>
        <w:rPr>
          <w:sz w:val="20"/>
          <w:szCs w:val="20"/>
          <w:color w:val="auto"/>
        </w:rPr>
      </w:pPr>
    </w:p>
    <w:p>
      <w:pPr>
        <w:spacing w:after="0" w:line="220"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4"/>
          </w:cols>
          <w:pgMar w:left="896" w:top="375" w:right="239" w:bottom="1440" w:gutter="0" w:footer="0" w:header="0"/>
        </w:sectPr>
      </w:pPr>
    </w:p>
    <w:bookmarkStart w:id="123" w:name="page124"/>
    <w:bookmarkEnd w:id="123"/>
    <w:p>
      <w:pPr>
        <w:ind w:left="-656" w:right="140" w:firstLine="656"/>
        <w:spacing w:after="0" w:line="276" w:lineRule="auto"/>
        <w:tabs>
          <w:tab w:leader="none" w:pos="388"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pacing w:after="0" w:line="160" w:lineRule="exact"/>
        <w:rPr>
          <w:rFonts w:ascii="Arial" w:cs="Arial" w:eastAsia="Arial" w:hAnsi="Arial"/>
          <w:sz w:val="22"/>
          <w:szCs w:val="22"/>
          <w:color w:val="auto"/>
        </w:rPr>
      </w:pPr>
    </w:p>
    <w:p>
      <w:pPr>
        <w:ind w:left="-656" w:right="160" w:firstLine="656"/>
        <w:spacing w:after="0" w:line="254" w:lineRule="auto"/>
        <w:tabs>
          <w:tab w:leader="none" w:pos="424"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185" w:lineRule="exact"/>
        <w:rPr>
          <w:rFonts w:ascii="Arial" w:cs="Arial" w:eastAsia="Arial" w:hAnsi="Arial"/>
          <w:sz w:val="22"/>
          <w:szCs w:val="22"/>
          <w:color w:val="auto"/>
        </w:rPr>
      </w:pPr>
    </w:p>
    <w:p>
      <w:pPr>
        <w:ind w:left="-656" w:right="20" w:firstLine="656"/>
        <w:spacing w:after="0" w:line="260" w:lineRule="auto"/>
        <w:tabs>
          <w:tab w:leader="none" w:pos="424"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77" w:lineRule="exact"/>
        <w:rPr>
          <w:rFonts w:ascii="Arial" w:cs="Arial" w:eastAsia="Arial" w:hAnsi="Arial"/>
          <w:sz w:val="22"/>
          <w:szCs w:val="22"/>
          <w:color w:val="auto"/>
        </w:rPr>
      </w:pPr>
    </w:p>
    <w:p>
      <w:pPr>
        <w:ind w:left="-656" w:firstLine="656"/>
        <w:spacing w:after="0" w:line="262" w:lineRule="auto"/>
        <w:tabs>
          <w:tab w:leader="none" w:pos="376"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Limitation on Rights; No Right to Future Grants; Extraordinary Item of Compensation</w:t>
      </w:r>
      <w:r>
        <w:rPr>
          <w:rFonts w:ascii="Arial" w:cs="Arial" w:eastAsia="Arial" w:hAnsi="Arial"/>
          <w:sz w:val="21"/>
          <w:szCs w:val="21"/>
          <w:color w:val="auto"/>
        </w:rPr>
        <w:t>. By entering into this Agreement and accepting the Restricted Stock Units evidenced hereby, the Participant acknowledges: (</w:t>
      </w:r>
      <w:r>
        <w:rPr>
          <w:rFonts w:ascii="Arial" w:cs="Arial" w:eastAsia="Arial" w:hAnsi="Arial"/>
          <w:sz w:val="21"/>
          <w:szCs w:val="21"/>
          <w:u w:val="single" w:color="auto"/>
          <w:color w:val="auto"/>
        </w:rPr>
        <w:t>a</w:t>
      </w:r>
      <w:r>
        <w:rPr>
          <w:rFonts w:ascii="Arial" w:cs="Arial" w:eastAsia="Arial" w:hAnsi="Arial"/>
          <w:sz w:val="21"/>
          <w:szCs w:val="21"/>
          <w:color w:val="auto"/>
        </w:rPr>
        <w:t>) that the Plan is discretionary in nature and may be suspended or terminated by the Company at any time; (</w:t>
      </w:r>
      <w:r>
        <w:rPr>
          <w:rFonts w:ascii="Arial" w:cs="Arial" w:eastAsia="Arial" w:hAnsi="Arial"/>
          <w:sz w:val="21"/>
          <w:szCs w:val="21"/>
          <w:u w:val="single" w:color="auto"/>
          <w:color w:val="auto"/>
        </w:rPr>
        <w:t>b</w:t>
      </w:r>
      <w:r>
        <w:rPr>
          <w:rFonts w:ascii="Arial" w:cs="Arial" w:eastAsia="Arial" w:hAnsi="Arial"/>
          <w:sz w:val="21"/>
          <w:szCs w:val="21"/>
          <w:color w:val="auto"/>
        </w:rPr>
        <w:t>) that the Award does not create any contractual or other right to receive future grants of Awards; (</w:t>
      </w:r>
      <w:r>
        <w:rPr>
          <w:rFonts w:ascii="Arial" w:cs="Arial" w:eastAsia="Arial" w:hAnsi="Arial"/>
          <w:sz w:val="21"/>
          <w:szCs w:val="21"/>
          <w:u w:val="single" w:color="auto"/>
          <w:color w:val="auto"/>
        </w:rPr>
        <w:t>c</w:t>
      </w:r>
      <w:r>
        <w:rPr>
          <w:rFonts w:ascii="Arial" w:cs="Arial" w:eastAsia="Arial" w:hAnsi="Arial"/>
          <w:sz w:val="21"/>
          <w:szCs w:val="21"/>
          <w:color w:val="auto"/>
        </w:rPr>
        <w:t>) that participation in the Plan is voluntary; (</w:t>
      </w:r>
      <w:r>
        <w:rPr>
          <w:rFonts w:ascii="Arial" w:cs="Arial" w:eastAsia="Arial" w:hAnsi="Arial"/>
          <w:sz w:val="21"/>
          <w:szCs w:val="21"/>
          <w:u w:val="single" w:color="auto"/>
          <w:color w:val="auto"/>
        </w:rPr>
        <w:t>d</w:t>
      </w:r>
      <w:r>
        <w:rPr>
          <w:rFonts w:ascii="Arial" w:cs="Arial" w:eastAsia="Arial" w:hAnsi="Arial"/>
          <w:sz w:val="21"/>
          <w:szCs w:val="21"/>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 (</w:t>
      </w:r>
      <w:r>
        <w:rPr>
          <w:rFonts w:ascii="Arial" w:cs="Arial" w:eastAsia="Arial" w:hAnsi="Arial"/>
          <w:sz w:val="21"/>
          <w:szCs w:val="21"/>
          <w:u w:val="single" w:color="auto"/>
          <w:color w:val="auto"/>
        </w:rPr>
        <w:t>e</w:t>
      </w:r>
      <w:r>
        <w:rPr>
          <w:rFonts w:ascii="Arial" w:cs="Arial" w:eastAsia="Arial" w:hAnsi="Arial"/>
          <w:sz w:val="21"/>
          <w:szCs w:val="21"/>
          <w:color w:val="auto"/>
        </w:rPr>
        <w:t>) that the future value of the Stock is unknown and cannot be predicted with certainty.</w:t>
      </w:r>
    </w:p>
    <w:p>
      <w:pPr>
        <w:spacing w:after="0" w:line="180" w:lineRule="exact"/>
        <w:rPr>
          <w:rFonts w:ascii="Arial" w:cs="Arial" w:eastAsia="Arial" w:hAnsi="Arial"/>
          <w:sz w:val="21"/>
          <w:szCs w:val="21"/>
          <w:color w:val="auto"/>
        </w:rPr>
      </w:pPr>
    </w:p>
    <w:p>
      <w:pPr>
        <w:ind w:left="-656" w:right="60" w:firstLine="656"/>
        <w:spacing w:after="0" w:line="300" w:lineRule="auto"/>
        <w:tabs>
          <w:tab w:leader="none" w:pos="37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By accepting the grant evidenced hereby, the Participant: (</w:t>
      </w:r>
      <w:r>
        <w:rPr>
          <w:rFonts w:ascii="Arial" w:cs="Arial" w:eastAsia="Arial" w:hAnsi="Arial"/>
          <w:sz w:val="19"/>
          <w:szCs w:val="19"/>
          <w:u w:val="single" w:color="auto"/>
          <w:color w:val="auto"/>
        </w:rPr>
        <w:t>a</w:t>
      </w:r>
      <w:r>
        <w:rPr>
          <w:rFonts w:ascii="Arial" w:cs="Arial" w:eastAsia="Arial" w:hAnsi="Arial"/>
          <w:sz w:val="19"/>
          <w:szCs w:val="19"/>
          <w:color w:val="auto"/>
        </w:rPr>
        <w:t>) authorizes the Company and the Participant’s employer, if different, any agent of the Company administering the Plan or providing Plan recordkeeping services, to disclose to the Company or any of its affiliates any information and data the Company requests in order to facilitate the grant of the Award and the administration of the Plan; (</w:t>
      </w:r>
      <w:r>
        <w:rPr>
          <w:rFonts w:ascii="Arial" w:cs="Arial" w:eastAsia="Arial" w:hAnsi="Arial"/>
          <w:sz w:val="19"/>
          <w:szCs w:val="19"/>
          <w:u w:val="single" w:color="auto"/>
          <w:color w:val="auto"/>
        </w:rPr>
        <w:t>b</w:t>
      </w:r>
      <w:r>
        <w:rPr>
          <w:rFonts w:ascii="Arial" w:cs="Arial" w:eastAsia="Arial" w:hAnsi="Arial"/>
          <w:sz w:val="19"/>
          <w:szCs w:val="19"/>
          <w:color w:val="auto"/>
        </w:rPr>
        <w:t>) waives any data privacy rights the Participant may have with respect to such information; and (</w:t>
      </w:r>
      <w:r>
        <w:rPr>
          <w:rFonts w:ascii="Arial" w:cs="Arial" w:eastAsia="Arial" w:hAnsi="Arial"/>
          <w:sz w:val="19"/>
          <w:szCs w:val="19"/>
          <w:u w:val="single" w:color="auto"/>
          <w:color w:val="auto"/>
        </w:rPr>
        <w:t>c</w:t>
      </w:r>
      <w:r>
        <w:rPr>
          <w:rFonts w:ascii="Arial" w:cs="Arial" w:eastAsia="Arial" w:hAnsi="Arial"/>
          <w:sz w:val="19"/>
          <w:szCs w:val="19"/>
          <w:color w:val="auto"/>
        </w:rPr>
        <w:t>) authorizes the Company and its agents to store and transmit such information in electronic form.</w:t>
      </w:r>
    </w:p>
    <w:p>
      <w:pPr>
        <w:spacing w:after="0" w:line="147" w:lineRule="exact"/>
        <w:rPr>
          <w:rFonts w:ascii="Arial" w:cs="Arial" w:eastAsia="Arial" w:hAnsi="Arial"/>
          <w:sz w:val="19"/>
          <w:szCs w:val="19"/>
          <w:color w:val="auto"/>
        </w:rPr>
      </w:pPr>
    </w:p>
    <w:p>
      <w:pPr>
        <w:ind w:left="-656" w:right="160" w:firstLine="656"/>
        <w:spacing w:after="0" w:line="251" w:lineRule="auto"/>
        <w:tabs>
          <w:tab w:leader="none" w:pos="424"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Consent to Electronic Delivery</w:t>
      </w:r>
      <w:r>
        <w:rPr>
          <w:rFonts w:ascii="Arial" w:cs="Arial" w:eastAsia="Arial" w:hAnsi="Arial"/>
          <w:sz w:val="22"/>
          <w:szCs w:val="22"/>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Morgan Stanley Smith Barney Benefit Access System, email or other electronic delivery.</w:t>
      </w:r>
    </w:p>
    <w:p>
      <w:pPr>
        <w:spacing w:after="0" w:line="189" w:lineRule="exact"/>
        <w:rPr>
          <w:rFonts w:ascii="Arial" w:cs="Arial" w:eastAsia="Arial" w:hAnsi="Arial"/>
          <w:sz w:val="22"/>
          <w:szCs w:val="22"/>
          <w:color w:val="auto"/>
        </w:rPr>
      </w:pPr>
    </w:p>
    <w:p>
      <w:pPr>
        <w:ind w:left="-656" w:right="100" w:firstLine="656"/>
        <w:spacing w:after="0" w:line="290" w:lineRule="auto"/>
        <w:tabs>
          <w:tab w:leader="none" w:pos="37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Specified Employee Delay</w:t>
      </w:r>
      <w:r>
        <w:rPr>
          <w:rFonts w:ascii="Arial" w:cs="Arial" w:eastAsia="Arial" w:hAnsi="Arial"/>
          <w:sz w:val="19"/>
          <w:szCs w:val="19"/>
          <w:color w:val="auto"/>
        </w:rPr>
        <w:t>. If the Participant is deemed a "specified employee" within the meaning of Section 409A of the Code, as determined by the Committee, at a time when the Participant becomes eligible for settlement of the Restricted Stock Units upon his or her “separation from service” within the meaning of Section 409A of the Code, then to the extent necessary to prevent any accelerated or additional tax under Section 409A of the Code, such settlement will be delayed until the earlier of: (a) the date that is six months following the Participant’s termination of service and (b)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of the Code,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99"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374" w:right="239" w:bottom="1440" w:gutter="0" w:footer="0" w:header="0"/>
        </w:sectPr>
      </w:pPr>
    </w:p>
    <w:bookmarkStart w:id="124" w:name="page125"/>
    <w:bookmarkEnd w:id="124"/>
    <w:p>
      <w:pPr>
        <w:ind w:left="-656" w:right="200" w:firstLine="656"/>
        <w:spacing w:after="0" w:line="276" w:lineRule="auto"/>
        <w:tabs>
          <w:tab w:leader="none" w:pos="48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160" w:lineRule="exact"/>
        <w:rPr>
          <w:rFonts w:ascii="Arial" w:cs="Arial" w:eastAsia="Arial" w:hAnsi="Arial"/>
          <w:sz w:val="22"/>
          <w:szCs w:val="22"/>
          <w:color w:val="auto"/>
        </w:rPr>
      </w:pPr>
    </w:p>
    <w:p>
      <w:pPr>
        <w:ind w:left="-656" w:right="40" w:firstLine="656"/>
        <w:spacing w:after="0" w:line="251" w:lineRule="auto"/>
        <w:tabs>
          <w:tab w:leader="none" w:pos="42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shall be (</w:t>
      </w:r>
      <w:r>
        <w:rPr>
          <w:rFonts w:ascii="Arial" w:cs="Arial" w:eastAsia="Arial" w:hAnsi="Arial"/>
          <w:sz w:val="22"/>
          <w:szCs w:val="22"/>
          <w:u w:val="single" w:color="auto"/>
          <w:color w:val="auto"/>
        </w:rPr>
        <w:t>i</w:t>
      </w:r>
      <w:r>
        <w:rPr>
          <w:rFonts w:ascii="Arial" w:cs="Arial" w:eastAsia="Arial" w:hAnsi="Arial"/>
          <w:sz w:val="22"/>
          <w:szCs w:val="22"/>
          <w:color w:val="auto"/>
        </w:rPr>
        <w:t>) delivered by hand, (</w:t>
      </w:r>
      <w:r>
        <w:rPr>
          <w:rFonts w:ascii="Arial" w:cs="Arial" w:eastAsia="Arial" w:hAnsi="Arial"/>
          <w:sz w:val="22"/>
          <w:szCs w:val="22"/>
          <w:u w:val="single" w:color="auto"/>
          <w:color w:val="auto"/>
        </w:rPr>
        <w:t>ii</w:t>
      </w:r>
      <w:r>
        <w:rPr>
          <w:rFonts w:ascii="Arial" w:cs="Arial" w:eastAsia="Arial" w:hAnsi="Arial"/>
          <w:sz w:val="22"/>
          <w:szCs w:val="22"/>
          <w:color w:val="auto"/>
        </w:rPr>
        <w:t>) sent by commercial overnight courier service, (</w:t>
      </w:r>
      <w:r>
        <w:rPr>
          <w:rFonts w:ascii="Arial" w:cs="Arial" w:eastAsia="Arial" w:hAnsi="Arial"/>
          <w:sz w:val="22"/>
          <w:szCs w:val="22"/>
          <w:u w:val="single" w:color="auto"/>
          <w:color w:val="auto"/>
        </w:rPr>
        <w:t>iii</w:t>
      </w:r>
      <w:r>
        <w:rPr>
          <w:rFonts w:ascii="Arial" w:cs="Arial" w:eastAsia="Arial" w:hAnsi="Arial"/>
          <w:sz w:val="22"/>
          <w:szCs w:val="22"/>
          <w:color w:val="auto"/>
        </w:rPr>
        <w:t>) sent by registered or certified mail, return receipt requested, and first-class postage prepaid, (</w:t>
      </w:r>
      <w:r>
        <w:rPr>
          <w:rFonts w:ascii="Arial" w:cs="Arial" w:eastAsia="Arial" w:hAnsi="Arial"/>
          <w:sz w:val="22"/>
          <w:szCs w:val="22"/>
          <w:u w:val="single" w:color="auto"/>
          <w:color w:val="auto"/>
        </w:rPr>
        <w:t>iv</w:t>
      </w:r>
      <w:r>
        <w:rPr>
          <w:rFonts w:ascii="Arial" w:cs="Arial" w:eastAsia="Arial" w:hAnsi="Arial"/>
          <w:sz w:val="22"/>
          <w:szCs w:val="22"/>
          <w:color w:val="auto"/>
        </w:rPr>
        <w:t>) sent by e-mail or any other form of electronic transfer or delivery approved by the Administrator, or (</w:t>
      </w:r>
      <w:r>
        <w:rPr>
          <w:rFonts w:ascii="Arial" w:cs="Arial" w:eastAsia="Arial" w:hAnsi="Arial"/>
          <w:sz w:val="22"/>
          <w:szCs w:val="22"/>
          <w:u w:val="single" w:color="auto"/>
          <w:color w:val="auto"/>
        </w:rPr>
        <w:t>v</w:t>
      </w:r>
      <w:r>
        <w:rPr>
          <w:rFonts w:ascii="Arial" w:cs="Arial" w:eastAsia="Arial" w:hAnsi="Arial"/>
          <w:sz w:val="22"/>
          <w:szCs w:val="22"/>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89" w:lineRule="exact"/>
        <w:rPr>
          <w:rFonts w:ascii="Arial" w:cs="Arial" w:eastAsia="Arial" w:hAnsi="Arial"/>
          <w:sz w:val="22"/>
          <w:szCs w:val="22"/>
          <w:color w:val="auto"/>
        </w:rPr>
      </w:pPr>
    </w:p>
    <w:p>
      <w:pPr>
        <w:ind w:left="-656" w:firstLine="656"/>
        <w:spacing w:after="0" w:line="276" w:lineRule="auto"/>
        <w:tabs>
          <w:tab w:leader="none" w:pos="42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24"/>
          </w:cols>
          <w:pgMar w:left="896" w:top="375" w:right="27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Consent of Ernst &amp; Young LLP,</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 (Form S-8 No 333-171286) pertaining to the:</w:t>
      </w:r>
    </w:p>
    <w:p>
      <w:pPr>
        <w:spacing w:after="0" w:line="279"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Amended and Restated Equity Incentive Plan of Booz Allen Hamilton Holding Corporation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Booz Allen Hamilton Holding Corporation Officers’ Rollover Stock Plan,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Booz Allen Hamilton Holding Corporation Employee Stock Purchase Plan</w:t>
      </w:r>
    </w:p>
    <w:p>
      <w:pPr>
        <w:spacing w:after="0" w:line="279"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of our reports dated May 22, 2014,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May 22, 2014</w:t>
      </w:r>
    </w:p>
    <w:p>
      <w:pPr>
        <w:sectPr>
          <w:pgSz w:w="11900" w:h="16838" w:orient="portrait"/>
          <w:cols w:equalWidth="0" w:num="1">
            <w:col w:w="11400"/>
          </w:cols>
          <w:pgMar w:left="240" w:top="823"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May 22,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May 22,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2014, as filed with the Securities and Exchange Commission on the date hereof (the “Report”), the undersigned Chairman of the Board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May 22, 2014</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2014,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May 22, 2014</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1."/>
      <w:numFmt w:val="upperLetter"/>
      <w:start w:val="11"/>
    </w:lvl>
  </w:abstractNum>
  <w:abstractNum w:abstractNumId="3">
    <w:nsid w:val="579BE4F1"/>
    <w:multiLevelType w:val="hybridMultilevel"/>
    <w:lvl w:ilvl="0">
      <w:lvlJc w:val="left"/>
      <w:lvlText w:val="(%1)"/>
      <w:numFmt w:val="lowerRoman"/>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lvl w:ilvl="1">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1)"/>
      <w:numFmt w:val="decimal"/>
      <w:start w:val="1"/>
    </w:lvl>
  </w:abstractNum>
  <w:abstractNum w:abstractNumId="16">
    <w:nsid w:val="5F5E7FD0"/>
    <w:multiLevelType w:val="hybridMultilevel"/>
    <w:lvl w:ilvl="0">
      <w:lvlJc w:val="left"/>
      <w:lvlText w:val="(%1)"/>
      <w:numFmt w:val="lowerRoman"/>
      <w:start w:val="3"/>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decimal"/>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1)"/>
      <w:numFmt w:val="decimal"/>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1)"/>
      <w:numFmt w:val="lowerLetter"/>
      <w:start w:val="1"/>
    </w:lvl>
  </w:abstractNum>
  <w:abstractNum w:abstractNumId="41">
    <w:nsid w:val="7FFFCA11"/>
    <w:multiLevelType w:val="hybridMultilevel"/>
    <w:lvl w:ilvl="0">
      <w:lvlJc w:val="left"/>
      <w:lvlText w:val="(%1)"/>
      <w:numFmt w:val="lowerLetter"/>
      <w:start w:val="5"/>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1)"/>
      <w:numFmt w:val="lowerLetter"/>
      <w:start w:val="1"/>
    </w:lvl>
  </w:abstractNum>
  <w:abstractNum w:abstractNumId="54">
    <w:nsid w:val="3222E7CD"/>
    <w:multiLevelType w:val="hybridMultilevel"/>
    <w:lvl w:ilvl="0">
      <w:lvlJc w:val="left"/>
      <w:lvlText w:val="(%1)"/>
      <w:numFmt w:val="lowerLetter"/>
      <w:start w:val="3"/>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decimal"/>
      <w:start w:val="4"/>
    </w:lvl>
  </w:abstractNum>
  <w:abstractNum w:abstractNumId="57">
    <w:nsid w:val="2DF6D648"/>
    <w:multiLevelType w:val="hybridMultilevel"/>
    <w:lvl w:ilvl="0">
      <w:lvlJc w:val="left"/>
      <w:lvlText w:val="%1."/>
      <w:numFmt w:val="decimal"/>
      <w:start w:val="7"/>
    </w:lvl>
  </w:abstractNum>
  <w:abstractNum w:abstractNumId="58">
    <w:nsid w:val="46B7D447"/>
    <w:multiLevelType w:val="hybridMultilevel"/>
    <w:lvl w:ilvl="0">
      <w:lvlJc w:val="left"/>
      <w:lvlText w:val="(%1)"/>
      <w:numFmt w:val="decimal"/>
      <w:start w:val="1"/>
    </w:lvl>
  </w:abstractNum>
  <w:abstractNum w:abstractNumId="59">
    <w:nsid w:val="4A2AC315"/>
    <w:multiLevelType w:val="hybridMultilevel"/>
    <w:lvl w:ilvl="0">
      <w:lvlJc w:val="left"/>
      <w:lvlText w:val="%1."/>
      <w:numFmt w:val="decimal"/>
      <w:start w:val="13"/>
    </w:lvl>
  </w:abstractNum>
  <w:abstractNum w:abstractNumId="60">
    <w:nsid w:val="39EE015C"/>
    <w:multiLevelType w:val="hybridMultilevel"/>
    <w:lvl w:ilvl="0">
      <w:lvlJc w:val="left"/>
      <w:lvlText w:val="(%1)"/>
      <w:numFmt w:val="decimal"/>
      <w:start w:val="1"/>
    </w:lvl>
  </w:abstractNum>
  <w:abstractNum w:abstractNumId="61">
    <w:nsid w:val="57FC4FBB"/>
    <w:multiLevelType w:val="hybridMultilevel"/>
    <w:lvl w:ilvl="0">
      <w:lvlJc w:val="left"/>
      <w:lvlText w:val="(%1)"/>
      <w:numFmt w:val="decimal"/>
      <w:start w:val="1"/>
    </w:lvl>
  </w:abstractNum>
  <w:abstractNum w:abstractNumId="62">
    <w:nsid w:val="CC1016F"/>
    <w:multiLevelType w:val="hybridMultilevel"/>
    <w:lvl w:ilvl="0">
      <w:lvlJc w:val="left"/>
      <w:lvlText w:val="1"/>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1."/>
      <w:numFmt w:val="decimal"/>
      <w:start w:val="20"/>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lowerLetter"/>
      <w:start w:val="1"/>
    </w:lvl>
    <w:lvl w:ilvl="1">
      <w:lvlJc w:val="left"/>
      <w:lvlText w:val="(%2)"/>
      <w:numFmt w:val="decimal"/>
      <w:start w:val="1"/>
    </w:lvl>
  </w:abstractNum>
  <w:abstractNum w:abstractNumId="70">
    <w:nsid w:val="50801EE1"/>
    <w:multiLevelType w:val="hybridMultilevel"/>
    <w:lvl w:ilvl="0">
      <w:lvlJc w:val="left"/>
      <w:lvlText w:val="(%1)"/>
      <w:numFmt w:val="decimal"/>
      <w:start w:val="3"/>
    </w:lvl>
  </w:abstractNum>
  <w:abstractNum w:abstractNumId="71">
    <w:nsid w:val="488AC1A"/>
    <w:multiLevelType w:val="hybridMultilevel"/>
    <w:lvl w:ilvl="0">
      <w:lvlJc w:val="left"/>
      <w:lvlText w:val="%1"/>
      <w:numFmt w:val="decimal"/>
      <w:start w:val="10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1."/>
      <w:numFmt w:val="decimal"/>
      <w:start w:val="1"/>
    </w:lvl>
  </w:abstractNum>
  <w:abstractNum w:abstractNumId="75">
    <w:nsid w:val="6FC75AF8"/>
    <w:multiLevelType w:val="hybridMultilevel"/>
    <w:lvl w:ilvl="0">
      <w:lvlJc w:val="left"/>
      <w:lvlText w:val="(%1)"/>
      <w:numFmt w:val="lowerLetter"/>
      <w:start w:val="1"/>
    </w:lvl>
  </w:abstractNum>
  <w:abstractNum w:abstractNumId="76">
    <w:nsid w:val="6A5F7029"/>
    <w:multiLevelType w:val="hybridMultilevel"/>
    <w:lvl w:ilvl="0">
      <w:lvlJc w:val="left"/>
      <w:lvlText w:val="%1"/>
      <w:numFmt w:val="decimal"/>
      <w:start w:val="1"/>
    </w:lvl>
    <w:lvl w:ilvl="1">
      <w:lvlJc w:val="left"/>
      <w:lvlText w:val="(%2)"/>
      <w:numFmt w:val="lowerLetter"/>
      <w:start w:val="2"/>
    </w:lvl>
  </w:abstractNum>
  <w:abstractNum w:abstractNumId="77">
    <w:nsid w:val="7D5E18F8"/>
    <w:multiLevelType w:val="hybridMultilevel"/>
    <w:lvl w:ilvl="0">
      <w:lvlJc w:val="left"/>
      <w:lvlText w:val="%1."/>
      <w:numFmt w:val="decimal"/>
      <w:start w:val="4"/>
    </w:lvl>
    <w:lvl w:ilvl="1">
      <w:lvlJc w:val="left"/>
      <w:lvlText w:val="%2"/>
      <w:numFmt w:val="lowerLetter"/>
      <w:start w:val="1"/>
    </w:lvl>
  </w:abstractNum>
  <w:abstractNum w:abstractNumId="78">
    <w:nsid w:val="5F3534A4"/>
    <w:multiLevelType w:val="hybridMultilevel"/>
    <w:lvl w:ilvl="0">
      <w:lvlJc w:val="left"/>
      <w:lvlText w:val="%1."/>
      <w:numFmt w:val="decimal"/>
      <w:start w:val="5"/>
    </w:lvl>
  </w:abstractNum>
  <w:abstractNum w:abstractNumId="79">
    <w:nsid w:val="73A1821B"/>
    <w:multiLevelType w:val="hybridMultilevel"/>
    <w:lvl w:ilvl="0">
      <w:lvlJc w:val="left"/>
      <w:lvlText w:val="(%1)"/>
      <w:numFmt w:val="lowerLetter"/>
      <w:start w:val="1"/>
    </w:lvl>
    <w:lvl w:ilvl="1">
      <w:lvlJc w:val="left"/>
      <w:lvlText w:val="(%2)"/>
      <w:numFmt w:val="lowerRoman"/>
      <w:start w:val="1"/>
    </w:lvl>
  </w:abstractNum>
  <w:abstractNum w:abstractNumId="80">
    <w:nsid w:val="7DE67713"/>
    <w:multiLevelType w:val="hybridMultilevel"/>
    <w:lvl w:ilvl="0">
      <w:lvlJc w:val="left"/>
      <w:lvlText w:val="%1"/>
      <w:numFmt w:val="lowerLetter"/>
      <w:start w:val="1"/>
    </w:lvl>
    <w:lvl w:ilvl="1">
      <w:lvlJc w:val="left"/>
      <w:lvlText w:val="(%2)"/>
      <w:numFmt w:val="lowerRoman"/>
      <w:start w:val="3"/>
    </w:lvl>
  </w:abstractNum>
  <w:abstractNum w:abstractNumId="81">
    <w:nsid w:val="555C55B5"/>
    <w:multiLevelType w:val="hybridMultilevel"/>
    <w:lvl w:ilvl="0">
      <w:lvlJc w:val="left"/>
      <w:lvlText w:val="(%1)"/>
      <w:numFmt w:val="lowerLetter"/>
      <w:start w:val="2"/>
    </w:lvl>
    <w:lvl w:ilvl="1">
      <w:lvlJc w:val="left"/>
      <w:lvlText w:val="%2"/>
      <w:numFmt w:val="lowerRoman"/>
      <w:start w:val="1"/>
    </w:lvl>
  </w:abstractNum>
  <w:abstractNum w:abstractNumId="82">
    <w:nsid w:val="3FA62ACA"/>
    <w:multiLevelType w:val="hybridMultilevel"/>
    <w:lvl w:ilvl="0">
      <w:lvlJc w:val="left"/>
      <w:lvlText w:val="%1."/>
      <w:numFmt w:val="decimal"/>
      <w:start w:val="6"/>
    </w:lvl>
  </w:abstractNum>
  <w:abstractNum w:abstractNumId="83">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4">
    <w:nsid w:val="6A3DD3E8"/>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85">
    <w:nsid w:val="71C91298"/>
    <w:multiLevelType w:val="hybridMultilevel"/>
    <w:lvl w:ilvl="0">
      <w:lvlJc w:val="left"/>
      <w:lvlText w:val="(%1)"/>
      <w:numFmt w:val="lowerLetter"/>
      <w:start w:val="3"/>
    </w:lvl>
  </w:abstractNum>
  <w:abstractNum w:abstractNumId="86">
    <w:nsid w:val="9DAF6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87">
    <w:nsid w:val="53299938"/>
    <w:multiLevelType w:val="hybridMultilevel"/>
    <w:lvl w:ilvl="0">
      <w:lvlJc w:val="left"/>
      <w:lvlText w:val="(%1)"/>
      <w:numFmt w:val="decimal"/>
      <w:start w:val="1"/>
    </w:lvl>
    <w:lvl w:ilvl="1">
      <w:lvlJc w:val="left"/>
      <w:lvlText w:val="%2."/>
      <w:numFmt w:val="decimal"/>
      <w:start w:val="6"/>
    </w:lvl>
    <w:lvl w:ilvl="2">
      <w:lvlJc w:val="left"/>
      <w:lvlText w:val="(%3)"/>
      <w:numFmt w:val="lowerLetter"/>
      <w:start w:val="6"/>
    </w:lvl>
  </w:abstractNum>
  <w:abstractNum w:abstractNumId="88">
    <w:nsid w:val="1FBFE8E0"/>
    <w:multiLevelType w:val="hybridMultilevel"/>
    <w:lvl w:ilvl="0">
      <w:lvlJc w:val="left"/>
      <w:lvlText w:val="%1."/>
      <w:numFmt w:val="decimal"/>
      <w:start w:val="9"/>
    </w:lvl>
  </w:abstractNum>
  <w:abstractNum w:abstractNumId="89">
    <w:nsid w:val="5092CA79"/>
    <w:multiLevelType w:val="hybridMultilevel"/>
    <w:lvl w:ilvl="0">
      <w:lvlJc w:val="left"/>
      <w:lvlText w:val="%1."/>
      <w:numFmt w:val="decimal"/>
      <w:start w:val="10"/>
    </w:lvl>
  </w:abstractNum>
  <w:abstractNum w:abstractNumId="90">
    <w:nsid w:val="1D545C4D"/>
    <w:multiLevelType w:val="hybridMultilevel"/>
    <w:lvl w:ilvl="0">
      <w:lvlJc w:val="left"/>
      <w:lvlText w:val="%1."/>
      <w:numFmt w:val="decimal"/>
      <w:start w:val="13"/>
    </w:lvl>
  </w:abstractNum>
  <w:abstractNum w:abstractNumId="91">
    <w:nsid w:val="59ADEA3D"/>
    <w:multiLevelType w:val="hybridMultilevel"/>
    <w:lvl w:ilvl="0">
      <w:lvlJc w:val="left"/>
      <w:lvlText w:val="%1."/>
      <w:numFmt w:val="decimal"/>
      <w:start w:val="19"/>
    </w:lvl>
    <w:lvl w:ilvl="1">
      <w:lvlJc w:val="left"/>
      <w:lvlText w:val="%2."/>
      <w:numFmt w:val="decimal"/>
      <w:start w:val="20"/>
    </w:lvl>
  </w:abstractNum>
  <w:abstractNum w:abstractNumId="92">
    <w:nsid w:val="288F1A34"/>
    <w:multiLevelType w:val="hybridMultilevel"/>
    <w:lvl w:ilvl="0">
      <w:lvlJc w:val="left"/>
      <w:lvlText w:val="%1."/>
      <w:numFmt w:val="decimal"/>
      <w:start w:val="1"/>
    </w:lvl>
    <w:lvl w:ilvl="1">
      <w:lvlJc w:val="left"/>
      <w:lvlText w:val="(%2)"/>
      <w:numFmt w:val="lowerLetter"/>
      <w:start w:val="2"/>
    </w:lvl>
  </w:abstractNum>
  <w:abstractNum w:abstractNumId="93">
    <w:nsid w:val="2A155DBC"/>
    <w:multiLevelType w:val="hybridMultilevel"/>
    <w:lvl w:ilvl="0">
      <w:lvlJc w:val="left"/>
      <w:lvlText w:val="(%1)"/>
      <w:numFmt w:val="lowerRoman"/>
      <w:start w:val="1"/>
    </w:lvl>
  </w:abstractNum>
  <w:abstractNum w:abstractNumId="94">
    <w:nsid w:val="1D9F6E5F"/>
    <w:multiLevelType w:val="hybridMultilevel"/>
    <w:lvl w:ilvl="0">
      <w:lvlJc w:val="left"/>
      <w:lvlText w:val="(%1)"/>
      <w:numFmt w:val="lowerLetter"/>
      <w:start w:val="3"/>
    </w:lvl>
  </w:abstractNum>
  <w:abstractNum w:abstractNumId="95">
    <w:nsid w:val="97E1B4E"/>
    <w:multiLevelType w:val="hybridMultilevel"/>
    <w:lvl w:ilvl="0">
      <w:lvlJc w:val="left"/>
      <w:lvlText w:val="%1"/>
      <w:numFmt w:val="decimal"/>
      <w:start w:val="1"/>
    </w:lvl>
    <w:lvl w:ilvl="1">
      <w:lvlJc w:val="left"/>
      <w:lvlText w:val="(%2)"/>
      <w:numFmt w:val="lowerLetter"/>
      <w:start w:val="6"/>
    </w:lvl>
  </w:abstractNum>
  <w:abstractNum w:abstractNumId="96">
    <w:nsid w:val="51088277"/>
    <w:multiLevelType w:val="hybridMultilevel"/>
    <w:lvl w:ilvl="0">
      <w:lvlJc w:val="left"/>
      <w:lvlText w:val="%1."/>
      <w:numFmt w:val="decimal"/>
      <w:start w:val="4"/>
    </w:lvl>
    <w:lvl w:ilvl="1">
      <w:lvlJc w:val="left"/>
      <w:lvlText w:val="(%2)"/>
      <w:numFmt w:val="lowerLetter"/>
      <w:start w:val="2"/>
    </w:lvl>
  </w:abstractNum>
  <w:abstractNum w:abstractNumId="97">
    <w:nsid w:val="1CA0C5FA"/>
    <w:multiLevelType w:val="hybridMultilevel"/>
    <w:lvl w:ilvl="0">
      <w:lvlJc w:val="left"/>
      <w:lvlText w:val="%1"/>
      <w:numFmt w:val="decimal"/>
      <w:start w:val="1"/>
    </w:lvl>
    <w:lvl w:ilvl="1">
      <w:lvlJc w:val="left"/>
      <w:lvlText w:val="(%2)"/>
      <w:numFmt w:val="lowerLetter"/>
      <w:start w:val="4"/>
    </w:lvl>
  </w:abstractNum>
  <w:abstractNum w:abstractNumId="98">
    <w:nsid w:val="53584BCB"/>
    <w:multiLevelType w:val="hybridMultilevel"/>
    <w:lvl w:ilvl="0">
      <w:lvlJc w:val="left"/>
      <w:lvlText w:val="%1."/>
      <w:numFmt w:val="decimal"/>
      <w:start w:val="6"/>
    </w:lvl>
    <w:lvl w:ilvl="1">
      <w:lvlJc w:val="left"/>
      <w:lvlText w:val="(%2)"/>
      <w:numFmt w:val="lowerLetter"/>
      <w:start w:val="2"/>
    </w:lvl>
  </w:abstractNum>
  <w:abstractNum w:abstractNumId="99">
    <w:nsid w:val="415E286C"/>
    <w:multiLevelType w:val="hybridMultilevel"/>
    <w:lvl w:ilvl="0">
      <w:lvlJc w:val="left"/>
      <w:lvlText w:val="(%1)"/>
      <w:numFmt w:val="lowerLetter"/>
      <w:start w:val="3"/>
    </w:lvl>
  </w:abstractNum>
  <w:abstractNum w:abstractNumId="100">
    <w:nsid w:val="7C58FD05"/>
    <w:multiLevelType w:val="hybridMultilevel"/>
    <w:lvl w:ilvl="0">
      <w:lvlJc w:val="left"/>
      <w:lvlText w:val="%1."/>
      <w:numFmt w:val="decimal"/>
      <w:start w:val="1"/>
    </w:lvl>
  </w:abstractNum>
  <w:abstractNum w:abstractNumId="101">
    <w:nsid w:val="23D86AAC"/>
    <w:multiLevelType w:val="hybridMultilevel"/>
    <w:lvl w:ilvl="0">
      <w:lvlJc w:val="left"/>
      <w:lvlText w:val="(%1)"/>
      <w:numFmt w:val="lowerLetter"/>
      <w:start w:val="1"/>
    </w:lvl>
    <w:lvl w:ilvl="1">
      <w:lvlJc w:val="left"/>
      <w:lvlText w:val="(%2)"/>
      <w:numFmt w:val="lowerRoman"/>
      <w:start w:val="1"/>
    </w:lvl>
  </w:abstractNum>
  <w:abstractNum w:abstractNumId="102">
    <w:nsid w:val="45E6D486"/>
    <w:multiLevelType w:val="hybridMultilevel"/>
    <w:lvl w:ilvl="0">
      <w:lvlJc w:val="left"/>
      <w:lvlText w:val="%1"/>
      <w:numFmt w:val="lowerLetter"/>
      <w:start w:val="1"/>
    </w:lvl>
    <w:lvl w:ilvl="1">
      <w:lvlJc w:val="left"/>
      <w:lvlText w:val="(%2)"/>
      <w:numFmt w:val="lowerLetter"/>
      <w:start w:val="22"/>
    </w:lvl>
  </w:abstractNum>
  <w:abstractNum w:abstractNumId="103">
    <w:nsid w:val="5C10FE21"/>
    <w:multiLevelType w:val="hybridMultilevel"/>
    <w:lvl w:ilvl="0">
      <w:lvlJc w:val="left"/>
      <w:lvlText w:val="(%1)"/>
      <w:numFmt w:val="lowerLetter"/>
      <w:start w:val="4"/>
    </w:lvl>
    <w:lvl w:ilvl="1">
      <w:lvlJc w:val="left"/>
      <w:lvlText w:val="%2"/>
      <w:numFmt w:val="lowerLetter"/>
      <w:start w:val="1"/>
    </w:lvl>
  </w:abstractNum>
  <w:abstractNum w:abstractNumId="104">
    <w:nsid w:val="E7FFA2B"/>
    <w:multiLevelType w:val="hybridMultilevel"/>
    <w:lvl w:ilvl="0">
      <w:lvlJc w:val="left"/>
      <w:lvlText w:val="%1."/>
      <w:numFmt w:val="decimal"/>
      <w:start w:val="3"/>
    </w:lvl>
  </w:abstractNum>
  <w:abstractNum w:abstractNumId="105">
    <w:nsid w:val="3C5991AA"/>
    <w:multiLevelType w:val="hybridMultilevel"/>
    <w:lvl w:ilvl="0">
      <w:lvlJc w:val="left"/>
      <w:lvlText w:val="%1."/>
      <w:numFmt w:val="decimal"/>
      <w:start w:val="5"/>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decimal"/>
      <w:start w:val="6"/>
    </w:lvl>
    <w:lvl w:ilvl="1">
      <w:lvlJc w:val="left"/>
      <w:lvlText w:val="(%2)"/>
      <w:numFmt w:val="lowerLetter"/>
      <w:start w:val="1"/>
    </w:lvl>
  </w:abstractNum>
  <w:abstractNum w:abstractNumId="108">
    <w:nsid w:val="39B7AAA2"/>
    <w:multiLevelType w:val="hybridMultilevel"/>
    <w:lvl w:ilvl="0">
      <w:lvlJc w:val="left"/>
      <w:lvlText w:val="%1."/>
      <w:numFmt w:val="decimal"/>
      <w:start w:val="8"/>
    </w:lvl>
  </w:abstractNum>
  <w:abstractNum w:abstractNumId="109">
    <w:nsid w:val="2B0D8DBE"/>
    <w:multiLevelType w:val="hybridMultilevel"/>
    <w:lvl w:ilvl="0">
      <w:lvlJc w:val="left"/>
      <w:lvlText w:val="(%1)"/>
      <w:numFmt w:val="lowerLetter"/>
      <w:start w:val="1"/>
    </w:lvl>
  </w:abstractNum>
  <w:abstractNum w:abstractNumId="110">
    <w:nsid w:val="6C80EC70"/>
    <w:multiLevelType w:val="hybridMultilevel"/>
    <w:lvl w:ilvl="0">
      <w:lvlJc w:val="left"/>
      <w:lvlText w:val="(%1)"/>
      <w:numFmt w:val="lowerLetter"/>
      <w:start w:val="6"/>
    </w:lvl>
  </w:abstractNum>
  <w:abstractNum w:abstractNumId="111">
    <w:nsid w:val="379E21B5"/>
    <w:multiLevelType w:val="hybridMultilevel"/>
    <w:lvl w:ilvl="0">
      <w:lvlJc w:val="left"/>
      <w:lvlText w:val="(%1)"/>
      <w:numFmt w:val="lowerLetter"/>
      <w:start w:val="13"/>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lowerLetter"/>
      <w:start w:val="1"/>
    </w:lvl>
  </w:abstractNum>
  <w:abstractNum w:abstractNumId="115">
    <w:nsid w:val="6AA7B75C"/>
    <w:multiLevelType w:val="hybridMultilevel"/>
    <w:lvl w:ilvl="0">
      <w:lvlJc w:val="left"/>
      <w:lvlText w:val="%1."/>
      <w:numFmt w:val="decimal"/>
      <w:start w:val="5"/>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decimal"/>
      <w:start w:val="1"/>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decimal"/>
      <w:start w:val="5"/>
    </w:lvl>
  </w:abstractNum>
  <w:abstractNum w:abstractNumId="120">
    <w:nsid w:val="2708C9AF"/>
    <w:multiLevelType w:val="hybridMultilevel"/>
    <w:lvl w:ilvl="0">
      <w:lvlJc w:val="left"/>
      <w:lvlText w:val="(%1)"/>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2019-12-07T19:43:32Z</dcterms:created>
  <dcterms:modified xsi:type="dcterms:W3CDTF">2019-12-07T19:43:32Z</dcterms:modified>
</cp:coreProperties>
</file>