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137795</wp:posOffset>
            </wp:positionH>
            <wp:positionV relativeFrom="paragraph">
              <wp:posOffset>194945</wp:posOffset>
            </wp:positionV>
            <wp:extent cx="68986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8640" cy="6985"/>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214630</wp:posOffset>
            </wp:positionV>
            <wp:extent cx="689864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640" cy="6985"/>
                    </a:xfrm>
                    <a:prstGeom prst="rect">
                      <a:avLst/>
                    </a:prstGeom>
                    <a:noFill/>
                  </pic:spPr>
                </pic:pic>
              </a:graphicData>
            </a:graphic>
          </wp:anchor>
        </w:drawing>
      </w:r>
    </w:p>
    <w:p>
      <w:pPr>
        <w:spacing w:after="0" w:line="3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8"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 the fiscal year ended March 31, 2025</w:t>
      </w:r>
    </w:p>
    <w:p>
      <w:pPr>
        <w:spacing w:after="0" w:line="96" w:lineRule="exact"/>
        <w:rPr>
          <w:sz w:val="24"/>
          <w:szCs w:val="24"/>
          <w:color w:val="auto"/>
        </w:rPr>
      </w:pPr>
    </w:p>
    <w:p>
      <w:pPr>
        <w:ind w:left="340" w:hanging="335"/>
        <w:spacing w:after="0"/>
        <w:tabs>
          <w:tab w:leader="none" w:pos="3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360" w:type="dxa"/>
            <w:vAlign w:val="bottom"/>
          </w:tcPr>
          <w:p>
            <w:pPr>
              <w:spacing w:after="0"/>
              <w:rPr>
                <w:sz w:val="13"/>
                <w:szCs w:val="13"/>
                <w:color w:val="auto"/>
              </w:rPr>
            </w:pPr>
          </w:p>
        </w:tc>
        <w:tc>
          <w:tcPr>
            <w:tcW w:w="3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Commission File No. 001-34972</w:t>
            </w: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900" w:type="dxa"/>
            <w:vAlign w:val="bottom"/>
            <w:gridSpan w:val="5"/>
          </w:tcPr>
          <w:p>
            <w:pPr>
              <w:jc w:val="center"/>
              <w:ind w:left="392"/>
              <w:spacing w:after="0" w:line="156" w:lineRule="exact"/>
              <w:rPr>
                <w:sz w:val="20"/>
                <w:szCs w:val="20"/>
                <w:color w:val="auto"/>
              </w:rPr>
            </w:pPr>
            <w:r>
              <w:rPr>
                <w:rFonts w:ascii="Times New Roman" w:cs="Times New Roman" w:eastAsia="Times New Roman" w:hAnsi="Times New Roman"/>
                <w:sz w:val="14"/>
                <w:szCs w:val="14"/>
                <w:color w:val="auto"/>
              </w:rPr>
              <w:t>___________________________________</w:t>
            </w:r>
          </w:p>
        </w:tc>
        <w:tc>
          <w:tcPr>
            <w:tcW w:w="2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0" w:type="dxa"/>
            <w:vAlign w:val="bottom"/>
            <w:gridSpan w:val="9"/>
          </w:tcPr>
          <w:p>
            <w:pPr>
              <w:jc w:val="center"/>
              <w:ind w:right="780"/>
              <w:spacing w:after="0"/>
              <w:rPr>
                <w:sz w:val="20"/>
                <w:szCs w:val="20"/>
                <w:color w:val="auto"/>
              </w:rPr>
            </w:pPr>
            <w:r>
              <w:rPr>
                <w:rFonts w:ascii="Times New Roman" w:cs="Times New Roman" w:eastAsia="Times New Roman" w:hAnsi="Times New Roman"/>
                <w:sz w:val="34"/>
                <w:szCs w:val="34"/>
                <w:b w:val="1"/>
                <w:bCs w:val="1"/>
                <w:color w:val="auto"/>
                <w:w w:val="99"/>
              </w:rPr>
              <w:t>Booz Allen Hamilton Holding Corporation</w:t>
            </w:r>
          </w:p>
        </w:tc>
        <w:tc>
          <w:tcPr>
            <w:tcW w:w="0" w:type="dxa"/>
            <w:vAlign w:val="bottom"/>
          </w:tcPr>
          <w:p>
            <w:pPr>
              <w:spacing w:after="0"/>
              <w:rPr>
                <w:sz w:val="1"/>
                <w:szCs w:val="1"/>
                <w:color w:val="auto"/>
              </w:rPr>
            </w:pPr>
          </w:p>
        </w:tc>
      </w:tr>
      <w:tr>
        <w:trPr>
          <w:trHeight w:val="172"/>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360" w:type="dxa"/>
            <w:vAlign w:val="bottom"/>
            <w:gridSpan w:val="7"/>
          </w:tcPr>
          <w:p>
            <w:pPr>
              <w:jc w:val="center"/>
              <w:ind w:right="204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900" w:type="dxa"/>
            <w:vAlign w:val="bottom"/>
            <w:gridSpan w:val="5"/>
          </w:tcPr>
          <w:p>
            <w:pPr>
              <w:jc w:val="center"/>
              <w:ind w:left="392"/>
              <w:spacing w:after="0"/>
              <w:rPr>
                <w:sz w:val="20"/>
                <w:szCs w:val="20"/>
                <w:color w:val="auto"/>
              </w:rPr>
            </w:pPr>
            <w:r>
              <w:rPr>
                <w:rFonts w:ascii="Times New Roman" w:cs="Times New Roman" w:eastAsia="Times New Roman" w:hAnsi="Times New Roman"/>
                <w:sz w:val="14"/>
                <w:szCs w:val="14"/>
                <w:color w:val="auto"/>
              </w:rPr>
              <w:t>___________________________________</w:t>
            </w: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3480" w:type="dxa"/>
            <w:vAlign w:val="bottom"/>
            <w:gridSpan w:val="4"/>
          </w:tcPr>
          <w:p>
            <w:pPr>
              <w:jc w:val="center"/>
              <w:ind w:left="75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3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26-2634160</w:t>
            </w:r>
          </w:p>
        </w:tc>
        <w:tc>
          <w:tcPr>
            <w:tcW w:w="0" w:type="dxa"/>
            <w:vAlign w:val="bottom"/>
          </w:tcPr>
          <w:p>
            <w:pPr>
              <w:spacing w:after="0"/>
              <w:rPr>
                <w:sz w:val="1"/>
                <w:szCs w:val="1"/>
                <w:color w:val="auto"/>
              </w:rPr>
            </w:pPr>
          </w:p>
        </w:tc>
      </w:tr>
      <w:tr>
        <w:trPr>
          <w:trHeight w:val="117"/>
        </w:trPr>
        <w:tc>
          <w:tcPr>
            <w:tcW w:w="3480" w:type="dxa"/>
            <w:vAlign w:val="bottom"/>
            <w:gridSpan w:val="4"/>
          </w:tcPr>
          <w:p>
            <w:pPr>
              <w:jc w:val="center"/>
              <w:ind w:left="757"/>
              <w:spacing w:after="0" w:line="117"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60" w:type="dxa"/>
            <w:vAlign w:val="bottom"/>
            <w:gridSpan w:val="2"/>
          </w:tcPr>
          <w:p>
            <w:pPr>
              <w:jc w:val="center"/>
              <w:ind w:left="1500"/>
              <w:spacing w:after="0" w:line="117" w:lineRule="exact"/>
              <w:rPr>
                <w:sz w:val="20"/>
                <w:szCs w:val="20"/>
                <w:color w:val="auto"/>
              </w:rPr>
            </w:pPr>
            <w:r>
              <w:rPr>
                <w:rFonts w:ascii="Times New Roman" w:cs="Times New Roman" w:eastAsia="Times New Roman" w:hAnsi="Times New Roman"/>
                <w:sz w:val="11"/>
                <w:szCs w:val="11"/>
                <w:b w:val="1"/>
                <w:bCs w:val="1"/>
                <w:color w:val="auto"/>
              </w:rPr>
              <w:t>(I.R.S. Employer</w:t>
            </w:r>
          </w:p>
        </w:tc>
        <w:tc>
          <w:tcPr>
            <w:tcW w:w="0" w:type="dxa"/>
            <w:vAlign w:val="bottom"/>
          </w:tcPr>
          <w:p>
            <w:pPr>
              <w:spacing w:after="0"/>
              <w:rPr>
                <w:sz w:val="1"/>
                <w:szCs w:val="1"/>
                <w:color w:val="auto"/>
              </w:rPr>
            </w:pPr>
          </w:p>
        </w:tc>
      </w:tr>
      <w:tr>
        <w:trPr>
          <w:trHeight w:val="149"/>
        </w:trPr>
        <w:tc>
          <w:tcPr>
            <w:tcW w:w="3480" w:type="dxa"/>
            <w:vAlign w:val="bottom"/>
            <w:gridSpan w:val="4"/>
          </w:tcPr>
          <w:p>
            <w:pPr>
              <w:jc w:val="center"/>
              <w:ind w:left="777"/>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rPr>
              <w:t>Identification No.)</w:t>
            </w:r>
          </w:p>
        </w:tc>
        <w:tc>
          <w:tcPr>
            <w:tcW w:w="0" w:type="dxa"/>
            <w:vAlign w:val="bottom"/>
          </w:tcPr>
          <w:p>
            <w:pPr>
              <w:spacing w:after="0"/>
              <w:rPr>
                <w:sz w:val="1"/>
                <w:szCs w:val="1"/>
                <w:color w:val="auto"/>
              </w:rPr>
            </w:pPr>
          </w:p>
        </w:tc>
      </w:tr>
      <w:tr>
        <w:trPr>
          <w:trHeight w:val="223"/>
        </w:trPr>
        <w:tc>
          <w:tcPr>
            <w:tcW w:w="19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8283 Greensboro Drive,</w:t>
            </w:r>
          </w:p>
        </w:tc>
        <w:tc>
          <w:tcPr>
            <w:tcW w:w="280" w:type="dxa"/>
            <w:vAlign w:val="bottom"/>
          </w:tcPr>
          <w:p>
            <w:pPr>
              <w:spacing w:after="0"/>
              <w:rPr>
                <w:sz w:val="19"/>
                <w:szCs w:val="19"/>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McLean,</w:t>
            </w:r>
          </w:p>
        </w:tc>
        <w:tc>
          <w:tcPr>
            <w:tcW w:w="26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Virginia</w:t>
            </w:r>
          </w:p>
        </w:tc>
        <w:tc>
          <w:tcPr>
            <w:tcW w:w="360" w:type="dxa"/>
            <w:vAlign w:val="bottom"/>
          </w:tcPr>
          <w:p>
            <w:pPr>
              <w:spacing w:after="0"/>
              <w:rPr>
                <w:sz w:val="19"/>
                <w:szCs w:val="19"/>
                <w:color w:val="auto"/>
              </w:rPr>
            </w:pP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22102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480" w:type="dxa"/>
            <w:vAlign w:val="bottom"/>
            <w:gridSpan w:val="4"/>
          </w:tcPr>
          <w:p>
            <w:pPr>
              <w:jc w:val="center"/>
              <w:ind w:left="757"/>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60" w:type="dxa"/>
            <w:vAlign w:val="bottom"/>
            <w:gridSpan w:val="2"/>
          </w:tcPr>
          <w:p>
            <w:pPr>
              <w:jc w:val="center"/>
              <w:ind w:left="1500"/>
              <w:spacing w:after="0"/>
              <w:rPr>
                <w:sz w:val="20"/>
                <w:szCs w:val="20"/>
                <w:color w:val="auto"/>
              </w:rPr>
            </w:pPr>
            <w:r>
              <w:rPr>
                <w:rFonts w:ascii="Times New Roman" w:cs="Times New Roman" w:eastAsia="Times New Roman" w:hAnsi="Times New Roman"/>
                <w:sz w:val="11"/>
                <w:szCs w:val="11"/>
                <w:b w:val="1"/>
                <w:bCs w:val="1"/>
                <w:color w:val="auto"/>
              </w:rPr>
              <w:t>(Zip Code)</w:t>
            </w:r>
          </w:p>
        </w:tc>
        <w:tc>
          <w:tcPr>
            <w:tcW w:w="0" w:type="dxa"/>
            <w:vAlign w:val="bottom"/>
          </w:tcPr>
          <w:p>
            <w:pPr>
              <w:spacing w:after="0"/>
              <w:rPr>
                <w:sz w:val="1"/>
                <w:szCs w:val="1"/>
                <w:color w:val="auto"/>
              </w:rPr>
            </w:pPr>
          </w:p>
        </w:tc>
      </w:tr>
      <w:tr>
        <w:trPr>
          <w:trHeight w:val="244"/>
        </w:trPr>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(703) 902-5000</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360" w:type="dxa"/>
            <w:vAlign w:val="bottom"/>
            <w:gridSpan w:val="7"/>
          </w:tcPr>
          <w:p>
            <w:pPr>
              <w:jc w:val="center"/>
              <w:ind w:right="204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w:t>
            </w: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360" w:type="dxa"/>
            <w:vAlign w:val="bottom"/>
            <w:gridSpan w:val="7"/>
          </w:tcPr>
          <w:p>
            <w:pPr>
              <w:jc w:val="center"/>
              <w:ind w:right="204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660" w:type="dxa"/>
            <w:vAlign w:val="bottom"/>
          </w:tcPr>
          <w:p>
            <w:pPr>
              <w:spacing w:after="0"/>
              <w:rPr>
                <w:sz w:val="20"/>
                <w:szCs w:val="20"/>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Trading Symbol</w:t>
            </w:r>
          </w:p>
        </w:tc>
        <w:tc>
          <w:tcPr>
            <w:tcW w:w="360" w:type="dxa"/>
            <w:vAlign w:val="bottom"/>
          </w:tcPr>
          <w:p>
            <w:pPr>
              <w:spacing w:after="0"/>
              <w:rPr>
                <w:sz w:val="20"/>
                <w:szCs w:val="20"/>
                <w:color w:val="auto"/>
              </w:rPr>
            </w:pPr>
          </w:p>
        </w:tc>
        <w:tc>
          <w:tcPr>
            <w:tcW w:w="3380" w:type="dxa"/>
            <w:vAlign w:val="bottom"/>
            <w:gridSpan w:val="3"/>
          </w:tcPr>
          <w:p>
            <w:pPr>
              <w:jc w:val="center"/>
              <w:ind w:left="614"/>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60" w:type="dxa"/>
            <w:vAlign w:val="bottom"/>
          </w:tcPr>
          <w:p>
            <w:pPr>
              <w:spacing w:after="0"/>
              <w:rPr>
                <w:sz w:val="17"/>
                <w:szCs w:val="17"/>
                <w:color w:val="auto"/>
              </w:rPr>
            </w:pPr>
          </w:p>
        </w:tc>
        <w:tc>
          <w:tcPr>
            <w:tcW w:w="15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w w:val="99"/>
              </w:rPr>
              <w:t>Class A Common Stock</w:t>
            </w:r>
          </w:p>
        </w:tc>
        <w:tc>
          <w:tcPr>
            <w:tcW w:w="16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BAH</w:t>
            </w: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11"/>
        </w:trPr>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12(g) of the Act:</w:t>
            </w:r>
          </w:p>
        </w:tc>
        <w:tc>
          <w:tcPr>
            <w:tcW w:w="0" w:type="dxa"/>
            <w:vAlign w:val="bottom"/>
          </w:tcPr>
          <w:p>
            <w:pPr>
              <w:spacing w:after="0"/>
              <w:rPr>
                <w:sz w:val="1"/>
                <w:szCs w:val="1"/>
                <w:color w:val="auto"/>
              </w:rPr>
            </w:pPr>
          </w:p>
        </w:tc>
      </w:tr>
      <w:tr>
        <w:trPr>
          <w:trHeight w:val="161"/>
        </w:trPr>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None.</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80" w:type="dxa"/>
            <w:vAlign w:val="bottom"/>
            <w:gridSpan w:val="4"/>
          </w:tcPr>
          <w:p>
            <w:pPr>
              <w:jc w:val="right"/>
              <w:ind w:right="176"/>
              <w:spacing w:after="0" w:line="128" w:lineRule="exact"/>
              <w:rPr>
                <w:sz w:val="20"/>
                <w:szCs w:val="20"/>
                <w:color w:val="auto"/>
              </w:rPr>
            </w:pPr>
            <w:r>
              <w:rPr>
                <w:rFonts w:ascii="Times New Roman" w:cs="Times New Roman" w:eastAsia="Times New Roman" w:hAnsi="Times New Roman"/>
                <w:sz w:val="13"/>
                <w:szCs w:val="13"/>
                <w:color w:val="auto"/>
              </w:rPr>
              <w:t>__________________</w:t>
            </w:r>
          </w:p>
        </w:tc>
        <w:tc>
          <w:tcPr>
            <w:tcW w:w="3380" w:type="dxa"/>
            <w:vAlign w:val="bottom"/>
            <w:gridSpan w:val="3"/>
            <w:vMerge w:val="restart"/>
          </w:tcPr>
          <w:p>
            <w:pPr>
              <w:jc w:val="center"/>
              <w:ind w:right="276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49"/>
        </w:trPr>
        <w:tc>
          <w:tcPr>
            <w:tcW w:w="610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9"/>
              </w:rPr>
              <w:t>Indicate by check mark if the registrant is a well-known seasoned issuer, as defined in Rule 405 of the Securities Act.</w:t>
            </w:r>
          </w:p>
        </w:tc>
        <w:tc>
          <w:tcPr>
            <w:tcW w:w="360" w:type="dxa"/>
            <w:vAlign w:val="bottom"/>
          </w:tcPr>
          <w:p>
            <w:pPr>
              <w:spacing w:after="0" w:line="150" w:lineRule="exact"/>
              <w:rPr>
                <w:sz w:val="20"/>
                <w:szCs w:val="20"/>
                <w:color w:val="auto"/>
              </w:rPr>
            </w:pPr>
            <w:r>
              <w:rPr>
                <w:rFonts w:ascii="Times New Roman" w:cs="Times New Roman" w:eastAsia="Times New Roman" w:hAnsi="Times New Roman"/>
                <w:sz w:val="13"/>
                <w:szCs w:val="13"/>
                <w:color w:val="auto"/>
                <w:w w:val="93"/>
              </w:rPr>
              <w:t xml:space="preserve">Yes </w:t>
            </w:r>
            <w:r>
              <w:rPr>
                <w:rFonts w:ascii="MS PGothic" w:cs="MS PGothic" w:eastAsia="MS PGothic" w:hAnsi="MS PGothic"/>
                <w:sz w:val="13"/>
                <w:szCs w:val="13"/>
                <w:color w:val="auto"/>
                <w:w w:val="93"/>
              </w:rPr>
              <w:t>☒</w:t>
            </w:r>
          </w:p>
        </w:tc>
        <w:tc>
          <w:tcPr>
            <w:tcW w:w="3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100" w:type="dxa"/>
            <w:vAlign w:val="bottom"/>
            <w:gridSpan w:val="7"/>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not required to file reports pursuant to Section 13 or Section 15(d) of the Act.</w:t>
            </w:r>
          </w:p>
        </w:tc>
        <w:tc>
          <w:tcPr>
            <w:tcW w:w="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Yes</w:t>
            </w:r>
          </w:p>
        </w:tc>
        <w:tc>
          <w:tcPr>
            <w:tcW w:w="3380" w:type="dxa"/>
            <w:vAlign w:val="bottom"/>
            <w:gridSpan w:val="3"/>
          </w:tcPr>
          <w:p>
            <w:pPr>
              <w:jc w:val="center"/>
              <w:ind w:right="280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spacing w:after="0" w:line="15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Accelerated filer</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2"/>
        </w:trPr>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rPr>
              <w:t>☐</w:t>
            </w:r>
          </w:p>
        </w:tc>
        <w:tc>
          <w:tcPr>
            <w:tcW w:w="48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8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40" w:type="dxa"/>
            <w:vAlign w:val="bottom"/>
          </w:tcPr>
          <w:p>
            <w:pPr>
              <w:ind w:left="2720"/>
              <w:spacing w:after="0"/>
              <w:rPr>
                <w:sz w:val="20"/>
                <w:szCs w:val="20"/>
                <w:color w:val="auto"/>
              </w:rPr>
            </w:pPr>
            <w:r>
              <w:rPr>
                <w:rFonts w:ascii="Times New Roman" w:cs="Times New Roman" w:eastAsia="Times New Roman" w:hAnsi="Times New Roman"/>
                <w:sz w:val="13"/>
                <w:szCs w:val="13"/>
                <w:color w:val="auto"/>
              </w:rPr>
              <w:t>Emerging growth company</w:t>
            </w:r>
          </w:p>
        </w:tc>
        <w:tc>
          <w:tcPr>
            <w:tcW w:w="820" w:type="dxa"/>
            <w:vAlign w:val="bottom"/>
          </w:tcPr>
          <w:p>
            <w:pPr>
              <w:ind w:left="7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9" w:lineRule="exact"/>
        <w:rPr>
          <w:sz w:val="24"/>
          <w:szCs w:val="24"/>
          <w:color w:val="auto"/>
        </w:rPr>
      </w:pPr>
    </w:p>
    <w:p>
      <w:pPr>
        <w:ind w:right="14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8" w:lineRule="exact"/>
        <w:rPr>
          <w:sz w:val="24"/>
          <w:szCs w:val="24"/>
          <w:color w:val="auto"/>
        </w:rPr>
      </w:pPr>
    </w:p>
    <w:p>
      <w:pPr>
        <w:ind w:right="6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408940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439" w:right="419" w:bottom="1440" w:gutter="0" w:footer="0" w:header="0"/>
        </w:sectPr>
      </w:pPr>
    </w:p>
    <w:bookmarkStart w:id="1" w:name="page2"/>
    <w:bookmarkEnd w:id="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38" w:lineRule="exact"/>
        <w:rPr>
          <w:sz w:val="20"/>
          <w:szCs w:val="20"/>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9" w:lineRule="exact"/>
        <w:rPr>
          <w:sz w:val="20"/>
          <w:szCs w:val="20"/>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0" w:lineRule="exact"/>
        <w:rPr>
          <w:sz w:val="20"/>
          <w:szCs w:val="20"/>
          <w:color w:val="auto"/>
        </w:rPr>
      </w:pPr>
    </w:p>
    <w:p>
      <w:pPr>
        <w:spacing w:after="0" w:line="150" w:lineRule="exact"/>
        <w:tabs>
          <w:tab w:leader="none" w:pos="5920" w:val="left"/>
          <w:tab w:leader="none" w:pos="64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65"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3"/>
          <w:szCs w:val="13"/>
          <w:color w:val="auto"/>
        </w:rPr>
        <w:t>As of September 30, 2024, the last business day of the registrant's most recently completed second quarter, the aggregate market value of the registrant's voting and non-voting common stock held by non-affiliates was $20,650,914,907.</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Indicate the number of shares outstanding of each of the issuer’s classes of common stock, as of the latest practicable date</w:t>
      </w:r>
      <w:r>
        <w:rPr>
          <w:rFonts w:ascii="Times New Roman" w:cs="Times New Roman" w:eastAsia="Times New Roman" w:hAnsi="Times New Roman"/>
          <w:sz w:val="14"/>
          <w:szCs w:val="14"/>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5760" w:type="dxa"/>
            <w:vAlign w:val="bottom"/>
            <w:gridSpan w:val="2"/>
          </w:tcPr>
          <w:p>
            <w:pPr>
              <w:jc w:val="center"/>
              <w:ind w:left="3521"/>
              <w:spacing w:after="0"/>
              <w:rPr>
                <w:sz w:val="20"/>
                <w:szCs w:val="20"/>
                <w:color w:val="auto"/>
              </w:rPr>
            </w:pPr>
            <w:r>
              <w:rPr>
                <w:rFonts w:ascii="Times New Roman" w:cs="Times New Roman" w:eastAsia="Times New Roman" w:hAnsi="Times New Roman"/>
                <w:sz w:val="11"/>
                <w:szCs w:val="11"/>
                <w:b w:val="1"/>
                <w:bCs w:val="1"/>
                <w:color w:val="auto"/>
              </w:rPr>
              <w:t>Shares Outstanding</w:t>
            </w:r>
          </w:p>
        </w:tc>
      </w:tr>
      <w:tr>
        <w:trPr>
          <w:trHeight w:val="153"/>
        </w:trPr>
        <w:tc>
          <w:tcPr>
            <w:tcW w:w="2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5760" w:type="dxa"/>
            <w:vAlign w:val="bottom"/>
            <w:gridSpan w:val="2"/>
          </w:tcPr>
          <w:p>
            <w:pPr>
              <w:jc w:val="center"/>
              <w:ind w:left="3521"/>
              <w:spacing w:after="0"/>
              <w:rPr>
                <w:sz w:val="20"/>
                <w:szCs w:val="20"/>
                <w:color w:val="auto"/>
              </w:rPr>
            </w:pPr>
            <w:r>
              <w:rPr>
                <w:rFonts w:ascii="Times New Roman" w:cs="Times New Roman" w:eastAsia="Times New Roman" w:hAnsi="Times New Roman"/>
                <w:sz w:val="11"/>
                <w:szCs w:val="11"/>
                <w:b w:val="1"/>
                <w:bCs w:val="1"/>
                <w:color w:val="auto"/>
              </w:rPr>
              <w:t>as of May 20, 2025</w:t>
            </w:r>
          </w:p>
        </w:tc>
      </w:tr>
      <w:tr>
        <w:trPr>
          <w:trHeight w:val="174"/>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 Common Stock</w:t>
            </w:r>
          </w:p>
        </w:tc>
        <w:tc>
          <w:tcPr>
            <w:tcW w:w="5660" w:type="dxa"/>
            <w:vAlign w:val="bottom"/>
            <w:shd w:val="clear" w:color="auto" w:fill="CCEEFF"/>
          </w:tcPr>
          <w:p>
            <w:pPr>
              <w:jc w:val="center"/>
              <w:ind w:left="3621"/>
              <w:spacing w:after="0"/>
              <w:rPr>
                <w:sz w:val="20"/>
                <w:szCs w:val="20"/>
                <w:color w:val="auto"/>
              </w:rPr>
            </w:pPr>
            <w:r>
              <w:rPr>
                <w:rFonts w:ascii="Times New Roman" w:cs="Times New Roman" w:eastAsia="Times New Roman" w:hAnsi="Times New Roman"/>
                <w:sz w:val="13"/>
                <w:szCs w:val="13"/>
                <w:color w:val="auto"/>
                <w:w w:val="95"/>
              </w:rPr>
              <w:t>124,187,634</w:t>
            </w:r>
          </w:p>
        </w:tc>
        <w:tc>
          <w:tcPr>
            <w:tcW w:w="100" w:type="dxa"/>
            <w:vAlign w:val="bottom"/>
            <w:shd w:val="clear" w:color="auto" w:fill="CCEEFF"/>
          </w:tcPr>
          <w:p>
            <w:pPr>
              <w:spacing w:after="0"/>
              <w:rPr>
                <w:sz w:val="15"/>
                <w:szCs w:val="15"/>
                <w:color w:val="auto"/>
              </w:rPr>
            </w:pPr>
          </w:p>
        </w:tc>
      </w:tr>
      <w:tr>
        <w:trPr>
          <w:trHeight w:val="117"/>
        </w:trPr>
        <w:tc>
          <w:tcPr>
            <w:tcW w:w="220" w:type="dxa"/>
            <w:vAlign w:val="bottom"/>
          </w:tcPr>
          <w:p>
            <w:pPr>
              <w:spacing w:after="0"/>
              <w:rPr>
                <w:sz w:val="10"/>
                <w:szCs w:val="10"/>
                <w:color w:val="auto"/>
              </w:rPr>
            </w:pPr>
          </w:p>
        </w:tc>
        <w:tc>
          <w:tcPr>
            <w:tcW w:w="5200" w:type="dxa"/>
            <w:vAlign w:val="bottom"/>
            <w:tcBorders>
              <w:bottom w:val="single" w:sz="8" w:color="auto"/>
            </w:tcBorders>
          </w:tcPr>
          <w:p>
            <w:pPr>
              <w:spacing w:after="0"/>
              <w:rPr>
                <w:sz w:val="10"/>
                <w:szCs w:val="10"/>
                <w:color w:val="auto"/>
              </w:rPr>
            </w:pPr>
          </w:p>
        </w:tc>
        <w:tc>
          <w:tcPr>
            <w:tcW w:w="5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20"/>
        </w:trPr>
        <w:tc>
          <w:tcPr>
            <w:tcW w:w="220" w:type="dxa"/>
            <w:vAlign w:val="bottom"/>
          </w:tcPr>
          <w:p>
            <w:pPr>
              <w:spacing w:after="0" w:line="20" w:lineRule="exact"/>
              <w:rPr>
                <w:sz w:val="1"/>
                <w:szCs w:val="1"/>
                <w:color w:val="auto"/>
              </w:rPr>
            </w:pPr>
          </w:p>
        </w:tc>
        <w:tc>
          <w:tcPr>
            <w:tcW w:w="520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its Annual Meeting of Stockholders scheduled for July 23, 2025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80" w:type="dxa"/>
            <w:vAlign w:val="bottom"/>
          </w:tcPr>
          <w:p>
            <w:pPr>
              <w:spacing w:after="0"/>
              <w:rPr>
                <w:sz w:val="16"/>
                <w:szCs w:val="16"/>
                <w:color w:val="auto"/>
              </w:rPr>
            </w:pPr>
          </w:p>
        </w:tc>
        <w:tc>
          <w:tcPr>
            <w:tcW w:w="8380" w:type="dxa"/>
            <w:vAlign w:val="bottom"/>
          </w:tcPr>
          <w:p>
            <w:pPr>
              <w:ind w:left="37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720" w:type="dxa"/>
            <w:vAlign w:val="bottom"/>
          </w:tcPr>
          <w:p>
            <w:pPr>
              <w:spacing w:after="0"/>
              <w:rPr>
                <w:sz w:val="16"/>
                <w:szCs w:val="16"/>
                <w:color w:val="auto"/>
              </w:rPr>
            </w:pPr>
          </w:p>
        </w:tc>
      </w:tr>
      <w:tr>
        <w:trPr>
          <w:trHeight w:val="419"/>
        </w:trPr>
        <w:tc>
          <w:tcPr>
            <w:tcW w:w="9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000FF"/>
              </w:rPr>
              <w:t>INTRODUCTORY NOTE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1</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PART I</w:t>
            </w:r>
          </w:p>
        </w:tc>
        <w:tc>
          <w:tcPr>
            <w:tcW w:w="8380" w:type="dxa"/>
            <w:vAlign w:val="bottom"/>
          </w:tcPr>
          <w:p>
            <w:pPr>
              <w:spacing w:after="0"/>
              <w:rPr>
                <w:sz w:val="15"/>
                <w:szCs w:val="15"/>
                <w:color w:val="auto"/>
              </w:rPr>
            </w:pP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Business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Risk Factors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9</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Unresolved Staff Comments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36</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1C.</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Cybersecurity</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36</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Properties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37</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Legal Proceedings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37</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Mine Safety Disclosures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37</w:t>
            </w:r>
          </w:p>
        </w:tc>
      </w:tr>
      <w:tr>
        <w:trPr>
          <w:trHeight w:val="180"/>
        </w:trPr>
        <w:tc>
          <w:tcPr>
            <w:tcW w:w="95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0000FF"/>
              </w:rPr>
              <w:t>Information on Our Executive Officers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38</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8380" w:type="dxa"/>
            <w:vAlign w:val="bottom"/>
          </w:tcPr>
          <w:p>
            <w:pPr>
              <w:spacing w:after="0"/>
              <w:rPr>
                <w:sz w:val="15"/>
                <w:szCs w:val="15"/>
                <w:color w:val="auto"/>
              </w:rPr>
            </w:pP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40</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Market for Registrant's Common Equity, Related Stockholder Matters and Issuer Purchases of Equity Securities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40</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Reserved</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41</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Management's Discussion and Analysis of Financial Condition and Results of Operations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42</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Quantitative and Qualitative Disclosures About Market Risk</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54</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Financial Statements and Supplementary Data</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3051F2"/>
              </w:rPr>
              <w:t>F-1</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Changes in and Disagreements With Accountants on Accounting and Financial Disclosure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56</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Controls and Procedures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56</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9C.</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Disclosure Regarding Foreign Jurisdictions that Prevent Inspections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58</w:t>
            </w:r>
          </w:p>
        </w:tc>
      </w:tr>
      <w:tr>
        <w:trPr>
          <w:trHeight w:val="180"/>
        </w:trPr>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000FF"/>
              </w:rPr>
              <w:t>PART III</w:t>
            </w:r>
          </w:p>
        </w:tc>
        <w:tc>
          <w:tcPr>
            <w:tcW w:w="8380" w:type="dxa"/>
            <w:vAlign w:val="bottom"/>
          </w:tcPr>
          <w:p>
            <w:pPr>
              <w:spacing w:after="0"/>
              <w:rPr>
                <w:sz w:val="15"/>
                <w:szCs w:val="15"/>
                <w:color w:val="auto"/>
              </w:rPr>
            </w:pP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Directors, Executive Officers and Corporate Governance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Executive Compensation</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Security Ownership of Certain Beneficial Owners and Management and Related Stockholder Matters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58</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Certain Relationships and Related Transactions, and Director Independence</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59</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Principal Accounting Fees and Services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59</w:t>
            </w:r>
          </w:p>
        </w:tc>
      </w:tr>
      <w:tr>
        <w:trPr>
          <w:trHeight w:val="180"/>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Exhibits, Financial Statement Schedules</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59</w:t>
            </w:r>
          </w:p>
        </w:tc>
      </w:tr>
      <w:tr>
        <w:trPr>
          <w:trHeight w:val="186"/>
        </w:trPr>
        <w:tc>
          <w:tcPr>
            <w:tcW w:w="11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0000FF"/>
              </w:rPr>
              <w:t>Form 10-K Summary</w:t>
            </w:r>
          </w:p>
        </w:tc>
        <w:tc>
          <w:tcPr>
            <w:tcW w:w="172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0000FF"/>
              </w:rPr>
              <w:t>64</w:t>
            </w:r>
          </w:p>
        </w:tc>
      </w:tr>
      <w:tr>
        <w:trPr>
          <w:trHeight w:val="946"/>
        </w:trPr>
        <w:tc>
          <w:tcPr>
            <w:tcW w:w="11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INTRODUCTORY NOTE</w:t>
      </w:r>
    </w:p>
    <w:p>
      <w:pPr>
        <w:spacing w:after="0" w:line="51" w:lineRule="exact"/>
        <w:rPr>
          <w:sz w:val="20"/>
          <w:szCs w:val="20"/>
          <w:color w:val="auto"/>
        </w:rPr>
      </w:pPr>
    </w:p>
    <w:p>
      <w:pPr>
        <w:ind w:right="20" w:firstLine="350"/>
        <w:spacing w:after="0" w:line="260" w:lineRule="auto"/>
        <w:rPr>
          <w:sz w:val="20"/>
          <w:szCs w:val="20"/>
          <w:color w:val="auto"/>
        </w:rPr>
      </w:pPr>
      <w:r>
        <w:rPr>
          <w:rFonts w:ascii="Times New Roman" w:cs="Times New Roman" w:eastAsia="Times New Roman" w:hAnsi="Times New Roman"/>
          <w:sz w:val="14"/>
          <w:szCs w:val="14"/>
          <w:i w:val="1"/>
          <w:iCs w:val="1"/>
          <w:color w:val="auto"/>
        </w:rPr>
        <w:t>Unless the context otherwise indicates or requires, as used in this Annual Report on Form 10-K for the fiscal year ended March 31, 2025, references to: (i) “we,”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and “Booz Allen” refer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2025. We have made rounding adjustments to reach some of the figures included in this Annual Report and, unless otherwise indicated, percentages presented in this Annual Report are approximate.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53" w:lineRule="exact"/>
        <w:rPr>
          <w:sz w:val="20"/>
          <w:szCs w:val="20"/>
          <w:color w:val="auto"/>
        </w:rPr>
      </w:pPr>
    </w:p>
    <w:p>
      <w:pPr>
        <w:ind w:right="60" w:firstLine="350"/>
        <w:spacing w:after="0" w:line="259" w:lineRule="auto"/>
        <w:rPr>
          <w:sz w:val="20"/>
          <w:szCs w:val="20"/>
          <w:color w:val="auto"/>
        </w:rPr>
      </w:pPr>
      <w:r>
        <w:rPr>
          <w:rFonts w:ascii="Times New Roman" w:cs="Times New Roman" w:eastAsia="Times New Roman" w:hAnsi="Times New Roman"/>
          <w:sz w:val="14"/>
          <w:szCs w:val="14"/>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19" w:lineRule="exact"/>
        <w:rPr>
          <w:sz w:val="20"/>
          <w:szCs w:val="20"/>
          <w:color w:val="auto"/>
        </w:rPr>
      </w:pPr>
    </w:p>
    <w:p>
      <w:pPr>
        <w:ind w:left="460" w:right="8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issue that compromises our relationships with the U.S. government or damages our professional reputation, including negative publicity concerning government contractors in general or us in particular;</w:t>
      </w:r>
    </w:p>
    <w:p>
      <w:pPr>
        <w:ind w:left="460" w:right="14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spending, including a continuation of efforts by the U.S. government to decrease spending, and mission priorities that shift expenditures away from agencies or programs that we support, or as a result of U.S. administration transitions;</w:t>
      </w:r>
    </w:p>
    <w:p>
      <w:pPr>
        <w:ind w:left="46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efforts by Congress and other U.S. government bodies to reduce U.S. government spending and address budgetary constraints and the U.S. deficit, as well as associated uncertainty around the timing, extent, nature, and effect of such efforts;</w:t>
      </w: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long-term funding of our contracts, including uncertainty relating to funding the U.S. government and increasing the debt ceiling;</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shutdowns as a result of the failure by elected officials to fund the government;</w:t>
      </w:r>
    </w:p>
    <w:p>
      <w:pPr>
        <w:spacing w:after="0" w:line="51" w:lineRule="exact"/>
        <w:rPr>
          <w:rFonts w:ascii="Times New Roman" w:cs="Times New Roman" w:eastAsia="Times New Roman" w:hAnsi="Times New Roman"/>
          <w:sz w:val="14"/>
          <w:szCs w:val="14"/>
          <w:color w:val="auto"/>
        </w:rPr>
      </w:pPr>
    </w:p>
    <w:p>
      <w:pPr>
        <w:ind w:left="460" w:right="360" w:hanging="137"/>
        <w:spacing w:after="0" w:line="287" w:lineRule="auto"/>
        <w:tabs>
          <w:tab w:leader="none" w:pos="456"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failure to comply with numerous laws and regulations, including, but not limited to, the Federal Acquisition Regulation (“FAR”), the False Claims Act, the Defense Federal Acquisition Regulation Supplement (“DFARS”), and FAR Cost Accounting Standards and Cost Principles;</w:t>
      </w:r>
    </w:p>
    <w:p>
      <w:pPr>
        <w:spacing w:after="0" w:line="17" w:lineRule="exact"/>
        <w:rPr>
          <w:rFonts w:ascii="Times New Roman" w:cs="Times New Roman" w:eastAsia="Times New Roman" w:hAnsi="Times New Roman"/>
          <w:sz w:val="14"/>
          <w:szCs w:val="14"/>
          <w:i w:val="1"/>
          <w:iCs w:val="1"/>
          <w:color w:val="auto"/>
        </w:rPr>
      </w:pPr>
    </w:p>
    <w:p>
      <w:pPr>
        <w:ind w:left="440" w:hanging="117"/>
        <w:spacing w:after="0"/>
        <w:tabs>
          <w:tab w:leader="none" w:pos="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our ability to compete effectively in the competitive bidding process and delays or losses of contract awards caused by competitors’ protests of major contract awards received by us;</w:t>
      </w:r>
    </w:p>
    <w:p>
      <w:pPr>
        <w:spacing w:after="0" w:line="28" w:lineRule="exact"/>
        <w:rPr>
          <w:rFonts w:ascii="Times New Roman" w:cs="Times New Roman" w:eastAsia="Times New Roman" w:hAnsi="Times New Roman"/>
          <w:sz w:val="17"/>
          <w:szCs w:val="17"/>
          <w:color w:val="auto"/>
        </w:rPr>
      </w:pPr>
    </w:p>
    <w:p>
      <w:pPr>
        <w:ind w:left="460" w:right="34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U.S. government General Services Administration (“GSA”) Multiple Award schedule contracts, or GSA schedules, blanket purchase agreements, and indefinite delivery/indefinite quantity (“IDIQ”) contracts;</w:t>
      </w: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GSA schedules or our position as prime contractor on government-wide acquisition contract vehicles (“GWACs”);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mix of our contracts and our ability to accurately estimate or otherwise recover expenses, time, and resources for our contracts;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used in recognizing revenue;</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full value of and replenish our backlog, generate revenue under certain of our contracts, and the timing of our receipt of revenue under contracts included in backlog;</w:t>
      </w:r>
    </w:p>
    <w:p>
      <w:pPr>
        <w:spacing w:after="0" w:line="51" w:lineRule="exact"/>
        <w:rPr>
          <w:rFonts w:ascii="Times New Roman" w:cs="Times New Roman" w:eastAsia="Times New Roman" w:hAnsi="Times New Roman"/>
          <w:sz w:val="14"/>
          <w:szCs w:val="14"/>
          <w:color w:val="auto"/>
        </w:rPr>
      </w:pPr>
    </w:p>
    <w:p>
      <w:pPr>
        <w:ind w:left="460" w:right="260" w:hanging="137"/>
        <w:spacing w:after="0" w:line="284"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system or service failures and security breaches, including, but not limited to, those resulting from external or internal threats, including cyber attacks on our network and internal systems or on our customers’ network or internal systems;</w:t>
      </w: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operations of financial management systems;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attract, train, or retain employees with the requisite skills and experience;</w:t>
      </w:r>
    </w:p>
    <w:p>
      <w:pPr>
        <w:spacing w:after="0" w:line="51" w:lineRule="exact"/>
        <w:rPr>
          <w:rFonts w:ascii="Times New Roman" w:cs="Times New Roman" w:eastAsia="Times New Roman" w:hAnsi="Times New Roman"/>
          <w:sz w:val="14"/>
          <w:szCs w:val="14"/>
          <w:color w:val="auto"/>
        </w:rPr>
      </w:pPr>
    </w:p>
    <w:p>
      <w:pPr>
        <w:ind w:left="460" w:right="340" w:hanging="137"/>
        <w:spacing w:after="0" w:line="287" w:lineRule="auto"/>
        <w:tabs>
          <w:tab w:leader="none" w:pos="4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timely hire, assimilate, and effectively utilize our employees, ensure that employees obtain and maintain necessary security clearances, and/or effectively manage our cost structure;</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inflation and new or increased tariffs that could impact the cost of doing business and/or reduce customer buying power;</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members of senior management or failure to develop new leaders;</w:t>
      </w:r>
    </w:p>
    <w:p>
      <w:pPr>
        <w:spacing w:after="0" w:line="51" w:lineRule="exact"/>
        <w:rPr>
          <w:rFonts w:ascii="Times New Roman" w:cs="Times New Roman" w:eastAsia="Times New Roman" w:hAnsi="Times New Roman"/>
          <w:sz w:val="14"/>
          <w:szCs w:val="14"/>
          <w:color w:val="auto"/>
        </w:rPr>
      </w:pPr>
    </w:p>
    <w:p>
      <w:pPr>
        <w:ind w:left="460" w:right="44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misconduct or other improper activities from our employees, subcontractors, or suppliers, including the improper access, use or release of our or our customers’ sensitive or classified information;</w:t>
      </w:r>
    </w:p>
    <w:p>
      <w:pPr>
        <w:ind w:left="46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strong relationships with other contractors, or the failure of contractors with which we have entered into a sub- or prime-contractor relationship to meet their obligations to us or our customers;</w:t>
      </w:r>
    </w:p>
    <w:p>
      <w:pPr>
        <w:ind w:left="460" w:right="8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special U.S. government laws and regulations relating to our international operations;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increased competition, new relationships, customers, capabilities, and service offerings in our U.S. and international businesses;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our operating structure, capabilities, or strategy intended to address customer needs, grow our business, or respond to market developments;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by the U.S. government of new laws, rules, and regulations, such as those relating to organizational conflicts of interest issues or limits;</w:t>
      </w:r>
    </w:p>
    <w:p>
      <w:pPr>
        <w:spacing w:after="0" w:line="51" w:lineRule="exact"/>
        <w:rPr>
          <w:rFonts w:ascii="Times New Roman" w:cs="Times New Roman" w:eastAsia="Times New Roman" w:hAnsi="Times New Roman"/>
          <w:sz w:val="14"/>
          <w:szCs w:val="14"/>
          <w:color w:val="auto"/>
        </w:rPr>
      </w:pPr>
    </w:p>
    <w:p>
      <w:pPr>
        <w:ind w:left="460" w:right="22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a possible recession and volatility or instability of the global financial system, including the failures of financial institutions and the resulting impact on counterparties and business conditions generally;</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a deterioration of economic conditions or weakening in credit or capital markets;</w:t>
      </w:r>
    </w:p>
    <w:p>
      <w:pPr>
        <w:spacing w:after="0" w:line="51" w:lineRule="exact"/>
        <w:rPr>
          <w:rFonts w:ascii="Times New Roman" w:cs="Times New Roman" w:eastAsia="Times New Roman" w:hAnsi="Times New Roman"/>
          <w:sz w:val="14"/>
          <w:szCs w:val="14"/>
          <w:color w:val="auto"/>
        </w:rPr>
      </w:pPr>
    </w:p>
    <w:p>
      <w:pPr>
        <w:ind w:left="460" w:right="28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pending, completed, and future acquisitions and dispositions, including the ability to satisfy specified closing conditions for pending transactions, such as those related to receipt of regulatory approval or lack of regulatory intervention, and to realize the expected benefits from completed acquisitions and dispositions;</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additional tax liabilities, including as a result of changes in tax laws or management judgments involving complex tax matters;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inherent in the government contracting environment;</w:t>
      </w:r>
    </w:p>
    <w:p>
      <w:pPr>
        <w:spacing w:after="0" w:line="51" w:lineRule="exact"/>
        <w:rPr>
          <w:rFonts w:ascii="Times New Roman" w:cs="Times New Roman" w:eastAsia="Times New Roman" w:hAnsi="Times New Roman"/>
          <w:sz w:val="14"/>
          <w:szCs w:val="14"/>
          <w:color w:val="auto"/>
        </w:rPr>
      </w:pPr>
    </w:p>
    <w:p>
      <w:pPr>
        <w:ind w:left="460" w:right="64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efforts to change how the U.S. government reimburses compensation related costs and other expenses or otherwise limits such reimbursements, and an increased risk of compensation being deemed unreasonable and unallowable or payments being withheld as a result of U.S. government audit, review, or investigation;</w:t>
      </w:r>
    </w:p>
    <w:p>
      <w:pPr>
        <w:ind w:left="460" w:right="12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insourcing by various U.S. government agencies due to changes in the definition of “inherently governmental” work, including proposals to limit contractor access to sensitive or classified information and work assignments;</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our addressable markets and the amount of U.S. government spending on private contractors;</w:t>
      </w:r>
    </w:p>
    <w:p>
      <w:pPr>
        <w:spacing w:after="0" w:line="51" w:lineRule="exact"/>
        <w:rPr>
          <w:rFonts w:ascii="Times New Roman" w:cs="Times New Roman" w:eastAsia="Times New Roman" w:hAnsi="Times New Roman"/>
          <w:sz w:val="14"/>
          <w:szCs w:val="14"/>
          <w:color w:val="auto"/>
        </w:rPr>
      </w:pP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indebtedness and credit facilities which contain financial and operating covenants;</w:t>
      </w:r>
    </w:p>
    <w:p>
      <w:pPr>
        <w:spacing w:after="0" w:line="51" w:lineRule="exact"/>
        <w:rPr>
          <w:rFonts w:ascii="Times New Roman" w:cs="Times New Roman" w:eastAsia="Times New Roman" w:hAnsi="Times New Roman"/>
          <w:sz w:val="14"/>
          <w:szCs w:val="14"/>
          <w:color w:val="auto"/>
        </w:rPr>
      </w:pPr>
    </w:p>
    <w:p>
      <w:pPr>
        <w:ind w:left="460" w:right="16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accounting rules and regulations, or interpretations thereof, that may affect the way we recognize and report our financial results, including changes in accounting rules governing recognition of revenue;</w:t>
      </w:r>
    </w:p>
    <w:p>
      <w:pPr>
        <w:ind w:left="460" w:right="280" w:hanging="137"/>
        <w:spacing w:after="0" w:line="284" w:lineRule="auto"/>
        <w:tabs>
          <w:tab w:leader="none" w:pos="45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changing weather patterns, natural disasters, and pandemics, epidemics, and similar disease outbreaks on our and our customers' businesses and operations, as well as risks related to increased scrutiny and changing expectations and practices related to climate change and related governance matters generally; and</w:t>
      </w:r>
    </w:p>
    <w:p>
      <w:pPr>
        <w:ind w:left="440" w:hanging="117"/>
        <w:spacing w:after="0"/>
        <w:tabs>
          <w:tab w:leader="none" w:pos="4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factors listed under “Item 1A. Risk Factors” and elsewhere in this Annual Report.</w:t>
      </w:r>
    </w:p>
    <w:p>
      <w:pPr>
        <w:spacing w:after="0" w:line="51"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354" w:right="419" w:bottom="1440" w:gutter="0" w:footer="0" w:header="0"/>
        </w:sectPr>
      </w:pPr>
    </w:p>
    <w:bookmarkStart w:id="5" w:name="page6"/>
    <w:bookmarkEnd w:id="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1</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53"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Booz Allen Holding Corporation (herein referred to as “Booz Allen,” the “Company,” “we,” “us,” or “our”) is an advanced technology company delivering outcomes for the nation’s most critical defense, civil, and national security priorities. Booz Allen was founded in 1914 by Edwin Booz and for over 110 years, business, government, and military leaders have turned to us to solve their most complex problems. In 2013, we launched our Vision 2020 strategy that fundamentally reshaped the firm into the advanced technology company we are today, accelerating our ability to anticipate and build scale ahead of technology waves and solidifying a leading position at the center of the dual-use tech ecosystem. We build technology solutions using artificial intelligence (“AI”), cyber, and other cutting-edge technologies to advance and protect the nation and its citizens. By focusing on outcomes, we enable our people and customers to transform missions for the nation.</w:t>
      </w:r>
    </w:p>
    <w:p>
      <w:pPr>
        <w:spacing w:after="0" w:line="16"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We support critical missions for a diverse base of federal government customers, including nearly all of the U.S. government’s cabinet-level departments, as well as for commercial customers, both domestically and in select international locations. Our work is designed to protect soldiers in combat, secure our national infrastructure, enable enhanced digital services, and improve government efficiency to achieve better outcomes. Drawing on our deep expertise and leading position as a cybersecurity provider, we bring advanced tradecraft to commercial customers across industries, including financial services, health and life sciences, energy, and technology.</w:t>
      </w:r>
    </w:p>
    <w:p>
      <w:pPr>
        <w:spacing w:after="0" w:line="13" w:lineRule="exact"/>
        <w:rPr>
          <w:sz w:val="20"/>
          <w:szCs w:val="20"/>
          <w:color w:val="auto"/>
        </w:rPr>
      </w:pPr>
    </w:p>
    <w:p>
      <w:pPr>
        <w:ind w:right="280" w:firstLine="350"/>
        <w:spacing w:after="0" w:line="287" w:lineRule="auto"/>
        <w:rPr>
          <w:sz w:val="20"/>
          <w:szCs w:val="20"/>
          <w:color w:val="auto"/>
        </w:rPr>
      </w:pPr>
      <w:r>
        <w:rPr>
          <w:rFonts w:ascii="Times New Roman" w:cs="Times New Roman" w:eastAsia="Times New Roman" w:hAnsi="Times New Roman"/>
          <w:sz w:val="14"/>
          <w:szCs w:val="14"/>
          <w:color w:val="auto"/>
        </w:rPr>
        <w:t>We combine our in-depth expertise in AI and cybersecurity with leading-edge technology and engineering practices to deliver powerful solutions. By investing in markets, capabilities, and talent, and building new business models, including ventures, partnerships, and product offerings, we believe we are creating sustainable quality growth for the Company.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Core Technology, Expertise, and Innovation</w:t>
      </w:r>
    </w:p>
    <w:p>
      <w:pPr>
        <w:spacing w:after="0" w:line="53" w:lineRule="exact"/>
        <w:rPr>
          <w:sz w:val="20"/>
          <w:szCs w:val="20"/>
          <w:color w:val="auto"/>
        </w:rPr>
      </w:pPr>
    </w:p>
    <w:p>
      <w:pPr>
        <w:jc w:val="both"/>
        <w:ind w:right="80" w:firstLine="350"/>
        <w:spacing w:after="0" w:line="270" w:lineRule="auto"/>
        <w:rPr>
          <w:sz w:val="20"/>
          <w:szCs w:val="20"/>
          <w:color w:val="auto"/>
        </w:rPr>
      </w:pPr>
      <w:r>
        <w:rPr>
          <w:rFonts w:ascii="Times New Roman" w:cs="Times New Roman" w:eastAsia="Times New Roman" w:hAnsi="Times New Roman"/>
          <w:sz w:val="14"/>
          <w:szCs w:val="14"/>
          <w:color w:val="auto"/>
        </w:rPr>
        <w:t>Our technologists and mission experts identify, assess, build, and deploy technology solutions to advance and protect the nation using AI, cyber, and other cutting-edge technologies. We work alongside trusted industry leaders to rapidly create and co-create proven technologies, leveraging a broad array of longstanding relationships from Silicon Valley startups and Fortune 500 companies to the Pentagon and NASA. Through scouting, partnerships, and venturing we identify the right commercial technology for government missions.</w:t>
      </w:r>
    </w:p>
    <w:p>
      <w:pPr>
        <w:spacing w:after="0" w:line="8" w:lineRule="exact"/>
        <w:rPr>
          <w:sz w:val="20"/>
          <w:szCs w:val="20"/>
          <w:color w:val="auto"/>
        </w:rPr>
      </w:pPr>
    </w:p>
    <w:p>
      <w:pPr>
        <w:ind w:right="120" w:firstLine="350"/>
        <w:spacing w:after="0" w:line="283" w:lineRule="auto"/>
        <w:rPr>
          <w:sz w:val="20"/>
          <w:szCs w:val="20"/>
          <w:color w:val="auto"/>
        </w:rPr>
      </w:pPr>
      <w:r>
        <w:rPr>
          <w:rFonts w:ascii="Times New Roman" w:cs="Times New Roman" w:eastAsia="Times New Roman" w:hAnsi="Times New Roman"/>
          <w:sz w:val="14"/>
          <w:szCs w:val="14"/>
          <w:color w:val="auto"/>
        </w:rPr>
        <w:t>Booz Allen’s position at the center of the government and technology ecosystem enables us to anticipate, invest in, build, and scale emerging technologies at speed. Our core technologies and capabilities include:</w:t>
      </w:r>
    </w:p>
    <w:p>
      <w:pPr>
        <w:ind w:left="520" w:right="44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Artificial Intelligence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are one of the largest AI providers to the federal government. We create secure, purpose-built AI solutions that adapt commercial and internally-developed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technology to the unique needs of the federal government.</w:t>
      </w:r>
    </w:p>
    <w:p>
      <w:pPr>
        <w:ind w:left="5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Cyber</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one of the most impactful cyber businesses globally, delivering cyber solutions to our federal and commercial customers. We build and deploy intelligence-grade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coupled with our unique trade craft, to defend the nation’s critical assets.</w:t>
      </w:r>
    </w:p>
    <w:p>
      <w:pPr>
        <w:ind w:left="520" w:right="36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Digital Transformation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modernize legacy systems with cloud-enabled infrastructure, platforms, and applications, delivering outcomes at scale by putting customer missions at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center of enterprise digital transformation.</w:t>
      </w:r>
    </w:p>
    <w:p>
      <w:pPr>
        <w:ind w:left="520" w:right="20" w:hanging="260"/>
        <w:spacing w:after="0" w:line="28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Space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have space experts aimed at solidifying the nation’s superiority in this critical frontier. We deliver large scale multi-modal data fusion coupled with cyber and AI for secure, rapid,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enhanced Intelligence, Surveillance, and Reconnaissance (“ISR”), earth observation, and domain awareness/battle management.</w:t>
      </w:r>
    </w:p>
    <w:p>
      <w:pPr>
        <w:ind w:left="520" w:right="36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Emerging Technologies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hold a leading position in quantum with years of dedicated research, development, and delivery in this disruptive tech field. We cover the full spectrum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quantum information sciences (“QIS”) with capabilities in quantum computing, quantum sensing, quantum communications, post-quantum compute readiness, and post-quantum cryptography. Our technologists are developing first-of-their-kind quantum and quantum-safe solutions to accelerate quantum adoption at scale.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Institution and Operating Model</w:t>
      </w:r>
    </w:p>
    <w:p>
      <w:pPr>
        <w:spacing w:after="0" w:line="53"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We operate as a single profit and loss center with a single bonus pool for leadership. Our operating model encourages collaboration allowing us to bring a mix of the best talent to every customer engagement. As a result, we can go to market as a whole company rather than as a collection of individual competing business units or profit centers. Our operating model also encourages and enables continuous investment in the right markets, capabilities, and talent to position us for further growth by anticipating what government and commercial customers will need next.</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Across all markets, we address our customers’ complex and evolving needs by deploying multifaceted teams with a combination of advanced technical expertise, market-leading innovation, and deep mission understanding. These customer-facing teams, which are fundamental to our differentiated value proposition, better position us to identify and deliver against diverse customer needs in a more agile manner. Our significant win rates during fiscal 2025 on new and re-competed contracts of 56% and 92%, respectively, as compared to 63% and 92%, respectively, in fiscal 2024, demonstrate the strength of this approach.</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Long-Term Growth Strategy</w:t>
      </w:r>
    </w:p>
    <w:p>
      <w:pPr>
        <w:spacing w:after="0" w:line="53"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VoLT is the next era of Booz Allen and stands for Velocity, Leadership, and Technology. Our VoLT strategy requires us to operate with increased speed, agility, and scale in a rapidly changing, highly competitive, and increasingly technical environment. Our ability to embrace and drive change is crucial to our success, which is why we are using our VoLT strategy and its framework to rapidly innovate and scale solutions to transform missions and address our customers’ complex challenges with advanced technology.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Velocity: Get There First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Leverage our mission knowledge to get to the future at speed and scale</w:t>
      </w:r>
    </w:p>
    <w:p>
      <w:pPr>
        <w:spacing w:after="0" w:line="53" w:lineRule="exact"/>
        <w:rPr>
          <w:sz w:val="20"/>
          <w:szCs w:val="20"/>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Double-down on innovation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Strategically use mergers, investments, and partnerships to build market positions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decisions ahead of customer needs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Leadership: Transform with Conviction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Redefine mission leadership to stand apart in this new era</w:t>
      </w:r>
    </w:p>
    <w:p>
      <w:pPr>
        <w:spacing w:after="0" w:line="53" w:lineRule="exact"/>
        <w:rPr>
          <w:sz w:val="20"/>
          <w:szCs w:val="20"/>
          <w:color w:val="auto"/>
        </w:rPr>
      </w:pPr>
    </w:p>
    <w:p>
      <w:pPr>
        <w:ind w:left="520" w:hanging="13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customer needs ripe for hyper-growth</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Scale businesses at the nexus of mission and technology</w:t>
      </w:r>
    </w:p>
    <w:p>
      <w:pPr>
        <w:spacing w:after="0" w:line="49"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Technology: Differentiate to Win</w:t>
      </w:r>
    </w:p>
    <w:p>
      <w:pPr>
        <w:spacing w:after="0" w:line="5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Put technology at the heart of the customer mission to define the next generation of impact</w:t>
      </w:r>
    </w:p>
    <w:p>
      <w:pPr>
        <w:spacing w:after="0" w:line="53"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 build, and scale next generation technology to transform mission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mission insights to drive real-world outcomes</w:t>
      </w:r>
    </w:p>
    <w:p>
      <w:pPr>
        <w:spacing w:after="0" w:line="51" w:lineRule="exact"/>
        <w:rPr>
          <w:sz w:val="20"/>
          <w:szCs w:val="20"/>
          <w:color w:val="auto"/>
        </w:rPr>
      </w:pPr>
    </w:p>
    <w:p>
      <w:pPr>
        <w:ind w:right="220" w:firstLine="350"/>
        <w:spacing w:after="0" w:line="287" w:lineRule="auto"/>
        <w:rPr>
          <w:sz w:val="20"/>
          <w:szCs w:val="20"/>
          <w:color w:val="auto"/>
        </w:rPr>
      </w:pPr>
      <w:r>
        <w:rPr>
          <w:rFonts w:ascii="Times New Roman" w:cs="Times New Roman" w:eastAsia="Times New Roman" w:hAnsi="Times New Roman"/>
          <w:sz w:val="14"/>
          <w:szCs w:val="14"/>
          <w:color w:val="auto"/>
        </w:rPr>
        <w:t>With VoLT as the catalyst to transform Booz Allen, our ambition is that, by 2030, we are the market-leading mission partner for the U.S. government in the new digital environment, highly differentiated across a portfolio of scaled mission and technology businesses, and recognized for integrating, applying, and scaling technologies in the service of national mission priorities.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w:t>
      </w:r>
    </w:p>
    <w:p>
      <w:pPr>
        <w:spacing w:after="0" w:line="53" w:lineRule="exact"/>
        <w:rPr>
          <w:sz w:val="20"/>
          <w:szCs w:val="20"/>
          <w:color w:val="auto"/>
        </w:rPr>
      </w:pPr>
    </w:p>
    <w:p>
      <w:pPr>
        <w:ind w:right="180" w:firstLine="318"/>
        <w:spacing w:after="0" w:line="283" w:lineRule="auto"/>
        <w:rPr>
          <w:sz w:val="20"/>
          <w:szCs w:val="20"/>
          <w:color w:val="auto"/>
        </w:rPr>
      </w:pPr>
      <w:r>
        <w:rPr>
          <w:rFonts w:ascii="Times New Roman" w:cs="Times New Roman" w:eastAsia="Times New Roman" w:hAnsi="Times New Roman"/>
          <w:sz w:val="14"/>
          <w:szCs w:val="14"/>
          <w:color w:val="auto"/>
        </w:rPr>
        <w:t>Booz Allen is committed to solving our customers’ toughest challenges, and we work with a diverse base of public and private sector customers across a number of industries in the U.S. and select international locations. We bring unmatched tech superiority to help our customers win in today’s competitive world and prepare for what’s next.</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Defense Customers</w:t>
      </w:r>
    </w:p>
    <w:p>
      <w:pPr>
        <w:spacing w:after="0" w:line="5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We deliver advanced technologies for the Department of Defense aligned to their most critical missions. We are deeply focused on last mile modernization — making technology work in the most austere environments where warfighters operate. To do this, we blend decades of mission experience with cutting edge AI/machine learning autonomy, software infrastructure, and engineering. Our technologists partner with our mission experts to build technologies focusing on deterring our adversaries across all domains.</w:t>
      </w:r>
    </w:p>
    <w:p>
      <w:pPr>
        <w:spacing w:after="0" w:line="8" w:lineRule="exact"/>
        <w:rPr>
          <w:sz w:val="20"/>
          <w:szCs w:val="20"/>
          <w:color w:val="auto"/>
        </w:rPr>
      </w:pPr>
    </w:p>
    <w:p>
      <w:pPr>
        <w:ind w:right="400" w:firstLine="350"/>
        <w:spacing w:after="0" w:line="284" w:lineRule="auto"/>
        <w:rPr>
          <w:sz w:val="20"/>
          <w:szCs w:val="20"/>
          <w:color w:val="auto"/>
        </w:rPr>
      </w:pPr>
      <w:r>
        <w:rPr>
          <w:rFonts w:ascii="Times New Roman" w:cs="Times New Roman" w:eastAsia="Times New Roman" w:hAnsi="Times New Roman"/>
          <w:sz w:val="14"/>
          <w:szCs w:val="14"/>
          <w:color w:val="auto"/>
        </w:rPr>
        <w:t>Our core defense customers include all six branches of the U.S. military, the Office of the Secretary of Defense, NASA and the Joint Staff. Our key defense customers include the Army, Navy/Marine Corps, Air Force, Space Force, Coast Guard, and Joint Combatant Commands.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Revenue generated from defense customers was $5.9 billion, or approximately 49% of our revenue, in fiscal 2025, as compared to $5.1 billion, or approximately 47% of our revenue, in fiscal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2024. Revenue generated from defense customers also includes foreign military sales and work performed under Status of Forces Agreements (“SOFA”) to U.S. and non-U.S. government customers.</w:t>
      </w:r>
    </w:p>
    <w:p>
      <w:pPr>
        <w:spacing w:after="0" w:line="200" w:lineRule="exact"/>
        <w:rPr>
          <w:sz w:val="20"/>
          <w:szCs w:val="20"/>
          <w:color w:val="auto"/>
        </w:rPr>
      </w:pPr>
    </w:p>
    <w:p>
      <w:pPr>
        <w:spacing w:after="0" w:line="2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4" w:right="379" w:bottom="1440" w:gutter="0" w:footer="0" w:header="0"/>
        </w:sectPr>
      </w:pPr>
    </w:p>
    <w:bookmarkStart w:id="7" w:name="page8"/>
    <w:bookmarkEnd w:id="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Intelligence Customers</w:t>
      </w:r>
    </w:p>
    <w:p>
      <w:pPr>
        <w:spacing w:after="0" w:line="53"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We deliver innovative, highly technical capabilities and solutions that directly impact core national security missions across the Intelligence Community and national cyber mission providers. We leverage our knowledge of the mission to deliver tailored solutions for our customers—our biggest driver is the demand for innovation, requiring us to be ahead of the pace of technology adoption. Technology is at the center of our customers' missions and ours—we are investing in emerging technologies like AI, zero trust cyber solutions, multi-cloud, and 5G to adapt ahead of adversaries. The national security workforce remains focused on what's next, blending cleared and uncleared talent across dispersed geographies, ensuring mission impact. Our combination of technology, innovation, and talent is helping to shape the future of our national security ecosystem.</w:t>
      </w:r>
    </w:p>
    <w:p>
      <w:pPr>
        <w:spacing w:after="0" w:line="16" w:lineRule="exact"/>
        <w:rPr>
          <w:sz w:val="20"/>
          <w:szCs w:val="20"/>
          <w:color w:val="auto"/>
        </w:rPr>
      </w:pPr>
    </w:p>
    <w:p>
      <w:pPr>
        <w:ind w:right="400" w:firstLine="350"/>
        <w:spacing w:after="0" w:line="284" w:lineRule="auto"/>
        <w:rPr>
          <w:sz w:val="20"/>
          <w:szCs w:val="20"/>
          <w:color w:val="auto"/>
        </w:rPr>
      </w:pPr>
      <w:r>
        <w:rPr>
          <w:rFonts w:ascii="Times New Roman" w:cs="Times New Roman" w:eastAsia="Times New Roman" w:hAnsi="Times New Roman"/>
          <w:sz w:val="14"/>
          <w:szCs w:val="14"/>
          <w:color w:val="auto"/>
        </w:rPr>
        <w:t>Our intelligence customers are the 18 organizations of the U.S. Intelligence Community, which includes independent agencies, the Department of Defense elements, such as the National Security Agency and Defense Intelligence Agency, and other departments or agencies.</w:t>
      </w:r>
    </w:p>
    <w:p>
      <w:pPr>
        <w:spacing w:after="0" w:line="1" w:lineRule="exact"/>
        <w:rPr>
          <w:sz w:val="20"/>
          <w:szCs w:val="20"/>
          <w:color w:val="auto"/>
        </w:rPr>
      </w:pPr>
    </w:p>
    <w:p>
      <w:pPr>
        <w:ind w:right="220" w:firstLine="350"/>
        <w:spacing w:after="0" w:line="283" w:lineRule="auto"/>
        <w:rPr>
          <w:sz w:val="20"/>
          <w:szCs w:val="20"/>
          <w:color w:val="auto"/>
        </w:rPr>
      </w:pPr>
      <w:r>
        <w:rPr>
          <w:rFonts w:ascii="Times New Roman" w:cs="Times New Roman" w:eastAsia="Times New Roman" w:hAnsi="Times New Roman"/>
          <w:sz w:val="14"/>
          <w:szCs w:val="14"/>
          <w:color w:val="auto"/>
        </w:rPr>
        <w:t>Revenue generated from intelligence customers was $1.9 billion, or approximately 16% of our revenue, in fiscal 2025, as compared to $1.8 billion, or approximately 17% of our revenue, in fiscal 2024.</w:t>
      </w:r>
    </w:p>
    <w:p>
      <w:pPr>
        <w:spacing w:after="0"/>
        <w:rPr>
          <w:sz w:val="20"/>
          <w:szCs w:val="20"/>
          <w:color w:val="auto"/>
        </w:rPr>
      </w:pPr>
      <w:r>
        <w:rPr>
          <w:rFonts w:ascii="Times New Roman" w:cs="Times New Roman" w:eastAsia="Times New Roman" w:hAnsi="Times New Roman"/>
          <w:sz w:val="14"/>
          <w:szCs w:val="14"/>
          <w:b w:val="1"/>
          <w:bCs w:val="1"/>
          <w:i w:val="1"/>
          <w:iCs w:val="1"/>
          <w:color w:val="auto"/>
        </w:rPr>
        <w:t>Civil Customers</w:t>
      </w:r>
    </w:p>
    <w:p>
      <w:pPr>
        <w:spacing w:after="0" w:line="53" w:lineRule="exact"/>
        <w:rPr>
          <w:sz w:val="20"/>
          <w:szCs w:val="20"/>
          <w:color w:val="auto"/>
        </w:rPr>
      </w:pPr>
    </w:p>
    <w:p>
      <w:pPr>
        <w:jc w:val="both"/>
        <w:ind w:right="20" w:firstLine="350"/>
        <w:spacing w:after="0" w:line="270" w:lineRule="auto"/>
        <w:rPr>
          <w:sz w:val="20"/>
          <w:szCs w:val="20"/>
          <w:color w:val="auto"/>
        </w:rPr>
      </w:pPr>
      <w:r>
        <w:rPr>
          <w:rFonts w:ascii="Times New Roman" w:cs="Times New Roman" w:eastAsia="Times New Roman" w:hAnsi="Times New Roman"/>
          <w:sz w:val="14"/>
          <w:szCs w:val="14"/>
          <w:color w:val="auto"/>
        </w:rPr>
        <w:t>Our civil work centers on the federal missions that are the highest priority to the domestic agenda, and we excel at helping our customers innovate their most critical missions. From healthcare, homeland security, and financial services to justice, law enforcement, immigration, energy, transportation, and labor, we work at the core of the mission to modernize systems, boost efficiencies, and save money.</w:t>
      </w:r>
    </w:p>
    <w:p>
      <w:pPr>
        <w:spacing w:after="0" w:line="8"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Our major civil government customers include the Departments of Veterans Affairs, Health and Human Services, Treasury, Labor, Homeland Security, Justice, Energy, Commerce, and Transportation. Modernization and transformation are key needs of our customers, and we offer the technical expertise and mission understanding required to deliver innovative solutions to all our customers' needs across the civil portfolio.</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Within our civil customers, we include our global commercial customers, for whom we deliver advanced cyber solutions, which accounts for 2% of our total revenue.</w:t>
      </w:r>
    </w:p>
    <w:p>
      <w:pPr>
        <w:spacing w:after="0" w:line="51" w:lineRule="exact"/>
        <w:rPr>
          <w:sz w:val="20"/>
          <w:szCs w:val="20"/>
          <w:color w:val="auto"/>
        </w:rPr>
      </w:pPr>
    </w:p>
    <w:p>
      <w:pPr>
        <w:ind w:right="60" w:firstLine="350"/>
        <w:spacing w:after="0" w:line="283" w:lineRule="auto"/>
        <w:rPr>
          <w:sz w:val="20"/>
          <w:szCs w:val="20"/>
          <w:color w:val="auto"/>
        </w:rPr>
      </w:pPr>
      <w:r>
        <w:rPr>
          <w:rFonts w:ascii="Times New Roman" w:cs="Times New Roman" w:eastAsia="Times New Roman" w:hAnsi="Times New Roman"/>
          <w:sz w:val="14"/>
          <w:szCs w:val="14"/>
          <w:color w:val="auto"/>
        </w:rPr>
        <w:t>Total revenue generated from civil and global commercial customers was $4.2 billion, or approximately 35% of our revenue, in fiscal 2025, as compared to $3.8 billion, or approximately 36% of our revenue, in fiscal 2024.</w:t>
      </w:r>
    </w:p>
    <w:p>
      <w:pPr>
        <w:spacing w:after="0"/>
        <w:rPr>
          <w:sz w:val="20"/>
          <w:szCs w:val="20"/>
          <w:color w:val="auto"/>
        </w:rPr>
      </w:pPr>
      <w:r>
        <w:rPr>
          <w:rFonts w:ascii="Times New Roman" w:cs="Times New Roman" w:eastAsia="Times New Roman" w:hAnsi="Times New Roman"/>
          <w:sz w:val="14"/>
          <w:szCs w:val="14"/>
          <w:b w:val="1"/>
          <w:bCs w:val="1"/>
          <w:color w:val="auto"/>
        </w:rPr>
        <w:t>Contracts</w:t>
      </w:r>
    </w:p>
    <w:p>
      <w:pPr>
        <w:spacing w:after="0" w:line="53" w:lineRule="exact"/>
        <w:rPr>
          <w:sz w:val="20"/>
          <w:szCs w:val="20"/>
          <w:color w:val="auto"/>
        </w:rPr>
      </w:pPr>
    </w:p>
    <w:p>
      <w:pPr>
        <w:ind w:right="160" w:firstLine="350"/>
        <w:spacing w:after="0" w:line="284" w:lineRule="auto"/>
        <w:rPr>
          <w:sz w:val="20"/>
          <w:szCs w:val="20"/>
          <w:color w:val="auto"/>
        </w:rPr>
      </w:pPr>
      <w:r>
        <w:rPr>
          <w:rFonts w:ascii="Times New Roman" w:cs="Times New Roman" w:eastAsia="Times New Roman" w:hAnsi="Times New Roman"/>
          <w:sz w:val="14"/>
          <w:szCs w:val="14"/>
          <w:color w:val="auto"/>
        </w:rPr>
        <w:t>The U.S. government procures solutions, outcomes, and services through two predominant contracting methods: indefinite contract vehicles and definite contracts. Each of these is described below:</w:t>
      </w:r>
    </w:p>
    <w:p>
      <w:pPr>
        <w:spacing w:after="0" w:line="1" w:lineRule="exact"/>
        <w:rPr>
          <w:sz w:val="20"/>
          <w:szCs w:val="20"/>
          <w:color w:val="auto"/>
        </w:rPr>
      </w:pPr>
    </w:p>
    <w:p>
      <w:pPr>
        <w:ind w:left="520" w:right="60" w:hanging="133"/>
        <w:spacing w:after="0" w:line="26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how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15" w:lineRule="exact"/>
        <w:rPr>
          <w:rFonts w:ascii="Times New Roman" w:cs="Times New Roman" w:eastAsia="Times New Roman" w:hAnsi="Times New Roman"/>
          <w:sz w:val="14"/>
          <w:szCs w:val="14"/>
          <w:color w:val="auto"/>
        </w:rPr>
      </w:pPr>
    </w:p>
    <w:p>
      <w:pPr>
        <w:jc w:val="both"/>
        <w:ind w:left="520" w:hanging="133"/>
        <w:spacing w:after="0" w:line="261"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Indefinite contract vehicles provide for the issuance by the government customer of orders for services or products under the terms of the contract. Indefinite contracts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16"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Approximately 85% of our revenue for fiscal 2025 was derived from 2,596 active task orders under IDIQ contract vehicles. Our top IDIQ contract vehicle represented approximately 18% of our revenue in fiscal 2025. Our largest task order under an IDIQ contract vehicle accounted for approximately 4% of our revenue in fiscal 2025. Our largest definite contract represented approximately 1% of our revenue in fiscal 2025. For risks related to our contracts, see “Item 1A. Risk Factors—Industry and Economic Risks.”</w:t>
      </w:r>
    </w:p>
    <w:p>
      <w:pPr>
        <w:spacing w:after="0" w:line="8" w:lineRule="exact"/>
        <w:rPr>
          <w:sz w:val="20"/>
          <w:szCs w:val="20"/>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delivered solutions, outcomes, and services under 5,279 contracts and task orders.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derived 95% of our revenue in fiscal 2025 from engagements for which we acted as the prime contractor.</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8" w:name="page9"/>
    <w:bookmarkEnd w:id="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260"/>
        <w:spacing w:after="0"/>
        <w:tabs>
          <w:tab w:leader="none" w:pos="5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derived 13% of our revenue in fiscal 2025 from the Department of Veterans Affairs, which was the single largest customer that we served in that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53"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We operate in a highly competitive industry, and we compete with companies of all types and sizes. Due to the diverse requirements of the U.S. government and our commercial customers, we frequently collaborate with other companies to compete for contracts and bid against these same companies in other situations. Our major competitors include large enterprise software companies, large global technology providers, traditional government consulting firms, government contractors focused principally on the provision of technology services to the U.S. government, large defense contractors that provide both products and technology services to the U.S. government, diversified service providers, systems integrators, small businesses, and technology startups.</w:t>
      </w:r>
    </w:p>
    <w:p>
      <w:pPr>
        <w:spacing w:after="0" w:line="1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We compete based on various factors, including our ability to deliver innovative cost-effective services in a timely manner, technical expertise, customer knowledge and past performance, our ability to successfully recruit and retain appropriately skilled and experienced talent, including security-cleared personnel, our reputation and relationship with our customers, and pricing. In addition, to maintain our competitive position, we routinely review our operating structure, capabilities, and strategy to ensure we are effectively meeting the needs of existing customers, effectively responding to developments in our markets, and successfully building a platform intended to provide the foundation for the future growth of our business.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 Management</w:t>
      </w:r>
    </w:p>
    <w:p>
      <w:pPr>
        <w:spacing w:after="0" w:line="5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We attract top talent using innovative recruitment strategies and a strong employer brand that markets our expansive brand and extensive opportunities. Our total rewards strategy offers comprehensive benefits and wellness programs across various stages of life and career. Our annual Employee Experience Survey highlights our commitment to meaningful engagement, and delivery against our employee promise with approximately 83% reporting a favorable experience.</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people at a glance (as of March 31, 2025):</w:t>
      </w:r>
    </w:p>
    <w:p>
      <w:pPr>
        <w:spacing w:after="0" w:line="51" w:lineRule="exact"/>
        <w:rPr>
          <w:sz w:val="20"/>
          <w:szCs w:val="20"/>
          <w:color w:val="auto"/>
        </w:rPr>
      </w:pPr>
    </w:p>
    <w:p>
      <w:pPr>
        <w:ind w:left="520" w:right="34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Booz Allen and its subsidiaries has 35,800 employees (32,700 customer staff) spread across various locations, with a significant presence in the United States and other strategic global regions.</w:t>
      </w: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Nearly 29% of our employees identified as a veteran or an individual with military experience (based upon voluntary self-reporting).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72% of our employees hold security clearances.</w:t>
      </w:r>
    </w:p>
    <w:p>
      <w:pPr>
        <w:spacing w:after="0" w:line="51" w:lineRule="exact"/>
        <w:rPr>
          <w:rFonts w:ascii="Times New Roman" w:cs="Times New Roman" w:eastAsia="Times New Roman" w:hAnsi="Times New Roman"/>
          <w:sz w:val="14"/>
          <w:szCs w:val="14"/>
          <w:color w:val="auto"/>
        </w:rPr>
      </w:pPr>
    </w:p>
    <w:p>
      <w:pPr>
        <w:ind w:left="520" w:right="100" w:hanging="260"/>
        <w:spacing w:after="0" w:line="284"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Highly Educated: Our workforce possesses a wide range of advanced technical acumen and in-depth domain knowledge and expertise, including artificial intelligence, cyber, quantum, and software engineering.</w:t>
      </w:r>
    </w:p>
    <w:p>
      <w:pPr>
        <w:ind w:left="520" w:right="140" w:hanging="260"/>
        <w:spacing w:after="0" w:line="283" w:lineRule="auto"/>
        <w:tabs>
          <w:tab w:leader="none" w:pos="51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Advanced Degrees: Approximately 88% of our employees hold a bachelor’s degree or higher; of that 88%, approximately 45% hold master’s degrees and 4% hold doctoral degrees (based upon voluntary self-reporting).</w:t>
      </w:r>
    </w:p>
    <w:p>
      <w:pPr>
        <w:ind w:right="400" w:firstLine="350"/>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Building solutions that empower people to change the world is what we do at Booz Allen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bring the right people together to build and deploy advanced technology solutions against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missions of national importance.</w:t>
      </w:r>
    </w:p>
    <w:p>
      <w:pPr>
        <w:spacing w:after="0" w:line="1"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A strong foundation</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values of Ferocious Integrity, Unflinching Courage, Passionate Service, Champion’s Heart, and Collective Ingenuity guide our actions. Our culture differentiates how</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capture opportunity, create an environment that fosters innovation, and deliver impact to customers. Our VoLT (Velocity, Leadership, and Technology) strategy positions Booz Allen for the future and guides how we recruit and retain top talent and the capabilities we cultivate through upskilling and development practices.</w:t>
      </w:r>
    </w:p>
    <w:p>
      <w:pPr>
        <w:spacing w:after="0" w:line="6" w:lineRule="exact"/>
        <w:rPr>
          <w:sz w:val="20"/>
          <w:szCs w:val="20"/>
          <w:color w:val="auto"/>
        </w:rPr>
      </w:pPr>
    </w:p>
    <w:p>
      <w:pPr>
        <w:ind w:right="1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Differentiated by Culture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We empower our people to succeed with access to opportunities, professional development, and programs that support individual growth. We foster our culture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heart and performance by focusing on:</w:t>
      </w:r>
    </w:p>
    <w:p>
      <w:pPr>
        <w:ind w:left="520" w:hanging="165"/>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Values &amp; Behaviors: Leading with care and accountability.</w:t>
      </w:r>
    </w:p>
    <w:p>
      <w:pPr>
        <w:spacing w:after="0" w:line="51"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Purposeful Engagement: Creating connections that drive growth.</w:t>
      </w:r>
    </w:p>
    <w:p>
      <w:pPr>
        <w:spacing w:after="0" w:line="51"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Flexible Environment: Offering opportunities and choices to realize potential.</w:t>
      </w:r>
    </w:p>
    <w:p>
      <w:pPr>
        <w:spacing w:after="0" w:line="51" w:lineRule="exact"/>
        <w:rPr>
          <w:rFonts w:ascii="Times New Roman" w:cs="Times New Roman" w:eastAsia="Times New Roman" w:hAnsi="Times New Roman"/>
          <w:sz w:val="14"/>
          <w:szCs w:val="14"/>
          <w:color w:val="auto"/>
        </w:rPr>
      </w:pPr>
    </w:p>
    <w:p>
      <w:pPr>
        <w:ind w:left="520" w:hanging="165"/>
        <w:spacing w:after="0"/>
        <w:tabs>
          <w:tab w:leader="none" w:pos="5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Holistic Wellbeing &amp; Development: Promoting lifelong learning for resilience and relevance.</w:t>
      </w:r>
    </w:p>
    <w:p>
      <w:pPr>
        <w:spacing w:after="0" w:line="51"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At Booz Allen, we act ethically, hold ourselves accountable, and lead with integrity. Our people possess strong character, expertise, and exceptional passion. Our Code of Business Ethics and Conduct represents our values in action and sets forth expectations for our employees on how they should operate on behalf of the Company. We reinforce our culture with annual mandatory training for all employees on our values and how to navigate challenging business issues ethically. We inspire curiosity, encourage people to ask questions, raise concerns, explore solutions, and think outside the box to find creative answers.</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9" w:name="page10"/>
    <w:bookmarkEnd w:id="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jc w:val="both"/>
        <w:ind w:right="140" w:firstLine="350"/>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Guided by Strategy</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VoLT strategy pairs our technology prowess with mission expertise to bring solutions to customers at scale. Our modern workplace initiatives are designed to recruit,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incentivize, reward, and retain top talent based on merit. We leverage our Talent Mobility and Performance programs to identify opportunities for employees that are both aligned with our strategic objectives and critical to their development. Managers and leaders coach employees on their personalized career journeys and use a variety of tools such as goal setting, regular feedback, and career profiles to help employees reach their full potential.</w:t>
      </w:r>
    </w:p>
    <w:p>
      <w:pPr>
        <w:spacing w:after="0" w:line="10" w:lineRule="exact"/>
        <w:rPr>
          <w:sz w:val="20"/>
          <w:szCs w:val="20"/>
          <w:color w:val="auto"/>
        </w:rPr>
      </w:pPr>
    </w:p>
    <w:p>
      <w:pPr>
        <w:ind w:firstLine="350"/>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 xml:space="preserve">Engaged through Learning. </w:t>
      </w:r>
      <w:r>
        <w:rPr>
          <w:rFonts w:ascii="Times New Roman" w:cs="Times New Roman" w:eastAsia="Times New Roman" w:hAnsi="Times New Roman"/>
          <w:sz w:val="14"/>
          <w:szCs w:val="14"/>
          <w:color w:val="auto"/>
        </w:rPr>
        <w:t>We continuously expand our upskilling programs through hands-on learning, as well as award winning in-house training, formal badging, and certificate programs.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Our Technical Experience Groups (TXGs) build technical acumen, foster mentor/mentee relationships, and create thought leadership and intellectual property. These experiences heighten engagement, bolster retention, and offer limitless opportunities for skill enhancement. We offer robust leadership development programming - encouraging collaboration, collective growth, and a one-team mindset.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Patents and Proprietary Information</w:t>
      </w:r>
    </w:p>
    <w:p>
      <w:pPr>
        <w:spacing w:after="0" w:line="53"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Our business utilizes a variety of proprietary rights in delivering products and services to our customers. We claim a proprietary interest in certain service offerings, products, software tools, methodologies, and know-how, and also have certain licenses to third-party intellectual property that may be significant to our business. While we have several patents issued and pending in the United States and in certain foreign countries, we do not consider our overall business to be materially dependent on the protection of such patents. In addition,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w:t>
      </w:r>
    </w:p>
    <w:p>
      <w:pPr>
        <w:spacing w:after="0" w:line="16" w:lineRule="exact"/>
        <w:rPr>
          <w:sz w:val="20"/>
          <w:szCs w:val="20"/>
          <w:color w:val="auto"/>
        </w:rPr>
      </w:pPr>
    </w:p>
    <w:p>
      <w:pPr>
        <w:ind w:right="40" w:firstLine="350"/>
        <w:spacing w:after="0" w:line="256" w:lineRule="auto"/>
        <w:rPr>
          <w:sz w:val="20"/>
          <w:szCs w:val="20"/>
          <w:color w:val="auto"/>
        </w:rPr>
      </w:pPr>
      <w:r>
        <w:rPr>
          <w:rFonts w:ascii="Times New Roman" w:cs="Times New Roman" w:eastAsia="Times New Roman" w:hAnsi="Times New Roman"/>
          <w:sz w:val="14"/>
          <w:szCs w:val="14"/>
          <w:color w:val="auto"/>
        </w:rPr>
        <w:t>We rely 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We have a variety of trademarks registered in the United States and certain foreign countries, including Booz Allen Hamilton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Booz Allen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2" w:lineRule="exact"/>
        <w:rPr>
          <w:sz w:val="20"/>
          <w:szCs w:val="20"/>
          <w:color w:val="auto"/>
        </w:rPr>
      </w:pPr>
    </w:p>
    <w:p>
      <w:pPr>
        <w:ind w:right="120" w:firstLine="350"/>
        <w:spacing w:after="0" w:line="263" w:lineRule="auto"/>
        <w:rPr>
          <w:sz w:val="20"/>
          <w:szCs w:val="20"/>
          <w:color w:val="auto"/>
        </w:rPr>
      </w:pPr>
      <w:r>
        <w:rPr>
          <w:rFonts w:ascii="Times New Roman" w:cs="Times New Roman" w:eastAsia="Times New Roman" w:hAnsi="Times New Roman"/>
          <w:sz w:val="14"/>
          <w:szCs w:val="14"/>
          <w:color w:val="auto"/>
        </w:rPr>
        <w:t>Booz Allen Hamilton and other trademarks or service marks of Booz Allen Hamilton Inc. appearing in this Annual Report are the trademarks or registered trademarks of Booz Allen Hamilton Inc. Trade names, trademarks, and service marks of other companies appearing in this Annual Report are the property of their respective owners.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53" w:lineRule="exact"/>
        <w:rPr>
          <w:sz w:val="20"/>
          <w:szCs w:val="20"/>
          <w:color w:val="auto"/>
        </w:rPr>
      </w:pPr>
    </w:p>
    <w:p>
      <w:pPr>
        <w:jc w:val="both"/>
        <w:ind w:right="820" w:firstLine="350"/>
        <w:spacing w:after="0" w:line="270" w:lineRule="auto"/>
        <w:rPr>
          <w:sz w:val="20"/>
          <w:szCs w:val="20"/>
          <w:color w:val="auto"/>
        </w:rPr>
      </w:pPr>
      <w:r>
        <w:rPr>
          <w:rFonts w:ascii="Times New Roman" w:cs="Times New Roman" w:eastAsia="Times New Roman" w:hAnsi="Times New Roman"/>
          <w:sz w:val="14"/>
          <w:szCs w:val="14"/>
          <w:color w:val="auto"/>
        </w:rPr>
        <w:t>As a contractor to the U.S. government, and to a lesser extent, to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 the following:</w:t>
      </w:r>
    </w:p>
    <w:p>
      <w:pPr>
        <w:spacing w:after="0" w:line="8" w:lineRule="exact"/>
        <w:rPr>
          <w:sz w:val="20"/>
          <w:szCs w:val="20"/>
          <w:color w:val="auto"/>
        </w:rPr>
      </w:pPr>
    </w:p>
    <w:p>
      <w:pPr>
        <w:ind w:left="520" w:right="120" w:hanging="133"/>
        <w:spacing w:after="0" w:line="26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13" w:lineRule="exact"/>
        <w:rPr>
          <w:rFonts w:ascii="Times New Roman" w:cs="Times New Roman" w:eastAsia="Times New Roman" w:hAnsi="Times New Roman"/>
          <w:sz w:val="14"/>
          <w:szCs w:val="14"/>
          <w:color w:val="auto"/>
        </w:rPr>
      </w:pPr>
    </w:p>
    <w:p>
      <w:pPr>
        <w:ind w:left="520" w:right="280" w:hanging="133"/>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Claims Act, which imposes civil and criminal liability for violations, including substantial monetary penalties, for, among other things, presenting false or fraudulent claims for payments or approval;</w:t>
      </w: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Statements Act, which imposes civil and criminal liability for making false statements to the U.S. government;</w:t>
      </w:r>
    </w:p>
    <w:p>
      <w:pPr>
        <w:spacing w:after="0" w:line="51"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ind w:left="520" w:right="380" w:hanging="133"/>
        <w:spacing w:after="0" w:line="284"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ind w:left="520" w:hanging="133"/>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restricting the ability of a contractor to provide gifts or gratuities to employees of the U.S. government;</w:t>
      </w:r>
    </w:p>
    <w:p>
      <w:pPr>
        <w:spacing w:after="0" w:line="51" w:lineRule="exact"/>
        <w:rPr>
          <w:rFonts w:ascii="Times New Roman" w:cs="Times New Roman" w:eastAsia="Times New Roman" w:hAnsi="Times New Roman"/>
          <w:sz w:val="14"/>
          <w:szCs w:val="14"/>
          <w:color w:val="auto"/>
        </w:rPr>
      </w:pPr>
    </w:p>
    <w:p>
      <w:pPr>
        <w:ind w:left="520" w:hanging="133"/>
        <w:spacing w:after="0" w:line="287"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post-government employment laws and regulations, which restrict the ability of a contractor to recruit and hire current employees of the U.S. government and deploy former employees of the U.S. government;</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0" w:name="page11"/>
    <w:bookmarkEnd w:id="1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120" w:hanging="133"/>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8" w:lineRule="exact"/>
        <w:rPr>
          <w:rFonts w:ascii="Times New Roman" w:cs="Times New Roman" w:eastAsia="Times New Roman" w:hAnsi="Times New Roman"/>
          <w:sz w:val="14"/>
          <w:szCs w:val="14"/>
          <w:color w:val="auto"/>
        </w:rPr>
      </w:pPr>
    </w:p>
    <w:p>
      <w:pPr>
        <w:ind w:left="520" w:right="46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regulating the handling, use, and dissemination of personally identifiable information in the course of performing a U.S. government contract, performing work for our commercial customers or running the business;</w:t>
      </w: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ind w:left="520" w:right="180" w:hanging="133"/>
        <w:spacing w:after="0" w:line="270"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that impose requirements on us to ensure compliance with requirements and protect the government from risks related to our supply chain;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mandatory contract provisions providing protections to employees or subcontractors seeking to report alleged fraud, waste, and abuse related to a government contract;</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ind w:left="520" w:hanging="133"/>
        <w:spacing w:after="0" w:line="284"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 w:lineRule="exact"/>
        <w:rPr>
          <w:sz w:val="20"/>
          <w:szCs w:val="20"/>
          <w:color w:val="auto"/>
        </w:rPr>
      </w:pPr>
    </w:p>
    <w:p>
      <w:pPr>
        <w:ind w:right="280" w:firstLine="350"/>
        <w:spacing w:after="0" w:line="259" w:lineRule="auto"/>
        <w:rPr>
          <w:sz w:val="20"/>
          <w:szCs w:val="20"/>
          <w:color w:val="auto"/>
        </w:rPr>
      </w:pPr>
      <w:r>
        <w:rPr>
          <w:rFonts w:ascii="Times New Roman" w:cs="Times New Roman" w:eastAsia="Times New Roman" w:hAnsi="Times New Roman"/>
          <w:sz w:val="14"/>
          <w:szCs w:val="14"/>
          <w:color w:val="auto"/>
        </w:rPr>
        <w:t>Given the magnitude of our revenue derived from contracts with the Department of Defense, the Defense Contract Audit Agency (“DCAA”) is our cognizant government audit agency. The DCAA audits the adequacy of our internal control systems and policies including, among other areas, compensation. The Defense Contract Management Agency (“DCMA”), as our cognizant government contract management agency, may determine that a portion of our claimed costs are unallowable based on the findings and recommendations in the DCAA's audits. In addition, the DCMA directly reviews the adequacy of certain of our business systems, such as our purchasing system. See “Item 1A. Risk Factors—Legal and Regulatory Risks—Our work with government customers exposes us to additional risks inherent in the government contracting environment, which could reduce our revenue, disrupt our business, or otherwise materially adversely affect our results of operations.” We are also subject to audit by Inspectors General of other U.S. government agencies.</w:t>
      </w:r>
    </w:p>
    <w:p>
      <w:pPr>
        <w:spacing w:after="0" w:line="19" w:lineRule="exact"/>
        <w:rPr>
          <w:sz w:val="20"/>
          <w:szCs w:val="20"/>
          <w:color w:val="auto"/>
        </w:rPr>
      </w:pPr>
    </w:p>
    <w:p>
      <w:pPr>
        <w:ind w:right="200" w:firstLine="350"/>
        <w:spacing w:after="0" w:line="264" w:lineRule="auto"/>
        <w:rPr>
          <w:sz w:val="20"/>
          <w:szCs w:val="20"/>
          <w:color w:val="auto"/>
        </w:rPr>
      </w:pPr>
      <w:r>
        <w:rPr>
          <w:rFonts w:ascii="Times New Roman" w:cs="Times New Roman" w:eastAsia="Times New Roman" w:hAnsi="Times New Roman"/>
          <w:sz w:val="14"/>
          <w:szCs w:val="14"/>
          <w:color w:val="auto"/>
        </w:rPr>
        <w:t>The U.S. government may revise its procurement practices or adopt new contract rules and regulations at any time. To help ensure compliance with these laws and regulations, all of our employees are required to attend ethics training at least annually, and to participate in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13"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could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13"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The U.S. government has a broad range of actions that it can instigate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of the amount recovered by the government.</w:t>
      </w:r>
    </w:p>
    <w:p>
      <w:pPr>
        <w:spacing w:after="0" w:line="13"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See Item 1A., “Risk Factors—Legal and Regulatory Risks—We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1" w:name="page12"/>
    <w:bookmarkEnd w:id="1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and other information with the Securities and Exchange Commission (the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Quarterly Reports on Form 10-Q, and Current Reports on Form 8-K, and any amendments to those forms) through the “Investors” portion of our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5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1A</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Risk Factors.</w:t>
      </w:r>
    </w:p>
    <w:p>
      <w:pPr>
        <w:spacing w:after="0" w:line="51" w:lineRule="exact"/>
        <w:rPr>
          <w:sz w:val="20"/>
          <w:szCs w:val="20"/>
          <w:color w:val="auto"/>
        </w:rPr>
      </w:pPr>
    </w:p>
    <w:p>
      <w:pPr>
        <w:ind w:right="6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and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15" w:lineRule="exact"/>
        <w:rPr>
          <w:sz w:val="20"/>
          <w:szCs w:val="20"/>
          <w:color w:val="auto"/>
        </w:rPr>
      </w:pPr>
    </w:p>
    <w:p>
      <w:pPr>
        <w:ind w:right="140" w:firstLine="350"/>
        <w:spacing w:after="0" w:line="287" w:lineRule="auto"/>
        <w:rPr>
          <w:sz w:val="20"/>
          <w:szCs w:val="20"/>
          <w:color w:val="auto"/>
        </w:rPr>
      </w:pPr>
      <w:r>
        <w:rPr>
          <w:rFonts w:ascii="Times New Roman" w:cs="Times New Roman" w:eastAsia="Times New Roman" w:hAnsi="Times New Roman"/>
          <w:sz w:val="14"/>
          <w:szCs w:val="14"/>
          <w:color w:val="auto"/>
        </w:rPr>
        <w:t>This risk factor summary contains a high-level summary of risks associated with our business. It does not contain all of the information that may be important to you, and you should read this risk factor summary together with the more detailed discussion of risks and uncertainties set forth following this summary. A summary of our risks includes, but is not limited to, the following: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and Economic Risks</w:t>
      </w:r>
    </w:p>
    <w:p>
      <w:pPr>
        <w:spacing w:after="0" w:line="53" w:lineRule="exact"/>
        <w:rPr>
          <w:sz w:val="20"/>
          <w:szCs w:val="20"/>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relating to our relationships and reputation with the U.S. government;</w:t>
      </w:r>
    </w:p>
    <w:p>
      <w:pPr>
        <w:spacing w:after="0" w:line="51" w:lineRule="exact"/>
        <w:rPr>
          <w:rFonts w:ascii="Times New Roman" w:cs="Times New Roman" w:eastAsia="Times New Roman" w:hAnsi="Times New Roman"/>
          <w:sz w:val="14"/>
          <w:szCs w:val="14"/>
          <w:color w:val="auto"/>
        </w:rPr>
      </w:pPr>
    </w:p>
    <w:p>
      <w:pPr>
        <w:ind w:left="520" w:right="10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spending and mission priorities, including due to uncertainty relating to the new presidential administration, funding of the U.S. government, and increasing the debt ceiling;</w:t>
      </w:r>
    </w:p>
    <w:p>
      <w:pPr>
        <w:ind w:left="520" w:right="24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in the competitive bidding and re-competing processes and delays or losses of contract awards caused by competitors’ protests of major contract awards received by us;</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GSA schedules, or our position as prime contractor on GWACs;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GSA schedules, blanket purchase agreements, and IDIQ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mix of our contracts and our ability to accurately estimate or otherwise recover expenses, time, and resources for our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estimates used in recognizing revenue;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the full value of and replenish our backlog, generate revenue under certain of our contracts, and the timing of our receipt of revenue under contracts included in backlog;</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inflation and new or increased tariffs that could impact the cost of doing business and/or reduce customer buying power;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color w:val="auto"/>
        </w:rPr>
        <w:t>risks related to the deterioration of economic conditions or weakening in the credit or capital markets;</w:t>
      </w:r>
    </w:p>
    <w:p>
      <w:pPr>
        <w:spacing w:after="0" w:line="51" w:lineRule="exact"/>
        <w:rPr>
          <w:rFonts w:ascii="Times New Roman" w:cs="Times New Roman" w:eastAsia="Times New Roman" w:hAnsi="Times New Roman"/>
          <w:sz w:val="14"/>
          <w:szCs w:val="14"/>
          <w:i w:val="1"/>
          <w:iCs w:val="1"/>
          <w:color w:val="auto"/>
        </w:rPr>
      </w:pPr>
    </w:p>
    <w:p>
      <w:pPr>
        <w:ind w:left="520" w:right="24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internal system or service failures and security breaches, including, but not limited to, those resulting from external or internal threats, including cyber attacks on our network and internal systems, or on our customers’ network or internal systems;</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development and use of artificial intelligence, which include potential liability as well as regulatory, competition, reputational and other risks;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the operation of financial management systems;</w:t>
      </w:r>
    </w:p>
    <w:p>
      <w:pPr>
        <w:spacing w:after="0" w:line="51" w:lineRule="exact"/>
        <w:rPr>
          <w:rFonts w:ascii="Times New Roman" w:cs="Times New Roman" w:eastAsia="Times New Roman" w:hAnsi="Times New Roman"/>
          <w:sz w:val="14"/>
          <w:szCs w:val="14"/>
          <w:color w:val="auto"/>
        </w:rPr>
      </w:pPr>
    </w:p>
    <w:p>
      <w:pPr>
        <w:ind w:left="520" w:right="16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train, or retain employees with the requisite skills and experience and ensure that employees obtain and maintain necessary security clearances and effectively manage our cost structure;</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members of senior management or failure to develop new leaders;</w:t>
      </w:r>
    </w:p>
    <w:p>
      <w:pPr>
        <w:spacing w:after="0" w:line="51"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misconduct or other improper activities from our employees, subcontractors, or suppliers, including the improper access, use, or release of our or our customers’ sensitive or classified information;</w:t>
      </w:r>
    </w:p>
    <w:p>
      <w:pPr>
        <w:ind w:left="520" w:right="20" w:hanging="133"/>
        <w:spacing w:after="0" w:line="284"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strong relationships with other contractors, or the failure of contractors with which we have entered into a sub- or prime-contractor relationship to meet their obligations to us or our customers;</w:t>
      </w:r>
    </w:p>
    <w:p>
      <w:pPr>
        <w:ind w:left="520" w:hanging="133"/>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changes to our operating structure, capabilities, or strategy intended to address customer needs, grow our business, or respond to market developments; and</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2" w:name="page13"/>
    <w:bookmarkEnd w:id="1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risks related to completed and future acquisitions, including our ability to realize the expected benefits from such acquisitions.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53" w:lineRule="exact"/>
        <w:rPr>
          <w:sz w:val="20"/>
          <w:szCs w:val="20"/>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numerous laws and regulations, including the FAR, False Claims Act, DFARS, and FAR Cost Accounting Standards and Cost Principles;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our international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by the U.S. government of new laws, rules, and regulations, such as those relating to organizational conflicts of interest issues or limits;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additional tax liabilities, including as a result of changes in tax laws or management judgments involving complex tax matters;</w:t>
      </w:r>
    </w:p>
    <w:p>
      <w:pPr>
        <w:spacing w:after="0" w:line="51" w:lineRule="exact"/>
        <w:rPr>
          <w:rFonts w:ascii="Times New Roman" w:cs="Times New Roman" w:eastAsia="Times New Roman" w:hAnsi="Times New Roman"/>
          <w:sz w:val="14"/>
          <w:szCs w:val="14"/>
          <w:color w:val="auto"/>
        </w:rPr>
      </w:pPr>
    </w:p>
    <w:p>
      <w:pPr>
        <w:ind w:left="520" w:right="70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ind w:left="520" w:hanging="133"/>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inherent uncertainties and potential adverse developments in legal or regulatory proceedings;</w:t>
      </w:r>
    </w:p>
    <w:p>
      <w:pPr>
        <w:spacing w:after="0" w:line="51" w:lineRule="exact"/>
        <w:rPr>
          <w:rFonts w:ascii="Times New Roman" w:cs="Times New Roman" w:eastAsia="Times New Roman" w:hAnsi="Times New Roman"/>
          <w:sz w:val="14"/>
          <w:szCs w:val="14"/>
          <w:color w:val="auto"/>
        </w:rPr>
      </w:pPr>
    </w:p>
    <w:p>
      <w:pPr>
        <w:ind w:left="520" w:right="140" w:hanging="133"/>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accounting rules and regulations, or interpretations thereof, that may affect the way we recognize and report our financial results, including changes in accounting rules governing recognition of revenue; and</w:t>
      </w:r>
    </w:p>
    <w:p>
      <w:pPr>
        <w:ind w:left="520" w:right="240" w:hanging="133"/>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changing weather patterns, natural disasters, and pandemics, epidemics, and similar disease outbreaks on our and our customers' businesses and operations, as well as risks related to increased scrutiny and changing expectations and practices related to climate change and related governance matters generally.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53" w:lineRule="exact"/>
        <w:rPr>
          <w:sz w:val="20"/>
          <w:szCs w:val="20"/>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our substantial indebtedness and our ability to service and refinance such indebtedness;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and limitations in the agreements and instruments governing our indebtedness.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53" w:lineRule="exact"/>
        <w:rPr>
          <w:sz w:val="20"/>
          <w:szCs w:val="20"/>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volatility of the market price of our Class A common stock;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our dividends, if 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Industry and Economic Risks</w:t>
      </w:r>
    </w:p>
    <w:p>
      <w:pPr>
        <w:spacing w:after="0" w:line="51" w:lineRule="exact"/>
        <w:rPr>
          <w:sz w:val="20"/>
          <w:szCs w:val="20"/>
          <w:color w:val="auto"/>
        </w:rPr>
      </w:pPr>
    </w:p>
    <w:p>
      <w:pPr>
        <w:ind w:right="3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depend on contracts with U.S. government agencies for substantially all of our revenue. If our reputation or relationships with such agencies are harmed, our future revenue and operating profits would decline.</w:t>
      </w:r>
    </w:p>
    <w:p>
      <w:pPr>
        <w:ind w:firstLine="350"/>
        <w:spacing w:after="0" w:line="261" w:lineRule="auto"/>
        <w:rPr>
          <w:sz w:val="20"/>
          <w:szCs w:val="20"/>
          <w:color w:val="auto"/>
        </w:rPr>
      </w:pPr>
      <w:r>
        <w:rPr>
          <w:rFonts w:ascii="Times New Roman" w:cs="Times New Roman" w:eastAsia="Times New Roman" w:hAnsi="Times New Roman"/>
          <w:sz w:val="14"/>
          <w:szCs w:val="14"/>
          <w:color w:val="auto"/>
        </w:rPr>
        <w:t>The U.S. government is our primary customer, with revenue from contracts and task orders, either as a prime or a subcontractor, with U.S. government agencies accounting for 98% of our revenue for fiscal year 2025. Our belief is that the successful future growth of our business will continue to depend primarily on our ability to be awarded work under U.S. government contracts, as we expect this will continue to be the primary source of substantially all of our revenue. For this reason, any issue that compromises our relationship with the U.S. government generally or any U.S. government agency that we serve would cause our revenue to decline. Among the key factors in maintaining our relationship with U.S. government agencies is our performance on contracts and task orders, the strength of our professional reputation, compliance with applicable laws and regulations, and the strength of our relationships with customer personnel.</w:t>
      </w:r>
    </w:p>
    <w:p>
      <w:pPr>
        <w:spacing w:after="0" w:line="16" w:lineRule="exact"/>
        <w:rPr>
          <w:sz w:val="20"/>
          <w:szCs w:val="20"/>
          <w:color w:val="auto"/>
        </w:rPr>
      </w:pPr>
    </w:p>
    <w:p>
      <w:pPr>
        <w:ind w:right="60" w:firstLine="350"/>
        <w:spacing w:after="0" w:line="257" w:lineRule="auto"/>
        <w:rPr>
          <w:sz w:val="20"/>
          <w:szCs w:val="20"/>
          <w:color w:val="auto"/>
        </w:rPr>
      </w:pPr>
      <w:r>
        <w:rPr>
          <w:rFonts w:ascii="Times New Roman" w:cs="Times New Roman" w:eastAsia="Times New Roman" w:hAnsi="Times New Roman"/>
          <w:sz w:val="14"/>
          <w:szCs w:val="14"/>
          <w:color w:val="auto"/>
        </w:rPr>
        <w:t>Our relationship with U.S. government agencies could be harmed by the mishandling or the perception of mishandling of sensitive information, such as our failure to maintain the confidentiality of the existence of our business relationships with certain of our customers, including as a result of misconduct or other improper activities by our employees, subcontractors, or suppliers, or a failure to maintain adequate protection against security breaches, including those resulting from cyber attacks. See “—Our employees or subcontractors may engage in misconduct or other improper activities, which could harm our ability to conduct business with the U.S. government.”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In addition, to the extent our performance under a contract does not meet a U.S. government agency’s expectations, the customer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4" w:right="379"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Further, negative publicity concerning government contractors in general, or us, regardless of accuracy, may harm our reputation among federal agencies and federal government contractors, and the credibility of our brand, and adversely affect our ability to attract or retain customers or talent. There has been increased publicity regarding government contractors in general, and including the Company, in connection with the U.S. government’s efforts to improve efficiency and reduce costs, which could harm our reputation and could have a material impact on our business, results of operations and financial condition. Due to the sensitive nature of our work and our confidentiality obligations to our customers, we may be unable or limited in our ability to respond to such negative publicity, which could also harm our reputation and business. To the extent our reputation or relationships with U.S. government agencies is impaired, our revenue and operating profits could materially decline.</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U.S. government spending levels and mission priorities could change in a manner that adversely affects our future revenue and limits our growth prospects.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Our business depends upon continued U.S. government expenditures on defense, intelligence, and civil programs for which we provide support. These expenditures have not remained constant over time, have been and in the future may be reduced in certain periods, and have been and in the future may be affected by the U.S. government’s efforts to improve efficiency and reduce costs affecting U.S. government programs generally. Our business, prospects, financial condition, or operating results could be materially harmed by, among other causes, the following:</w:t>
      </w:r>
    </w:p>
    <w:p>
      <w:pPr>
        <w:spacing w:after="0" w:line="8" w:lineRule="exact"/>
        <w:rPr>
          <w:sz w:val="20"/>
          <w:szCs w:val="20"/>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budgetary constraints, including mandated automatic spending cuts, affecting U.S. government spending generally, or specific agencies in particular, and changes in available funding;</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shift in the permissible federal debt limit;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shift in expenditures away from agencies or programs that we support;</w:t>
      </w:r>
    </w:p>
    <w:p>
      <w:pPr>
        <w:spacing w:after="0" w:line="51" w:lineRule="exact"/>
        <w:rPr>
          <w:rFonts w:ascii="Times New Roman" w:cs="Times New Roman" w:eastAsia="Times New Roman" w:hAnsi="Times New Roman"/>
          <w:sz w:val="14"/>
          <w:szCs w:val="14"/>
          <w:color w:val="auto"/>
        </w:rPr>
      </w:pPr>
    </w:p>
    <w:p>
      <w:pPr>
        <w:ind w:left="520" w:right="32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or delays in U.S. government programs that we support or related requirements, including shifts in the scope of work that we support and delays in procurements;</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U.S. government customer cybersecurity investments and resourcing that impact the security posture of systems hosted by the Company on behalf of the U.S. government and under a U.S. government authority to operate;</w:t>
      </w: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shutdowns due to, among other reasons, a failure to fund the government and other potential delays in the appropriations process;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agencies awarding contracts on a technically acceptable/lowest cost basis in order to reduce expenditures;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U.S. government processing times for security clearances and other governmental consents;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payment of our invoices by government payment offices;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government points of contact at the various U.S. government agencies we support as a result of the government’s efforts to reduce spending;</w:t>
      </w:r>
    </w:p>
    <w:p>
      <w:pPr>
        <w:spacing w:after="0" w:line="51"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by the U.S. government to fund its operations as a result of a failure to increase the U.S. government’s debt ceiling, the exhaustion of “extraordinary measures” to borrow additional funds without breaching the government’s debt ceiling, a credit downgrade of U.S. government obligations or for any other reason; and</w:t>
      </w:r>
    </w:p>
    <w:p>
      <w:pPr>
        <w:ind w:left="520" w:hanging="133"/>
        <w:spacing w:after="0" w:line="284"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political climate and general economic conditions, including political changes from successive presidential administrations, a slowdown of the economy or unstable economic conditions and other conditions, such as emergency spending, that reduce funds available for other government priorities.</w:t>
      </w:r>
    </w:p>
    <w:p>
      <w:pPr>
        <w:spacing w:after="0" w:line="1"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In addition, any disruption in the functioning of U.S. government agencies, including as a result of U.S. government closures and shutdowns, terrorism, war, international conflicts (including the ongoing conflict between Russia and Ukraine, ongoing conflicts in the Middle East, and increased tensions in Asia), trade tensions related to recent shifts in international trade policies, natural disasters, public health crises, destruction of U.S. government facilities, and other potential calamities could have a negative impact on our operations and cause us to lose revenue or incur additional costs due to, among other things, our inability to deploy our staff to customer locations or facilities as a result of such disruptions.</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4" w:right="379"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Considerable uncertainty exists regarding how future budget and program decisions will unfold, including as a result of the changing spending priorities of the U.S. government. The U.S. government is currently in the process of reviewing federal spending across federal civilian, defense, and intelligence departments and agencies, to ensure it aligns with the new administration’s priorities of maximizing governmental efficiency and productivity. As a leading provider of advanced technology products and services to U.S. government customers, we have been, and will continue to be, subject to these reviews, and we have had, and may in the future have, certain of our contracts impacted, reduced or canceled as a result of these reviews. We have also experienced price adjustments and renegotiations prior to option exercise of certain of our contracts as a result of these reviews and may in the future continue to experience such adjustments. Further, we are, and may in the future be, subject to customer mandates to formulate additional methods by which to achieve efficiencies in providing our services, and we remain in ongoing discussions with various government departments and agencies in relation to cost reductions and other potential contract modifications. There can be no assurance that these reviews will not ultimately have a material adverse impact on our business and financial performance — such as through more stringent and frequent reviews of our contracts, potential changes in government procurement policies which could affect our ability to secure new contracts or renew existing ones, the cancellation or reduction of contracts critical to our business, or the implementation of stricter compliance requirements that could increase our operational costs.</w:t>
      </w:r>
    </w:p>
    <w:p>
      <w:pPr>
        <w:spacing w:after="0" w:line="23" w:lineRule="exact"/>
        <w:rPr>
          <w:sz w:val="20"/>
          <w:szCs w:val="20"/>
          <w:color w:val="auto"/>
        </w:rPr>
      </w:pPr>
    </w:p>
    <w:p>
      <w:pPr>
        <w:ind w:right="60" w:firstLine="350"/>
        <w:spacing w:after="0" w:line="258" w:lineRule="auto"/>
        <w:rPr>
          <w:sz w:val="20"/>
          <w:szCs w:val="20"/>
          <w:color w:val="auto"/>
        </w:rPr>
      </w:pPr>
      <w:r>
        <w:rPr>
          <w:rFonts w:ascii="Times New Roman" w:cs="Times New Roman" w:eastAsia="Times New Roman" w:hAnsi="Times New Roman"/>
          <w:sz w:val="14"/>
          <w:szCs w:val="14"/>
          <w:color w:val="auto"/>
        </w:rPr>
        <w:t>The U.S. government budget deficits, the national debt, and prevailing economic conditions, and actions taken to address them, could negatively affect U.S. government expenditures on defense, intelligence, and civil programs for which we provide support. A reduction in the amount of, or delays or cancellations of funding for, services that we are contracted to provide as a result of initiatives with certain U.S. government departments, legislation, or otherwise could have a material adverse effect on our business and results of operations. Further, there is ongoing uncertainty regarding how the U.S. Congress will address the legal limit on U.S. debt commonly known as the debt ceiling, and for which the U.S. Treasury has announced that it has been using extraordinary measures to prevent the U.S. government's default on its payment obligations, and to extend the time that the U.S. Congress has to raise its statutory debt limit or otherwise resolve the funding situation. If the debt ceiling is not raised, the U.S. government may not be able to fulfill its funding obligations and there could be significant disruption to all discretionary programs, which would have material adverse impacts on us and our industry.</w:t>
      </w:r>
    </w:p>
    <w:p>
      <w:pPr>
        <w:spacing w:after="0" w:line="19" w:lineRule="exact"/>
        <w:rPr>
          <w:sz w:val="20"/>
          <w:szCs w:val="20"/>
          <w:color w:val="auto"/>
        </w:rPr>
      </w:pPr>
    </w:p>
    <w:p>
      <w:pPr>
        <w:jc w:val="both"/>
        <w:ind w:right="120" w:firstLine="350"/>
        <w:spacing w:after="0" w:line="270" w:lineRule="auto"/>
        <w:rPr>
          <w:sz w:val="20"/>
          <w:szCs w:val="20"/>
          <w:color w:val="auto"/>
        </w:rPr>
      </w:pPr>
      <w:r>
        <w:rPr>
          <w:rFonts w:ascii="Times New Roman" w:cs="Times New Roman" w:eastAsia="Times New Roman" w:hAnsi="Times New Roman"/>
          <w:sz w:val="14"/>
          <w:szCs w:val="14"/>
          <w:color w:val="auto"/>
        </w:rPr>
        <w:t>If government funding relating to our contracts with the U.S. government or Department of Defense becomes unavailable, or is reduced or delayed, or planned orders are reduced, our contract or subcontract under such programs may be terminated or adjusted by the U.S. government or the prime contractor, if applicable. Our operating results could also be adversely affected by spending caps or changes in the budgetary priorities of the U.S. government or Department of Defense, as well as delays in program starts or the award of contracts or task orders under contracts.</w:t>
      </w:r>
    </w:p>
    <w:p>
      <w:pPr>
        <w:spacing w:after="0" w:line="8" w:lineRule="exact"/>
        <w:rPr>
          <w:sz w:val="20"/>
          <w:szCs w:val="20"/>
          <w:color w:val="auto"/>
        </w:rPr>
      </w:pPr>
    </w:p>
    <w:p>
      <w:pPr>
        <w:jc w:val="both"/>
        <w:ind w:right="380" w:firstLine="350"/>
        <w:spacing w:after="0" w:line="283" w:lineRule="auto"/>
        <w:rPr>
          <w:sz w:val="20"/>
          <w:szCs w:val="20"/>
          <w:color w:val="auto"/>
        </w:rPr>
      </w:pPr>
      <w:r>
        <w:rPr>
          <w:rFonts w:ascii="Times New Roman" w:cs="Times New Roman" w:eastAsia="Times New Roman" w:hAnsi="Times New Roman"/>
          <w:sz w:val="14"/>
          <w:szCs w:val="14"/>
          <w:color w:val="auto"/>
        </w:rPr>
        <w:t>These or other factors could cause our defense, intelligence, or civil customers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ind w:right="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derive a majority of our revenue from contracts awarded through a competitive bidding process, and our revenue and profitability may be adversely affected if we are unable to compete or re-compete effectively in the process or if there are delays caused by our competitors protesting major contract awards received by us.</w:t>
      </w: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We derive a majority of our revenue from U.S. government contracts awarded through competitive bidding and re-competing processes. We do not expect this to change for the foreseeable future. Our failure to compete effectively in this procurement environment would have a material adverse effect on our revenue and profitability.</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competitive bidding and re-competing processes involve risk and significant costs to businesses operating in this environment, including:</w:t>
      </w:r>
    </w:p>
    <w:p>
      <w:pPr>
        <w:spacing w:after="0" w:line="51" w:lineRule="exact"/>
        <w:rPr>
          <w:sz w:val="20"/>
          <w:szCs w:val="20"/>
          <w:color w:val="auto"/>
        </w:rPr>
      </w:pPr>
    </w:p>
    <w:p>
      <w:pPr>
        <w:ind w:left="520" w:right="100" w:hanging="133"/>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ind w:left="520" w:hanging="13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substantial cost and managerial time and effort spent to prepare bids and proposals for contracts that may not be awarded to us;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accurately estimate the resources and costs that will be required to service any contract we are awarded;</w:t>
      </w:r>
    </w:p>
    <w:p>
      <w:pPr>
        <w:spacing w:after="0" w:line="51" w:lineRule="exact"/>
        <w:rPr>
          <w:rFonts w:ascii="Times New Roman" w:cs="Times New Roman" w:eastAsia="Times New Roman" w:hAnsi="Times New Roman"/>
          <w:sz w:val="14"/>
          <w:szCs w:val="14"/>
          <w:color w:val="auto"/>
        </w:rPr>
      </w:pPr>
    </w:p>
    <w:p>
      <w:pPr>
        <w:ind w:left="520" w:right="80" w:hanging="133"/>
        <w:spacing w:after="0" w:line="284"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ind w:left="520" w:hanging="133"/>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opportunity cost of not bidding and winning other contracts we might have otherwise pursued.</w:t>
      </w:r>
    </w:p>
    <w:p>
      <w:pPr>
        <w:spacing w:after="0" w:line="51"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and re-competing processes, we may not be able to operate in the market for services that are provided under those contracts for the duration of those contracts to the extent that</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4"/>
          <w:szCs w:val="14"/>
          <w:color w:val="auto"/>
        </w:rPr>
        <w:t>there is no additional demand for such services. An inability to consistently win new contract awards over any extended period would have a material adverse effect on our business and results of operations.</w:t>
      </w:r>
    </w:p>
    <w:p>
      <w:pPr>
        <w:spacing w:after="0" w:line="1"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We have seen our current competitive environment result in delays in procurements generally as well as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startup and funding of the work under these contracts may cause our actual results to differ materially and adversely from those anticipated. There can be no assurance that these delays will not ultimately have a material adverse impact on our business and financial performance.</w:t>
      </w:r>
    </w:p>
    <w:p>
      <w:pPr>
        <w:spacing w:after="0" w:line="14" w:lineRule="exact"/>
        <w:rPr>
          <w:sz w:val="20"/>
          <w:szCs w:val="20"/>
          <w:color w:val="auto"/>
        </w:rPr>
      </w:pPr>
    </w:p>
    <w:p>
      <w:pPr>
        <w:ind w:right="7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significant majority of our revenue is derived from task orders under indefinite delivery/indefinite quantity, or IDIQ, contract vehicles where we perform in either a prime or subcontractor position.</w:t>
      </w:r>
    </w:p>
    <w:p>
      <w:pPr>
        <w:ind w:left="360"/>
        <w:spacing w:after="0"/>
        <w:rPr>
          <w:sz w:val="20"/>
          <w:szCs w:val="20"/>
          <w:color w:val="auto"/>
        </w:rPr>
      </w:pPr>
      <w:r>
        <w:rPr>
          <w:rFonts w:ascii="Times New Roman" w:cs="Times New Roman" w:eastAsia="Times New Roman" w:hAnsi="Times New Roman"/>
          <w:sz w:val="14"/>
          <w:szCs w:val="14"/>
          <w:color w:val="auto"/>
        </w:rPr>
        <w:t>We believe that one of the key elements of our success is our position as the holder of 2,596 active task orders under IDIQ contract vehicles as of March 31, 2025.</w:t>
      </w:r>
    </w:p>
    <w:p>
      <w:pPr>
        <w:spacing w:after="0" w:line="51"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IDIQ contracts provide for the issuance by the customer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customer.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A failure to be awarded task orders under such contracts would have a material adverse effect on our results of operations and financial condition.</w:t>
      </w:r>
    </w:p>
    <w:p>
      <w:pPr>
        <w:spacing w:after="0" w:line="16" w:lineRule="exact"/>
        <w:rPr>
          <w:sz w:val="20"/>
          <w:szCs w:val="20"/>
          <w:color w:val="auto"/>
        </w:rPr>
      </w:pPr>
    </w:p>
    <w:p>
      <w:pPr>
        <w:ind w:right="240" w:firstLine="350"/>
        <w:spacing w:after="0" w:line="270" w:lineRule="auto"/>
        <w:rPr>
          <w:sz w:val="20"/>
          <w:szCs w:val="20"/>
          <w:color w:val="auto"/>
        </w:rPr>
      </w:pPr>
      <w:r>
        <w:rPr>
          <w:rFonts w:ascii="Times New Roman" w:cs="Times New Roman" w:eastAsia="Times New Roman" w:hAnsi="Times New Roman"/>
          <w:sz w:val="14"/>
          <w:szCs w:val="14"/>
          <w:color w:val="auto"/>
        </w:rPr>
        <w:t>In addition, our ability to maintain our existing business and win new business depends on our ability to maintain our prime and subcontractor positions on these contracts. The loss, without replacement, of certain of these contract vehicles could have a material adverse effect on our ability to win new business and our operating results. If the U.S. government elects to use a contract vehicle that we do not hold, we will not be able to compete for work under that contract vehicle as a prime contractor.</w:t>
      </w:r>
    </w:p>
    <w:p>
      <w:pPr>
        <w:spacing w:after="0" w:line="6" w:lineRule="exact"/>
        <w:rPr>
          <w:sz w:val="20"/>
          <w:szCs w:val="20"/>
          <w:color w:val="auto"/>
        </w:rPr>
      </w:pPr>
    </w:p>
    <w:p>
      <w:pPr>
        <w:ind w:right="1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ind w:right="280" w:firstLine="350"/>
        <w:spacing w:after="0" w:line="270" w:lineRule="auto"/>
        <w:rPr>
          <w:sz w:val="20"/>
          <w:szCs w:val="20"/>
          <w:color w:val="auto"/>
        </w:rPr>
      </w:pPr>
      <w:r>
        <w:rPr>
          <w:rFonts w:ascii="Times New Roman" w:cs="Times New Roman" w:eastAsia="Times New Roman" w:hAnsi="Times New Roman"/>
          <w:sz w:val="14"/>
          <w:szCs w:val="14"/>
          <w:color w:val="auto"/>
        </w:rPr>
        <w:t>We enter into three general types of U.S. government contracts for our services: cost-reimbursable, time-and-materials, and fixed-price. 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ongoing focus by the U.S. government on the extent to which government contractors, including us, are able to receive reimbursement for employee compensation, including the adoption of interim rules by federal agencies implementing a section of the Bipartisan Budget Act of 2013, as amended,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16" w:lineRule="exact"/>
        <w:rPr>
          <w:sz w:val="20"/>
          <w:szCs w:val="20"/>
          <w:color w:val="auto"/>
        </w:rPr>
      </w:pPr>
    </w:p>
    <w:p>
      <w:pPr>
        <w:ind w:right="100" w:firstLine="350"/>
        <w:spacing w:after="0" w:line="284" w:lineRule="auto"/>
        <w:rPr>
          <w:sz w:val="20"/>
          <w:szCs w:val="20"/>
          <w:color w:val="auto"/>
        </w:rPr>
      </w:pPr>
      <w:r>
        <w:rPr>
          <w:rFonts w:ascii="Times New Roman" w:cs="Times New Roman" w:eastAsia="Times New Roman" w:hAnsi="Times New Roman"/>
          <w:sz w:val="14"/>
          <w:szCs w:val="14"/>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1" w:lineRule="exact"/>
        <w:rPr>
          <w:sz w:val="20"/>
          <w:szCs w:val="20"/>
          <w:color w:val="auto"/>
        </w:rPr>
      </w:pPr>
    </w:p>
    <w:p>
      <w:pPr>
        <w:ind w:right="280" w:firstLine="350"/>
        <w:spacing w:after="0" w:line="261" w:lineRule="auto"/>
        <w:rPr>
          <w:sz w:val="20"/>
          <w:szCs w:val="20"/>
          <w:color w:val="auto"/>
        </w:rPr>
      </w:pPr>
      <w:r>
        <w:rPr>
          <w:rFonts w:ascii="Times New Roman" w:cs="Times New Roman" w:eastAsia="Times New Roman" w:hAnsi="Times New Roman"/>
          <w:sz w:val="14"/>
          <w:szCs w:val="14"/>
          <w:color w:val="auto"/>
        </w:rPr>
        <w:t>Under fixed-price contracts, we perform specific tasks or deliver a specific outcome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We have seen a recent preference for the use of fixed price contracts with the new presidential administration, which may result in future contract modifications and conversions of existing contracts to fixed-price contracts. Because we assume the risk for cost overruns and contingent losses on fixed-price contracts, an increase in the percentage of fixed-price contracts in our contract mix would increase our risk of suffering losses.</w:t>
      </w:r>
    </w:p>
    <w:p>
      <w:pPr>
        <w:spacing w:after="0" w:line="16"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Additionally, our profits could be adversely affected if our costs under any such contract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record provisions in our consolidated financial statements for</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6" w:name="page17"/>
    <w:bookmarkEnd w:id="1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4"/>
          <w:szCs w:val="14"/>
          <w:color w:val="auto"/>
        </w:rPr>
        <w:t>losses on our contracts when necessary, as required under accounting principles generally accepted in the United States, or GAAP, but our contract loss provisions may not be adequate to cover all actual losses that we may incur in the future.</w:t>
      </w: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use estimates in recognizing revenue and if we make changes to estimates used in recognizing revenue, our profitability may be adversely affected.</w:t>
      </w:r>
    </w:p>
    <w:p>
      <w:pPr>
        <w:spacing w:after="0" w:line="53"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16" w:lineRule="exact"/>
        <w:rPr>
          <w:sz w:val="20"/>
          <w:szCs w:val="20"/>
          <w:color w:val="auto"/>
        </w:rPr>
      </w:pPr>
    </w:p>
    <w:p>
      <w:pPr>
        <w:ind w:right="120" w:firstLine="350"/>
        <w:spacing w:after="0" w:line="270" w:lineRule="auto"/>
        <w:rPr>
          <w:sz w:val="20"/>
          <w:szCs w:val="20"/>
          <w:color w:val="auto"/>
        </w:rPr>
      </w:pPr>
      <w:r>
        <w:rPr>
          <w:rFonts w:ascii="Times New Roman" w:cs="Times New Roman" w:eastAsia="Times New Roman" w:hAnsi="Times New Roman"/>
          <w:sz w:val="14"/>
          <w:szCs w:val="14"/>
          <w:color w:val="auto"/>
        </w:rPr>
        <w:t>In the event updated estimates indicate that we will experience a loss on a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the full value of our backlog, which may result in lower than expected revenue.</w:t>
      </w:r>
    </w:p>
    <w:p>
      <w:pPr>
        <w:spacing w:after="0" w:line="53" w:lineRule="exact"/>
        <w:rPr>
          <w:sz w:val="20"/>
          <w:szCs w:val="20"/>
          <w:color w:val="auto"/>
        </w:rPr>
      </w:pPr>
    </w:p>
    <w:p>
      <w:pPr>
        <w:jc w:val="both"/>
        <w:ind w:right="140" w:firstLine="350"/>
        <w:spacing w:after="0" w:line="270" w:lineRule="auto"/>
        <w:rPr>
          <w:sz w:val="20"/>
          <w:szCs w:val="20"/>
          <w:color w:val="auto"/>
        </w:rPr>
      </w:pPr>
      <w:r>
        <w:rPr>
          <w:rFonts w:ascii="Times New Roman" w:cs="Times New Roman" w:eastAsia="Times New Roman" w:hAnsi="Times New Roman"/>
          <w:sz w:val="14"/>
          <w:szCs w:val="14"/>
          <w:color w:val="auto"/>
        </w:rPr>
        <w:t>Our backlog does not include contracts that have been awarded but are currently under protest and also does not include any task orders under IDIQ contracts, GSA Schedule or other master agreement contract vehicles, except to the extent that task orders have been awarded to us under those contracts. For additional disclosure regarding our backlog, please see “Item 7. Management's Discussion and Analysis of Financial Condition and Results of Operations—Factors and Trends Affecting Our Results of Operations—Sources of Revenue—Contract Backlog.”</w:t>
      </w:r>
    </w:p>
    <w:p>
      <w:pPr>
        <w:spacing w:after="0" w:line="8"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historically have not realized all of the revenue included in our total backlog, and we may not realize all of the revenue included in our current or future total backlog. There is a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The actual receipt of revenue from contracts included in backlog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priced options, our customers may not exercise their options.</w:t>
      </w:r>
    </w:p>
    <w:p>
      <w:pPr>
        <w:spacing w:after="0" w:line="21"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under, or cancellation of contracts, by the U.S. government at any time. As a result of the U.S. government’s review of federal spending across U.S. government agencies, we have had, and may in the future have, certain of our contracts impacted, reduced or canceled as a result of these reviews, which has reduced the amount of our total backlog and could have a material adverse impact on our business and financial performance. Furthermore, even if our backlog results in revenue, the contracts may not be profitable.</w:t>
      </w:r>
    </w:p>
    <w:p>
      <w:pPr>
        <w:spacing w:after="0" w:line="200" w:lineRule="exact"/>
        <w:rPr>
          <w:sz w:val="20"/>
          <w:szCs w:val="20"/>
          <w:color w:val="auto"/>
        </w:rPr>
      </w:pPr>
    </w:p>
    <w:p>
      <w:pPr>
        <w:spacing w:after="0" w:line="21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4" w:right="379" w:bottom="1440" w:gutter="0" w:footer="0" w:header="0"/>
        </w:sectPr>
      </w:pPr>
    </w:p>
    <w:bookmarkStart w:id="17" w:name="page18"/>
    <w:bookmarkEnd w:id="1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2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Systems that we develop, integrate, maintain, or otherwise support could experience security breaches which may damage our reputation with our customers and hinder future contract win rates.</w:t>
      </w: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develop, integrate, maintain, or otherwise support systems and provide services that include managing and protecting information involved in intelligence, national security, and other sensitive government functions. Our systems also store, process, and transmit sensitive Company and government and commercial customer information, including personally identifiable, health and financial information. The cybersecurity threats we, our customers, and third parties face have grown more frequent and sophisticated, including but not limited to bad actors looking to augment traditional cyber tools and tradecraft with artificial intelligence capabilities that increase the speed, scale, and intricacy of threats, which may not be recognized until after they have been launched. A security breach, including from insider threats, could result in the exfiltration of our or our customers’ data and has the potential to do serious harm to our business, damage our reputation, prevent us from executing further work on sensitive systems for U.S. government or commercial customers, hinder future contract win rates, and/or cause us to incur significant expense to respond to and remediate the breach.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19" w:lineRule="exact"/>
        <w:rPr>
          <w:sz w:val="20"/>
          <w:szCs w:val="20"/>
          <w:color w:val="auto"/>
        </w:rPr>
      </w:pPr>
    </w:p>
    <w:p>
      <w:pPr>
        <w:ind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Certain services we provide and technologies we develop are designed to prevent, detect and monitor threats to our customers and may expose us or our customers and business partners to financial loss or physical or reputational harm.</w:t>
      </w: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We help our customers prevent, detect, monitor and mitigate threats to their people, information, and facilities. These threats may originate from nation states, terrorists or criminal actors, activist hackers, financially or politically motivated actors, or others who seek to harm our customers. Successful attacks on our customers may cause reputational harm to us and our customers and business partners, as well as liability to our customers or third parties. If we are associated with our customers and business partners in this regard, our staff, systems, information, and facilities may be targeted by a similar group of threat actors and may be at risk for financial loss or physical or reputational harm.</w:t>
      </w:r>
    </w:p>
    <w:p>
      <w:pPr>
        <w:spacing w:after="0" w:line="13"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We also design and develop technologies that are highly technical and complex and may contain errors, defects, or security vulnerabilities that cannot be discovered before they are released, installed, and used by our customers. The introduction of new and emerging technologies, such as AI, further increases this risk. Errors, defects or vulnerabilities in the technology we develop could disrupt our customers’ or their customers’ proper functioning of the technology, cause disruptions in our customers' business operations, or allow unauthorized access to proprietary information, which could cause reputational harm to us and our customers, and could have a material adverse effect on our business and results of operations.</w:t>
      </w:r>
    </w:p>
    <w:p>
      <w:pPr>
        <w:spacing w:after="0" w:line="11" w:lineRule="exact"/>
        <w:rPr>
          <w:sz w:val="20"/>
          <w:szCs w:val="20"/>
          <w:color w:val="auto"/>
        </w:rPr>
      </w:pPr>
    </w:p>
    <w:p>
      <w:pPr>
        <w:ind w:right="1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Internal system or service failures, or those of our vendors, including as a result of cyber or other security threats, could disrupt our business and impair our ability to effectively provide our services to our customers, which could damage our reputation and have a material adverse effect on our business and results of operations.</w:t>
      </w:r>
    </w:p>
    <w:p>
      <w:pPr>
        <w:ind w:firstLine="350"/>
        <w:spacing w:after="0" w:line="256" w:lineRule="auto"/>
        <w:rPr>
          <w:sz w:val="20"/>
          <w:szCs w:val="20"/>
          <w:color w:val="auto"/>
        </w:rPr>
      </w:pPr>
      <w:r>
        <w:rPr>
          <w:rFonts w:ascii="Times New Roman" w:cs="Times New Roman" w:eastAsia="Times New Roman" w:hAnsi="Times New Roman"/>
          <w:sz w:val="14"/>
          <w:szCs w:val="14"/>
          <w:color w:val="auto"/>
        </w:rPr>
        <w:t>We create, implement, integrate, and maintain information technology (“IT”) systems that (a) are often mission critical, (b) regularly involve sensitive information, (c) may be deployed within war zones or other hazardous environments, and/or (d) can include information whose confidentiality is protected by law or contract. Additionally, we maintain internal systems housing sensitive employee and confidential company data. As a result, our systems and IT work products are susceptible to systems or service failures resulting from technical complexity, failures of third-party service providers, natural disasters, power shortages, insider threats (including improper access to the Company’s, customers’ or third parties’ information or resources, employee error, or malfeasance), terrorist attacks, physical or electronic security breaches, cyber attacks, computer viruses, or similar events or disruptions. Our systems and IT work product are the target of constantly evolving cyber attack vectors, including malware, social engineering, denial-of-service attacks, malicious software programs, phishing, smishing, vishing, identity spoofing (including through the use of emerging technologies such as “deep fakes”), account takeovers, and other cyber attacks fueled by emerging technologies, such as artificial intelligence. We have observed an increase in the frequency and sophistication of the cyber and security threats these systems face, with attacks that are more advanced and persistent, targeting us because we hold classified, controlled unclassified, and other sensitive information. As a result, we and our vendors face a heightened risk of a security breach or disruption resulting from an attack by computer hackers, persons with access to systems inside our organization, foreign governments, and cyber terrorists.</w:t>
      </w: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18" w:name="page19"/>
    <w:bookmarkEnd w:id="1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5" w:lineRule="auto"/>
        <w:rPr>
          <w:sz w:val="20"/>
          <w:szCs w:val="20"/>
          <w:color w:val="auto"/>
        </w:rPr>
      </w:pPr>
      <w:r>
        <w:rPr>
          <w:rFonts w:ascii="Times New Roman" w:cs="Times New Roman" w:eastAsia="Times New Roman" w:hAnsi="Times New Roman"/>
          <w:sz w:val="14"/>
          <w:szCs w:val="14"/>
          <w:color w:val="auto"/>
        </w:rPr>
        <w:t>We have put in place policies, controls, and technologies to help detect and protect against such attacks, but we cannot guarantee that future incidents will not occur. If an incident occurs, we may not be able to successfully mitigate the impact. We have been the target of these types of attacks in the past, and attempted attacks are likely to continue. Due to the ongoing geopolitical conflicts in Europe and the Middle East, and increased tensions in Asia, state-sponsored parties or their supporters may launch retaliatory cyber attacks, and may attempt to conduct other geopolitically motivated retaliatory actions. Those same parties may also attempt to fraudulently induce employees or authorized third parties, including contractors, to disclose sensitive information in order to gain access to our systems or data, or that of our customers, or service providers. If successful, these types of attacks on our network or other systems or service failures could have a material adverse effect on our business and results of operations, due to, among other things, the loss of customer or proprietary data, interruptions or delays in our customers' businesses, or damage to our reputation. In addition, the failure or disruption of our systems, communications, vendors, or utilities could cause us to interrupt or suspend our operations, which could have a material adverse effect on our business and results of operations. If our employees, contractors, suppliers or other authorized third parties do not adhere (whether inadvertently or intentionally) to appropriate information security protocols, our protocols are inadequate, or our or our customers' sensitive information is released and/or compromised, we may experience significant negative impacts to our reputation and expose us or our customers to liability. We are not immune from the possibility of a malicious insider compromising our information systems and infrastructure, including but not limited to insiders exfiltrating the personal data of employees and customers, stealing corporate trade secrets and key financial metrics, illegally diverting funds, or intentionally disclosing our secrets (e.g., application credentials) to others in order to bypass our security policies and control mechanisms. No series of measures can fully safeguard against every insider threat. Refer to “Item 1C. Cybersecurity” for additional information about our cybersecurity risk management program.</w:t>
      </w:r>
    </w:p>
    <w:p>
      <w:pPr>
        <w:spacing w:after="0" w:line="26" w:lineRule="exact"/>
        <w:rPr>
          <w:sz w:val="20"/>
          <w:szCs w:val="20"/>
          <w:color w:val="auto"/>
        </w:rPr>
      </w:pPr>
    </w:p>
    <w:p>
      <w:pPr>
        <w:ind w:right="320" w:firstLine="350"/>
        <w:spacing w:after="0" w:line="284" w:lineRule="auto"/>
        <w:rPr>
          <w:sz w:val="20"/>
          <w:szCs w:val="20"/>
          <w:color w:val="auto"/>
        </w:rPr>
      </w:pPr>
      <w:r>
        <w:rPr>
          <w:rFonts w:ascii="Times New Roman" w:cs="Times New Roman" w:eastAsia="Times New Roman" w:hAnsi="Times New Roman"/>
          <w:sz w:val="14"/>
          <w:szCs w:val="14"/>
          <w:color w:val="auto"/>
        </w:rPr>
        <w:t>If our or our vendors' systems, services, or other applications have significant defects, errors, or vulnerabilities, are successfully attacked by cyber and other security threats, suffer delivery delays, or otherwise fail to meet our customers’ expectations, we may:</w:t>
      </w:r>
    </w:p>
    <w:p>
      <w:pPr>
        <w:spacing w:after="0" w:line="1" w:lineRule="exact"/>
        <w:rPr>
          <w:sz w:val="20"/>
          <w:szCs w:val="20"/>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revenue due to adverse customer reaction;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required to provide additional services to a customer at no charge;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costs related to remediation, monitoring, and enhancing our cybersecurity;</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lose revenue due to the deployment of employees for remediation efforts instead of customer assignments;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negative publicity, which could damage our reputation and credibility of our brand and adversely affect our ability to attract or retain customers or talent;</w:t>
      </w:r>
    </w:p>
    <w:p>
      <w:pPr>
        <w:spacing w:after="0" w:line="51" w:lineRule="exact"/>
        <w:rPr>
          <w:rFonts w:ascii="Times New Roman" w:cs="Times New Roman" w:eastAsia="Times New Roman" w:hAnsi="Times New Roman"/>
          <w:sz w:val="14"/>
          <w:szCs w:val="14"/>
          <w:color w:val="auto"/>
        </w:rPr>
      </w:pPr>
    </w:p>
    <w:p>
      <w:pPr>
        <w:ind w:left="520" w:right="42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unable to successfully market services that are reliant on the creation and maintenance of secure information technology systems to U.S. government, international, and commercial customers;</w:t>
      </w:r>
    </w:p>
    <w:p>
      <w:pPr>
        <w:ind w:left="520" w:right="26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suffer claims by customers, employees, or impacted third parties for substantial damages, particularly as a result of any successful network or systems breach and exfiltration of customer and/or third-party information;</w:t>
      </w:r>
    </w:p>
    <w:p>
      <w:pPr>
        <w:ind w:left="520" w:right="340" w:hanging="133"/>
        <w:spacing w:after="0" w:line="28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significant costs, including fines from government regulators, related to complying with applicable federal or state laws, including laws pertaining to the security and protection of personal information.</w:t>
      </w:r>
    </w:p>
    <w:p>
      <w:pPr>
        <w:spacing w:after="0" w:line="1" w:lineRule="exact"/>
        <w:rPr>
          <w:sz w:val="20"/>
          <w:szCs w:val="20"/>
          <w:color w:val="auto"/>
        </w:rPr>
      </w:pPr>
    </w:p>
    <w:p>
      <w:pPr>
        <w:jc w:val="both"/>
        <w:ind w:right="20" w:firstLine="350"/>
        <w:spacing w:after="0" w:line="264" w:lineRule="auto"/>
        <w:rPr>
          <w:sz w:val="20"/>
          <w:szCs w:val="20"/>
          <w:color w:val="auto"/>
        </w:rPr>
      </w:pPr>
      <w:r>
        <w:rPr>
          <w:rFonts w:ascii="Times New Roman" w:cs="Times New Roman" w:eastAsia="Times New Roman" w:hAnsi="Times New Roman"/>
          <w:sz w:val="14"/>
          <w:szCs w:val="14"/>
          <w:color w:val="auto"/>
        </w:rPr>
        <w:t>In addition, we may have insufficient recourse against our vendors for costs, losses or claims we incur as a result of or reliance on their systems, services or other applications having significant defects, errors, or vulnerabilities, or which are successfully attacked by cyber and other security threats, resulting in our inability to meet our customers’ expectations. Further, in addition to any costs resulting from contract performance or required corrective action, these failures may result in increased costs or loss of revenue if they result in customers postponing subsequently scheduled work or canceling or failing to renew contracts.</w:t>
      </w:r>
    </w:p>
    <w:p>
      <w:pPr>
        <w:spacing w:after="0" w:line="13" w:lineRule="exact"/>
        <w:rPr>
          <w:sz w:val="20"/>
          <w:szCs w:val="20"/>
          <w:color w:val="auto"/>
        </w:rPr>
      </w:pPr>
    </w:p>
    <w:p>
      <w:pPr>
        <w:ind w:right="120" w:firstLine="350"/>
        <w:spacing w:after="0" w:line="259" w:lineRule="auto"/>
        <w:rPr>
          <w:sz w:val="20"/>
          <w:szCs w:val="20"/>
          <w:color w:val="auto"/>
        </w:rPr>
      </w:pPr>
      <w:r>
        <w:rPr>
          <w:rFonts w:ascii="Times New Roman" w:cs="Times New Roman" w:eastAsia="Times New Roman" w:hAnsi="Times New Roman"/>
          <w:sz w:val="14"/>
          <w:szCs w:val="14"/>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may harm our customer relationships, and may adversely affect our ability to attract or retain talent. In certain new business areas, we may not be able to obtain sufficient insurance and may decide not to accept or solicit business in these areas.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19" w:name="page20"/>
    <w:bookmarkEnd w:id="1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2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Implementation of and compliance with various data privacy and cybersecurity laws, regulations and standards could require significant investment into ongoing compliance activities, trigger potential liability, and limit our ability to use personal data.</w:t>
      </w:r>
    </w:p>
    <w:p>
      <w:pPr>
        <w:ind w:right="40" w:firstLine="350"/>
        <w:spacing w:after="0" w:line="257" w:lineRule="auto"/>
        <w:rPr>
          <w:sz w:val="20"/>
          <w:szCs w:val="20"/>
          <w:color w:val="auto"/>
        </w:rPr>
      </w:pPr>
      <w:r>
        <w:rPr>
          <w:rFonts w:ascii="Times New Roman" w:cs="Times New Roman" w:eastAsia="Times New Roman" w:hAnsi="Times New Roman"/>
          <w:sz w:val="14"/>
          <w:szCs w:val="14"/>
          <w:color w:val="auto"/>
        </w:rPr>
        <w:t>Any failure by us, our vendors or other business partners to comply with international, U.S. federal, state or local laws and regulations regarding data privacy, including the protection of personal or confidential information of our customers or employees which we may handle and process, or cybersecurity could result in significant monetary damages, regulatory enforcement actions, fines, penalties, private litigation or claims, and/or criminal prosecution in one or more jurisdictions, including as a result of the perception of our practices, products, and services in relation to violations of individual privacy, data protection rights, or cybersecurity requirements. We may also incur substantial expenses in implementing and maintaining compliance with such laws and regulations, or anticipated laws and regulations, including those that require certain types of data to be retained on servers within these jurisdictions. These laws and regulations, and anticipated laws and regulations, are increasing in complexity and number, change frequently, sometimes conflict or create different requirements across jurisdictions, and are subject to interpretation by different regulators and courts, creating the possibility of different compliance measures or enforcement risks across jurisdictions, which may cause additional expenses for compliance with such laws and regulations. Our failure to comply with applicable laws and regulations may result in privacy claims or enforcement actions against us, including liabilities, fines and damage to our reputation, any of which may have a material adverse effect on our results of operations.</w:t>
      </w:r>
    </w:p>
    <w:p>
      <w:pPr>
        <w:spacing w:after="0" w:line="19" w:lineRule="exact"/>
        <w:rPr>
          <w:sz w:val="20"/>
          <w:szCs w:val="20"/>
          <w:color w:val="auto"/>
        </w:rPr>
      </w:pPr>
    </w:p>
    <w:p>
      <w:pPr>
        <w:ind w:right="40" w:firstLine="350"/>
        <w:spacing w:after="0" w:line="256" w:lineRule="auto"/>
        <w:rPr>
          <w:sz w:val="20"/>
          <w:szCs w:val="20"/>
          <w:color w:val="auto"/>
        </w:rPr>
      </w:pPr>
      <w:r>
        <w:rPr>
          <w:rFonts w:ascii="Times New Roman" w:cs="Times New Roman" w:eastAsia="Times New Roman" w:hAnsi="Times New Roman"/>
          <w:sz w:val="14"/>
          <w:szCs w:val="14"/>
          <w:color w:val="auto"/>
        </w:rPr>
        <w:t>For example, the European Union’s General Data Protection Regulation (the “GDPR”), and the United Kingdom’s GDPR impose compliance obligations on companies that process personal data of people in the European Union and United Kingdom, respectively. In the U.S., numerous federal, state, and local data privacy laws and regulations govern the collection, use, and processing of personal information, provide rights to residents of those respective states, in some cases including personal information collected from residents in the context of recruitment and employment, as well as business-to-business arrangements. Compliance with these laws, or emerging international, U.S. federal, state or local privacy laws, requires investments into compliance programs, investments to deploy, operate and maintain technology that enables compliance, potential modifications to business processes, ongoing data protection activities and documentation requirements, and creates the potential for fines, individual claims and other liabilities for noncompliance as well as litigation risks, particularly in the event of a data breach, and could have a material adverse effect on our business, including how we use personal information or our results of operations. Certain international, U.S. federal, state laws and regulations also impose obligations to maintain and implement an information security program that includes administrative, technical, physical, or organizational safeguards, as well as obligations to give notice to affected individuals and to certain regulators in the event of a data breach. We may be required to spend significant resources to comply with these information security and data breach legal requirements. A significant data breach (including various forms of external attack, such as ransomware, as well as data incidents resulting from internal actions or omissions) could have negative consequences for our business and future prospects, including possible penalties, fines, damages, reduced customer demand, legal claims against and by customers, personnel, business partners or other persons claiming to be affected, harm to our systems and operations and harm to our reputation and brand.</w:t>
      </w:r>
    </w:p>
    <w:p>
      <w:pPr>
        <w:spacing w:after="0" w:line="19"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In addition, as a contractor supporting defense and national security customers, we are subject to certain additional regulatory compliance requirements relating to data privacy and cybersecurity. Under the DFARS and other federal regulations, our networks and IT systems are required to comply with the security and privacy controls in certain National Institute of Standards and Technology Special Publications (“NIST SP”). To the extent that we do not comply with the applicable security and control requirements, unauthorized access or disclosure of sensitive information could result in a contract termination, which could have a material adverse effect on our business and financial results and lead to reputational harm. We are also subject to the Department of Defense Cybersecurity Maturity Model Certification (“CMMC”), requirements, which will require all contractors to receive specific certifications relating to specified cybersecurity standards in order to be eligible for contract awards. In addition, CMMC certification requirements may be required in modifications to existing contracts. To the extent we are unable to achieve certification in advance of applicable contract awards that specify the requirement, we will be unable to bid on such contract awards or on follow-on awards for existing work with the Department of Defense, depending on the level of standard as required for each solicitation, or be ineligible to receive option awards under existing contracts that specify the certification requirement, which could adversely impact our revenue and profitability. In addition, our subcontractors, and in some cases our vendors, may also be required to adhere to the CMMC program requirements and potentially to achieve certification. Should our supply chain fail to meet compliance requirements or achieve certification, this may adversely affect our ability to receive award or execute on relevant government programs. In addition, any obligations that may be imposed on us under the CMMC may be different from or in addition to those otherwise required by applicable laws and regulations, which may cause additional expense for compliance.</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0" w:name="page21"/>
    <w:bookmarkEnd w:id="2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develop and utilize artificial intelligence, which could expose us to risks including potential liability as well as regulatory, competition, reputational and other risks.</w:t>
      </w:r>
    </w:p>
    <w:p>
      <w:pPr>
        <w:spacing w:after="0" w:line="53" w:lineRule="exact"/>
        <w:rPr>
          <w:sz w:val="20"/>
          <w:szCs w:val="20"/>
          <w:color w:val="auto"/>
        </w:rPr>
      </w:pPr>
    </w:p>
    <w:p>
      <w:pPr>
        <w:ind w:right="20" w:firstLine="350"/>
        <w:spacing w:after="0" w:line="256" w:lineRule="auto"/>
        <w:rPr>
          <w:sz w:val="20"/>
          <w:szCs w:val="20"/>
          <w:color w:val="auto"/>
        </w:rPr>
      </w:pPr>
      <w:r>
        <w:rPr>
          <w:rFonts w:ascii="Times New Roman" w:cs="Times New Roman" w:eastAsia="Times New Roman" w:hAnsi="Times New Roman"/>
          <w:sz w:val="14"/>
          <w:szCs w:val="14"/>
          <w:color w:val="auto"/>
        </w:rPr>
        <w:t>We utilize artificial intelligence, including generative artificial intelligence, machine learning, and similar tools and technologies that collect, aggregate, analyze, or generate data or other materials (collectively, “AI”) in connection with our business. The development, deployment and oversight of the use of AI by us, either directly, through our suppliers, or by engaging third-party AI developers, as well as the use of AI by competitors, is expected to require us to invest substantially in AI technology resources and related governance. There are significant risks involved in using AI and no assurance can be provided that our use of AI will enhance our products or services, produce the intended results, or keep pace with the use of AI by our competitors. For example, AI algorithms may produce incomplete, insufficient, biased or otherwise flawed results or rely upon biased or inaccurate data, and any of these deficiencies may not be easily detectable despite internal policies and diligence efforts in place to mitigate such deficiencies. The degraded or flawed performance could also result from adversarial attacks that include data poisoning, malware risks, and evasion techniques. If the AI that we use produces deficient, inaccurate, or controversial results, or if public opinion of AI is adversely affected due to actual or perceived risks regarding the usage of AI, we could incur operational inefficiencies, competitive harm, legal liability, brand or reputational harm, or other adverse impacts on our business and results of operations. Further, ownership and intellectual property rights of content generated by artificial intelligence is a developing area. This presents unique complexity and challenges that could affect our business and impact our delivery of AI-driven solutions. If we, or the third-party AI developers on which we rely, do not have sufficient rights to use the data or other material relied upon by such AI technologies, we also may incur liability through the alleged violation of applicable laws and regulations, third-party intellectual property, data privacy, or other rights, or contractual obligations. Although we conduct diligence on third-party AI developers, we will not be able to control the manner in which third-party AI technologies are developed or maintained.</w:t>
      </w:r>
    </w:p>
    <w:p>
      <w:pPr>
        <w:spacing w:after="0" w:line="19" w:lineRule="exact"/>
        <w:rPr>
          <w:sz w:val="20"/>
          <w:szCs w:val="20"/>
          <w:color w:val="auto"/>
        </w:rPr>
      </w:pPr>
    </w:p>
    <w:p>
      <w:pPr>
        <w:ind w:right="20" w:firstLine="350"/>
        <w:spacing w:after="0" w:line="256" w:lineRule="auto"/>
        <w:rPr>
          <w:sz w:val="20"/>
          <w:szCs w:val="20"/>
          <w:color w:val="auto"/>
        </w:rPr>
      </w:pPr>
      <w:r>
        <w:rPr>
          <w:rFonts w:ascii="Times New Roman" w:cs="Times New Roman" w:eastAsia="Times New Roman" w:hAnsi="Times New Roman"/>
          <w:sz w:val="14"/>
          <w:szCs w:val="14"/>
          <w:color w:val="auto"/>
        </w:rPr>
        <w:t>Legal and regulatory frameworks related to the use of AI are evolving, including due to the perceived or actual risks of bias, lack of transparency, and information security. The technologies underlying AI and its uses are subject to a variety of laws and regulations, including intellectual property, data privacy and security, consumer protection, competition, and equal opportunity laws, and may be subject to new laws and regulations or new interpretations of existing laws and regulations. AI is the subject of ongoing review by various U.S. and foreign governmental and regulatory agencies. For example, there have been significant changes in U.S. AI policy introduced by the new presidential administration, including the rescinding of the prior administration’s October 2023 executive order on Safe, Secure, and Trustworthy Artificial Intelligence. In addition, in March 2024, the EU enacted a new regulation applicable to certain AI technologies and the data used to train, test and deploy them. The enactment or expansion of laws and regulations related to the use of AI in our operations could result in increased compliance costs related to our use of AI, while the persistence of regulatory ambiguity results in uncertainty regarding potential compliance obligations and presents challenges to longer-term strategic decision-making. Additionally, we may not always be able to anticipate how courts and regulators will apply existing laws to AI, predict how new legal frameworks will develop to address AI, or otherwise respond to these frameworks as they are still rapidly evolving. We may also have to expend resources to adjust our offerings in certain jurisdictions if the legal frameworks on AI are not consistent across jurisdictions. Furthermore, it is not possible to predict all the operational or technological risks that may arise relating to the use of AI, any of which may materially and adversely affect our business and results of operations.</w:t>
      </w:r>
    </w:p>
    <w:p>
      <w:pPr>
        <w:spacing w:after="0" w:line="23"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Further, we face significant competition from other companies that are developing their own AI features and technologies. Other companies may develop AI features and technologies that are similar or superior to our technologies or are more cost-effective to develop and deploy. Additionally, while AI is currently the focus of significant investment and strategic prioritization, there is a risk that if the expected value of AI does not materialize at scale, or if high-profile AI failures emerge, customers may reassess their AI plans, which could lead to reduced funding and a reduction in certain of our AI initiatives. These factors could materially and adversely affect our business, financial condition and results of operations.</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fail to attract, train, and retain skilled and qualified employees, which may impair our ability to generate revenue, effectively serve our customers, and execute our growth strategy.</w:t>
      </w:r>
    </w:p>
    <w:p>
      <w:pPr>
        <w:spacing w:after="0" w:line="5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Our business depends in large part upon our ability to attract and retain sufficient numbers of highly qualified individuals who may have advanced degrees and/or appropriate security clearances. We compete for such qualified personnel with other U.S. government contractors, the U.S. government, and private industry, and such competition is intense. Personnel with the requisite skills, qualifications, or security clearance may be in short supply or generally unavailable. The government and industry have recognized that the current process for obtaining security clearances is time-consuming, sometimes taking years to complete, and can present a risk to customer mission. See “—We may fail to obtain and maintain necessary security clearances which may adversely affect our ability to perform on certain contracts.”</w:t>
      </w:r>
    </w:p>
    <w:p>
      <w:pPr>
        <w:spacing w:after="0" w:line="16"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Our ability to attract and retain skilled and qualified employees may also be impacted by our engagements in, or perceived connections to, politically or socially sensitive activities.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1" w:name="page22"/>
    <w:bookmarkEnd w:id="2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employees to civil or criminal penalties. Additionally, our ability to attract, hire, and retain skilled and qualified employees may be impacted by pandemics, epidemics or similar disease outbreaks.</w:t>
      </w:r>
    </w:p>
    <w:p>
      <w:pPr>
        <w:spacing w:after="0" w:line="51"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Adverse labor and economic market conditions and intense competition for skilled personnel may inhibit our ability to recruit new employees, including any necessary actions in response to any pandemics, epidemics or similar disease outbreaks. If we are unable to recruit and retain a sufficient number of qualified employees, or cannot obtain their appropriate security clearances in a timely manner, or fail to deploy such employees, our ability to maintain and grow our business and to effectively serve our customers could be limited and our future revenue and results of operations could be materially and adversely affected. Furthermore, to the extent that we are unable to make necessary permanent hires to appropriately serve our customers, we could be required to engage larger numbers of contracted personnel, which could reduce our profit margins.</w:t>
      </w:r>
    </w:p>
    <w:p>
      <w:pPr>
        <w:spacing w:after="0" w:line="16" w:lineRule="exact"/>
        <w:rPr>
          <w:sz w:val="20"/>
          <w:szCs w:val="20"/>
          <w:color w:val="auto"/>
        </w:rPr>
      </w:pPr>
    </w:p>
    <w:p>
      <w:pPr>
        <w:jc w:val="both"/>
        <w:ind w:right="100" w:firstLine="350"/>
        <w:spacing w:after="0" w:line="270" w:lineRule="auto"/>
        <w:rPr>
          <w:sz w:val="20"/>
          <w:szCs w:val="20"/>
          <w:color w:val="auto"/>
        </w:rPr>
      </w:pPr>
      <w:r>
        <w:rPr>
          <w:rFonts w:ascii="Times New Roman" w:cs="Times New Roman" w:eastAsia="Times New Roman" w:hAnsi="Times New Roman"/>
          <w:sz w:val="14"/>
          <w:szCs w:val="14"/>
          <w:color w:val="auto"/>
        </w:rPr>
        <w:t>If we are able to attract sufficient numbers of qualified new hires, training and retention costs may place significant demands on our resources. In addition, to the extent we experience attrition in our employee ranks, we may realize only a limited or no return on such invested resources, and we would have to expend additional resources to hire and train replacement employees. The loss of key personnel could also impair our ability to perform required services under some of our contracts and to retain such contracts, as well as our ability to win new business.</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fail to obtain and maintain necessary security clearances which may adversely affect our ability to perform on certain contracts.</w:t>
      </w:r>
    </w:p>
    <w:p>
      <w:pPr>
        <w:spacing w:after="0" w:line="53"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Many U.S. government programs require contractor employees and facilities to have security clearances. Security clearances are issued at the discretion of the U.S. government and there can be no assurance that we will be able to obtain or maintain the security clearances necessary to perform our contracts. Depending on the level of required clearance, security clearances can be difficult and time-consuming to obtain. In the current environment we are seeing delays by the U.S. government in the processing of security clearances and there have been recent examples of large numbers of security clearances being revoked by executive orders by the new presidential administration. If we or our employees are unable to obtain or retain necessary security clearances in a timely manner, or a significant number of our employees lose security clearances, we may not be able to win new business, and our existing customers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effectively rebid on expiring contracts, or retain existing contracts, which may adversely affect our operating results and inhibit the execution of our growth strategy.</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profitability could suffer if we are not able to timely and effectively utilize our employees or manage our cost structure.</w:t>
      </w:r>
    </w:p>
    <w:p>
      <w:pPr>
        <w:spacing w:after="0" w:line="53" w:lineRule="exact"/>
        <w:rPr>
          <w:sz w:val="20"/>
          <w:szCs w:val="20"/>
          <w:color w:val="auto"/>
        </w:rPr>
      </w:pPr>
    </w:p>
    <w:p>
      <w:pPr>
        <w:ind w:right="380" w:firstLine="350"/>
        <w:spacing w:after="0" w:line="284" w:lineRule="auto"/>
        <w:rPr>
          <w:sz w:val="20"/>
          <w:szCs w:val="20"/>
          <w:color w:val="auto"/>
        </w:rPr>
      </w:pPr>
      <w:r>
        <w:rPr>
          <w:rFonts w:ascii="Times New Roman" w:cs="Times New Roman" w:eastAsia="Times New Roman" w:hAnsi="Times New Roman"/>
          <w:sz w:val="14"/>
          <w:szCs w:val="14"/>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 w:lineRule="exact"/>
        <w:rPr>
          <w:sz w:val="20"/>
          <w:szCs w:val="20"/>
          <w:color w:val="auto"/>
        </w:rPr>
      </w:pPr>
    </w:p>
    <w:p>
      <w:pPr>
        <w:ind w:left="520" w:hanging="13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transition employees from completed projects to new assignments and to hire, assimilate, and deploy new employees;</w:t>
      </w:r>
    </w:p>
    <w:p>
      <w:pPr>
        <w:spacing w:after="0" w:line="51" w:lineRule="exact"/>
        <w:rPr>
          <w:rFonts w:ascii="Times New Roman" w:cs="Times New Roman" w:eastAsia="Times New Roman" w:hAnsi="Times New Roman"/>
          <w:sz w:val="14"/>
          <w:szCs w:val="14"/>
          <w:color w:val="auto"/>
        </w:rPr>
      </w:pPr>
    </w:p>
    <w:p>
      <w:pPr>
        <w:ind w:left="520" w:right="100" w:hanging="133"/>
        <w:spacing w:after="0" w:line="284" w:lineRule="auto"/>
        <w:tabs>
          <w:tab w:leader="none" w:pos="51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demand for our services and to maintain and deploy headcount that is aligned with demand, including employees with the right mix of skills and experience to support our projects;</w:t>
      </w:r>
    </w:p>
    <w:p>
      <w:pPr>
        <w:ind w:left="520" w:hanging="13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employees’ inability to obtain or retain necessary security clearances;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manage attrition;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devote time and resources to training, business development, and other non-chargeable activities.</w:t>
      </w:r>
    </w:p>
    <w:p>
      <w:pPr>
        <w:spacing w:after="0" w:line="51" w:lineRule="exact"/>
        <w:rPr>
          <w:sz w:val="20"/>
          <w:szCs w:val="20"/>
          <w:color w:val="auto"/>
        </w:rPr>
      </w:pPr>
    </w:p>
    <w:p>
      <w:pPr>
        <w:ind w:right="500" w:firstLine="350"/>
        <w:spacing w:after="0" w:line="284" w:lineRule="auto"/>
        <w:rPr>
          <w:sz w:val="20"/>
          <w:szCs w:val="20"/>
          <w:color w:val="auto"/>
        </w:rPr>
      </w:pPr>
      <w:r>
        <w:rPr>
          <w:rFonts w:ascii="Times New Roman" w:cs="Times New Roman" w:eastAsia="Times New Roman" w:hAnsi="Times New Roman"/>
          <w:sz w:val="14"/>
          <w:szCs w:val="14"/>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1"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expenses and achieve efficiencies, our competitiveness and profitability may be adversely affected.</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2" w:name="page23"/>
    <w:bookmarkEnd w:id="2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2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Global inflationary pressures and new or increased tariffs on certain imports have increased the prices of goods and services, which could raise the costs associated with providing our services, diminish our ability to compete for new contracts or task orders, and/or reduce customer buying power.</w:t>
      </w:r>
    </w:p>
    <w:p>
      <w:pPr>
        <w:ind w:right="40" w:firstLine="350"/>
        <w:spacing w:after="0" w:line="257" w:lineRule="auto"/>
        <w:rPr>
          <w:sz w:val="20"/>
          <w:szCs w:val="20"/>
          <w:color w:val="auto"/>
        </w:rPr>
      </w:pPr>
      <w:r>
        <w:rPr>
          <w:rFonts w:ascii="Times New Roman" w:cs="Times New Roman" w:eastAsia="Times New Roman" w:hAnsi="Times New Roman"/>
          <w:sz w:val="14"/>
          <w:szCs w:val="14"/>
          <w:color w:val="auto"/>
        </w:rPr>
        <w:t>For a variety of reasons, including geopolitical factors, the global economy in which we operate has faced, and may continue to face, heightened inflationary pressure, impacting the cost of doing business (in both supply and labor markets). These inflationary pressures have been and could continue to be exacerbated by geopolitical turmoil and economic policy actions, including new or increased tariffs on certain imports from other countries, and the duration of such pressures is uncertain. We generate revenue through various fixed price and multi-year government contracts, our primary customer being the U.S. government, which has traditionally been viewed as less affected by inflationary pressures. However, our approach to include modest annual price escalations in our bids for multi-year work may be insufficient to counter inflationary cost pressures, which may result in significant cost overruns on each contract. In addition, new or increased tariffs could result in increased costs for hardware and other goods necessary to support business operations. This could result in reduced profits, or even losses, as inflation increases, particularly for fixed-priced contracts, and our longer-term multi-year contracts as contractual prices become less favorable to us over time. In the competitive environment in which we operate as a government contractor, the lack of pricing leverage and power to renegotiate long-term, multi-year contracts, coupled with reduced customer buying power as a result of inflation, could reduce our profits, disrupt our business, or otherwise materially adversely affect our results of operations.</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Deterioration of economic conditions or weakening in credit or capital markets may have a material adverse effect on our business, results of operations and financial condition.</w:t>
      </w:r>
    </w:p>
    <w:p>
      <w:pPr>
        <w:spacing w:after="0" w:line="5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Volatile, negative, or uncertain economic conditions, an increase in the likelihood of a recession, or concerns about these or other similar risks may negatively impact our customers’ ability and willingness to fund their projects. Our customers reducing, postponing or cancelling spending on projects in respect of which we provide services may reduce demand for our services quickly and with little warning, which could have a material adverse effect on our business, results of operations and financial condition.</w:t>
      </w:r>
    </w:p>
    <w:p>
      <w:pPr>
        <w:spacing w:after="0" w:line="8" w:lineRule="exact"/>
        <w:rPr>
          <w:sz w:val="20"/>
          <w:szCs w:val="20"/>
          <w:color w:val="auto"/>
        </w:rPr>
      </w:pPr>
    </w:p>
    <w:p>
      <w:pPr>
        <w:ind w:right="140" w:firstLine="350"/>
        <w:spacing w:after="0" w:line="259" w:lineRule="auto"/>
        <w:rPr>
          <w:sz w:val="20"/>
          <w:szCs w:val="20"/>
          <w:color w:val="auto"/>
        </w:rPr>
      </w:pPr>
      <w:r>
        <w:rPr>
          <w:rFonts w:ascii="Times New Roman" w:cs="Times New Roman" w:eastAsia="Times New Roman" w:hAnsi="Times New Roman"/>
          <w:sz w:val="14"/>
          <w:szCs w:val="14"/>
          <w:color w:val="auto"/>
        </w:rPr>
        <w:t>Moreover, instability in the credit or capital markets in the U.S., including as a result of failures of financial institutions and any related market-wide reduction in liquidity, or concerns or rumors about events of these kinds or similar risks, could affect the availability of credit, making it relatively difficult or expensive to obtain additional capital at competitive rates, on commercially reasonable terms or in sufficient amounts, or at all, thus making it more difficult or expensive for us to access funds or refinance our existing indebtedness, or obtain financing for acquisitions. Such instability could also cause counterparties, including vendors, suppliers and subcontractors, to be unable to perform their obligations, or to breach their obligations, to us under our contracts with them. In addition, instability in the credit or capital markets could negatively impact our customers’ ability to fund their project and, therefore, utilize our services, which could have a material adverse effect on our business, results of operations and financial condition.</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lose one or more members of our senior management team or fail to develop new leaders, which could cause the disruption of the management of our business.</w:t>
      </w:r>
    </w:p>
    <w:p>
      <w:pPr>
        <w:spacing w:after="0" w:line="53"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customers are important to our business and our ability to identify new business opportunities. The loss of any member of our senior management or our failure to continue to develop new members could impair our ability to identify and secure new contracts, to maintain good customer relations, and to otherwise manage our business.</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employees or subcontractors may engage in misconduct or other improper activities, which could harm our ability to conduct business with the U.S. government.</w:t>
      </w:r>
    </w:p>
    <w:p>
      <w:pPr>
        <w:spacing w:after="0" w:line="5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are exposed to the risk that fraud or other misconduct by employees, subcontractors, suppliers or other third parties with which we do business could occur. Misconduct by employees, subcontractors or suppliers could include intentional or unintentional failures to comply with U.S. government procurement regulations, engaging in other unauthorized activities, misusing authorized access, or falsifying time records. Misconduct could also involve the improper use or mishandling of our customers’ sensitive or classified information, or the inadvertent or intentional disclosure of our or our customers' sensitive information in violation of our contractual, statutory, or regulatory obligations, among other things. It is not always possible to deter employee, subcontractor, or supplier misconduct, and the precautions we take to prevent and detect this activity may not always be effective in controlling unknown or unmanaged risks or losses, which could materially harm our business. As a result of such misconduct, our employees could lose their security clearances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200" w:lineRule="exact"/>
        <w:rPr>
          <w:sz w:val="20"/>
          <w:szCs w:val="20"/>
          <w:color w:val="auto"/>
        </w:rPr>
      </w:pPr>
    </w:p>
    <w:p>
      <w:pPr>
        <w:spacing w:after="0" w:line="21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3" w:name="page24"/>
    <w:bookmarkEnd w:id="2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from many competitors, which could cause us to lose business, lower prices and suffer employee departures.</w:t>
      </w:r>
    </w:p>
    <w:p>
      <w:pPr>
        <w:spacing w:after="0" w:line="53"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There is also a significant industry trend towards consolidation, which may result in the emergence of companies that are better able to compete against us. Some of these companies possess greater financial resources and larger technical staffs, and others have smaller and more specialized staffs. These competitors could, among other things:</w:t>
      </w:r>
    </w:p>
    <w:p>
      <w:pPr>
        <w:spacing w:after="0" w:line="13" w:lineRule="exact"/>
        <w:rPr>
          <w:sz w:val="20"/>
          <w:szCs w:val="20"/>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acquisitions of businesses, or establish teaming or other agreements among themselves or third parties, that allow them to offer more competitive and comprehensive solutions;</w:t>
      </w:r>
    </w:p>
    <w:p>
      <w:pPr>
        <w:spacing w:after="0" w:line="51" w:lineRule="exact"/>
        <w:rPr>
          <w:rFonts w:ascii="Times New Roman" w:cs="Times New Roman" w:eastAsia="Times New Roman" w:hAnsi="Times New Roman"/>
          <w:sz w:val="14"/>
          <w:szCs w:val="14"/>
          <w:color w:val="auto"/>
        </w:rPr>
      </w:pPr>
    </w:p>
    <w:p>
      <w:pPr>
        <w:ind w:left="520" w:right="560" w:hanging="133"/>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 sales from us by winning very large-scale government contracts, a risk that is enhanced by the recent trend in government procurement practices to bundle services into larger contracts;</w:t>
      </w: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force us to charge lower prices in order to win or maintain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to hire our employees;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adversely affect our relationships with current customers, including our ability to continue to win competitively awarded engagements where we are the incumbent.</w:t>
      </w:r>
    </w:p>
    <w:p>
      <w:pPr>
        <w:spacing w:after="0" w:line="5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11" w:lineRule="exact"/>
        <w:rPr>
          <w:sz w:val="20"/>
          <w:szCs w:val="20"/>
          <w:color w:val="auto"/>
        </w:rPr>
      </w:pPr>
    </w:p>
    <w:p>
      <w:pPr>
        <w:ind w:right="3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failure to maintain strong relationships with other contractors, or the failure of contractors with which we have entered into a sub- or prime-contractor relationship to meet their obligations to us or our customers, could have a material adverse effect on our business and results of operations.</w:t>
      </w:r>
    </w:p>
    <w:p>
      <w:pPr>
        <w:ind w:right="140" w:firstLine="350"/>
        <w:spacing w:after="0" w:line="261" w:lineRule="auto"/>
        <w:rPr>
          <w:sz w:val="20"/>
          <w:szCs w:val="20"/>
          <w:color w:val="auto"/>
        </w:rPr>
      </w:pPr>
      <w:r>
        <w:rPr>
          <w:rFonts w:ascii="Times New Roman" w:cs="Times New Roman" w:eastAsia="Times New Roman" w:hAnsi="Times New Roman"/>
          <w:sz w:val="14"/>
          <w:szCs w:val="14"/>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or increased regulatory scrutiny or regulations governing information sharing and related practices,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16"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customer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customer terminating a contract for default. A termination for default could expose us to liability and have an adverse effect on our ability to compete for future contracts and orders.</w:t>
      </w:r>
    </w:p>
    <w:p>
      <w:pPr>
        <w:spacing w:after="0" w:line="19"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 result of, among other things, the prime contractor’s inability to fulfill the contract.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4" w:name="page25"/>
    <w:bookmarkEnd w:id="2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delay in the completion of the U.S. government’s budget process, including as a result of a failure to raise the debt ceiling, could result in a reduction in our backlog and have a material adverse effect on our revenue and operating results.</w:t>
      </w: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On March 15, 2025, the President signed into law the Full-Year Continuing Appropriations and Extensions Act, 2025, which funds the U.S. government under a continuing resolution through September 30, 2025, its fiscal year end. To the extent the U.S. Congress is unable to approve the annual federal budget before the expiration of this continuing resolution, funding for new projects may not be available and funding on contracts we are already performing may be delayed. If Congressional efforts to approve such funding fail, and Congress is unable to craft a long-term agreement on the U.S. government’s ability to incur indebtedness in excess of its current limits, the U.S. government may not be able to fulfill its current funding obligations and there could be significant disruption to all discretionary programs, which would have corresponding impacts on us and our industry. Any such delays would likely result in new business initiatives being delayed or canceled and a reduction in our backlog, and could have a material adverse effect on our revenue and operating results.</w:t>
      </w:r>
    </w:p>
    <w:p>
      <w:pPr>
        <w:spacing w:after="0" w:line="19"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addition, a failure to complete the budget process and fund government operations pursuant to a continuing resolution may result in a U.S. government shutdown, which could result in us incurring substantial costs without reimbursement under our contracts. The delay or cancellation of key programs or the delay of contract payments may have a material adverse effect on our revenue and operating results. In addition, when supplemental appropriations are required to operate the U.S. government or fund specific programs and the passage of legislation needed to approve any supplemental appropriation bill is delayed, the overall funding environment for our business could be adversely affected.</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face certain significant risk exposures and potential liabilities that may not be adequately covered by indemnity or insurance.</w:t>
      </w:r>
    </w:p>
    <w:p>
      <w:pPr>
        <w:spacing w:after="0" w:line="53"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A significant portion of our business relates to designing, developing, and implementing advanced defense and technology systems and products, including cybersecurity products and services. New technologies may be untested or unproven, and insurance may not be available. We maintain insurance policies that mitigate against risk and potential liabilities related to our operations, including data breaches. This insurance is maintained in amounts that we believe are reasonable. However, our insurance coverage may not be adequate to cover those claims or liabilities, and we may be forced to bear significant costs from an accident or incident.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or liquidity.</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Failure to adequately protect, maintain, or enforce our rights in our intellectual property may adversely limit our competitive position.</w:t>
      </w:r>
    </w:p>
    <w:p>
      <w:pPr>
        <w:spacing w:after="0" w:line="5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rely upon a combination of nondisclosure agreements, licenses, and other contractual arrangements, as well as employment, copyright, trademark, patent, and trade secret laws to protect our proprietary information. We also enter into proprietary information and intellectual property agreements with employees, which require them to disclose any inventions created prior to and during employment. Inventions created during employment require inventors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trade secrets, trademarks,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 We will also need to continue to respond to and anticipate changes resulting from disruptive technologies, including from AI. If we are not successful in protecting and preserving our intellectual property rights and licenses, including trade secrets, or in staying ahead of developing AI technologies and strategically incorporating them into our business, our business and financial performance could be materially and adversely affected.</w:t>
      </w:r>
    </w:p>
    <w:p>
      <w:pPr>
        <w:spacing w:after="0" w:line="19" w:lineRule="exact"/>
        <w:rPr>
          <w:sz w:val="20"/>
          <w:szCs w:val="20"/>
          <w:color w:val="auto"/>
        </w:rPr>
      </w:pPr>
    </w:p>
    <w:p>
      <w:pPr>
        <w:ind w:right="4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In recent years, there has been significant litigation involving intellectual property rights in technology industries. We may face from time to time, allegations that we or a supplier or customer have violated the rights of third parties, including patent, copyright, trademark, trade secret,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13"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5" w:name="page26"/>
    <w:bookmarkEnd w:id="2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2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focus on new growth areas for our business entails risks, including those associated with new relationships, customers, talent needs, capabilities, service offerings, and maintaining our collaborative culture and core values.</w:t>
      </w:r>
    </w:p>
    <w:p>
      <w:pPr>
        <w:ind w:firstLine="350"/>
        <w:spacing w:after="0" w:line="256" w:lineRule="auto"/>
        <w:rPr>
          <w:sz w:val="20"/>
          <w:szCs w:val="20"/>
          <w:color w:val="auto"/>
        </w:rPr>
      </w:pPr>
      <w:r>
        <w:rPr>
          <w:rFonts w:ascii="Times New Roman" w:cs="Times New Roman" w:eastAsia="Times New Roman" w:hAnsi="Times New Roman"/>
          <w:sz w:val="14"/>
          <w:szCs w:val="14"/>
          <w:color w:val="auto"/>
        </w:rPr>
        <w:t>We are focused on growing our presence in our addressable markets by: expanding our relationships with existing customers, acquiring new customers by leveraging our core competencies, further developing our existing capabilities and service offerings, creating new capabilities and service offerings to address our customers' emerging needs, and undertaking business development efforts focused on identifying near-term developments and long-term trends that may pose significant challenges for our customers. These efforts entail inherent risks associated with innovation and competition from other participants in those areas, potential failure to help our customers respond to the challenges they face, our ability to comply with uncertain evolving legal standards applicable to certain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including the GDPR. See “—Implementation of and compliance with various data privacy and cybersecurity laws, regulations and standards could require significant investment into ongoing compliance activities, trigger potential liability, and limit our ability to use personal data.” As we attempt to develop new relationships, customers,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21"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The needs of our customers change and evolve regularly due to complex and rapidly changing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financial condition.</w:t>
      </w:r>
    </w:p>
    <w:p>
      <w:pPr>
        <w:spacing w:after="0" w:line="16" w:lineRule="exact"/>
        <w:rPr>
          <w:sz w:val="20"/>
          <w:szCs w:val="20"/>
          <w:color w:val="auto"/>
        </w:rPr>
      </w:pPr>
    </w:p>
    <w:p>
      <w:pPr>
        <w:jc w:val="both"/>
        <w:ind w:right="60" w:firstLine="350"/>
        <w:spacing w:after="0" w:line="270" w:lineRule="auto"/>
        <w:rPr>
          <w:sz w:val="20"/>
          <w:szCs w:val="20"/>
          <w:color w:val="auto"/>
        </w:rPr>
      </w:pPr>
      <w:r>
        <w:rPr>
          <w:rFonts w:ascii="Times New Roman" w:cs="Times New Roman" w:eastAsia="Times New Roman" w:hAnsi="Times New Roman"/>
          <w:sz w:val="14"/>
          <w:szCs w:val="14"/>
          <w:color w:val="auto"/>
        </w:rPr>
        <w:t>Our ability to grow our business by leveraging our operating model to efficiently and effectively deploy our people across our customer base is also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8"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addition, with the growth of our U.S. and international operations, we are providing customer services and undertaking business development efforts in numerous and disparate geographic locations both domestically and in select international locations. Our ability to effectively serve our customers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11" w:lineRule="exact"/>
        <w:rPr>
          <w:sz w:val="20"/>
          <w:szCs w:val="20"/>
          <w:color w:val="auto"/>
        </w:rPr>
      </w:pPr>
    </w:p>
    <w:p>
      <w:pPr>
        <w:ind w:right="5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to our operating structure, capabilities, or strategy intended to address our customers’ needs, respond to developments in our markets, and grow our business may not be successful.</w:t>
      </w:r>
    </w:p>
    <w:p>
      <w:pPr>
        <w:jc w:val="both"/>
        <w:ind w:right="180" w:firstLine="350"/>
        <w:spacing w:after="0" w:line="270" w:lineRule="auto"/>
        <w:rPr>
          <w:sz w:val="20"/>
          <w:szCs w:val="20"/>
          <w:color w:val="auto"/>
        </w:rPr>
      </w:pPr>
      <w:r>
        <w:rPr>
          <w:rFonts w:ascii="Times New Roman" w:cs="Times New Roman" w:eastAsia="Times New Roman" w:hAnsi="Times New Roman"/>
          <w:sz w:val="14"/>
          <w:szCs w:val="14"/>
          <w:color w:val="auto"/>
        </w:rPr>
        <w:t>We routinely review our operating structure, capabilities and strategy to determine whether we are effectively meeting the needs of customers, effectively responding to developments in our markets and successfully building platforms intended to provide the foundation to support the future growth of our business. The outcome of any such review is difficult to predict and the extent of changes to our business following such a review, if any, are dependent in part upon the nature and extent of the review.</w:t>
      </w:r>
    </w:p>
    <w:p>
      <w:pPr>
        <w:spacing w:after="0" w:line="8"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The implementation of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6" w:name="page27"/>
    <w:bookmarkEnd w:id="2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Many of our contracts with the U.S. government are classified or subject to other security restrictions, which may limit insight into portions of our business.</w:t>
      </w:r>
    </w:p>
    <w:p>
      <w:pPr>
        <w:spacing w:after="0" w:line="53" w:lineRule="exact"/>
        <w:rPr>
          <w:sz w:val="20"/>
          <w:szCs w:val="20"/>
          <w:color w:val="auto"/>
        </w:rPr>
      </w:pPr>
    </w:p>
    <w:p>
      <w:pPr>
        <w:ind w:right="20" w:firstLine="350"/>
        <w:spacing w:after="0" w:line="258" w:lineRule="auto"/>
        <w:rPr>
          <w:sz w:val="20"/>
          <w:szCs w:val="20"/>
          <w:color w:val="auto"/>
        </w:rPr>
      </w:pPr>
      <w:r>
        <w:rPr>
          <w:rFonts w:ascii="Times New Roman" w:cs="Times New Roman" w:eastAsia="Times New Roman" w:hAnsi="Times New Roman"/>
          <w:sz w:val="14"/>
          <w:szCs w:val="14"/>
          <w:color w:val="auto"/>
        </w:rPr>
        <w:t>We derive a substantial portion of our revenue from contracts with the U.S. government that are classified or subject to security restrictions that preclude the dissemination of certain information.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A significant number of our employees have security clearances which preclude them from providing information regarding certain customers and services provided to such customers to other employees (or members of our board of directors) without security clearances and investors. Because we are limited in our ability to provide information about these contracts and services, the various risks associated with these contracts or services or any dispute or claims relating to such contracts or services, important information concerning our business may not be available, which may limit insight into a substantial portion of our business and reduce the ability to fully evaluate the risks related to that portion of our business.</w:t>
      </w:r>
    </w:p>
    <w:p>
      <w:pPr>
        <w:spacing w:after="0" w:line="17" w:lineRule="exact"/>
        <w:rPr>
          <w:sz w:val="20"/>
          <w:szCs w:val="20"/>
          <w:color w:val="auto"/>
        </w:rPr>
      </w:pPr>
    </w:p>
    <w:p>
      <w:pPr>
        <w:ind w:right="5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ind w:right="140" w:firstLine="350"/>
        <w:spacing w:after="0" w:line="259" w:lineRule="auto"/>
        <w:rPr>
          <w:sz w:val="20"/>
          <w:szCs w:val="20"/>
          <w:color w:val="auto"/>
        </w:rPr>
      </w:pPr>
      <w:r>
        <w:rPr>
          <w:rFonts w:ascii="Times New Roman" w:cs="Times New Roman" w:eastAsia="Times New Roman" w:hAnsi="Times New Roman"/>
          <w:sz w:val="14"/>
          <w:szCs w:val="14"/>
          <w:color w:val="auto"/>
        </w:rPr>
        <w:t>We depend on the timely collection of our receivables to generate cash flow, provide working capital, and continue our business operations. If the U.S. or any other government or any prime contractor for whom we are a subcontractor fails to pay or delays the payment of invoices for any reason, our business and financial condition may be materially and adversely affected. The U.S. or any other government may delay or fail to pay invoices for a number of reasons, including lack of appropriated funds, lack of an approved budget, lack of revised or final settled billing rates as a result of open audit years or as a result of audit findings by government regulatory agencies. Some prime contractors for whom we are a subcontractor have significantly fewer financial resources than we do, which may increase the risk that we may not be paid in full or that payment may be delayed. In recent months, we have experienced, and may continue to experience, delays in the payment of invoices by our U.S. government customers. Should such delays become significant, there may be a material and adverse affect to our business.</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may consummate acquisitions, investments, joint ventures and divestitures, which involve numerous risks and uncertainties.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As part of our operating strategy, we continually monitor U.S. government spending and budgetary priorities to align our investments in new capabilities to drive organic growth, and selectively pursue acquisitions, investments, partnerships, and joint ventures that broaden our domain expertise and service offerings, and/or establish relationships with new customers. These transactions pose many risks, including:</w:t>
      </w:r>
    </w:p>
    <w:p>
      <w:pPr>
        <w:spacing w:after="0" w:line="8" w:lineRule="exact"/>
        <w:rPr>
          <w:sz w:val="20"/>
          <w:szCs w:val="20"/>
          <w:color w:val="auto"/>
        </w:rPr>
      </w:pPr>
    </w:p>
    <w:p>
      <w:pPr>
        <w:ind w:left="520" w:hanging="13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identify suitable acquisition and investment candidates at prices we consider attractive;</w:t>
      </w:r>
    </w:p>
    <w:p>
      <w:pPr>
        <w:spacing w:after="0" w:line="51" w:lineRule="exact"/>
        <w:rPr>
          <w:rFonts w:ascii="Times New Roman" w:cs="Times New Roman" w:eastAsia="Times New Roman" w:hAnsi="Times New Roman"/>
          <w:sz w:val="14"/>
          <w:szCs w:val="14"/>
          <w:color w:val="auto"/>
        </w:rPr>
      </w:pPr>
    </w:p>
    <w:p>
      <w:pPr>
        <w:ind w:left="520" w:right="40" w:hanging="133"/>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continued uncertainties in economic conditions and U.S. government spending (generally and/or specific agencies) and mission priorities, acquisition and investment candidates may choose to delay entering into acquisition or investment transactions;</w:t>
      </w:r>
    </w:p>
    <w:p>
      <w:pPr>
        <w:jc w:val="both"/>
        <w:ind w:left="520" w:right="140" w:hanging="133"/>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compete successfully for identified acquisition and investment candidates, complete acquisitions and investments on intended terms and timeline (including, without limitation, by failing to obtain required regulatory or other approvals or the benefit of safe harbors in a timely manner, or required financing on acceptable terms), or accurately estimate the financial effect of acquisitions and investments on our business;</w:t>
      </w:r>
    </w:p>
    <w:p>
      <w:pPr>
        <w:spacing w:after="0" w:line="8"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increased scrutiny by antitrust authorities and anticipated changes to mandatory filing requirements, we may announce acquisition or investment transactions that require significant time and resources to complete, are challenged by such authorities or are ultimately not fully completed due to a failure to obtain antitrust or other related regulatory approvals;</w:t>
      </w:r>
    </w:p>
    <w:p>
      <w:pPr>
        <w:ind w:left="520" w:hanging="13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and investments may require us to issue common stock, incur additional debt, or spend significant cash, resulting in dilution of ownership or additional debt leverage;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retaining an acquired company’s key employees or customers;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integrating personnel from the acquired company with our people, our culture of integrity, and our core values;</w:t>
      </w:r>
    </w:p>
    <w:p>
      <w:pPr>
        <w:spacing w:after="0" w:line="51" w:lineRule="exact"/>
        <w:rPr>
          <w:rFonts w:ascii="Times New Roman" w:cs="Times New Roman" w:eastAsia="Times New Roman" w:hAnsi="Times New Roman"/>
          <w:sz w:val="14"/>
          <w:szCs w:val="14"/>
          <w:color w:val="auto"/>
        </w:rPr>
      </w:pPr>
    </w:p>
    <w:p>
      <w:pPr>
        <w:ind w:left="520" w:right="240" w:hanging="133"/>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difficulty integrating acquired businesses and investments, resulting in diminished strategic value of a potential transaction and unforeseen difficulties, such as incompatible accounting, information management, or other control systems, and greater expenses than expected;</w:t>
      </w:r>
    </w:p>
    <w:p>
      <w:pPr>
        <w:ind w:left="520" w:right="40" w:hanging="133"/>
        <w:spacing w:after="0" w:line="270"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assume legal or regulatory risks, particularly with respect to smaller businesses that have immature business processes and compliance programs, which may be required to comply with additional laws and regulations or to engage in remediation efforts to cause the acquired company to comply with applicable laws and regulations, and such risks may result in liabilities resulting from the acquired company’s failure to comply with applicable laws or regulations;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7" w:name="page28"/>
    <w:bookmarkEnd w:id="2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and investments may disrupt our business or distract our management from other responsibilities;</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an acquisition or investment, we may incur additional debt and we may need to record write-downs from future impairments of intangible assets, each of which could reduce our future reported earnings;</w:t>
      </w:r>
    </w:p>
    <w:p>
      <w:pPr>
        <w:ind w:left="520" w:right="100" w:hanging="133"/>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effectively influence the operations of our minority investments, joint ventures or partnerships, or we may be exposed to certain liabilities if our partners do not fulfill their obligations; and</w:t>
      </w:r>
    </w:p>
    <w:p>
      <w:pPr>
        <w:ind w:left="520" w:hanging="133"/>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result of an acquisition or investment, we may be targeted by additional cybersecurity threat actors or experience a cyber incident due to the security posture of the entity or its suppliers.</w:t>
      </w:r>
    </w:p>
    <w:p>
      <w:pPr>
        <w:spacing w:after="0" w:line="51"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In addition, in connection with any acquisition or investment that we make, there may be liabilities that we fail to discover or that we inadequately assess, and we may fail to discover any failure of a target company to comply with applicable laws or regulations, or to have fulfilled its contractual obligations to the U.S. government or other customers. Acquired entities and investments may not operate profitably or result in improved operating performance. Additionally, we may not realize anticipated synergies, business growth opportunities, cost savings, and other benefits, which could have a material adverse effect on our business and results of operations.</w:t>
      </w:r>
    </w:p>
    <w:p>
      <w:pPr>
        <w:spacing w:after="0" w:line="13"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In addition, we may divest businesses, including businesses that are no longer a part of our ongoing strategic plan. These divestitures similarly require significant investment of time and resources, may disrupt our business, distract management from other responsibilities and may result in losses on disposal or continued financial involvement in the divested business, including through indemnification, guarantees or other financial arrangements, which could adversely affect our financial results. In addition, we may be unable to complete strategic divestitures on satisfactory terms and conditions, including non-competition arrangements, within expected time frames or due to a failure of a prospective purchaser to obtain financing or a failure to obtain antitrust or other related regulatory approvals.</w:t>
      </w:r>
    </w:p>
    <w:p>
      <w:pPr>
        <w:spacing w:after="0" w:line="14" w:lineRule="exact"/>
        <w:rPr>
          <w:sz w:val="20"/>
          <w:szCs w:val="20"/>
          <w:color w:val="auto"/>
        </w:rPr>
      </w:pPr>
    </w:p>
    <w:p>
      <w:pPr>
        <w:ind w:right="2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Goodwill represents a significant asset on our balance sheet, and changes in future business conditions could cause these investments to become impaired, requiring substantial write-downs that would reduce our operating income.</w:t>
      </w: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As of March 31, 2025, the value of our goodwill was $2.4 billion. The amount of our recorded goodwill may substantially increase in the future as a result of any acquisitions that we make. We evaluate the recoverability of recorded goodwill amounts annually, or when evidence of potential impairment exists. Impairment analysis is based on several factors requiring judgment and the use of estimates, which are inherently uncertain and based on assumptions that may prove to be inaccurate. Additionally, material changes in our financial outlook, as well as events outside of our control, such as deteriorating market conditions for companies in our industry, may indicate a potential impairment. When there is an impairment, we are required to write down the recorded amount of goodwill, which is reflected as a charge against operating income. Such non-cash impairment charges could have a material adverse effect on our results of operations in the period in which they are recognized.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and Regulatory Risks</w:t>
      </w:r>
    </w:p>
    <w:p>
      <w:pPr>
        <w:spacing w:after="0" w:line="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8"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As a U.S. government contractor, we must comply with laws and regulations relating to the formation, administration, and performance of U.S. government contracts, which affect how we do business with our customers.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8" w:lineRule="exact"/>
        <w:rPr>
          <w:sz w:val="20"/>
          <w:szCs w:val="20"/>
          <w:color w:val="auto"/>
        </w:rPr>
      </w:pPr>
    </w:p>
    <w:p>
      <w:pPr>
        <w:ind w:left="520" w:right="100" w:hanging="133"/>
        <w:spacing w:after="0" w:line="26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and agency regulations supplemental to the FAR, which regulate the formation, administration, and performance of U.S. government contracts. For example, the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13" w:lineRule="exact"/>
        <w:rPr>
          <w:rFonts w:ascii="Times New Roman" w:cs="Times New Roman" w:eastAsia="Times New Roman" w:hAnsi="Times New Roman"/>
          <w:sz w:val="14"/>
          <w:szCs w:val="14"/>
          <w:color w:val="auto"/>
        </w:rPr>
      </w:pPr>
    </w:p>
    <w:p>
      <w:pPr>
        <w:ind w:left="520" w:right="260" w:hanging="133"/>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Claims Act, which imposes civil and criminal liability for violations, including substantial monetary penalties, for, among other things, presenting false or fraudulent claims for payments or approval;</w:t>
      </w:r>
    </w:p>
    <w:p>
      <w:pPr>
        <w:ind w:left="520" w:hanging="133"/>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False Statements Act, which imposes civil and criminal liability for making false statements to the U.S. government;</w:t>
      </w:r>
    </w:p>
    <w:p>
      <w:pPr>
        <w:spacing w:after="0" w:line="51" w:lineRule="exact"/>
        <w:rPr>
          <w:rFonts w:ascii="Times New Roman" w:cs="Times New Roman" w:eastAsia="Times New Roman" w:hAnsi="Times New Roman"/>
          <w:sz w:val="14"/>
          <w:szCs w:val="14"/>
          <w:color w:val="auto"/>
        </w:rPr>
      </w:pPr>
    </w:p>
    <w:p>
      <w:pPr>
        <w:ind w:left="520" w:right="420" w:hanging="133"/>
        <w:spacing w:after="0" w:line="287"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Truthful Cost or Pricing Data Statute (formerly known as the Truth in Negotiations Act), which requires certification and disclosure of cost and pricing data in connection with the negotiation of certain contracts, modifications, or task orders;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28" w:name="page29"/>
    <w:bookmarkEnd w:id="2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380" w:hanging="133"/>
        <w:spacing w:after="0" w:line="28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ind w:left="520" w:hanging="13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regulations restricting the ability of a contractor to provide gifts or gratuities to employees of the U.S. government;</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post-government employment laws and regulations, which restrict the ability of a contractor to recruit and hire current employees of the U.S. government and deploy former employees of the U.S. government;</w:t>
      </w:r>
    </w:p>
    <w:p>
      <w:pPr>
        <w:ind w:left="520" w:right="120" w:hanging="133"/>
        <w:spacing w:after="0" w:line="270"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contract requirements and executive orders, including those related to cybersecurity, restricting the handling,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8" w:lineRule="exact"/>
        <w:rPr>
          <w:rFonts w:ascii="Times New Roman" w:cs="Times New Roman" w:eastAsia="Times New Roman" w:hAnsi="Times New Roman"/>
          <w:sz w:val="14"/>
          <w:szCs w:val="14"/>
          <w:color w:val="auto"/>
        </w:rPr>
      </w:pPr>
    </w:p>
    <w:p>
      <w:pPr>
        <w:ind w:left="520" w:right="500" w:hanging="133"/>
        <w:spacing w:after="0" w:line="28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regulating the handling, use, and dissemination of personally identifiable information in the course of performing a U.S. government contract, performing work for our commercial customers or running the business;</w:t>
      </w:r>
    </w:p>
    <w:p>
      <w:pPr>
        <w:ind w:left="520" w:right="40" w:hanging="133"/>
        <w:spacing w:after="0" w:line="28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trade compliance laws, regulations and executive orders that prohibit business with certain sanctioned entities and require authorization for certain exports or imports in order to protect national security and global stability;</w:t>
      </w:r>
    </w:p>
    <w:p>
      <w:pPr>
        <w:ind w:left="520" w:right="180" w:hanging="133"/>
        <w:spacing w:after="0" w:line="270"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executive orders that impose requirements on us to ensure compliance with requirements and protect the government from risks related to our supply chain;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regulations and mandatory contract provisions providing protections to employees or subcontractors seeking to report alleged fraud, waste, and abuse related to a government contract;</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ind w:left="520" w:right="700" w:hanging="133"/>
        <w:spacing w:after="0" w:line="284"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FAR Cost Accounting Standards and Cost Principles, which impose accounting and allowability requirements that govern our right to reimbursement under certain cost-based U.S. government contracts and require consistency of accounting practices over time.</w:t>
      </w:r>
    </w:p>
    <w:p>
      <w:pPr>
        <w:spacing w:after="0" w:line="1"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In addition, considerable uncertainty exists regarding potential legal and regulatory changes from the recent U.S. administration transition. The U.S. government, U.S. states and other jurisdictions in which we do business may adopt new laws, rules, and regulations from time to time that could have a material impact on our results of operations. Adverse developments in legal or regulatory proceedings on matters relating to, among other things, cost accounting practices and compliance, contract interpretations and statutes of limitations, could also result in materially adverse judgments, settlements, withheld payments, penalties, or other unfavorable outcomes.</w:t>
      </w:r>
    </w:p>
    <w:p>
      <w:pPr>
        <w:spacing w:after="0" w:line="1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triggering of price reduction clauses, withholding or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21"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29" w:name="page30"/>
    <w:bookmarkEnd w:id="2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Adverse judgments or settlements in legal disputes could result in materially adverse monetary damages or injunctive relief and damage our reputation.</w:t>
      </w:r>
    </w:p>
    <w:p>
      <w:pPr>
        <w:spacing w:after="0" w:line="53" w:lineRule="exact"/>
        <w:rPr>
          <w:sz w:val="20"/>
          <w:szCs w:val="20"/>
          <w:color w:val="auto"/>
        </w:rPr>
      </w:pPr>
    </w:p>
    <w:p>
      <w:pPr>
        <w:ind w:firstLine="350"/>
        <w:spacing w:after="0" w:line="258" w:lineRule="auto"/>
        <w:rPr>
          <w:sz w:val="20"/>
          <w:szCs w:val="20"/>
          <w:color w:val="auto"/>
        </w:rPr>
      </w:pPr>
      <w:r>
        <w:rPr>
          <w:rFonts w:ascii="Times New Roman" w:cs="Times New Roman" w:eastAsia="Times New Roman" w:hAnsi="Times New Roman"/>
          <w:sz w:val="14"/>
          <w:szCs w:val="14"/>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In addition, from time to time, we are also involved in legal proceedings and investigations arising in the ordinary course of business, including those relating to employment matters (such as matters involving alleged violations of civil rights, wage and hour, and worker’s compensation laws), relationships with customers and contractors, intellectual property disputes, and other business matters. Any such claims, proceedings or investigations may be time-consuming, costly, divert management resources, or otherwise have a material adverse effect on our result of operations.</w:t>
      </w:r>
    </w:p>
    <w:p>
      <w:pPr>
        <w:spacing w:after="0" w:line="189"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The results of litigation and other legal proceedings, including the other claims described under “Item 3.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coverage in the future. The litigation and other legal proceedings described under “Item 3. Legal Proceedings” are subject to future developments and management’s view of these matters may change in the future.</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the consequences of future geopolitical events, but they may adversely affect the markets in which we operate and our results of operations.</w:t>
      </w:r>
    </w:p>
    <w:p>
      <w:pPr>
        <w:spacing w:after="0" w:line="5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Ongoing instability and current conflicts in global markets, including in Eastern Europe, the Middle East and Asia, and the potential for other conflicts and future terrorist activities and other recent geopolitical events throughout the world, including the ongoing conflict between Russia and Ukraine, ongoing conflicts in the Middle East, increased tensions in Asia, and trade tensions related to recent shifts in international trade policies, have created and may continue to create economic and political uncertainties and impacts that could have a material adverse effect on our business, operations and profitability. These types of matters cause uncertainty in financial markets and may significantly increase the political, economic and social instability in the geographic areas in which we operate.</w:t>
      </w:r>
    </w:p>
    <w:p>
      <w:pPr>
        <w:spacing w:after="0" w:line="16" w:lineRule="exact"/>
        <w:rPr>
          <w:sz w:val="20"/>
          <w:szCs w:val="20"/>
          <w:color w:val="auto"/>
        </w:rPr>
      </w:pPr>
    </w:p>
    <w:p>
      <w:pPr>
        <w:ind w:right="200" w:firstLine="350"/>
        <w:spacing w:after="0" w:line="264" w:lineRule="auto"/>
        <w:rPr>
          <w:sz w:val="20"/>
          <w:szCs w:val="20"/>
          <w:color w:val="auto"/>
        </w:rPr>
      </w:pPr>
      <w:r>
        <w:rPr>
          <w:rFonts w:ascii="Times New Roman" w:cs="Times New Roman" w:eastAsia="Times New Roman" w:hAnsi="Times New Roman"/>
          <w:sz w:val="14"/>
          <w:szCs w:val="14"/>
          <w:color w:val="auto"/>
        </w:rPr>
        <w:t>In addition, in connection with the current status of international relations with Russia, particularly in light of the conflict between Russia and Ukraine, the U.S. government has imposed enhanced export controls on certain products and sanctions on certain industry sectors and parties in Russia. The U.S. government has imposed tariffs, and may impose new or increased tariffs, on certain imports from other countries. The governments of other jurisdictions in which we operate, such as the European Union and Canada, may also implement sanctions or other restrictive measures. These potential sanctions, tariffs, and export controls could adversely affect the Company and/or our supply chain, business partners, or customers.</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operating internationally.</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have operations in select international locations and, therefore, our business operations are subject to a variety of risks associated with conducting business internationally, including:</w:t>
      </w:r>
    </w:p>
    <w:p>
      <w:pPr>
        <w:spacing w:after="0" w:line="51" w:lineRule="exact"/>
        <w:rPr>
          <w:sz w:val="20"/>
          <w:szCs w:val="20"/>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or interpretations of laws or policies that may adversely affect the performance of our services;</w:t>
      </w:r>
    </w:p>
    <w:p>
      <w:pPr>
        <w:spacing w:after="0" w:line="51" w:lineRule="exact"/>
        <w:rPr>
          <w:rFonts w:ascii="Times New Roman" w:cs="Times New Roman" w:eastAsia="Times New Roman" w:hAnsi="Times New Roman"/>
          <w:sz w:val="14"/>
          <w:szCs w:val="14"/>
          <w:color w:val="auto"/>
        </w:rPr>
      </w:pPr>
    </w:p>
    <w:p>
      <w:pPr>
        <w:ind w:left="520" w:right="260" w:hanging="133"/>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in foreign countries and international security concerns, such as those relating to the geopolitical conflict, including the ongoing conflict between Russia and Ukraine, ongoing conflicts in the Middle East, and increased tensions in Asia, as well as trade tensions related to recent shifts in international trade policies, and potential actions or retaliatory measures taken in respect thereof;</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inconsistent or conflicting laws or regulations;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the U.S. or other governments to authorize us to export products, technology, and services to customers and other business partners;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Reliance on foreign countries for critical parts in order to meet our technical delivery requirements;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Conducting business in places where laws, business practices, and customs are unfamiliar or unknown;</w:t>
      </w:r>
    </w:p>
    <w:p>
      <w:pPr>
        <w:spacing w:after="0" w:line="51" w:lineRule="exact"/>
        <w:rPr>
          <w:rFonts w:ascii="Times New Roman" w:cs="Times New Roman" w:eastAsia="Times New Roman" w:hAnsi="Times New Roman"/>
          <w:sz w:val="14"/>
          <w:szCs w:val="14"/>
          <w:color w:val="auto"/>
        </w:rPr>
      </w:pPr>
    </w:p>
    <w:p>
      <w:pPr>
        <w:ind w:left="520" w:right="100" w:hanging="133"/>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U.S. government and foreign laws and regulations applicable to international business, sanctions, employment, privacy, data protection, information security, or data transfer could have an adverse impact on our business with the U.S. government and could expose us to risks and costs of non-compliance with such laws and regulations, in addition to administrative, civil, or criminal penalties;</w:t>
      </w:r>
    </w:p>
    <w:p>
      <w:pPr>
        <w:spacing w:after="0" w:line="8" w:lineRule="exact"/>
        <w:rPr>
          <w:rFonts w:ascii="Times New Roman" w:cs="Times New Roman" w:eastAsia="Times New Roman" w:hAnsi="Times New Roman"/>
          <w:sz w:val="14"/>
          <w:szCs w:val="14"/>
          <w:color w:val="auto"/>
        </w:rPr>
      </w:pPr>
    </w:p>
    <w:p>
      <w:pPr>
        <w:ind w:left="520" w:right="280" w:hanging="133"/>
        <w:spacing w:after="0" w:line="270"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third parties that we work with, including suppliers, subcontractors, and vendors, to comply with U.S. government and foreign laws and regulations applicable to international business, sanctions, employment, privacy, data protection, information security, or data transfer could expose Booz Allen to risks and costs of non-compliance with such laws and regulations, in addition to administrative, civil, or criminal penalties;</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30" w:name="page31"/>
    <w:bookmarkEnd w:id="3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jc w:val="both"/>
        <w:ind w:left="520" w:right="60" w:hanging="133"/>
        <w:spacing w:after="0" w:line="270"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foreign government import and export control requirements and regulations, including International Traffic in Arms Regulations and the anti-boycott provisions of the U.S. Export Administration Act, technology transfer restrictions and other administrative, legislative, or regulatory actions that could materially interfere with our ability to offer our products or services in certain countries;</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limitations on or increase of withholding and other taxes on payments by foreign subsidiaries or joint ventures;</w:t>
      </w:r>
    </w:p>
    <w:p>
      <w:pPr>
        <w:spacing w:after="0" w:line="51" w:lineRule="exact"/>
        <w:rPr>
          <w:rFonts w:ascii="Times New Roman" w:cs="Times New Roman" w:eastAsia="Times New Roman" w:hAnsi="Times New Roman"/>
          <w:sz w:val="14"/>
          <w:szCs w:val="14"/>
          <w:color w:val="auto"/>
        </w:rPr>
      </w:pPr>
    </w:p>
    <w:p>
      <w:pPr>
        <w:ind w:left="520" w:right="500" w:hanging="133"/>
        <w:spacing w:after="0" w:line="28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state and federal regulations in state money transmission regulations, anti-money laundering regulations, economic and trade sanctions administered by the U.S. Treasury Department's Office of Foreign Asset Control;</w:t>
      </w:r>
    </w:p>
    <w:p>
      <w:pPr>
        <w:ind w:left="520" w:hanging="133"/>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Imposition of tariffs or embargoes, export controls, and other trade restrictions;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and operational implications associated with potential commercial customer data sovereignty requirements that require hosting data and systems locally.</w:t>
      </w:r>
    </w:p>
    <w:p>
      <w:pPr>
        <w:spacing w:after="0" w:line="51" w:lineRule="exact"/>
        <w:rPr>
          <w:sz w:val="20"/>
          <w:szCs w:val="20"/>
          <w:color w:val="auto"/>
        </w:rPr>
      </w:pPr>
    </w:p>
    <w:p>
      <w:pPr>
        <w:ind w:right="60" w:firstLine="350"/>
        <w:spacing w:after="0" w:line="256" w:lineRule="auto"/>
        <w:rPr>
          <w:sz w:val="20"/>
          <w:szCs w:val="20"/>
          <w:color w:val="auto"/>
        </w:rPr>
      </w:pPr>
      <w:r>
        <w:rPr>
          <w:rFonts w:ascii="Times New Roman" w:cs="Times New Roman" w:eastAsia="Times New Roman" w:hAnsi="Times New Roman"/>
          <w:sz w:val="14"/>
          <w:szCs w:val="14"/>
          <w:color w:val="auto"/>
        </w:rPr>
        <w:t>In addition, we are subject to the U.S. Foreign Corrupt Practices Act (the “FCPA”) and other laws that prohibit improper payments or offers of payments to foreign government officials, political parties and commercial entities for the purpose of obtaining or retaining business. We have operations and deal with governmental customers and regulators in countries known to create heightened corruption risk, including certain developing countries. Our activities in these countries create the risk of unauthorized payments or offers of payments by one of our employees or third parties that we work with that could implicate Booz Allen for violations of various laws including the FCPA and other anti-corruption laws. Our operations in select international locations also involve activities involving the transmittal of information, which may include personal data, which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 We are also subject to applicable sanctions laws, regulations, embargoes, or restrictive measures intended to prevent unauthorized transactions with prohibited persons, entities, and countries, including, those administered and enforced by the U.S. Department of Treasury’s Office of Foreign Assets Control, the Office of Financial Sanctions Implementation in the UK, and the competent authorities responsible for the administration and enforcement of Sanctions in individual EU Member States.</w:t>
      </w:r>
    </w:p>
    <w:p>
      <w:pPr>
        <w:spacing w:after="0" w:line="21" w:lineRule="exact"/>
        <w:rPr>
          <w:sz w:val="20"/>
          <w:szCs w:val="20"/>
          <w:color w:val="auto"/>
        </w:rPr>
      </w:pPr>
    </w:p>
    <w:p>
      <w:pPr>
        <w:ind w:right="220" w:firstLine="350"/>
        <w:spacing w:after="0" w:line="270" w:lineRule="auto"/>
        <w:rPr>
          <w:sz w:val="20"/>
          <w:szCs w:val="20"/>
          <w:color w:val="auto"/>
        </w:rPr>
      </w:pPr>
      <w:r>
        <w:rPr>
          <w:rFonts w:ascii="Times New Roman" w:cs="Times New Roman" w:eastAsia="Times New Roman" w:hAnsi="Times New Roman"/>
          <w:sz w:val="14"/>
          <w:szCs w:val="14"/>
          <w:color w:val="auto"/>
        </w:rPr>
        <w:t>If we were to fail to comply with the FCPA, other applicable anti-corruption laws, import-export control regulations, sanctions, data privacy laws, or other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6" w:lineRule="exact"/>
        <w:rPr>
          <w:sz w:val="20"/>
          <w:szCs w:val="20"/>
          <w:color w:val="auto"/>
        </w:rPr>
      </w:pPr>
    </w:p>
    <w:p>
      <w:pPr>
        <w:ind w:right="1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Efforts by the U.S. government to revise its organizational conflict of interest rules could limit our ability to successfully compete for new contracts or task orders, which would adversely affect our results of operations.</w:t>
      </w:r>
    </w:p>
    <w:p>
      <w:pPr>
        <w:jc w:val="both"/>
        <w:ind w:right="260" w:firstLine="350"/>
        <w:spacing w:after="0" w:line="270" w:lineRule="auto"/>
        <w:rPr>
          <w:sz w:val="20"/>
          <w:szCs w:val="20"/>
          <w:color w:val="auto"/>
        </w:rPr>
      </w:pPr>
      <w:r>
        <w:rPr>
          <w:rFonts w:ascii="Times New Roman" w:cs="Times New Roman" w:eastAsia="Times New Roman" w:hAnsi="Times New Roman"/>
          <w:sz w:val="14"/>
          <w:szCs w:val="14"/>
          <w:color w:val="auto"/>
        </w:rPr>
        <w:t>Efforts by the U.S. government to reform its procurement practices have focused on, among other areas,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8" w:lineRule="exact"/>
        <w:rPr>
          <w:sz w:val="20"/>
          <w:szCs w:val="20"/>
          <w:color w:val="auto"/>
        </w:rPr>
      </w:pPr>
    </w:p>
    <w:p>
      <w:pPr>
        <w:ind w:left="520" w:hanging="133"/>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impaired objectivity during performance;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unfair access to non-public information;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set the “ground rules” for another procurement for which the contractor competes.</w:t>
      </w:r>
    </w:p>
    <w:p>
      <w:pPr>
        <w:spacing w:after="0" w:line="51"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Recently, U.S. government agencies have issued proposed regulations, which provide for and update definitions of each of the above types of conflicts of interest and provide illustrative examples of various relationships that contractors could have that would give rise to potential conflicts of interest. The resulting rule making process, as well as continuing reform initiatives in procurement practices may however result in future amendments to the FAR, increasing the restrictions in current organizational conflicts of interest regulations and rules. Similarly, organizational conflicts of interest remain an active area of bid protest litigation, increasing the likelihood that competitors may leverage such arguments in an attempt to overturn agency award decisions. To the extent that proposed and future organizational conflicts of interest laws, regulations, and rules or interpretations thereof limit our ability to successfully compete for new contracts or task orders with the U.S. government, either because of organizational conflicts of interest issues arising from our business, or because companies with which we are affiliated, or with which we otherwise conduct business, create organizational conflicts of interest issues for us, our results of operations could be materially and adversely affected.</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1" w:name="page32"/>
    <w:bookmarkEnd w:id="3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or judgments by management related to complex tax matters could adversely impact our results of operations.</w:t>
      </w:r>
    </w:p>
    <w:p>
      <w:pPr>
        <w:spacing w:after="0" w:line="53" w:lineRule="exact"/>
        <w:rPr>
          <w:sz w:val="20"/>
          <w:szCs w:val="20"/>
          <w:color w:val="auto"/>
        </w:rPr>
      </w:pPr>
    </w:p>
    <w:p>
      <w:pPr>
        <w:ind w:right="60" w:firstLine="350"/>
        <w:spacing w:after="0" w:line="258" w:lineRule="auto"/>
        <w:rPr>
          <w:sz w:val="20"/>
          <w:szCs w:val="20"/>
          <w:color w:val="auto"/>
        </w:rPr>
      </w:pPr>
      <w:r>
        <w:rPr>
          <w:rFonts w:ascii="Times New Roman" w:cs="Times New Roman" w:eastAsia="Times New Roman" w:hAnsi="Times New Roman"/>
          <w:sz w:val="14"/>
          <w:szCs w:val="14"/>
          <w:color w:val="auto"/>
        </w:rPr>
        <w:t>We are subject to taxation in the U.S. and certain other foreign jurisdictions. Any future changes in applicable federal, state and local, or foreign tax laws and regulations or their interpretation or application, including those that could have a retroactive effect, could result in the Company incurring additional tax liabilities in the future. In particular, effective starting in fiscal year 2023, the Tax Cuts and Jobs Act requires the capitalization of research and development costs for tax purposes, which can then be amortized over five or fifteen years. We generally expect to amortize these costs over five years. While the most significant impact of this provision was to cash tax liability for fiscal year 2023, the tax year in which the provision took effect, the impact is expected to decline annually over the five-year amortization period to an immaterial amount in the sixth year. The actual impact will depend on a number of factors, including the amount of research and development costs incurred by the Company, whether Congress modifies or repeals the provision requiring such capitalization, and whether new guidance and interpretive rules are issued by the U.S. Treasury, among other factors. For additional information, see “Item 7. Management's Discussion and Analysis of Financial Condition and Results of Operations”.</w:t>
      </w:r>
    </w:p>
    <w:p>
      <w:pPr>
        <w:spacing w:after="0" w:line="19"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Additionally, we recognize liabilities for uncertainty in income taxes when it is more likely than not that a tax position will not be sustained on examination and settlement with various taxing authorities. We regularly assess the adequacy of our uncertain tax positions and other reserves, which requires a significant amount of judgment. Although we accrue for uncertain tax positions and other reserves, the results of regulatory audits and negotiations with taxing and customs authorities may be in excess of our accruals, resulting in the payment of additional taxes, duties, penalties and interest. As a result, any final determination of tax audits or related litigation may be materially different than our current provisional amounts, which could materially affect our tax obligations and effective tax rate. For example, during fiscal year 2025, we recorded additional uncertain tax positions related to research and development credits that we have claimed, or will soon claim. Any increase to the liability we established as of March 31, 2025 for these uncertain tax positions as a result of audits by taxing authorities, changes in tax laws and regulations or otherwise relating to this, or any other, tax matter could have a material effect on our results of operations. For a description of our related accounting policies, refer to Note 2, “Summary of Significant Accounting Policies,” and Note 13, “Income Taxes,” to the consolidated financial statements.</w:t>
      </w:r>
    </w:p>
    <w:p>
      <w:pPr>
        <w:spacing w:after="0" w:line="19" w:lineRule="exact"/>
        <w:rPr>
          <w:sz w:val="20"/>
          <w:szCs w:val="20"/>
          <w:color w:val="auto"/>
        </w:rPr>
      </w:pPr>
    </w:p>
    <w:p>
      <w:pPr>
        <w:ind w:right="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ind w:left="360"/>
        <w:spacing w:after="0"/>
        <w:rPr>
          <w:sz w:val="20"/>
          <w:szCs w:val="20"/>
          <w:color w:val="auto"/>
        </w:rPr>
      </w:pPr>
      <w:r>
        <w:rPr>
          <w:rFonts w:ascii="Times New Roman" w:cs="Times New Roman" w:eastAsia="Times New Roman" w:hAnsi="Times New Roman"/>
          <w:sz w:val="14"/>
          <w:szCs w:val="14"/>
          <w:color w:val="auto"/>
        </w:rPr>
        <w:t>U.S. government contracts contain provisions and are subject to laws and regulations that provide government customers with rights and remedies not typically found in commercial contracts.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rights and remedies allow government customers, among other things, to:</w:t>
      </w:r>
    </w:p>
    <w:p>
      <w:pPr>
        <w:spacing w:after="0" w:line="37" w:lineRule="exact"/>
        <w:rPr>
          <w:sz w:val="20"/>
          <w:szCs w:val="20"/>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existing contracts, with short notice, for convenience as well as for default;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orders under or otherwise modify contracts;</w:t>
      </w:r>
    </w:p>
    <w:p>
      <w:pPr>
        <w:spacing w:after="0" w:line="51" w:lineRule="exact"/>
        <w:rPr>
          <w:rFonts w:ascii="Times New Roman" w:cs="Times New Roman" w:eastAsia="Times New Roman" w:hAnsi="Times New Roman"/>
          <w:sz w:val="14"/>
          <w:szCs w:val="14"/>
          <w:color w:val="auto"/>
        </w:rPr>
      </w:pPr>
    </w:p>
    <w:p>
      <w:pPr>
        <w:ind w:left="520" w:right="100" w:hanging="133"/>
        <w:spacing w:after="0" w:line="28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contracts subject to the Truthful Cost or Pricing Data Statute, reduce the contract price or cost where it was increased because a contractor or subcontractor furnished cost or pricing data during negotiations that was not complete, accurate or current;</w:t>
      </w:r>
    </w:p>
    <w:p>
      <w:pPr>
        <w:ind w:left="520" w:right="380" w:hanging="133"/>
        <w:spacing w:after="0" w:line="270"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8"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our facility security clearances and thereby prevent us from receiving classified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cancel multi-year contracts and related orders if funds for contract performance for any subsequent year become unavailable;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decline to exercise an option to renew a multi-year contract or issue task orders in connection with IDIQ contracts;</w:t>
      </w:r>
    </w:p>
    <w:p>
      <w:pPr>
        <w:spacing w:after="0" w:line="51" w:lineRule="exact"/>
        <w:rPr>
          <w:rFonts w:ascii="Times New Roman" w:cs="Times New Roman" w:eastAsia="Times New Roman" w:hAnsi="Times New Roman"/>
          <w:sz w:val="14"/>
          <w:szCs w:val="14"/>
          <w:color w:val="auto"/>
        </w:rPr>
      </w:pPr>
    </w:p>
    <w:p>
      <w:pPr>
        <w:ind w:left="520" w:right="240" w:hanging="133"/>
        <w:spacing w:after="0" w:line="28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ind w:left="520" w:right="100" w:hanging="133"/>
        <w:spacing w:after="0" w:line="28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ind w:left="520" w:right="80" w:hanging="133"/>
        <w:spacing w:after="0" w:line="284"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debar us from doing business with the U.S. government;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 or prohibit the export of our services.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2" w:name="page33"/>
    <w:bookmarkEnd w:id="3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In connection with recent efforts by the U.S. government to reduce federal spending across federal civilian, defense, and intelligence departments and agencies, we have had, and may in the future have, certain of our contracts impacted, reduced or canceled as a result of these reviews. See “Item 7. Management’s Discussion and Analysis of Financial Condition and Results of Operations —Factors and Trends Affecting Our Results of Operations—U.S Political, Budget and Regulatory Environment” for additional disclosure regarding our business environment. If a U.S. government customer were to unexpectedly terminate, cancel, or decline to exercise an option to renew with respect to one or more of our significant contracts, or suspend or debar us from doing business with the U.S. government, we could face reputational harm and our revenue and operating results would be materially harmed.</w:t>
      </w:r>
    </w:p>
    <w:p>
      <w:pPr>
        <w:spacing w:after="0" w:line="14" w:lineRule="exact"/>
        <w:rPr>
          <w:sz w:val="20"/>
          <w:szCs w:val="20"/>
          <w:color w:val="auto"/>
        </w:rPr>
      </w:pPr>
    </w:p>
    <w:p>
      <w:pPr>
        <w:ind w:right="46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work with government customers exposes us to additional risks inherent in the government contracting environment, which could reduce our revenue, disrupt our business, or otherwise materially adversely affect our results of operations.</w:t>
      </w:r>
    </w:p>
    <w:p>
      <w:pPr>
        <w:ind w:firstLine="350"/>
        <w:spacing w:after="0" w:line="254" w:lineRule="auto"/>
        <w:rPr>
          <w:sz w:val="20"/>
          <w:szCs w:val="20"/>
          <w:color w:val="auto"/>
        </w:rPr>
      </w:pPr>
      <w:r>
        <w:rPr>
          <w:rFonts w:ascii="Times New Roman" w:cs="Times New Roman" w:eastAsia="Times New Roman" w:hAnsi="Times New Roman"/>
          <w:sz w:val="14"/>
          <w:szCs w:val="14"/>
          <w:color w:val="auto"/>
        </w:rPr>
        <w:t>U.S. government contractors (including their subcontractors and others with whom they do business) operate in a highly regulated environment and are routinely audited and reviewed by the U.S. government and its agencies, including the DCAA, DCMA, Department of Defense Inspector General, and others. These agencies review our performance on contracts, pricing practices, cost accounting practices, and compliance with applicable policies, laws, regulations, and standards, including applicable government cost accounting standards, as well as our contract costs, including allocated indirect costs. The DCAA audits and the DCMA reviews, among other areas, the adequacy of our internal control systems and policies, including our DFARS required business systems, which are comprised of our purchasing, property, estimating, earned value, accounting and material management and accounting systems. These internal control systems could focus on significant elements of costs, such as executive compensation. Determination of a significant internal control deficiency by a government agency could result in increased payment withholding that might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the provision for claimed costs, which is based on management's estimates and assumptions that are inherently uncertain and may not cover actual losses. For example, DCAA audits may result in, and have historically resulted in, the Company's inability to retain certain claimed costs, including executive and employee compensation, due to differing views of the allowability and reasonableness of such costs. As of March 31, 2025, years subsequent to the Company's fiscal year 2011 remained subject to audit and/or final resolution. As of March 31, 2025, the Company recognized a liability of $245 million for estimated adjustments to claimed costs based on its historical DCAA audit results, including the final resolution of such audits with the DCMA. Determining the provision for claimed costs is complex and subject to management's estimate of adjustments to claimed costs based on the number of years that remain open to audit and expected final resolution by U.S. government agencies. As a result, significant changes in estimates could have a material effect on the Company's results of operations.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Moreover, if any of the administrative processes and business systems, some of which are currently certified as effective, are found not to comply with government imposed requirements, we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be subjected to increased government scrutiny and approval that could delay or otherwise adversely affect our ability to compete for or perform contracts or to be paid timely. Unfavorable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government audit, review, or investigation results could subject us to civil or criminal penalties or administrative sanctions, require us to retroactively and prospectively adjust previously agreed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billing or pricing rates for our work, and could harm our reputation and relationships with our customers and impair our ability to be awarded new contracts, which could affect our future sales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profitability by preventing us, by operation of law or in practice, from receiving new government contracts for some period of time. In addition, if our invoicing system were found to be inadequate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following an audit by the DCAA, our ability to directly invoice U.S. government payment offices could be eliminated. As a result, we would be required to submit each invoice to the DCAA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approval prior to payment, which could materially increase our accounts receivable days sales outstanding and adversely affect our cash flow. In addition, proposed regulatory changes, if adopted,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would require the Department of Defense’s contracting officers to impose contractual withholding at no less than certain minimum levels based on assessments of a contractor’s business systems. If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government investigation uncovers improper or illegal activities, we may be subject to civil and criminal penalties and administrative sanctions, including termination of contracts, forfeitures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profits, withholding of payments, suspension of payments, fines, and suspension or debarment from doing business with the U.S. government. We could also suffer serious reputational harm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allegations of impropriety were made against us.</w:t>
      </w:r>
    </w:p>
    <w:p>
      <w:pPr>
        <w:spacing w:after="0" w:line="200" w:lineRule="exact"/>
        <w:rPr>
          <w:sz w:val="20"/>
          <w:szCs w:val="20"/>
          <w:color w:val="auto"/>
        </w:rPr>
      </w:pPr>
    </w:p>
    <w:p>
      <w:pPr>
        <w:spacing w:after="0" w:line="23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33" w:name="page34"/>
    <w:bookmarkEnd w:id="3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In addition, operation of our financial management systems, including changes to modernize and upgrade those systems, and certain changes to our cost accounting practices that we have adopted may negatively impact our profitability. In particular, the changes to our cost accounting practices required us to estimate changes in costs for certain contracts and make payments in connection with such estimates. The changes are subject to audit by the DCAA and negotiation with the DCMA, which could result in additional payments that may be material and not recoverable. To the extent we are unable to fully mitigate the costs associated with changes to our cost accounting practices as we implement the new systems, our business and financial results may be adversely affected.</w:t>
      </w:r>
    </w:p>
    <w:p>
      <w:pPr>
        <w:spacing w:after="0" w:line="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U.S. government may revise its procurement, contract, or other practices in a manner adverse to us.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U.S. government may:</w:t>
      </w:r>
    </w:p>
    <w:p>
      <w:pPr>
        <w:spacing w:after="0" w:line="51" w:lineRule="exact"/>
        <w:rPr>
          <w:sz w:val="20"/>
          <w:szCs w:val="20"/>
          <w:color w:val="auto"/>
        </w:rPr>
      </w:pPr>
    </w:p>
    <w:p>
      <w:pPr>
        <w:ind w:left="520" w:right="20" w:hanging="133"/>
        <w:spacing w:after="0" w:line="284" w:lineRule="auto"/>
        <w:tabs>
          <w:tab w:leader="none" w:pos="51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revise its procurement practices or adopt new contract laws, rules, and regulations, such as cost accounting standards, organizational conflicts of interest, and other rules governing inherently governmental functions at any time;</w:t>
      </w: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delay, or cancel procurement programs resulting from U.S. government efforts to improve procurement practices and efficiency;</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the creation of new government-wide or agency-specific multiple award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face restrictions or pressure from government employees and their unions regarding the amount of services the U.S. government may obtain from private contractors;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contracts on a technically acceptable/lowest cost basis in order to reduce expenditures, and we may not be the lowest cost provider of services;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new socio-economic requirements, including setting aside procurement opportunities to small, disadvantaged businesses;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 the basis upon which it reimburses our compensation and other expenses or otherwise limits such reimbursements;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its option, terminate or decline to renew our contracts.</w:t>
      </w:r>
    </w:p>
    <w:p>
      <w:pPr>
        <w:spacing w:after="0" w:line="51"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In recent months, we have seen delays in procurements with our U.S. government customers, and these delays are expected to continue in the near term. In addition, any new contracting methods could be costly or administratively difficult for us to implement and could adversely affect our future revenue and profit margin, and changes to the procurement system could cause delays in the procurement decision-making process. Any such delays in procurements generally,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1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U.S. government may prefer small and small disadvantaged businesses; therefore, we may have fewer opportunities to bid for.</w:t>
      </w:r>
    </w:p>
    <w:p>
      <w:pPr>
        <w:spacing w:after="0" w:line="53"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As a result of the Small Business Administration set-aside program, the U.S. government may decide to restrict certain procurements only to bidders that qualify as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4" w:name="page35"/>
    <w:bookmarkEnd w:id="3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8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Increasing scrutiny and changing expectations regarding business operations and associated practices related to matters receiving substantial scrutiny from stakeholders and governmental authorities may impose additional costs on us or expose us to new or additional risks.</w:t>
      </w:r>
    </w:p>
    <w:p>
      <w:pPr>
        <w:ind w:right="20" w:firstLine="350"/>
        <w:spacing w:after="0" w:line="255" w:lineRule="auto"/>
        <w:rPr>
          <w:sz w:val="20"/>
          <w:szCs w:val="20"/>
          <w:color w:val="auto"/>
        </w:rPr>
      </w:pPr>
      <w:r>
        <w:rPr>
          <w:rFonts w:ascii="Times New Roman" w:cs="Times New Roman" w:eastAsia="Times New Roman" w:hAnsi="Times New Roman"/>
          <w:sz w:val="14"/>
          <w:szCs w:val="14"/>
          <w:color w:val="auto"/>
        </w:rPr>
        <w:t>There is increased scrutiny from governmental organizations, customers, employees, investors, and other stakeholders on climate change, employee empowerment, and governance issues such as workplace culture, community investment, environmental management, climate impact, and information security. The quickly evolving technological, social, legal, and political context of these issues may create conflicts, disaffection, and dissatisfaction among laws and various stakeholder expectations. We comply with various federal, state, local, and foreign legislation and regulations related to these issues and applicable to our business and operations. Stakeholders may have expectations that conflict or do not align with our understanding of these laws, our strategies, or the expectations of the U.S. government. We have expended and may further expend resources to monitor, report on and adopt policies and practices that we believe will improve alignment with our evolving strategy and goals regarding these issues and related standards and expectations of legal regimes and stakeholders such as customers, investors, stockholders, raters, employees, and business partners. If our related practices, including our goals for environmental sustainability, and information security, do not meet evolving rules and regulations or stakeholder expectations and standards (or if we are viewed negatively based on positions we do or do not take or work we do or do not perform or cannot publicly disclose for certain customers and industries), then our reputation, ability to attract or retain leading experts, employees and other professionals, and ability to attract new business and customers could be negatively impacted, as could our attractiveness as an investment, service provider, employer, or business partner. Similarly, our failure or perceived failure with respect to these issues in our efforts to execute our related strategies and achieve our current or future goals, targets and objectives, or to satisfy various reporting standards within the timelines expected by stakeholders could also result in similar negative impacts. Organizations that provide information to investors on corporate governance and related matters have developed ratings processes for evaluating companies on their approach to many of these issues, and unfavorable ratings of our associated efforts may lead to negative investor sentiment, diversion of investment to other companies, and difficulty in hiring skilled employees.</w:t>
      </w:r>
    </w:p>
    <w:p>
      <w:pPr>
        <w:spacing w:after="0" w:line="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business is subject to disruption caused by physical or transition risks that could adversely affect our results of operations or financial condition.</w:t>
      </w:r>
    </w:p>
    <w:p>
      <w:pPr>
        <w:spacing w:after="0" w:line="53"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We have significant operations located in regions that have been, and may in the future be, subject to a variety of physical risks related to changing weather patterns (including rising temperatures and sea levels, extreme heat, and other severe weather events), natural disasters (including hurricanes, typhoons, tsunamis, floods, earthquakes, fires or wildfires, water shortages and prolonged drought), or pandemics, epidemics and similar disease outbreaks. Such events could disrupt our operations or those of our customers and suppliers, including the inability of employees to work, destruction of facilities, loss of life, and adverse effects on supply chains (including materials shortages), power, infrastructure, and the integrity of information technology systems, all of which could materially increase our costs and expenses, delay or decrease revenue from our customers, and disrupt our ability to maintain business continuity. We could incur significant costs to improve the resiliency of our infrastructure and otherwise prepare for, respond to, and mitigate the effects of changing weather patterns, as well as increased compliance and operational costs and transition risks due to changes in future federal, state, local and foreign legislation and regulations applicable to our business or decisions we make to conduct or change our activities in response to considerations relating to changing weather patterns. Additionally, if insurance or other risk transfer mechanisms are unavailable or insufficient to recover all costs or if we experience a significant disruption to our business due to changing weather patterns, natural disasters, or disease outbreaks, our results of operations or financial condition could be adversely affected.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51" w:lineRule="exact"/>
        <w:rPr>
          <w:sz w:val="20"/>
          <w:szCs w:val="20"/>
          <w:color w:val="auto"/>
        </w:rPr>
      </w:pPr>
    </w:p>
    <w:p>
      <w:pPr>
        <w:ind w:right="1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substantial indebtedness and may incur substantial additional indebtedness, which could adversely affect our financial health and our ability to obtain financing in the future as well as to react to changes in our business.</w:t>
      </w: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As of March 31, 2025, we had total indebtedness of approximately $4.0 billion and $1.0 billion of availability under our revolving credit facility (the “Revolving Credit Facility”). We are able to, and may, incur additional indebtedness in the future, subject to the limitations contained in the agreements governing our indebtedness. Our substantial indebtedness could have important consequences to holders of our common stock, including:</w:t>
      </w:r>
    </w:p>
    <w:p>
      <w:pPr>
        <w:spacing w:after="0" w:line="8" w:lineRule="exact"/>
        <w:rPr>
          <w:sz w:val="20"/>
          <w:szCs w:val="20"/>
          <w:color w:val="auto"/>
        </w:rPr>
      </w:pP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it more difficult for us to satisfy our obligations with respect to our Senior Credit Facility, our outstanding senior notes, and our other debt;</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to fund future working capital, capital expenditures, acquisitions or other general corporate requirements;</w:t>
      </w:r>
    </w:p>
    <w:p>
      <w:pPr>
        <w:spacing w:after="0" w:line="51" w:lineRule="exact"/>
        <w:rPr>
          <w:rFonts w:ascii="Times New Roman" w:cs="Times New Roman" w:eastAsia="Times New Roman" w:hAnsi="Times New Roman"/>
          <w:sz w:val="14"/>
          <w:szCs w:val="14"/>
          <w:color w:val="auto"/>
        </w:rPr>
      </w:pPr>
    </w:p>
    <w:p>
      <w:pPr>
        <w:ind w:left="520" w:right="80" w:hanging="133"/>
        <w:spacing w:after="0" w:line="284" w:lineRule="auto"/>
        <w:tabs>
          <w:tab w:leader="none" w:pos="517"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substantial portion of our cash flows to be dedicated to debt service payments instead of other purposes, thereby reducing the amount of cash flows available for working capital, capital expenditures, acquisitions and other general corporate purposes;</w:t>
      </w: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general adverse economic and industry conditions;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the risk of increased interest rates as certain of our borrowings, including under the Senior Credit</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35" w:name="page36"/>
    <w:bookmarkEnd w:id="3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Facility, are at variable rates of interest;</w:t>
      </w:r>
    </w:p>
    <w:p>
      <w:pPr>
        <w:spacing w:after="0" w:line="51" w:lineRule="exact"/>
        <w:rPr>
          <w:sz w:val="20"/>
          <w:szCs w:val="20"/>
          <w:color w:val="auto"/>
        </w:rPr>
      </w:pP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in planning for and reacting to changes in the industry in which we compete;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disadvantage compared to other, less leveraged competitors or competitors with comparable debt and more favorable terms and thereby affecting our ability to compete;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cost of borrowing.</w:t>
      </w:r>
    </w:p>
    <w:p>
      <w:pPr>
        <w:spacing w:after="0" w:line="51"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Although the Senior Credit Facility and the indentures governing our $700 million in aggregate principal amount of 3.875% senior notes due 2028 and our $500 million in aggregate principal amount of 4.000% senior notes due 2029 contain restrictions on the incurrence of additional indebtedness, and the indentures governing our $650 million in aggregate principal amount of 5.950% senior notes due 2033 and our $650 million in aggregate principal amount of 5.950% senior notes due 2035 contain restrictions on the incurrence of additional liens,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In addition, the Revolving Credit Facility provides for commitments of $1.0 billion, which as of March 31, 2025, had availability of $999 million. Additionally, the used portion as it pertains to open standby letters of credit and bank guarantees totaled approximately $1 million. Furthermore, subject to specified conditions, without the consent of the then-existing lenders (but subject to the receipt of commitments), the indebtedness under the Senior Credit Facility may be increased by up to $500 million. If new debt is added to our current debt levels, the related risks that we and the guarantors now face would increase and we may not be able to meet all our debt obligations, including the repayment of our outstanding senior notes.</w:t>
      </w:r>
    </w:p>
    <w:p>
      <w:pPr>
        <w:spacing w:after="0" w:line="19" w:lineRule="exact"/>
        <w:rPr>
          <w:sz w:val="20"/>
          <w:szCs w:val="20"/>
          <w:color w:val="auto"/>
        </w:rPr>
      </w:pPr>
    </w:p>
    <w:p>
      <w:pPr>
        <w:ind w:right="30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our indebtedness and may be forced to take other actions to satisfy our obligations under our indebtedness, which may not be successful.</w:t>
      </w:r>
    </w:p>
    <w:p>
      <w:pPr>
        <w:ind w:firstLine="350"/>
        <w:spacing w:after="0" w:line="264" w:lineRule="auto"/>
        <w:rPr>
          <w:sz w:val="20"/>
          <w:szCs w:val="20"/>
          <w:color w:val="auto"/>
        </w:rPr>
      </w:pPr>
      <w:r>
        <w:rPr>
          <w:rFonts w:ascii="Times New Roman" w:cs="Times New Roman" w:eastAsia="Times New Roman" w:hAnsi="Times New Roman"/>
          <w:sz w:val="14"/>
          <w:szCs w:val="14"/>
          <w:color w:val="auto"/>
        </w:rPr>
        <w:t>Our ability to make scheduled payments on or refinance our debt obligations will depend on our financial condition and operating performance, which are subject to prevailing economic and competitive conditions and to financial, business, legislative, regulatory and other factors beyond our control. We might not be able to maintain a level of cash flows from operating activities sufficient to permit us to pay the principal, premium, if any, and interest on our indebtedness. For information regarding the risks to our business that could impair our ability to satisfy our obligations under our indebtedness, see “— Risks Related to Our Indebtedness.”</w:t>
      </w:r>
    </w:p>
    <w:p>
      <w:pPr>
        <w:spacing w:after="0" w:line="13" w:lineRule="exact"/>
        <w:rPr>
          <w:sz w:val="20"/>
          <w:szCs w:val="20"/>
          <w:color w:val="auto"/>
        </w:rPr>
      </w:pPr>
    </w:p>
    <w:p>
      <w:pPr>
        <w:jc w:val="both"/>
        <w:ind w:right="40" w:firstLine="350"/>
        <w:spacing w:after="0" w:line="270" w:lineRule="auto"/>
        <w:rPr>
          <w:sz w:val="20"/>
          <w:szCs w:val="20"/>
          <w:color w:val="auto"/>
        </w:rPr>
      </w:pPr>
      <w:r>
        <w:rPr>
          <w:rFonts w:ascii="Times New Roman" w:cs="Times New Roman" w:eastAsia="Times New Roman" w:hAnsi="Times New Roman"/>
          <w:sz w:val="14"/>
          <w:szCs w:val="14"/>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on commercially reasonable terms or at all and, even if successful, those alternative actions may not allow us to meet our scheduled debt service obligations.</w:t>
      </w:r>
    </w:p>
    <w:p>
      <w:pPr>
        <w:spacing w:after="0" w:line="8" w:lineRule="exact"/>
        <w:rPr>
          <w:sz w:val="20"/>
          <w:szCs w:val="20"/>
          <w:color w:val="auto"/>
        </w:rPr>
      </w:pPr>
    </w:p>
    <w:p>
      <w:pPr>
        <w:ind w:right="280" w:firstLine="350"/>
        <w:spacing w:after="0" w:line="284" w:lineRule="auto"/>
        <w:rPr>
          <w:sz w:val="20"/>
          <w:szCs w:val="20"/>
          <w:color w:val="auto"/>
        </w:rPr>
      </w:pPr>
      <w:r>
        <w:rPr>
          <w:rFonts w:ascii="Times New Roman" w:cs="Times New Roman" w:eastAsia="Times New Roman" w:hAnsi="Times New Roman"/>
          <w:sz w:val="14"/>
          <w:szCs w:val="14"/>
          <w:color w:val="auto"/>
        </w:rPr>
        <w:t>The agreements governing our indebtedness restrict our ability to dispose of assets and use the proceeds from those dispositions and also restrict our ability to raise debt to be used to repay other indebtedness when it becomes due.</w:t>
      </w:r>
    </w:p>
    <w:p>
      <w:pPr>
        <w:spacing w:after="0" w:line="1" w:lineRule="exact"/>
        <w:rPr>
          <w:sz w:val="20"/>
          <w:szCs w:val="20"/>
          <w:color w:val="auto"/>
        </w:rPr>
      </w:pPr>
    </w:p>
    <w:p>
      <w:pPr>
        <w:ind w:right="140" w:firstLine="350"/>
        <w:spacing w:after="0" w:line="284" w:lineRule="auto"/>
        <w:rPr>
          <w:sz w:val="20"/>
          <w:szCs w:val="20"/>
          <w:color w:val="auto"/>
        </w:rPr>
      </w:pPr>
      <w:r>
        <w:rPr>
          <w:rFonts w:ascii="Times New Roman" w:cs="Times New Roman" w:eastAsia="Times New Roman" w:hAnsi="Times New Roman"/>
          <w:sz w:val="14"/>
          <w:szCs w:val="14"/>
          <w:color w:val="auto"/>
        </w:rPr>
        <w:t>We may not be able to consummate those dispositions or to obtain proceeds in an amount sufficient to meet any debt service obligations then due. To the extent that we are required to prepay any amounts under our Term Loans, we may have insufficient cash to make required principal and interest payments on other indebtedness.</w:t>
      </w:r>
    </w:p>
    <w:p>
      <w:pPr>
        <w:spacing w:after="0" w:line="1" w:lineRule="exact"/>
        <w:rPr>
          <w:sz w:val="20"/>
          <w:szCs w:val="20"/>
          <w:color w:val="auto"/>
        </w:rPr>
      </w:pPr>
    </w:p>
    <w:p>
      <w:pPr>
        <w:ind w:right="40" w:firstLine="350"/>
        <w:spacing w:after="0" w:line="284" w:lineRule="auto"/>
        <w:rPr>
          <w:sz w:val="20"/>
          <w:szCs w:val="20"/>
          <w:color w:val="auto"/>
        </w:rPr>
      </w:pPr>
      <w:r>
        <w:rPr>
          <w:rFonts w:ascii="Times New Roman" w:cs="Times New Roman" w:eastAsia="Times New Roman" w:hAnsi="Times New Roman"/>
          <w:sz w:val="14"/>
          <w:szCs w:val="14"/>
          <w:color w:val="auto"/>
        </w:rPr>
        <w:t>Our inability to generate sufficient cash flows to satisfy our debt obligations, or to refinance our indebtedness on commercially reasonable terms or at all, would materially and adversely affect our financial condition and results of operations and our ability to satisfy our obligations under our indebtedness.</w:t>
      </w:r>
    </w:p>
    <w:p>
      <w:pPr>
        <w:spacing w:after="0" w:line="1"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If we cannot make scheduled payments on our debt, we would be in default and the following events could occur: lenders under our Senior Credit Facility and holders of our outstanding senior notes could declare all outstanding principal and interest to be due and payable; and lenders under the Revolving Credit Facility could terminate their commitments to provide loans. All of these events could force us into bankruptcy or liquidation and result in investors' losing some or all of the value of their investment.</w:t>
      </w:r>
    </w:p>
    <w:p>
      <w:pPr>
        <w:spacing w:after="0" w:line="6" w:lineRule="exact"/>
        <w:rPr>
          <w:sz w:val="20"/>
          <w:szCs w:val="20"/>
          <w:color w:val="auto"/>
        </w:rPr>
      </w:pPr>
    </w:p>
    <w:p>
      <w:pPr>
        <w:ind w:right="18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terms of the agreements governing our indebtedness restrict our current and future operations, particularly our ability to respond to changes or to take certain actions, which could harm our long-term interests.</w:t>
      </w:r>
    </w:p>
    <w:p>
      <w:pPr>
        <w:ind w:right="180" w:firstLine="350"/>
        <w:spacing w:after="0" w:line="284" w:lineRule="auto"/>
        <w:rPr>
          <w:sz w:val="20"/>
          <w:szCs w:val="20"/>
          <w:color w:val="auto"/>
        </w:rPr>
      </w:pPr>
      <w:r>
        <w:rPr>
          <w:rFonts w:ascii="Times New Roman" w:cs="Times New Roman" w:eastAsia="Times New Roman" w:hAnsi="Times New Roman"/>
          <w:sz w:val="14"/>
          <w:szCs w:val="14"/>
          <w:color w:val="auto"/>
        </w:rPr>
        <w:t>The Senior Credit Facility and the indentures governing our outstanding senior notes contain covenants that, among other things, impose significant operating and financial restrictions on us and limit our ability to engage in actions that may be in our long-term best interest, including restrictions on our ability to:</w:t>
      </w:r>
    </w:p>
    <w:p>
      <w:pPr>
        <w:spacing w:after="0" w:line="1" w:lineRule="exact"/>
        <w:rPr>
          <w:sz w:val="20"/>
          <w:szCs w:val="20"/>
          <w:color w:val="auto"/>
        </w:rPr>
      </w:pPr>
    </w:p>
    <w:p>
      <w:pPr>
        <w:ind w:left="520" w:hanging="133"/>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guarantee indebtedness, or issue disqualified stock or preferred stock;</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make other distributions in respect of, or repurchase or redeem, our capital stock;</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sale-leaseback transactions;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merge or sell all or substantially all of our and our subsidiaries’ assets;</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36" w:name="page37"/>
    <w:bookmarkEnd w:id="3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hedging transactions;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certain lines of business.</w:t>
      </w:r>
    </w:p>
    <w:p>
      <w:pPr>
        <w:spacing w:after="0" w:line="51" w:lineRule="exact"/>
        <w:rPr>
          <w:sz w:val="20"/>
          <w:szCs w:val="20"/>
          <w:color w:val="auto"/>
        </w:rPr>
      </w:pPr>
    </w:p>
    <w:p>
      <w:pPr>
        <w:ind w:right="100" w:firstLine="382"/>
        <w:spacing w:after="0" w:line="284" w:lineRule="auto"/>
        <w:rPr>
          <w:sz w:val="20"/>
          <w:szCs w:val="20"/>
          <w:color w:val="auto"/>
        </w:rPr>
      </w:pPr>
      <w:r>
        <w:rPr>
          <w:rFonts w:ascii="Times New Roman" w:cs="Times New Roman" w:eastAsia="Times New Roman" w:hAnsi="Times New Roman"/>
          <w:sz w:val="14"/>
          <w:szCs w:val="14"/>
          <w:color w:val="auto"/>
        </w:rPr>
        <w:t>These covenants are subject to a number of important exceptions and qualifications. In addition, the restrictive covenants in the Senior Credit Facility require us to maintain a consolidated net total leverage ratio that will be tested at the end of each fiscal quarter. Our ability to satisfy such financial ratio test may be affected by events beyond our control.</w:t>
      </w:r>
    </w:p>
    <w:p>
      <w:pPr>
        <w:spacing w:after="0" w:line="1" w:lineRule="exact"/>
        <w:rPr>
          <w:sz w:val="20"/>
          <w:szCs w:val="20"/>
          <w:color w:val="auto"/>
        </w:rPr>
      </w:pPr>
    </w:p>
    <w:p>
      <w:pPr>
        <w:ind w:right="60" w:firstLine="382"/>
        <w:spacing w:after="0" w:line="264" w:lineRule="auto"/>
        <w:rPr>
          <w:sz w:val="20"/>
          <w:szCs w:val="20"/>
          <w:color w:val="auto"/>
        </w:rPr>
      </w:pPr>
      <w:r>
        <w:rPr>
          <w:rFonts w:ascii="Times New Roman" w:cs="Times New Roman" w:eastAsia="Times New Roman" w:hAnsi="Times New Roman"/>
          <w:sz w:val="14"/>
          <w:szCs w:val="14"/>
          <w:color w:val="auto"/>
        </w:rPr>
        <w:t>A breach of the covenants under the agreements governing our indebtedness could result in an event of default under those agreements. Such a default may allow certain creditors to accelerate the related debt and may result in the acceleration of any other debt to which a cross-acceleration or cross-default provision applies. In addition, an event of default under the Senior Credit Facility would also permit the lenders under the Revolving Credit Facility to terminate all other commitments to extend further credit under that facility. In the event the lenders accelerate the repayment of our borrowings, we may not have sufficient assets to repay that indebtedness.</w:t>
      </w:r>
    </w:p>
    <w:p>
      <w:pPr>
        <w:spacing w:after="0" w:line="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a result of these restrictions, we may be:</w:t>
      </w:r>
    </w:p>
    <w:p>
      <w:pPr>
        <w:spacing w:after="0" w:line="51" w:lineRule="exact"/>
        <w:rPr>
          <w:sz w:val="20"/>
          <w:szCs w:val="20"/>
          <w:color w:val="auto"/>
        </w:rPr>
      </w:pPr>
    </w:p>
    <w:p>
      <w:pPr>
        <w:ind w:left="520" w:hanging="133"/>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in how we conduct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raise additional debt or equity financing to operate during general economic or business downturns; or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unable to compete effectively or to take advantage of new business opportunities.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These restrictions might hinder our ability to grow in accordance with our strategy.</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Our variable rate indebtedness subjects us to interest rate risk, which could cause our debt service obligations to increase significantly.</w:t>
      </w:r>
    </w:p>
    <w:p>
      <w:pPr>
        <w:spacing w:after="0" w:line="5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Borrowings under the Senior Credit Facility are at variable rates of interest and expose us to interest rate risk. During 2022 and 2023, interest rates increased significantly and interest rates may continue to increase or remain at higher than recent historical levels. With an increase in interest rates, our debt service obligations on the variable rate indebtedness would increase even though the amount borrowed remains the same, and our net income and cash flows, including cash available for servicing our indebtedness, would correspondingly decrease.</w:t>
      </w:r>
    </w:p>
    <w:p>
      <w:pPr>
        <w:spacing w:after="0" w:line="8"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Based on the $1.5 billion term loan facility (“Term Loan A”) outstanding as of March 31, 2025 and assuming all revolving loans are fully drawn, and after considering interest rate swaps that fix the interest rate on $550 million of principal of our variable-rate debt each quarter point change in interest rates would result in a $2 million change in our projected annual interest expense on our indebtedness under the Senior Credit Facility. We have entered into interest rate swaps and may in the future enter into additional interest rate swaps that involve the exchange of floating for fixed rate interest payments in order to reduce future interest rate volatility of our variable rate indebtedness. However, due to risks for hedging gains and losses and cash settlement costs, we may not elect to maintain such interest rate swaps, and any swaps may not fully mitigate our interest rate risk.</w:t>
      </w:r>
    </w:p>
    <w:p>
      <w:pPr>
        <w:spacing w:after="0" w:line="14" w:lineRule="exact"/>
        <w:rPr>
          <w:sz w:val="20"/>
          <w:szCs w:val="20"/>
          <w:color w:val="auto"/>
        </w:rPr>
      </w:pPr>
    </w:p>
    <w:p>
      <w:pPr>
        <w:ind w:right="24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rating assigned by a rating agency to us or our indebtedness could make it more difficult for us to obtain additional debt financing in the future.</w:t>
      </w: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We and our indebtedness have been rated by nationally recognized rating agencies and may in the future be rated by additional rating agencies. We cannot assure you that any rating assigned to us or our indebtedness will remain for any given period of time or that a rating will not be lowered or withdrawn entirely by a rating agency if, in that rating agency’s judgment, circumstances relating to the basis of the rating, such as adverse changes in our business, so warrant. Any downgrade, suspension or withdrawal of a rating by a rating agency (or any anticipated downgrade, suspension or withdrawal) could make it more difficult or more expensive for us to obtain additional debt financing in the future.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51" w:lineRule="exact"/>
        <w:rPr>
          <w:sz w:val="20"/>
          <w:szCs w:val="20"/>
          <w:color w:val="auto"/>
        </w:rPr>
      </w:pPr>
    </w:p>
    <w:p>
      <w:pPr>
        <w:ind w:right="3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operations of Booz Allen Holding are conducted almost entirely through its subsidiaries and its ability to generate cash to meet its debt service obligations or to pay dividends is highly dependent on the earnings and receipt of funds from its subsidiaries via dividends or intercompany loans. Further, the Senior Credit Facility and indentures governing our outstanding senior notes significantly restrict the ability of our subsidiaries to pay dividends or otherwise transfer assets to us. In addition, Delaware law may impose requirements that may restrict our ability to pay dividends to holders of our common stock.</w:t>
      </w:r>
    </w:p>
    <w:p>
      <w:pPr>
        <w:spacing w:after="0" w:line="11" w:lineRule="exact"/>
        <w:rPr>
          <w:sz w:val="20"/>
          <w:szCs w:val="20"/>
          <w:color w:val="auto"/>
        </w:rPr>
      </w:pPr>
    </w:p>
    <w:p>
      <w:pPr>
        <w:ind w:right="320" w:firstLine="350"/>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ind w:right="240" w:firstLine="350"/>
        <w:spacing w:after="0" w:line="284" w:lineRule="auto"/>
        <w:rPr>
          <w:sz w:val="20"/>
          <w:szCs w:val="20"/>
          <w:color w:val="auto"/>
        </w:rPr>
      </w:pPr>
      <w:r>
        <w:rPr>
          <w:rFonts w:ascii="Times New Roman" w:cs="Times New Roman" w:eastAsia="Times New Roman" w:hAnsi="Times New Roman"/>
          <w:sz w:val="14"/>
          <w:szCs w:val="14"/>
          <w:color w:val="auto"/>
        </w:rPr>
        <w:t>Our financial results may vary significantly from period to period in the future as a result of many external factors that are outside of our control. Factors that may affect our financial results and could cause the market price of our outstanding securities, including our Class A Common Stock, to fluctuate include those listed in this “Risk Factors” section and others such as: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any cause of reduction or delay in U.S. government funding;</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7" w:name="page38"/>
    <w:bookmarkEnd w:id="3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revenue earned on existing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completion, or termination of contracts during a particular period;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potential decline in our overall profit margins if our other direct costs and subcontract revenue grow at a faster rate than labor-related revenue;</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us or our competitors, such as changes to business strategy, strategic investments, acquisitions, divestitures, spin offs, and joint ventures;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our contract mix to less profitable contracts;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policy or budgetary measures that adversely affect U.S. government contracts in general;</w:t>
      </w:r>
    </w:p>
    <w:p>
      <w:pPr>
        <w:spacing w:after="0" w:line="51" w:lineRule="exact"/>
        <w:rPr>
          <w:rFonts w:ascii="Times New Roman" w:cs="Times New Roman" w:eastAsia="Times New Roman" w:hAnsi="Times New Roman"/>
          <w:sz w:val="14"/>
          <w:szCs w:val="14"/>
          <w:color w:val="auto"/>
        </w:rPr>
      </w:pPr>
    </w:p>
    <w:p>
      <w:pPr>
        <w:ind w:left="520" w:right="440" w:hanging="133"/>
        <w:spacing w:after="0" w:line="284" w:lineRule="auto"/>
        <w:tabs>
          <w:tab w:leader="none" w:pos="5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U.S. government GSA schedules, blanket purchase agreements, which are agreements that fulfill repetitive needs under GSA schedules, and IDIQ contracts;</w:t>
      </w: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demand for our services and solutions;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degree to which we are able to utilize our professionals;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seasonality associated with the U.S. government’s fiscal year;</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utilize existing or future tax benefits for any reason, including a change in law;</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alterations to contract requirements;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judgments or settlements in legal disputes.</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We cannot assure you that we will pay special or regular dividends on our stock in the future.</w:t>
      </w:r>
    </w:p>
    <w:p>
      <w:pPr>
        <w:spacing w:after="0" w:line="53" w:lineRule="exact"/>
        <w:rPr>
          <w:sz w:val="20"/>
          <w:szCs w:val="20"/>
          <w:color w:val="auto"/>
        </w:rPr>
      </w:pPr>
    </w:p>
    <w:p>
      <w:pPr>
        <w:ind w:right="60" w:firstLine="350"/>
        <w:spacing w:after="0" w:line="258" w:lineRule="auto"/>
        <w:rPr>
          <w:sz w:val="20"/>
          <w:szCs w:val="20"/>
          <w:color w:val="auto"/>
        </w:rPr>
      </w:pPr>
      <w:r>
        <w:rPr>
          <w:rFonts w:ascii="Times New Roman" w:cs="Times New Roman" w:eastAsia="Times New Roman" w:hAnsi="Times New Roman"/>
          <w:sz w:val="14"/>
          <w:szCs w:val="14"/>
          <w:color w:val="auto"/>
        </w:rPr>
        <w:t>The Board has authorized and declared a regular quarterly dividend for each quarter in the last several years. The Board has also authorized and declared special cash dividends from time to time. The declaration of any future dividends and the establishment of the per share amount, record dates, and payment dates for any such future dividends are subject to the discretion of the Board taking into account future earnings, cash flows, financial requirements and other factors. There can be no assurance that the Board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Provisions in our organizational documents and in the Delaware General Corporation Law may prevent takeover attempts that could be beneficial to our stockholders.</w:t>
      </w:r>
    </w:p>
    <w:p>
      <w:pPr>
        <w:spacing w:after="0" w:line="53" w:lineRule="exact"/>
        <w:rPr>
          <w:sz w:val="20"/>
          <w:szCs w:val="20"/>
          <w:color w:val="auto"/>
        </w:rPr>
      </w:pPr>
    </w:p>
    <w:p>
      <w:pPr>
        <w:ind w:right="20" w:firstLine="350"/>
        <w:spacing w:after="0" w:line="284"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1" w:lineRule="exact"/>
        <w:rPr>
          <w:sz w:val="20"/>
          <w:szCs w:val="20"/>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to the Board the sole power to set the number of directors and to fill any vacancy on the Board;</w:t>
      </w:r>
    </w:p>
    <w:p>
      <w:pPr>
        <w:spacing w:after="0" w:line="51" w:lineRule="exact"/>
        <w:rPr>
          <w:rFonts w:ascii="Times New Roman" w:cs="Times New Roman" w:eastAsia="Times New Roman" w:hAnsi="Times New Roman"/>
          <w:sz w:val="14"/>
          <w:szCs w:val="14"/>
          <w:color w:val="auto"/>
        </w:rPr>
      </w:pPr>
    </w:p>
    <w:p>
      <w:pPr>
        <w:ind w:left="520" w:hanging="133"/>
        <w:spacing w:after="0" w:line="284" w:lineRule="auto"/>
        <w:tabs>
          <w:tab w:leader="none" w:pos="5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granting to the Board the ability to designate and issue one or more series of preferred stock without stockholder approval, the terms of which may be determined at the sole discretion of the Board;</w:t>
      </w: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establishment of advance notice requirements for stockholder proposals and nominations for election to the Board at stockholder meetings;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our stockholders from acting by written consent.</w:t>
      </w:r>
    </w:p>
    <w:p>
      <w:pPr>
        <w:spacing w:after="0" w:line="51" w:lineRule="exact"/>
        <w:rPr>
          <w:sz w:val="20"/>
          <w:szCs w:val="20"/>
          <w:color w:val="auto"/>
        </w:rPr>
      </w:pPr>
    </w:p>
    <w:p>
      <w:pPr>
        <w:ind w:right="380" w:firstLine="350"/>
        <w:spacing w:after="0" w:line="264" w:lineRule="auto"/>
        <w:rPr>
          <w:sz w:val="20"/>
          <w:szCs w:val="20"/>
          <w:color w:val="auto"/>
        </w:rPr>
      </w:pPr>
      <w:r>
        <w:rPr>
          <w:rFonts w:ascii="Times New Roman" w:cs="Times New Roman" w:eastAsia="Times New Roman" w:hAnsi="Times New Roman"/>
          <w:sz w:val="14"/>
          <w:szCs w:val="14"/>
          <w:color w:val="auto"/>
        </w:rPr>
        <w:t>In addition, we are subject to the anti-takeover provisions of Section 203 of the Delaware General Corporation Law, which imposes additional requirements regarding mergers and other business combinations. 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w:t>
      </w:r>
    </w:p>
    <w:p>
      <w:pPr>
        <w:spacing w:after="0" w:line="13"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354" w:right="379" w:bottom="1440" w:gutter="0" w:footer="0" w:header="0"/>
        </w:sectPr>
      </w:pPr>
    </w:p>
    <w:bookmarkStart w:id="38" w:name="page39"/>
    <w:bookmarkEnd w:id="3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The market for our Class A Common Stock may be adversely affected by the performance of other companies in the government services market.</w:t>
      </w:r>
    </w:p>
    <w:p>
      <w:pPr>
        <w:spacing w:after="0" w:line="5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be adversely affected as a result thereof.</w:t>
      </w:r>
    </w:p>
    <w:p>
      <w:pPr>
        <w:spacing w:after="0" w:line="5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1B</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Unresolved Staff Comments.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1C</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Cybersecurity.</w:t>
      </w:r>
    </w:p>
    <w:p>
      <w:pPr>
        <w:spacing w:after="0" w:line="5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one of the world’s largest cybersecurity solution providers, we routinely defend against advanced persistent threats both internally and for our customers. Our cybersecurity risk management program is an integral part of our overall Enterprise Risk Management (“ERM”) program, and is designed to assess, identify, manage and mitigate internal and external cybersecurity risks, threats and incidents.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and Strategy</w:t>
      </w:r>
    </w:p>
    <w:p>
      <w:pPr>
        <w:spacing w:after="0" w:line="53" w:lineRule="exact"/>
        <w:rPr>
          <w:sz w:val="20"/>
          <w:szCs w:val="20"/>
          <w:color w:val="auto"/>
        </w:rPr>
      </w:pPr>
    </w:p>
    <w:p>
      <w:pPr>
        <w:ind w:right="200" w:firstLine="350"/>
        <w:spacing w:after="0" w:line="284" w:lineRule="auto"/>
        <w:rPr>
          <w:sz w:val="20"/>
          <w:szCs w:val="20"/>
          <w:color w:val="auto"/>
        </w:rPr>
      </w:pPr>
      <w:r>
        <w:rPr>
          <w:rFonts w:ascii="Times New Roman" w:cs="Times New Roman" w:eastAsia="Times New Roman" w:hAnsi="Times New Roman"/>
          <w:sz w:val="14"/>
          <w:szCs w:val="14"/>
          <w:color w:val="auto"/>
        </w:rPr>
        <w:t>Cybersecurity oversight is embedded in our ERM Steering Committee, chaired by the Chief Operating Officer and including senior executives such as the Chief Information Security Officer (“CISO”) and Chief Information Officer (“CIO”). This committee is responsible for:</w:t>
      </w:r>
    </w:p>
    <w:p>
      <w:pPr>
        <w:spacing w:after="0" w:line="1" w:lineRule="exact"/>
        <w:rPr>
          <w:sz w:val="20"/>
          <w:szCs w:val="20"/>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assessing, and managing cybersecurity risks within the broader ERM framework;</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Aligning cybersecurity risk management priorities and strategies with business objectives;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Monitoring periodic internal and third-party assessments, threat simulations, and security exercises to evaluate cybersecurity defenses; and</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identified vulnerabilities through mitigation efforts and risk response strategies.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“Item 1C. Cybersecurity—Governance—Management’s Responsibilities” below for additional information regarding our cybersecurity risk management program.</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Responsibilities</w:t>
      </w:r>
    </w:p>
    <w:p>
      <w:pPr>
        <w:spacing w:after="0" w:line="53"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Our cybersecurity risk management program is led by our CISO, who is responsible for our information security strategy, policies, compliance, security architecture and engineering, security operations, and cybersecurity threat detection and response. Our CISO, a Certified Information Systems Security Professional (“CISSP”), has over 20 years of information security and program management experience and has served as the CISO for several large-scale enterprises in the U.S. government services industry, commercial organizations, and not-for-profit organizations.</w:t>
      </w:r>
    </w:p>
    <w:p>
      <w:pPr>
        <w:spacing w:after="0" w:line="8" w:lineRule="exact"/>
        <w:rPr>
          <w:sz w:val="20"/>
          <w:szCs w:val="20"/>
          <w:color w:val="auto"/>
        </w:rPr>
      </w:pPr>
    </w:p>
    <w:p>
      <w:pPr>
        <w:ind w:right="180" w:firstLine="350"/>
        <w:spacing w:after="0" w:line="261" w:lineRule="auto"/>
        <w:rPr>
          <w:sz w:val="20"/>
          <w:szCs w:val="20"/>
          <w:color w:val="auto"/>
        </w:rPr>
      </w:pPr>
      <w:r>
        <w:rPr>
          <w:rFonts w:ascii="Times New Roman" w:cs="Times New Roman" w:eastAsia="Times New Roman" w:hAnsi="Times New Roman"/>
          <w:sz w:val="14"/>
          <w:szCs w:val="14"/>
          <w:color w:val="auto"/>
        </w:rPr>
        <w:t>As a government contractor, we are required to comply with extensive regulations and standards, including but not limited to, cybersecurity regulations and standards and the requirements of the DFARS. Additionally, our cybersecurity risk management program is guided by the National Institute of Standards and Technology (“NIST”) Cybersecurity Framework. Our policies and implemented controls have been assessed by external organizations, including industry partners and the federal government. We work closely with our subcontractors and suppliers to identify and manage cybersecurity risks and, as appropriate, require them to comply with applicable laws and regulations. These contractual requirements include the requirement that our subcontractors implement certain security controls, and that our subcontractors self-report the status of their implementation of these controls to the U.S. government.</w:t>
      </w:r>
    </w:p>
    <w:p>
      <w:pPr>
        <w:spacing w:after="0" w:line="16"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To manage cybersecurity risk introduced from our supply chain, depending on the nature of a supplier's work and the sensitivity of our and our customers’ information provided to the supplier, we also require suppliers to complete our security questionnaire and provide evidence of security accreditations, and we evaluate supplier compliance with security requirements using internal and third-party resources.</w:t>
      </w:r>
    </w:p>
    <w:p>
      <w:pPr>
        <w:spacing w:after="0" w:line="8"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Our CISO also leads our Cyber Fusion Center (“CFC”), whose function is, pursuant to our Cyber Incident Response Plan, to stay apprised of existing and emerging cybersecurity threats and monitor our information systems to proactively identify, protect against, and mitigate cybersecurity threats. The CFC uses intelligence collected from various sources, fused with intelligence collected from analysis and response actions, to proactively search for and address adversary activity against our information systems. The CFC possesses in-depth knowledge of network, endpoint, perimeter security systems, identity-based vulnerabilities, data protection, threat intelligence, forensics, penetration testing, and malware reverse engineering, as well as the functioning of specific applications or underlying information systems infrastructure. The CFC partners with a third party managed systems security provider (“MSSP”) to augment 24x7 cyber incident monitoring.</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39" w:name="page40"/>
    <w:bookmarkEnd w:id="3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The Cyber Incident Response Team (“CIRT”) is responsible for the incident response process and provides direction and guidance to users of our information systems when responding to cybersecurity incidents. The CIRT also provides intrusion monitoring of networks and information systems, and performs triage and analysis of events to identify and respond to potential incidents, including potential incidents occurring on third-party systems. The CIRT categorizes anomalous cybersecurity events into discrete levels in which cybersecurity events are escalated to appropriate levels of management, as well as our Crisis Management Team, Cyber Incident Materiality Committee, Audit Committee, and Board, based on the severity of the incident. While typical cybersecurity management and incident response is provided by internal resources, we have arrangements with certain third parties whom we can engage if additional support or resources are required.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Board of Directors’ Roles and Responsibilities</w:t>
      </w:r>
    </w:p>
    <w:p>
      <w:pPr>
        <w:spacing w:after="0" w:line="53" w:lineRule="exact"/>
        <w:rPr>
          <w:sz w:val="20"/>
          <w:szCs w:val="20"/>
          <w:color w:val="auto"/>
        </w:rPr>
      </w:pPr>
    </w:p>
    <w:p>
      <w:pPr>
        <w:ind w:right="180" w:firstLine="350"/>
        <w:spacing w:after="0" w:line="264" w:lineRule="auto"/>
        <w:rPr>
          <w:sz w:val="20"/>
          <w:szCs w:val="20"/>
          <w:color w:val="auto"/>
        </w:rPr>
      </w:pPr>
      <w:r>
        <w:rPr>
          <w:rFonts w:ascii="Times New Roman" w:cs="Times New Roman" w:eastAsia="Times New Roman" w:hAnsi="Times New Roman"/>
          <w:sz w:val="14"/>
          <w:szCs w:val="14"/>
          <w:color w:val="auto"/>
        </w:rPr>
        <w:t>The Board oversees the Company’s risk management processes, including those relevant to cybersecurity risks, and the Audit Committee provides focused governance of cybersecurity, ensuring that cybersecurity threats, vulnerabilities, and incident response measures are continuously assessed and managed. The Audit Committee receives regular briefings from the CISO on risks related to internal systems, third-party relationships, and emerging cybersecurity threats. The Audit Committee provides updates to the Board on significant cybersecurity risks and the Company’s mitigation strategies.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Cybersecurity Threats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Even with our extensive and systematic approach to cybersecurity, we may not be successful in preventing or mitigating a cybersecurity incident that could have a material adverse effect on 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While we maintain cybersecurity insurance, the cost related to cybersecurity threats or disruptions may not be fully insured.</w:t>
      </w:r>
    </w:p>
    <w:p>
      <w:pPr>
        <w:spacing w:after="0" w:line="37" w:lineRule="exact"/>
        <w:rPr>
          <w:sz w:val="20"/>
          <w:szCs w:val="20"/>
          <w:color w:val="auto"/>
        </w:rPr>
      </w:pPr>
    </w:p>
    <w:p>
      <w:pPr>
        <w:ind w:right="20" w:firstLine="350"/>
        <w:spacing w:after="0" w:line="283" w:lineRule="auto"/>
        <w:rPr>
          <w:sz w:val="20"/>
          <w:szCs w:val="20"/>
          <w:color w:val="auto"/>
        </w:rPr>
      </w:pPr>
      <w:r>
        <w:rPr>
          <w:rFonts w:ascii="Times New Roman" w:cs="Times New Roman" w:eastAsia="Times New Roman" w:hAnsi="Times New Roman"/>
          <w:sz w:val="14"/>
          <w:szCs w:val="14"/>
          <w:color w:val="auto"/>
        </w:rPr>
        <w:t>During the period covered by this Annual Report, we have not experienced any cybersecurity incidents that have materially affected or are reasonably likely to materially affect our business strategy, results of operations, or our financial condition. Future cybersecurity incidents could, however, materially affect our business strategy, results of operations, reputation, or financial condition.</w:t>
      </w:r>
    </w:p>
    <w:p>
      <w:pPr>
        <w:ind w:left="360"/>
        <w:spacing w:after="0"/>
        <w:rPr>
          <w:sz w:val="20"/>
          <w:szCs w:val="20"/>
          <w:color w:val="auto"/>
        </w:rPr>
      </w:pPr>
      <w:r>
        <w:rPr>
          <w:rFonts w:ascii="Times New Roman" w:cs="Times New Roman" w:eastAsia="Times New Roman" w:hAnsi="Times New Roman"/>
          <w:sz w:val="14"/>
          <w:szCs w:val="14"/>
          <w:color w:val="auto"/>
        </w:rPr>
        <w:t>See Item 1A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“Risk Factors,” for a discussion on cybersecurity risks and how they could materially affect the Company.</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2</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Properties.</w:t>
      </w:r>
    </w:p>
    <w:p>
      <w:pPr>
        <w:spacing w:after="0" w:line="53"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We do not own any facilities or real estate. Our corporate headquarters is located at 8283 Greensboro Drive, McLean, Virginia 22102. We lease other operating offices and facilities throughout North America, and a limited number of overseas locations. Our principal offices outside of McLean, Virginia include: Annapolis Junction, Maryland; Washington, D.C.; Chantilly, Virginia; Laurel, Maryland; Panama City Beach, Florida; Arlington, Virginia; Bethesda, Maryland; Alexandria, Virginia; and Colorado Springs, Colorado.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 million square feet. We believe our facilities meet our current needs.</w:t>
      </w:r>
    </w:p>
    <w:p>
      <w:pPr>
        <w:spacing w:after="0" w:line="5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3"/>
          <w:szCs w:val="13"/>
          <w:b w:val="1"/>
          <w:bCs w:val="1"/>
          <w:color w:val="auto"/>
        </w:rPr>
        <w:t>Legal Proceedings.</w:t>
      </w:r>
    </w:p>
    <w:p>
      <w:pPr>
        <w:spacing w:after="0" w:line="53"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The Company is involved in legal proceedings and investigations arising in the ordinary course of business, including those relating to employment matters, relationships with customers and contractors, intellectual property disputes, compliance with various laws and regulations, and other business matters. We have provided information about these legal proceedings and investigations in Note 19, “Commitments and Contingencies,” to the consolidated financial statements contained within this Annual Report on Form 10-K.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both March 31, 2025 and March 31, 2024, there were no material amounts accrued in the consolidated financial statements related to these proceedings.</w:t>
      </w:r>
    </w:p>
    <w:p>
      <w:pPr>
        <w:spacing w:after="0" w:line="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4</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Mine Safety Disclosures</w:t>
      </w:r>
      <w:r>
        <w:rPr>
          <w:rFonts w:ascii="Times New Roman" w:cs="Times New Roman" w:eastAsia="Times New Roman" w:hAnsi="Times New Roman"/>
          <w:sz w:val="13"/>
          <w:szCs w:val="13"/>
          <w:b w:val="1"/>
          <w:bCs w:val="1"/>
          <w:i w:val="1"/>
          <w:iCs w:val="1"/>
          <w:color w:val="auto"/>
        </w:rPr>
        <w: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0" w:name="page41"/>
    <w:bookmarkEnd w:id="4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about our Executive Officers.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sets forth information about our executive officers as of the date hereof:</w:t>
      </w:r>
    </w:p>
    <w:p>
      <w:pPr>
        <w:spacing w:after="0" w:line="39" w:lineRule="exact"/>
        <w:rPr>
          <w:sz w:val="20"/>
          <w:szCs w:val="20"/>
          <w:color w:val="auto"/>
        </w:rPr>
      </w:pPr>
    </w:p>
    <w:tbl>
      <w:tblPr>
        <w:tblLayout w:type="fixed"/>
        <w:tblInd w:w="380" w:type="dxa"/>
        <w:tblCellMar>
          <w:top w:w="0" w:type="dxa"/>
          <w:left w:w="0" w:type="dxa"/>
          <w:bottom w:w="0" w:type="dxa"/>
          <w:right w:w="0" w:type="dxa"/>
        </w:tblCellMar>
      </w:tblPr>
      <w:tr>
        <w:trPr>
          <w:trHeight w:val="186"/>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1"/>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Horacio D. Rozanski</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Borders>
              <w:top w:val="single" w:sz="8" w:color="CCEEFF"/>
            </w:tcBorders>
            <w:shd w:val="clear" w:color="auto" w:fill="CCEEFF"/>
          </w:tcPr>
          <w:p>
            <w:pPr>
              <w:spacing w:after="0"/>
              <w:rPr>
                <w:sz w:val="14"/>
                <w:szCs w:val="14"/>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Chairman, Chief Executive Officer and President</w:t>
            </w:r>
          </w:p>
        </w:tc>
      </w:tr>
      <w:tr>
        <w:trPr>
          <w:trHeight w:val="18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Matthew A. Calderone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53</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Kristine Martin Anderson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56</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Operating Officer</w:t>
            </w:r>
          </w:p>
        </w:tc>
      </w:tr>
      <w:tr>
        <w:trPr>
          <w:trHeight w:val="18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Richard Crowe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57</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Andrea Inserra</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55</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Thomas Pfeifer</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Nancy J. Laben</w:t>
            </w:r>
            <w:r>
              <w:rPr>
                <w:rFonts w:ascii="Times New Roman" w:cs="Times New Roman" w:eastAsia="Times New Roman" w:hAnsi="Times New Roman"/>
                <w:sz w:val="18"/>
                <w:szCs w:val="18"/>
                <w:color w:val="auto"/>
                <w:vertAlign w:val="superscript"/>
              </w:rPr>
              <w:t>(1)</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63</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Vice President and Chief Legal Officer</w:t>
            </w:r>
          </w:p>
        </w:tc>
      </w:tr>
      <w:tr>
        <w:trPr>
          <w:trHeight w:val="180"/>
        </w:trPr>
        <w:tc>
          <w:tcPr>
            <w:tcW w:w="276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Judith Dotson</w:t>
            </w:r>
            <w:r>
              <w:rPr>
                <w:rFonts w:ascii="Times New Roman" w:cs="Times New Roman" w:eastAsia="Times New Roman" w:hAnsi="Times New Roman"/>
                <w:sz w:val="18"/>
                <w:szCs w:val="18"/>
                <w:color w:val="auto"/>
                <w:vertAlign w:val="superscript"/>
              </w:rPr>
              <w:t>(2)</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w:t>
            </w:r>
          </w:p>
        </w:tc>
        <w:tc>
          <w:tcPr>
            <w:tcW w:w="10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Executive Vice President</w:t>
            </w:r>
          </w:p>
        </w:tc>
      </w:tr>
      <w:tr>
        <w:trPr>
          <w:trHeight w:val="180"/>
        </w:trPr>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Dennis Metzfield</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45</w:t>
            </w:r>
          </w:p>
        </w:tc>
        <w:tc>
          <w:tcPr>
            <w:tcW w:w="100" w:type="dxa"/>
            <w:vAlign w:val="bottom"/>
            <w:shd w:val="clear" w:color="auto" w:fill="CCEEFF"/>
          </w:tcPr>
          <w:p>
            <w:pPr>
              <w:spacing w:after="0"/>
              <w:rPr>
                <w:sz w:val="15"/>
                <w:szCs w:val="15"/>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Vice President, Controller and Chief Accounting Officer</w:t>
            </w:r>
          </w:p>
        </w:tc>
      </w:tr>
    </w:tbl>
    <w:p>
      <w:pPr>
        <w:spacing w:after="0" w:line="37" w:lineRule="exact"/>
        <w:rPr>
          <w:sz w:val="20"/>
          <w:szCs w:val="20"/>
          <w:color w:val="auto"/>
        </w:rPr>
      </w:pPr>
    </w:p>
    <w:p>
      <w:pPr>
        <w:ind w:left="460" w:hanging="137"/>
        <w:spacing w:after="0"/>
        <w:tabs>
          <w:tab w:leader="none" w:pos="460" w:val="left"/>
        </w:tabs>
        <w:numPr>
          <w:ilvl w:val="0"/>
          <w:numId w:val="4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Ms. Laben is currently taking a personal leave of absence.</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As previously disclosed, Ms. Dotson will retire from the Company on June 30, 2025.</w:t>
      </w:r>
    </w:p>
    <w:p>
      <w:pPr>
        <w:spacing w:after="0" w:line="30" w:lineRule="exact"/>
        <w:rPr>
          <w:sz w:val="20"/>
          <w:szCs w:val="20"/>
          <w:color w:val="auto"/>
        </w:rPr>
      </w:pPr>
    </w:p>
    <w:p>
      <w:pPr>
        <w:jc w:val="both"/>
        <w:ind w:right="4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Horacio D. Rozanski </w:t>
      </w:r>
      <w:r>
        <w:rPr>
          <w:rFonts w:ascii="Times New Roman" w:cs="Times New Roman" w:eastAsia="Times New Roman" w:hAnsi="Times New Roman"/>
          <w:sz w:val="14"/>
          <w:szCs w:val="14"/>
          <w:color w:val="auto"/>
        </w:rPr>
        <w:t>is our Chairman, Chief Executive Officer and President. A respected business leader, Mr. Rozanski led the transformation of the Company into an advanced technology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provider. He joined Booz Allen in 1992 as a consultant to commercial customers, was elected Vice President in 1999, and served as our Chief Personnel Officer, Chief Strategy and Talent Officer, Chief Operating Officer, and President before becoming Chief Executive Officer in 2015. Mr. Rozanski became Chairman of our Board of Directors in July 2024. Mr. Rozanski currently serves as Chairman of the board of directors for Children’s National Hospital and is a member of the board of directors at Marriott International, Inc. (NASDAQ: MAR). He is also a member of the Business Roundtable, the Economic Club of Washington, D.C, and the United States Holocaust Memorial Museum’s Committee on Conscience, and Vice Chair of the Kennedy Center Corporate Fund Board.</w:t>
      </w:r>
    </w:p>
    <w:p>
      <w:pPr>
        <w:spacing w:after="0" w:line="13"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Matthew A. Calderone </w:t>
      </w:r>
      <w:r>
        <w:rPr>
          <w:rFonts w:ascii="Times New Roman" w:cs="Times New Roman" w:eastAsia="Times New Roman" w:hAnsi="Times New Roman"/>
          <w:sz w:val="14"/>
          <w:szCs w:val="14"/>
          <w:color w:val="auto"/>
        </w:rPr>
        <w:t>is an Executive Vice President at Booz Allen and our Chief Financial Officer. Mr. Calderone joined Booz Allen in 1999, and has held a variety of leadership roles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finance and strategy over the last decade. Prior to becoming Chief Financial Officer in October 2022, Mr. Calderone served as our Chief Strategy Officer, during which he led M&amp;A activity, long-term financial strategy, and the development and rollout of VoLT, Booz Allen’s growth strategy. From 2016 to 2020, Mr. Calderone led the Company’s strategic finance and Forecasting, Planning and Analysis (FP&amp;A) functions. In addition, in 2014, Mr. Calderone built the Company’s corporate development team. He is also a member of the Board of Directors for the Boys and Girls Clubs of Greater Washington.</w:t>
      </w:r>
    </w:p>
    <w:p>
      <w:pPr>
        <w:spacing w:after="0" w:line="44" w:lineRule="exact"/>
        <w:rPr>
          <w:sz w:val="20"/>
          <w:szCs w:val="20"/>
          <w:color w:val="auto"/>
        </w:rPr>
      </w:pPr>
    </w:p>
    <w:p>
      <w:pPr>
        <w:ind w:right="40"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Kristine Martin Anderson </w:t>
      </w:r>
      <w:r>
        <w:rPr>
          <w:rFonts w:ascii="Times New Roman" w:cs="Times New Roman" w:eastAsia="Times New Roman" w:hAnsi="Times New Roman"/>
          <w:sz w:val="14"/>
          <w:szCs w:val="14"/>
          <w:color w:val="auto"/>
        </w:rPr>
        <w:t>is an Executive Vice President at Booz Allen and our Chief Operating Officer. Ms. Anderson joined Booz Allen in 2006, and has held a variety of leadership roles.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Prior to becoming Chief Operating Officer in May 2022, Ms. Anderson served as President for the Company's Civil sector from April 2018 to May 2022, and led the Company’s civil health business from 2015 to 2018. Prior to joining Booz Allen, Ms. Anderson was Vice President for Operations and Strategy at CareScience, a health care software solutions company.</w:t>
      </w:r>
    </w:p>
    <w:p>
      <w:pPr>
        <w:spacing w:after="0" w:line="6" w:lineRule="exact"/>
        <w:rPr>
          <w:sz w:val="20"/>
          <w:szCs w:val="20"/>
          <w:color w:val="auto"/>
        </w:rPr>
      </w:pPr>
    </w:p>
    <w:p>
      <w:pPr>
        <w:jc w:val="both"/>
        <w:ind w:right="42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Richard Crowe </w:t>
      </w:r>
      <w:r>
        <w:rPr>
          <w:rFonts w:ascii="Times New Roman" w:cs="Times New Roman" w:eastAsia="Times New Roman" w:hAnsi="Times New Roman"/>
          <w:sz w:val="14"/>
          <w:szCs w:val="14"/>
          <w:color w:val="auto"/>
        </w:rPr>
        <w:t>is an Executive Vice President at Booz Allen and President for the Company's Civil sector. Mr. Crowe joined Booz Allen in 2004 and prior to becoming President for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Company's Civil sector in June 2022, was the Company's Chief Growth Officer from April 2021 to May 2022, where he built a best-in-class business development organization aligned to the Company's business strategy and growth. Prior to that role, Mr. Crowe led the Company's Health business from 2018 to 2021. Mr. Crowe has more than 30 years of strategy development and technology delivery experience. Prior to joining Booz Allen, Mr. Crowe was the chief technical officer at PlasmaSol Corp.</w:t>
      </w:r>
    </w:p>
    <w:p>
      <w:pPr>
        <w:spacing w:after="0" w:line="10"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Andrea Inserra </w:t>
      </w:r>
      <w:r>
        <w:rPr>
          <w:rFonts w:ascii="Times New Roman" w:cs="Times New Roman" w:eastAsia="Times New Roman" w:hAnsi="Times New Roman"/>
          <w:sz w:val="14"/>
          <w:szCs w:val="14"/>
          <w:color w:val="auto"/>
        </w:rPr>
        <w:t>is an Executive Vice President at Booz Allen and President for the Company's Global Defense sector. Prior to becoming President for the Company's Global Defense sector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April 2025, Ms. Inserra served as an Executive Vice President and market leader for Booz Allen’s aerospace business, serving customers in the U.S. Air Force, Space Force, and NASA. Ms. Inserra has over 26 years of experience at Booz Allen, and previously led the operations and strategy team for Booz Allen’s defense and commercial businesses and was a leader in our military and civil health businesses. Ms. Inserra serves on the board of directors for the Armed Services YMCA and Haskell. Previously, Ms. Inserra served on the boards of the Association of Military Surgeons of the United States and the Catholic University of America School of Engineering.</w:t>
      </w:r>
    </w:p>
    <w:p>
      <w:pPr>
        <w:spacing w:after="0" w:line="200" w:lineRule="exact"/>
        <w:rPr>
          <w:sz w:val="20"/>
          <w:szCs w:val="20"/>
          <w:color w:val="auto"/>
        </w:rPr>
      </w:pPr>
    </w:p>
    <w:p>
      <w:pPr>
        <w:spacing w:after="0" w:line="21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41" w:name="page42"/>
    <w:bookmarkEnd w:id="4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right="40"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Thomas Pfeifer </w:t>
      </w:r>
      <w:r>
        <w:rPr>
          <w:rFonts w:ascii="Times New Roman" w:cs="Times New Roman" w:eastAsia="Times New Roman" w:hAnsi="Times New Roman"/>
          <w:sz w:val="14"/>
          <w:szCs w:val="14"/>
          <w:color w:val="auto"/>
        </w:rPr>
        <w:t>is an Executive Vice President at Booz Allen and President for the Company's National Security sector. Mr. Pfeifer joined Booz Allen in 1989 and has over 40 years of industry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experience. Prior to becoming President for the Company's National Security sector in August 2022, Mr. Pfeifer led several business units focused on defense military intelligence, space, national agencies, the Air Force, and NASA, where he focused on evolving the businesses closer to the mission. Mr. Pfeifer holds a master’s degree in computer systems management and a bachelor’s degree in economics, both from the University of Maryland. He is a member of the Institute of Navigation (ION), the Institute of Electrical and Electronic Engineering (IEEE) Computer Society, the American Society for Quality (ASQ), and the Armed Forces Communications and Electronics Association (AFCEA).</w:t>
      </w:r>
    </w:p>
    <w:p>
      <w:pPr>
        <w:spacing w:after="0" w:line="13" w:lineRule="exact"/>
        <w:rPr>
          <w:sz w:val="20"/>
          <w:szCs w:val="20"/>
          <w:color w:val="auto"/>
        </w:rPr>
      </w:pPr>
    </w:p>
    <w:p>
      <w:pPr>
        <w:ind w:right="4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Nancy J. Laben </w:t>
      </w:r>
      <w:r>
        <w:rPr>
          <w:rFonts w:ascii="Times New Roman" w:cs="Times New Roman" w:eastAsia="Times New Roman" w:hAnsi="Times New Roman"/>
          <w:sz w:val="14"/>
          <w:szCs w:val="14"/>
          <w:color w:val="auto"/>
        </w:rPr>
        <w:t>is an Executive Vice President at Booz Allen and our Chief Legal Officer. She also served as the Secretary of the Company until August 2019. Ms. Laben joined Booz Allen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2013. She oversees the Legal, Ethics &amp; Compliance, and Reputation and Impact functions of the Company. Before joining our Company, Ms. Laben served as General Counsel of AECOM Technology Corporation from 2010 to 2013, where she was responsible for all legal support. Prior to joining AECOM Technology Corporation, Ms. Laben served as Deputy General Counsel at Accenture plc beginning in 1989. Prior to joining Accenture, Ms. Laben served in the law department at IBM Corporation.</w:t>
      </w:r>
    </w:p>
    <w:p>
      <w:pPr>
        <w:spacing w:after="0" w:line="10" w:lineRule="exact"/>
        <w:rPr>
          <w:sz w:val="20"/>
          <w:szCs w:val="20"/>
          <w:color w:val="auto"/>
        </w:rPr>
      </w:pPr>
    </w:p>
    <w:p>
      <w:pPr>
        <w:ind w:firstLine="350"/>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Judith Dotson </w:t>
      </w:r>
      <w:r>
        <w:rPr>
          <w:rFonts w:ascii="Times New Roman" w:cs="Times New Roman" w:eastAsia="Times New Roman" w:hAnsi="Times New Roman"/>
          <w:sz w:val="14"/>
          <w:szCs w:val="14"/>
          <w:color w:val="auto"/>
        </w:rPr>
        <w:t>is an Executive Vice President at Booz Allen. Ms. Dotson joined Booz Allen in 1989 and became a Senior Vice President in 2004. Ms. Dotson led the Company's Finance,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Economic Development, and Energy business from 2014 to 2017, the Joint Combatant Command business from 2017 to 2020, and she served as President for the Company’s National Security sector from 2020 to July 2022. Prior to her current role, Ms. Dotson served as an Executive Vice President and President for the Company's Global Defense sector from August 2022 to March 2025. Previously, she led the Company's Enterprise Integration Capability Development Team, the Defense System Development Capability Team, and the Environment &amp; Energy Technology Team. Ms. Dotson previously served on the board of directors for the Nature Generation, a not-for-profit that inspires and empowers environmental stewardship in youth.</w:t>
      </w:r>
    </w:p>
    <w:p>
      <w:pPr>
        <w:spacing w:after="0" w:line="13" w:lineRule="exact"/>
        <w:rPr>
          <w:sz w:val="20"/>
          <w:szCs w:val="20"/>
          <w:color w:val="auto"/>
        </w:rPr>
      </w:pPr>
    </w:p>
    <w:p>
      <w:pPr>
        <w:ind w:right="140"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Dennis Metzfield </w:t>
      </w:r>
      <w:r>
        <w:rPr>
          <w:rFonts w:ascii="Times New Roman" w:cs="Times New Roman" w:eastAsia="Times New Roman" w:hAnsi="Times New Roman"/>
          <w:sz w:val="14"/>
          <w:szCs w:val="14"/>
          <w:color w:val="auto"/>
        </w:rPr>
        <w:t>is a Vice President at Booz Allen and our Controller and Chief Accounting Officer since February 2025. Mr. Metzfield joined the Company in November 2024 as Vice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President and Controller. Prior to joining the Company, he spent 7 years at Huntington Ingalls Industries (NYSE: HII), where he most recently served as the Corporate Assistant Controller. Prior to joining Huntington Ingalls Industries, Mr. Metzfield served as a Senior Manager in Deloitte’s accounting advisory practice.</w:t>
      </w:r>
    </w:p>
    <w:p>
      <w:pPr>
        <w:spacing w:after="0" w:line="200" w:lineRule="exact"/>
        <w:rPr>
          <w:sz w:val="20"/>
          <w:szCs w:val="20"/>
          <w:color w:val="auto"/>
        </w:rPr>
      </w:pPr>
    </w:p>
    <w:p>
      <w:pPr>
        <w:spacing w:after="0" w:line="20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42" w:name="page43"/>
    <w:bookmarkEnd w:id="4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5</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Class A Common Stock began trading on the New York Stock Exchange on November 17, 2010. On May 16, 2025, there were 348,833 beneficial holders of our Class A Common Stock.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the New York Stock Exchange under the ticker symbol “BAH”.</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Dividends</w:t>
      </w:r>
    </w:p>
    <w:p>
      <w:pPr>
        <w:spacing w:after="0" w:line="53" w:lineRule="exact"/>
        <w:rPr>
          <w:sz w:val="20"/>
          <w:szCs w:val="20"/>
          <w:color w:val="auto"/>
        </w:rPr>
      </w:pPr>
    </w:p>
    <w:p>
      <w:pPr>
        <w:ind w:right="140" w:firstLine="350"/>
        <w:spacing w:after="0" w:line="264" w:lineRule="auto"/>
        <w:rPr>
          <w:sz w:val="20"/>
          <w:szCs w:val="20"/>
          <w:color w:val="auto"/>
        </w:rPr>
      </w:pPr>
      <w:r>
        <w:rPr>
          <w:rFonts w:ascii="Times New Roman" w:cs="Times New Roman" w:eastAsia="Times New Roman" w:hAnsi="Times New Roman"/>
          <w:sz w:val="14"/>
          <w:szCs w:val="14"/>
          <w:color w:val="auto"/>
        </w:rPr>
        <w:t>The Company plans to continue paying recurring dividends in the future and assessing its excess cash resources to determine the best way to utilize its excess cash flow to meet its objectives. Any future dividends declared will be at the discretion of the Board of Directors and will depend, among other factors, upon our earnings, liquidity, financial condition, alternate capital allocation opportunities, or any other factors the Board of Directors deems relevant. On May 23, 2025, the Company announced that the Board of Directors had declared a quarterly cash dividend of $0.55 per share. Payment of the dividend will be made on June 27, 2025 to stockholders of record at the close of business on June 11, 2025.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share repurchase activity for each of the three months in the quarter ended March 31, 2025:</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6"/>
              </w:rPr>
              <w:t>Approximate Dollar Value of</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5"/>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that May Yet Be</w:t>
            </w: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Total Number of Shares</w:t>
            </w:r>
          </w:p>
        </w:tc>
        <w:tc>
          <w:tcPr>
            <w:tcW w:w="1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5"/>
              <w:spacing w:after="0" w:line="128" w:lineRule="exact"/>
              <w:rPr>
                <w:sz w:val="20"/>
                <w:szCs w:val="20"/>
                <w:color w:val="auto"/>
              </w:rPr>
            </w:pPr>
            <w:r>
              <w:rPr>
                <w:rFonts w:ascii="Times New Roman" w:cs="Times New Roman" w:eastAsia="Times New Roman" w:hAnsi="Times New Roman"/>
                <w:sz w:val="13"/>
                <w:szCs w:val="13"/>
                <w:b w:val="1"/>
                <w:bCs w:val="1"/>
                <w:color w:val="auto"/>
                <w:w w:val="98"/>
              </w:rPr>
              <w:t>Purchased Under the Plans or</w:t>
            </w: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1660"/>
              <w:spacing w:after="0"/>
              <w:rPr>
                <w:sz w:val="20"/>
                <w:szCs w:val="20"/>
                <w:color w:val="auto"/>
              </w:rPr>
            </w:pPr>
            <w:r>
              <w:rPr>
                <w:rFonts w:ascii="Times New Roman" w:cs="Times New Roman" w:eastAsia="Times New Roman" w:hAnsi="Times New Roman"/>
                <w:sz w:val="13"/>
                <w:szCs w:val="13"/>
                <w:b w:val="1"/>
                <w:bCs w:val="1"/>
                <w:color w:val="auto"/>
              </w:rPr>
              <w:t>Period</w:t>
            </w:r>
          </w:p>
        </w:tc>
        <w:tc>
          <w:tcPr>
            <w:tcW w:w="1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Average Price Paid per Share</w:t>
            </w:r>
          </w:p>
        </w:tc>
        <w:tc>
          <w:tcPr>
            <w:tcW w:w="18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8"/>
              </w:rPr>
              <w:t>Purchased as Part of Publicly</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ind w:right="35"/>
              <w:spacing w:after="0" w:line="127" w:lineRule="exact"/>
              <w:rPr>
                <w:sz w:val="20"/>
                <w:szCs w:val="20"/>
                <w:color w:val="auto"/>
              </w:rPr>
            </w:pPr>
            <w:r>
              <w:rPr>
                <w:rFonts w:ascii="Times New Roman" w:cs="Times New Roman" w:eastAsia="Times New Roman" w:hAnsi="Times New Roman"/>
                <w:sz w:val="11"/>
                <w:szCs w:val="11"/>
                <w:b w:val="1"/>
                <w:bCs w:val="1"/>
                <w:color w:val="auto"/>
              </w:rPr>
              <w:t xml:space="preserve">Programs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70"/>
        </w:trPr>
        <w:tc>
          <w:tcPr>
            <w:tcW w:w="3760" w:type="dxa"/>
            <w:vAlign w:val="bottom"/>
            <w:gridSpan w:val="2"/>
            <w:vMerge w:val="continue"/>
          </w:tcPr>
          <w:p>
            <w:pPr>
              <w:spacing w:after="0"/>
              <w:rPr>
                <w:sz w:val="14"/>
                <w:szCs w:val="14"/>
                <w:color w:val="auto"/>
              </w:rPr>
            </w:pPr>
          </w:p>
        </w:tc>
        <w:tc>
          <w:tcPr>
            <w:tcW w:w="1780" w:type="dxa"/>
            <w:vAlign w:val="bottom"/>
          </w:tcPr>
          <w:p>
            <w:pPr>
              <w:jc w:val="center"/>
              <w:spacing w:after="0" w:line="170" w:lineRule="exact"/>
              <w:rPr>
                <w:sz w:val="20"/>
                <w:szCs w:val="20"/>
                <w:color w:val="auto"/>
              </w:rPr>
            </w:pPr>
            <w:r>
              <w:rPr>
                <w:rFonts w:ascii="Times New Roman" w:cs="Times New Roman" w:eastAsia="Times New Roman" w:hAnsi="Times New Roman"/>
                <w:sz w:val="13"/>
                <w:szCs w:val="13"/>
                <w:b w:val="1"/>
                <w:bCs w:val="1"/>
                <w:color w:val="auto"/>
                <w:w w:val="92"/>
              </w:rPr>
              <w:t>Purchased</w:t>
            </w:r>
            <w:r>
              <w:rPr>
                <w:rFonts w:ascii="Times New Roman" w:cs="Times New Roman" w:eastAsia="Times New Roman" w:hAnsi="Times New Roman"/>
                <w:sz w:val="16"/>
                <w:szCs w:val="16"/>
                <w:b w:val="1"/>
                <w:bCs w:val="1"/>
                <w:color w:val="auto"/>
                <w:w w:val="92"/>
                <w:vertAlign w:val="superscript"/>
              </w:rPr>
              <w:t>(1)</w:t>
            </w:r>
          </w:p>
        </w:tc>
        <w:tc>
          <w:tcPr>
            <w:tcW w:w="10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Announced Plans or Programs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 millions)</w:t>
            </w:r>
          </w:p>
        </w:tc>
        <w:tc>
          <w:tcPr>
            <w:tcW w:w="0" w:type="dxa"/>
            <w:vAlign w:val="bottom"/>
          </w:tcPr>
          <w:p>
            <w:pPr>
              <w:spacing w:after="0"/>
              <w:rPr>
                <w:sz w:val="1"/>
                <w:szCs w:val="1"/>
                <w:color w:val="auto"/>
              </w:rPr>
            </w:pPr>
          </w:p>
        </w:tc>
      </w:tr>
      <w:tr>
        <w:trPr>
          <w:trHeight w:val="171"/>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January 2025</w:t>
            </w: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470,106</w:t>
            </w:r>
          </w:p>
        </w:tc>
        <w:tc>
          <w:tcPr>
            <w:tcW w:w="1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$130.35</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460,189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18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February 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1,774,220</w:t>
            </w:r>
          </w:p>
        </w:tc>
        <w:tc>
          <w:tcPr>
            <w:tcW w:w="188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$118.36</w:t>
            </w: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1,774,220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18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March 2025</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518,148</w:t>
            </w:r>
          </w:p>
        </w:tc>
        <w:tc>
          <w:tcPr>
            <w:tcW w:w="188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$106.80</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371,475</w:t>
            </w:r>
          </w:p>
        </w:tc>
        <w:tc>
          <w:tcPr>
            <w:tcW w:w="100" w:type="dxa"/>
            <w:vAlign w:val="bottom"/>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171"/>
        </w:trPr>
        <w:tc>
          <w:tcPr>
            <w:tcW w:w="37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2,762,474</w:t>
            </w:r>
          </w:p>
        </w:tc>
        <w:tc>
          <w:tcPr>
            <w:tcW w:w="100" w:type="dxa"/>
            <w:vAlign w:val="bottom"/>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2,605,884</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500" w:hanging="495"/>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total number of shares purchased includes shares surrendered to satisfy minimum statutory tax withholding obligations related to the vesting of stock awards.</w:t>
      </w:r>
    </w:p>
    <w:p>
      <w:pPr>
        <w:spacing w:after="0" w:line="51" w:lineRule="exact"/>
        <w:rPr>
          <w:rFonts w:ascii="Times New Roman" w:cs="Times New Roman" w:eastAsia="Times New Roman" w:hAnsi="Times New Roman"/>
          <w:sz w:val="14"/>
          <w:szCs w:val="14"/>
          <w:color w:val="auto"/>
        </w:rPr>
      </w:pPr>
    </w:p>
    <w:p>
      <w:pPr>
        <w:ind w:left="520" w:right="140" w:hanging="515"/>
        <w:spacing w:after="0" w:line="264" w:lineRule="auto"/>
        <w:tabs>
          <w:tab w:leader="none" w:pos="515"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12, 2011, the Board of Directors initially approved a share repurchase program, which was subsequently increased from time to time, and most recently increased by $500 million to $3,585 million on January 28, 2025. As of March 31, 2025, the Company had approximately $745 million remaining under the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Proceeds from Registered Securities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3" w:name="page44"/>
    <w:bookmarkEnd w:id="4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w:t>
      </w:r>
    </w:p>
    <w:p>
      <w:pPr>
        <w:spacing w:after="0" w:line="53" w:lineRule="exact"/>
        <w:rPr>
          <w:sz w:val="20"/>
          <w:szCs w:val="20"/>
          <w:color w:val="auto"/>
        </w:rPr>
      </w:pPr>
    </w:p>
    <w:p>
      <w:pPr>
        <w:ind w:right="80" w:firstLine="350"/>
        <w:spacing w:after="0" w:line="261" w:lineRule="auto"/>
        <w:rPr>
          <w:sz w:val="20"/>
          <w:szCs w:val="20"/>
          <w:color w:val="auto"/>
        </w:rPr>
      </w:pPr>
      <w:r>
        <w:rPr>
          <w:rFonts w:ascii="Times New Roman" w:cs="Times New Roman" w:eastAsia="Times New Roman" w:hAnsi="Times New Roman"/>
          <w:sz w:val="14"/>
          <w:szCs w:val="14"/>
          <w:color w:val="auto"/>
        </w:rPr>
        <w:t>The graph set forth below compares the cumulative stockholder return on our Class A Common Stock between March 31, 2020 and March 31, 2025, to the cumulative return of (i) the Russell 1000 Index and (ii) S&amp;P Software &amp; Services Select Industry Index over the same period. The Russell 1000 and S&amp;P Software &amp; Services Select Industry Indices represent comparator groups for relative cumulative return performance to Booz Allen Hamilton. This graph assumes an initial investment of $100 on March 31, 2020 in our Class A Common Stock, the Russell 1000 Index, and the S&amp;P Software &amp; Services Select Industry Index and assumes the reinvestment of dividends, if any.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19685</wp:posOffset>
            </wp:positionV>
            <wp:extent cx="4594860" cy="2870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94860"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4340" w:type="dxa"/>
            <w:vAlign w:val="bottom"/>
            <w:gridSpan w:val="10"/>
          </w:tcPr>
          <w:p>
            <w:pPr>
              <w:ind w:left="620"/>
              <w:spacing w:after="0"/>
              <w:rPr>
                <w:sz w:val="20"/>
                <w:szCs w:val="20"/>
                <w:color w:val="auto"/>
              </w:rPr>
            </w:pPr>
            <w:r>
              <w:rPr>
                <w:rFonts w:ascii="Times New Roman" w:cs="Times New Roman" w:eastAsia="Times New Roman" w:hAnsi="Times New Roman"/>
                <w:sz w:val="14"/>
                <w:szCs w:val="14"/>
                <w:b w:val="1"/>
                <w:bCs w:val="1"/>
                <w:color w:val="auto"/>
              </w:rPr>
              <w:t>ASSUMES $100 INVESTED ON MARCH 31, 2020</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3360" w:type="dxa"/>
            <w:vAlign w:val="bottom"/>
          </w:tcPr>
          <w:p>
            <w:pPr>
              <w:spacing w:after="0"/>
              <w:rPr>
                <w:sz w:val="18"/>
                <w:szCs w:val="18"/>
                <w:color w:val="auto"/>
              </w:rPr>
            </w:pPr>
          </w:p>
        </w:tc>
        <w:tc>
          <w:tcPr>
            <w:tcW w:w="34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ASSUMES DIVIDEND REINVESTED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4"/>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Company/Market/Peer Group</w:t>
            </w:r>
          </w:p>
        </w:tc>
        <w:tc>
          <w:tcPr>
            <w:tcW w:w="10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3/31/2021</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3/31/2022</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3/31/2024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3/31/2025</w:t>
            </w:r>
          </w:p>
        </w:tc>
      </w:tr>
      <w:tr>
        <w:trPr>
          <w:trHeight w:val="171"/>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Booz Allen Hamilton Holding Corp.</w:t>
            </w: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165.46</w:t>
            </w:r>
          </w:p>
        </w:tc>
      </w:tr>
      <w:tr>
        <w:trPr>
          <w:trHeight w:val="18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Russell 1000 Index</w:t>
            </w:r>
          </w:p>
        </w:tc>
        <w:tc>
          <w:tcPr>
            <w:tcW w:w="120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160.59</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166.63</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216.40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233.32</w:t>
            </w:r>
          </w:p>
        </w:tc>
      </w:tr>
      <w:tr>
        <w:trPr>
          <w:trHeight w:val="18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Software &amp; Services Select Industry Index</w:t>
            </w:r>
          </w:p>
        </w:tc>
        <w:tc>
          <w:tcPr>
            <w:tcW w:w="120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180.81</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151.73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197.91</w:t>
            </w:r>
          </w:p>
        </w:tc>
      </w:tr>
    </w:tbl>
    <w:p>
      <w:pPr>
        <w:spacing w:after="0" w:line="10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This performance graph and other information furnished under this Part II Item 5 of this Annual Report shall not be deemed to be “soliciting material” or to be “filed” with the SEC or subject to Regulation 14A or 14C, or to the liabilities of Section 18 of the Exchange Act.</w:t>
      </w:r>
    </w:p>
    <w:p>
      <w:pPr>
        <w:spacing w:after="0" w:line="3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6</w:t>
      </w:r>
      <w:r>
        <w:rPr>
          <w:rFonts w:ascii="Times New Roman" w:cs="Times New Roman" w:eastAsia="Times New Roman" w:hAnsi="Times New Roman"/>
          <w:sz w:val="14"/>
          <w:szCs w:val="14"/>
          <w:b w:val="1"/>
          <w:bCs w:val="1"/>
          <w:i w:val="1"/>
          <w:iCs w:val="1"/>
          <w:color w:val="auto"/>
        </w:rPr>
        <w:t>.</w:t>
      </w:r>
      <w:r>
        <w:rPr>
          <w:sz w:val="20"/>
          <w:szCs w:val="20"/>
          <w:color w:val="auto"/>
        </w:rPr>
        <w:tab/>
      </w:r>
      <w:r>
        <w:rPr>
          <w:rFonts w:ascii="Times New Roman" w:cs="Times New Roman" w:eastAsia="Times New Roman" w:hAnsi="Times New Roman"/>
          <w:sz w:val="13"/>
          <w:szCs w:val="13"/>
          <w:b w:val="1"/>
          <w:bCs w:val="1"/>
          <w:color w:val="auto"/>
        </w:rPr>
        <w:t>Reserved.</w:t>
      </w:r>
    </w:p>
    <w:p>
      <w:pPr>
        <w:spacing w:after="0" w:line="200" w:lineRule="exact"/>
        <w:rPr>
          <w:sz w:val="20"/>
          <w:szCs w:val="20"/>
          <w:color w:val="auto"/>
        </w:rPr>
      </w:pPr>
    </w:p>
    <w:p>
      <w:pPr>
        <w:spacing w:after="0" w:line="25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4" w:name="page45"/>
    <w:bookmarkEnd w:id="4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7.</w:t>
        <w:tab/>
        <w:t>Management’s Discussion and Analysis of Financial Condition and Results of Operations.</w:t>
      </w:r>
    </w:p>
    <w:p>
      <w:pPr>
        <w:spacing w:after="0" w:line="51" w:lineRule="exact"/>
        <w:rPr>
          <w:sz w:val="20"/>
          <w:szCs w:val="20"/>
          <w:color w:val="auto"/>
        </w:rPr>
      </w:pPr>
    </w:p>
    <w:p>
      <w:pPr>
        <w:ind w:right="40"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is intended to help the reader understand our business, financial condition, results of operations, and liquidity and capital resources. You should read this discussion in conjunction with our consolidated financial statements and the related notes contained elsewhere in this Annual Report, and Part II, Item 7 “Management's Discussion and Analysis of Financial Condition and Results of Operations” of our Form 10-K for the fiscal year ended March 31, 2024, which provides additional information on comparisons of fiscal 2024 and 2023.</w:t>
      </w:r>
    </w:p>
    <w:p>
      <w:pPr>
        <w:spacing w:after="0" w:line="6" w:lineRule="exact"/>
        <w:rPr>
          <w:sz w:val="20"/>
          <w:szCs w:val="20"/>
          <w:color w:val="auto"/>
        </w:rPr>
      </w:pPr>
    </w:p>
    <w:p>
      <w:pPr>
        <w:jc w:val="both"/>
        <w:ind w:right="240"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Our fiscal year ends March 31 and, unless otherwise noted, references to years or fiscal are for fiscal years ended March 31. See “— 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53"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Trusted to transform missions with the power of tomorrow’s technologies, Booz Allen advances the nation’s most critical civil, defense, and national security priorities. As an advanced technology company, we build technology solutions using AI, cyber, and other cutting-edge technologies to advance and protect the nation and its citizens. By focusing on outcomes, we enable our people and customers to transform missions for the nation.</w:t>
      </w:r>
    </w:p>
    <w:p>
      <w:pPr>
        <w:spacing w:after="0" w:line="8"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Our approximately 35,800 employees support critical missions for a diverse base of federal government customers, including nearly all of the U.S. government's cabinet-level departments, as well as for commercial customers, both domestically and in select international locations. Our work is designed to protect soldiers in combat, secure our national infrastructure, enable enhanced digital services, and improve government efficiency to achieve better outcomes. Drawing on our deep expertise and leading position as a cybersecurity provider, we bring advanced tradecraft to commercial customers across industries, including financial services, health and life sciences, energy, and technology.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Financial and Other Highlights</w:t>
      </w:r>
    </w:p>
    <w:p>
      <w:pPr>
        <w:spacing w:after="0" w:line="53"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During fiscal 2025, the Company generated year over year revenue growth of 12%, primarily driven by strong demand for our solutions, outcomes, and services, as well as an increase in headcount to meet that demand, and higher billable expenses. In addition, revenue was positively impacted by $122 million representing the reduction to our provision for claimed costs recorded during the second quarter of fiscal 2025 (as compared to $18 million in the second quarter of fiscal 2024). See Note 19, “Commitments and Contingencies,” within this Annual Report on Form 10-K for further information.</w:t>
      </w:r>
    </w:p>
    <w:p>
      <w:pPr>
        <w:spacing w:after="0" w:line="13" w:lineRule="exact"/>
        <w:rPr>
          <w:sz w:val="20"/>
          <w:szCs w:val="20"/>
          <w:color w:val="auto"/>
        </w:rPr>
      </w:pPr>
    </w:p>
    <w:p>
      <w:pPr>
        <w:ind w:right="160" w:firstLine="350"/>
        <w:spacing w:after="0" w:line="264" w:lineRule="auto"/>
        <w:rPr>
          <w:sz w:val="20"/>
          <w:szCs w:val="20"/>
          <w:color w:val="auto"/>
        </w:rPr>
      </w:pPr>
      <w:r>
        <w:rPr>
          <w:rFonts w:ascii="Times New Roman" w:cs="Times New Roman" w:eastAsia="Times New Roman" w:hAnsi="Times New Roman"/>
          <w:sz w:val="14"/>
          <w:szCs w:val="14"/>
          <w:color w:val="auto"/>
        </w:rPr>
        <w:t>Operating income increased 35% to $1,370 million in fiscal 2025 from $1,014 million in fiscal 2024, which reflects an increase in operating margin to 11% from 10% in the comparable year. Operating income was driven by the same drivers benefiting revenue growth, as well as ongoing cost management efforts. Margins were impacted by a decrease in general and administrative expenses resulting from $115 million in insurance recoveries from claims related to the Company’s fiscal 2024 settlement as described in Note 19, “Commitments and Contingencies,” within this Annual Report on Form 10-K.</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Measures</w:t>
      </w:r>
    </w:p>
    <w:p>
      <w:pPr>
        <w:spacing w:after="0" w:line="51"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 xml:space="preserve">We publicly disclose certain non-GAAP financial measurements, including </w:t>
      </w:r>
      <w:r>
        <w:rPr>
          <w:rFonts w:ascii="Times New Roman" w:cs="Times New Roman" w:eastAsia="Times New Roman" w:hAnsi="Times New Roman"/>
          <w:sz w:val="14"/>
          <w:szCs w:val="14"/>
          <w:i w:val="1"/>
          <w:iCs w:val="1"/>
          <w:color w:val="auto"/>
        </w:rPr>
        <w:t>Revenue, Excluding Billable Expenses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EBITDA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xml:space="preserve">, because management uses these measures for business planning purposes, including to manage our business against internal projected results of operations and measure our performance. We view </w:t>
      </w: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xml:space="preserve"> as a measure of our core operating business, which excludes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w:t>
      </w:r>
      <w:r>
        <w:rPr>
          <w:rFonts w:ascii="Times New Roman" w:cs="Times New Roman" w:eastAsia="Times New Roman" w:hAnsi="Times New Roman"/>
          <w:sz w:val="14"/>
          <w:szCs w:val="14"/>
          <w:i w:val="1"/>
          <w:iCs w:val="1"/>
          <w:color w:val="auto"/>
        </w:rPr>
        <w:t>Revenue, Excluding Billable Expenses</w:t>
      </w:r>
      <w:r>
        <w:rPr>
          <w:rFonts w:ascii="Times New Roman" w:cs="Times New Roman" w:eastAsia="Times New Roman" w:hAnsi="Times New Roman"/>
          <w:sz w:val="14"/>
          <w:szCs w:val="14"/>
          <w:color w:val="auto"/>
        </w:rPr>
        <w:t xml:space="preserve">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Management believes this metric provides useful information about our business. These supplemental performance measurements may vary from and may not be comparable to similarly titled measures by other companies in our industry. </w:t>
      </w:r>
      <w:r>
        <w:rPr>
          <w:rFonts w:ascii="Times New Roman" w:cs="Times New Roman" w:eastAsia="Times New Roman" w:hAnsi="Times New Roman"/>
          <w:sz w:val="14"/>
          <w:szCs w:val="14"/>
          <w:i w:val="1"/>
          <w:iCs w:val="1"/>
          <w:color w:val="auto"/>
        </w:rPr>
        <w:t>Revenue,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Excluding Billable Expenses, EBITDA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Adjusted EBITDA </w:t>
      </w:r>
      <w:r>
        <w:rPr>
          <w:rFonts w:ascii="Times New Roman" w:cs="Times New Roman" w:eastAsia="Times New Roman" w:hAnsi="Times New Roman"/>
          <w:sz w:val="14"/>
          <w:szCs w:val="14"/>
          <w:color w:val="auto"/>
        </w:rPr>
        <w:t>are not recognized measurements under accounting principles generally accepted in the United States (“GAAP”) and when analyzing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performance, investors should (i) evaluate each adjustment in our reconciliation of revenue to </w:t>
      </w:r>
      <w:r>
        <w:rPr>
          <w:rFonts w:ascii="Times New Roman" w:cs="Times New Roman" w:eastAsia="Times New Roman" w:hAnsi="Times New Roman"/>
          <w:sz w:val="14"/>
          <w:szCs w:val="14"/>
          <w:i w:val="1"/>
          <w:iCs w:val="1"/>
          <w:color w:val="auto"/>
        </w:rPr>
        <w:t>Revenue, Excluding Billable Expenses</w:t>
      </w:r>
      <w:r>
        <w:rPr>
          <w:rFonts w:ascii="Times New Roman" w:cs="Times New Roman" w:eastAsia="Times New Roman" w:hAnsi="Times New Roman"/>
          <w:sz w:val="14"/>
          <w:szCs w:val="14"/>
          <w:color w:val="auto"/>
        </w:rPr>
        <w:t xml:space="preserve">, net income to </w:t>
      </w:r>
      <w:r>
        <w:rPr>
          <w:rFonts w:ascii="Times New Roman" w:cs="Times New Roman" w:eastAsia="Times New Roman" w:hAnsi="Times New Roman"/>
          <w:sz w:val="14"/>
          <w:szCs w:val="14"/>
          <w:i w:val="1"/>
          <w:iCs w:val="1"/>
          <w:color w:val="auto"/>
        </w:rPr>
        <w:t>EBITDA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xml:space="preserve"> and (ii) use </w:t>
      </w:r>
      <w:r>
        <w:rPr>
          <w:rFonts w:ascii="Times New Roman" w:cs="Times New Roman" w:eastAsia="Times New Roman" w:hAnsi="Times New Roman"/>
          <w:sz w:val="14"/>
          <w:szCs w:val="14"/>
          <w:i w:val="1"/>
          <w:iCs w:val="1"/>
          <w:color w:val="auto"/>
        </w:rPr>
        <w:t xml:space="preserve">Revenue, Excluding Billable Expenses, EBITDA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Adjusted EBITDA </w:t>
      </w:r>
      <w:r>
        <w:rPr>
          <w:rFonts w:ascii="Times New Roman" w:cs="Times New Roman" w:eastAsia="Times New Roman" w:hAnsi="Times New Roman"/>
          <w:sz w:val="14"/>
          <w:szCs w:val="14"/>
          <w:color w:val="auto"/>
        </w:rPr>
        <w:t>in addition to, and not as an alternative to, revenue and net income, as measures of operating results, each as defined under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GAAP. We have defined the aforementioned non-GAAP measures as follows:</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Revenue, Excluding Billable Expenses</w:t>
      </w:r>
      <w:r>
        <w:rPr>
          <w:rFonts w:ascii="Times New Roman" w:cs="Times New Roman" w:eastAsia="Times New Roman" w:hAnsi="Times New Roman"/>
          <w:sz w:val="14"/>
          <w:szCs w:val="14"/>
          <w:color w:val="auto"/>
        </w:rPr>
        <w:t xml:space="preserve"> represents revenue less billable expenses.</w:t>
      </w:r>
    </w:p>
    <w:p>
      <w:pPr>
        <w:spacing w:after="0" w:line="200" w:lineRule="exact"/>
        <w:rPr>
          <w:sz w:val="20"/>
          <w:szCs w:val="20"/>
          <w:color w:val="auto"/>
        </w:rPr>
      </w:pPr>
    </w:p>
    <w:p>
      <w:pPr>
        <w:spacing w:after="0" w:line="24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5" w:name="page46"/>
    <w:bookmarkEnd w:id="4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ind w:left="520" w:hanging="133"/>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EBITDA </w:t>
      </w:r>
      <w:r>
        <w:rPr>
          <w:rFonts w:ascii="Times New Roman" w:cs="Times New Roman" w:eastAsia="Times New Roman" w:hAnsi="Times New Roman"/>
          <w:sz w:val="14"/>
          <w:szCs w:val="14"/>
          <w:color w:val="auto"/>
        </w:rPr>
        <w:t>represents net income attributable to common stockholders before income taxes, net interest expense, net and other income (expense), net, and depreciation and amortization.</w:t>
      </w:r>
    </w:p>
    <w:p>
      <w:pPr>
        <w:spacing w:after="0" w:line="51" w:lineRule="exact"/>
        <w:rPr>
          <w:rFonts w:ascii="Times New Roman" w:cs="Times New Roman" w:eastAsia="Times New Roman" w:hAnsi="Times New Roman"/>
          <w:sz w:val="14"/>
          <w:szCs w:val="14"/>
          <w:color w:val="auto"/>
        </w:rPr>
      </w:pPr>
    </w:p>
    <w:p>
      <w:pPr>
        <w:ind w:left="520" w:right="60" w:hanging="133"/>
        <w:spacing w:after="0" w:line="260" w:lineRule="auto"/>
        <w:tabs>
          <w:tab w:leader="none" w:pos="516"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4"/>
          <w:szCs w:val="14"/>
          <w:color w:val="auto"/>
        </w:rPr>
        <w:t>represents net income attributable to common stockholders before income taxes, net interest, net and other income (expense), net, and depreciation and amortization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before certain other items, including the change in provision for claimed costs for historical rate years, acquisition and divestiture costs, financing transaction costs, DC tax assessment adjustment, the reserve associated with the U.S. Department of Justice (the “DOJ”) investigation disclosed in Note 20, “Commitments and Contingencies,” to the consolidated financial statements contained within our Annual Report on Form 10-K for the fiscal year ended March 31, 2024 and the insurance recoveries related to the settlement of that matter. The Company prepares </w:t>
      </w: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xml:space="preserve"> to eliminate the impact of items it does not consider indicative of ongoing operating performance due to their inherent unusual, extraordinary or non-recurring nature or because they result from an event of a similar nature.</w:t>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Below is a reconciliation of our most directly comparable GAAP measures to our non-GAAP measures, Revenue to </w:t>
      </w:r>
      <w:r>
        <w:rPr>
          <w:rFonts w:ascii="Times New Roman" w:cs="Times New Roman" w:eastAsia="Times New Roman" w:hAnsi="Times New Roman"/>
          <w:sz w:val="14"/>
          <w:szCs w:val="14"/>
          <w:i w:val="1"/>
          <w:iCs w:val="1"/>
          <w:color w:val="auto"/>
        </w:rPr>
        <w:t>Revenue, Excluding Billable Expenses</w:t>
      </w:r>
      <w:r>
        <w:rPr>
          <w:rFonts w:ascii="Times New Roman" w:cs="Times New Roman" w:eastAsia="Times New Roman" w:hAnsi="Times New Roman"/>
          <w:sz w:val="14"/>
          <w:szCs w:val="14"/>
          <w:color w:val="auto"/>
        </w:rPr>
        <w:t xml:space="preserve"> and Net income to </w:t>
      </w:r>
      <w:r>
        <w:rPr>
          <w:rFonts w:ascii="Times New Roman" w:cs="Times New Roman" w:eastAsia="Times New Roman" w:hAnsi="Times New Roman"/>
          <w:sz w:val="14"/>
          <w:szCs w:val="14"/>
          <w:i w:val="1"/>
          <w:iCs w:val="1"/>
          <w:color w:val="auto"/>
        </w:rPr>
        <w:t>EBITDA</w:t>
      </w:r>
      <w:r>
        <w:rPr>
          <w:rFonts w:ascii="Times New Roman" w:cs="Times New Roman" w:eastAsia="Times New Roman" w:hAnsi="Times New Roman"/>
          <w:sz w:val="14"/>
          <w:szCs w:val="14"/>
          <w:color w:val="auto"/>
        </w:rPr>
        <w:t xml:space="preserve">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4"/>
          <w:szCs w:val="14"/>
          <w:color w:val="auto"/>
        </w:rPr>
        <w:t>, calculated and presented in accordance with GAAP:</w:t>
      </w:r>
    </w:p>
    <w:p>
      <w:pPr>
        <w:spacing w:after="0" w:line="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millions)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7"/>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Revenue, Excluding Billable Expenses</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Revenue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0" w:type="dxa"/>
            <w:vAlign w:val="bottom"/>
          </w:tcPr>
          <w:p>
            <w:pPr>
              <w:spacing w:after="0"/>
              <w:rPr>
                <w:sz w:val="1"/>
                <w:szCs w:val="1"/>
                <w:color w:val="auto"/>
              </w:rPr>
            </w:pPr>
          </w:p>
        </w:tc>
      </w:tr>
      <w:tr>
        <w:trPr>
          <w:trHeight w:val="180"/>
        </w:trPr>
        <w:tc>
          <w:tcPr>
            <w:tcW w:w="6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Billable expenses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80"/>
              <w:spacing w:after="0" w:line="171" w:lineRule="exact"/>
              <w:rPr>
                <w:sz w:val="20"/>
                <w:szCs w:val="20"/>
                <w:color w:val="auto"/>
              </w:rPr>
            </w:pPr>
            <w:r>
              <w:rPr>
                <w:rFonts w:ascii="Times New Roman" w:cs="Times New Roman" w:eastAsia="Times New Roman" w:hAnsi="Times New Roman"/>
                <w:sz w:val="14"/>
                <w:szCs w:val="14"/>
                <w:i w:val="1"/>
                <w:iCs w:val="1"/>
                <w:color w:val="auto"/>
              </w:rPr>
              <w:t>Revenue, Excluding Billable Expenses</w:t>
            </w:r>
            <w:r>
              <w:rPr>
                <w:rFonts w:ascii="Times New Roman" w:cs="Times New Roman" w:eastAsia="Times New Roman" w:hAnsi="Times New Roman"/>
                <w:sz w:val="18"/>
                <w:szCs w:val="18"/>
                <w:i w:val="1"/>
                <w:iCs w:val="1"/>
                <w:color w:val="auto"/>
                <w:vertAlign w:val="superscript"/>
              </w:rPr>
              <w:t>*</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
        </w:trPr>
        <w:tc>
          <w:tcPr>
            <w:tcW w:w="6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EBITDA and Adjusted EBITDA</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80"/>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 expense, net and other income (expense), net (a)</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620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EBITDA</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provision for claimed costs (b)</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and divestiture costs (c)</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Financing transaction costs (d)</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DC tax assessment adjustment (e)</w:t>
            </w:r>
          </w:p>
        </w:tc>
        <w:tc>
          <w:tcPr>
            <w:tcW w:w="360" w:type="dxa"/>
            <w:vAlign w:val="bottom"/>
          </w:tcPr>
          <w:p>
            <w:pPr>
              <w:spacing w:after="0"/>
              <w:rPr>
                <w:sz w:val="15"/>
                <w:szCs w:val="15"/>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Legal matter reserve (f)</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80"/>
        </w:trPr>
        <w:tc>
          <w:tcPr>
            <w:tcW w:w="6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Insurance recoveries (g)</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i w:val="1"/>
                <w:iCs w:val="1"/>
                <w:color w:val="auto"/>
              </w:rPr>
              <w:t>Adjusted EBITDA</w:t>
            </w: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 w:lineRule="exact"/>
        <w:rPr>
          <w:sz w:val="20"/>
          <w:szCs w:val="20"/>
          <w:color w:val="auto"/>
        </w:rPr>
      </w:pPr>
    </w:p>
    <w:p>
      <w:pPr>
        <w:ind w:left="320" w:right="4360" w:firstLine="3"/>
        <w:spacing w:after="0" w:line="284" w:lineRule="auto"/>
        <w:tabs>
          <w:tab w:leader="none" w:pos="42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 Excluding Billable Expenses includes $113 million of revenue and $18 million revenue for fiscal 2025 and 2024 respectively, resulting from the reduction to our provision for claimed costs (see note (b) below).</w:t>
      </w: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Reflects the combination of Interest expense, net and Other income (expense), net from the consolidated statement of operations.</w:t>
      </w:r>
    </w:p>
    <w:p>
      <w:pPr>
        <w:spacing w:after="0" w:line="51" w:lineRule="exact"/>
        <w:rPr>
          <w:sz w:val="20"/>
          <w:szCs w:val="20"/>
          <w:color w:val="auto"/>
        </w:rPr>
      </w:pPr>
    </w:p>
    <w:p>
      <w:pPr>
        <w:ind w:left="520" w:right="240" w:hanging="197"/>
        <w:spacing w:after="0" w:line="270" w:lineRule="auto"/>
        <w:tabs>
          <w:tab w:leader="none" w:pos="52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reduction to our provision for claimed costs for years prior to fiscal 2025 recorded during the second quarters of fiscal 2025 and 2024, which resulted in a corresponding increase to revenue, as a result of the Defense Contract Audit Agency's findings related to its audits of our claimed costs for multiple fiscal years. See Note 19, “Commitments and Contingencies,” to the consolidated financial statements contained within this Annual Report on Form 10-K for further information.</w:t>
      </w:r>
    </w:p>
    <w:p>
      <w:pPr>
        <w:spacing w:after="0" w:line="8" w:lineRule="exact"/>
        <w:rPr>
          <w:rFonts w:ascii="Times New Roman" w:cs="Times New Roman" w:eastAsia="Times New Roman" w:hAnsi="Times New Roman"/>
          <w:sz w:val="14"/>
          <w:szCs w:val="14"/>
          <w:color w:val="auto"/>
        </w:rPr>
      </w:pPr>
    </w:p>
    <w:p>
      <w:pPr>
        <w:ind w:left="520" w:hanging="197"/>
        <w:spacing w:after="0" w:line="270" w:lineRule="auto"/>
        <w:tabs>
          <w:tab w:leader="none" w:pos="52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the acquisition efforts of the Company related to transactions for which the Company has submitted a letter of intent to acquire a controlling financial interest in the target entity. Transactions primarily include the acquisitions of EverWatch Corp. (“EverWatch”) in fiscal 2023 and PAR Government Systems Corporation (“PGSC”) in fiscal 2025. See Note 5, “Acquisitions and Divestitures,” to the consolidated financial statements contained within this Annual Report on Form 10-K for further information.</w:t>
      </w:r>
    </w:p>
    <w:p>
      <w:pPr>
        <w:spacing w:after="0" w:line="8" w:lineRule="exact"/>
        <w:rPr>
          <w:rFonts w:ascii="Times New Roman" w:cs="Times New Roman" w:eastAsia="Times New Roman" w:hAnsi="Times New Roman"/>
          <w:sz w:val="14"/>
          <w:szCs w:val="14"/>
          <w:color w:val="auto"/>
        </w:rPr>
      </w:pPr>
    </w:p>
    <w:p>
      <w:pPr>
        <w:ind w:left="520" w:hanging="197"/>
        <w:spacing w:after="0"/>
        <w:tabs>
          <w:tab w:leader="none" w:pos="5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expenses associated with debt financing activities incurred during the second quarters of fiscal 2024 and 2023.</w:t>
      </w:r>
    </w:p>
    <w:p>
      <w:pPr>
        <w:spacing w:after="0" w:line="200" w:lineRule="exact"/>
        <w:rPr>
          <w:sz w:val="20"/>
          <w:szCs w:val="20"/>
          <w:color w:val="auto"/>
        </w:rPr>
      </w:pPr>
    </w:p>
    <w:p>
      <w:pPr>
        <w:spacing w:after="0" w:line="25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354" w:right="439" w:bottom="1440" w:gutter="0" w:footer="0" w:header="0"/>
        </w:sectPr>
      </w:pPr>
    </w:p>
    <w:bookmarkStart w:id="46" w:name="page47"/>
    <w:bookmarkEnd w:id="4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520" w:right="340" w:hanging="197"/>
        <w:spacing w:after="0" w:line="270" w:lineRule="auto"/>
        <w:tabs>
          <w:tab w:leader="none" w:pos="521"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impact (specifically the revenue from recoverable expenses) of the Company's unfavorable ruling from the District of Columbia Court of Appeals related to contested tax assessments from the District of Columbia Office of Tax and Revenue (“DC OTR”). See Note 13, “Income Taxes,” to the consolidated financial statements contained within the Annual Report on Form 10-K for the fiscal year ended March 31, 2024 for further information.</w:t>
      </w:r>
    </w:p>
    <w:p>
      <w:pPr>
        <w:spacing w:after="0" w:line="8" w:lineRule="exact"/>
        <w:rPr>
          <w:rFonts w:ascii="Times New Roman" w:cs="Times New Roman" w:eastAsia="Times New Roman" w:hAnsi="Times New Roman"/>
          <w:sz w:val="14"/>
          <w:szCs w:val="14"/>
          <w:color w:val="auto"/>
        </w:rPr>
      </w:pPr>
    </w:p>
    <w:p>
      <w:pPr>
        <w:ind w:left="520" w:right="140" w:hanging="197"/>
        <w:spacing w:after="0" w:line="284" w:lineRule="auto"/>
        <w:tabs>
          <w:tab w:leader="none" w:pos="50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 associated with the U.S. Department of Justice's investigation of the Company. See Note 20, “Commitments and Contingencies,” to the consolidated financial statements contained within the Annual Report on Form 10-K for the fiscal year ended March 31, 2024 for further information.</w:t>
      </w:r>
    </w:p>
    <w:p>
      <w:pPr>
        <w:ind w:left="520" w:right="540" w:hanging="197"/>
        <w:spacing w:after="0" w:line="287" w:lineRule="auto"/>
        <w:tabs>
          <w:tab w:leader="none" w:pos="529"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insurance recoveries from claims related to the Company’s fiscal 2024 settlement as described in Note 19, “Commitments and Contingencies,” to the consolidated financial statements contained within this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Factors and Trends Affecting Our Results of Operations</w:t>
      </w:r>
    </w:p>
    <w:p>
      <w:pPr>
        <w:spacing w:after="0" w:line="53"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Our results of operations have been, and we expect them to continue to be, affected by the following factors, which may cause our future results of operations to differ from our historical results of operations discussed under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Political, Budget and Regulatory Environment</w:t>
      </w:r>
    </w:p>
    <w:p>
      <w:pPr>
        <w:spacing w:after="0" w:line="53" w:lineRule="exact"/>
        <w:rPr>
          <w:sz w:val="20"/>
          <w:szCs w:val="20"/>
          <w:color w:val="auto"/>
        </w:rPr>
      </w:pPr>
    </w:p>
    <w:p>
      <w:pPr>
        <w:ind w:right="240" w:firstLine="350"/>
        <w:spacing w:after="0" w:line="284" w:lineRule="auto"/>
        <w:rPr>
          <w:sz w:val="20"/>
          <w:szCs w:val="20"/>
          <w:color w:val="auto"/>
        </w:rPr>
      </w:pPr>
      <w:r>
        <w:rPr>
          <w:rFonts w:ascii="Times New Roman" w:cs="Times New Roman" w:eastAsia="Times New Roman" w:hAnsi="Times New Roman"/>
          <w:sz w:val="14"/>
          <w:szCs w:val="14"/>
          <w:color w:val="auto"/>
        </w:rPr>
        <w:t>The U.S. continues to face an uncertain and evolving political, budget and regulatory environment, and we expect this uncertainty will continue. Our business performance is affected by the overall level of U.S. government spending and the alignment of our offerings and capabilities with the spending priorities of the U.S. government.</w:t>
      </w:r>
    </w:p>
    <w:p>
      <w:pPr>
        <w:spacing w:after="0" w:line="1" w:lineRule="exact"/>
        <w:rPr>
          <w:sz w:val="20"/>
          <w:szCs w:val="20"/>
          <w:color w:val="auto"/>
        </w:rPr>
      </w:pPr>
    </w:p>
    <w:p>
      <w:pPr>
        <w:ind w:right="80" w:firstLine="350"/>
        <w:spacing w:after="0" w:line="257" w:lineRule="auto"/>
        <w:rPr>
          <w:sz w:val="20"/>
          <w:szCs w:val="20"/>
          <w:color w:val="auto"/>
        </w:rPr>
      </w:pPr>
      <w:r>
        <w:rPr>
          <w:rFonts w:ascii="Times New Roman" w:cs="Times New Roman" w:eastAsia="Times New Roman" w:hAnsi="Times New Roman"/>
          <w:sz w:val="14"/>
          <w:szCs w:val="14"/>
          <w:color w:val="auto"/>
        </w:rPr>
        <w:t>The U.S. government is driving changes in the structure and priorities of U.S. government agencies and the U.S. government is currently in the process of reviewing spending across U.S. government agencies to ensure it aligns with the new administration’s priorities of maximizing governmental efficiency and productivity. We have been, and will continue to be, subject to these reviews, and we have had, and may in the future have, certain of our contracts impacted, reduced or canceled as a result of these reviews. We have also experienced price adjustments and renegotiations prior to option exercise of certain of our contracts as a result of these reviews and may in the future continue to experience such adjustments. Further, we are, and may in the future be, subject to customer mandates to formulate additional methods by which to achieve efficiencies in providing our services, and we remain in ongoing discussions with various U.S. government departments and agencies in relation to cost reductions and other potential contract modifications. There can be no assurance that these reviews will not ultimately have a material adverse impact on our business and financial performance. There has been a marked increase in negative publicity regarding government contractors (including the Company) in connection with the U.S. government’s efforts to improve efficiency and reduce costs, which could harm our reputation and could have a material impact on our business, results of operations and financial condition.</w:t>
      </w:r>
    </w:p>
    <w:p>
      <w:pPr>
        <w:spacing w:after="0" w:line="21" w:lineRule="exact"/>
        <w:rPr>
          <w:sz w:val="20"/>
          <w:szCs w:val="20"/>
          <w:color w:val="auto"/>
        </w:rPr>
      </w:pPr>
    </w:p>
    <w:p>
      <w:pPr>
        <w:ind w:right="60" w:firstLine="350"/>
        <w:spacing w:after="0" w:line="260" w:lineRule="auto"/>
        <w:rPr>
          <w:sz w:val="20"/>
          <w:szCs w:val="20"/>
          <w:color w:val="auto"/>
        </w:rPr>
      </w:pPr>
      <w:r>
        <w:rPr>
          <w:rFonts w:ascii="Times New Roman" w:cs="Times New Roman" w:eastAsia="Times New Roman" w:hAnsi="Times New Roman"/>
          <w:sz w:val="14"/>
          <w:szCs w:val="14"/>
          <w:color w:val="auto"/>
        </w:rPr>
        <w:t>The new U.S. government administration is putting in place a number of Executive Orders and actions that have and could continue to affect our business. U.S. government agencies are also undertaking their own independent reviews of their contract portfolios and reviewing future procurements in response to recent Executive Orders focused on efficiency in government procurement. At the same time that the scrutiny is increasing, there have been reductions in personnel at U.S. government agencies with which we do business. These reductions in personnel, along with the changing political and regulatory environment, has led to a slower procurement environment, with delays in the granting of new contract awards, delays in the processing of payments by government payment offices, as well as increased processing times for security clearances and other governmental consents, each of which could result in negative impacts to our business and financial performance.</w:t>
      </w:r>
    </w:p>
    <w:p>
      <w:pPr>
        <w:spacing w:after="0" w:line="189" w:lineRule="exact"/>
        <w:rPr>
          <w:sz w:val="20"/>
          <w:szCs w:val="20"/>
          <w:color w:val="auto"/>
        </w:rPr>
      </w:pPr>
    </w:p>
    <w:p>
      <w:pPr>
        <w:jc w:val="both"/>
        <w:ind w:right="80" w:firstLine="350"/>
        <w:spacing w:after="0" w:line="264" w:lineRule="auto"/>
        <w:rPr>
          <w:sz w:val="20"/>
          <w:szCs w:val="20"/>
          <w:color w:val="auto"/>
        </w:rPr>
      </w:pPr>
      <w:r>
        <w:rPr>
          <w:rFonts w:ascii="Times New Roman" w:cs="Times New Roman" w:eastAsia="Times New Roman" w:hAnsi="Times New Roman"/>
          <w:sz w:val="14"/>
          <w:szCs w:val="14"/>
          <w:color w:val="auto"/>
        </w:rPr>
        <w:t>The President has issued two specific Executive Orders that may cause future changes, the impact of which remains uncertain, that are intended to (i) simplify and accelerate the procurement process through a review and restructuring of the Federal Acquisition Regulation (FAR), and its supplements and (ii) modernize defense acquisitions by promoting commercial solutions, innovative acquisition authorities, and other existing streamlined processes. While the impact of these reforms on our business is uncertain, they could potentially lead to changes in the way we interact with the U.S. government. If certain commercial preferences are narrowly defined, these reforms could introduce new barriers that reduce the likelihood of direct award to companies such as Booz Allen.</w:t>
      </w:r>
    </w:p>
    <w:p>
      <w:pPr>
        <w:spacing w:after="0" w:line="13" w:lineRule="exact"/>
        <w:rPr>
          <w:sz w:val="20"/>
          <w:szCs w:val="20"/>
          <w:color w:val="auto"/>
        </w:rPr>
      </w:pPr>
    </w:p>
    <w:p>
      <w:pPr>
        <w:ind w:right="80" w:firstLine="350"/>
        <w:spacing w:after="0" w:line="259" w:lineRule="auto"/>
        <w:rPr>
          <w:sz w:val="20"/>
          <w:szCs w:val="20"/>
          <w:color w:val="auto"/>
        </w:rPr>
      </w:pPr>
      <w:r>
        <w:rPr>
          <w:rFonts w:ascii="Times New Roman" w:cs="Times New Roman" w:eastAsia="Times New Roman" w:hAnsi="Times New Roman"/>
          <w:sz w:val="14"/>
          <w:szCs w:val="14"/>
          <w:color w:val="auto"/>
        </w:rPr>
        <w:t>On March 15, 2025, the President signed into law the Full-Year Continuing Appropriations and Extensions Act, 2025 (the “2025 Appropriations Act”), which funds the U.S. government under a continuing resolution through September 30, 2025, its fiscal year end. In total, the fiscal year 2025 continuing resolution funding is roughly equivalent to the U.S. government’s fiscal year 2024 funding with a few anomalies and other smaller shifts in funding between appropriations titles. The 2025 Appropriations Act increases the Department of Defense’s fiscal year 2025 base budget, while reducing nondefense spending. Unlike other continuing resulting funding measures, the 2025 Appropriations Act provides the Department of Defense conditional authority to permit new program starts, as long as they were included in the fiscal year 2025 House or Senate appropriation bills, furthering the flexibility of the Department of Defense operating under a continuing resolution.</w:t>
      </w:r>
    </w:p>
    <w:p>
      <w:pPr>
        <w:spacing w:after="0" w:line="200" w:lineRule="exact"/>
        <w:rPr>
          <w:sz w:val="20"/>
          <w:szCs w:val="20"/>
          <w:color w:val="auto"/>
        </w:rPr>
      </w:pPr>
    </w:p>
    <w:p>
      <w:pPr>
        <w:spacing w:after="0" w:line="21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7" w:name="page48"/>
    <w:bookmarkEnd w:id="4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60" w:firstLine="350"/>
        <w:spacing w:after="0" w:line="264" w:lineRule="auto"/>
        <w:rPr>
          <w:sz w:val="20"/>
          <w:szCs w:val="20"/>
          <w:color w:val="auto"/>
        </w:rPr>
      </w:pPr>
      <w:r>
        <w:rPr>
          <w:rFonts w:ascii="Times New Roman" w:cs="Times New Roman" w:eastAsia="Times New Roman" w:hAnsi="Times New Roman"/>
          <w:sz w:val="14"/>
          <w:szCs w:val="14"/>
          <w:color w:val="auto"/>
        </w:rPr>
        <w:t>In January 2025, the Federal debt ceiling was reached, and the U.S. Department of the Treasury is operating under “extraordinary measures” to service debt obligations of the U.S. government. The Treasury has not yet indicated when those measures will be exhausted, but it is expected that the date of potential U.S. government default will be sometime during the summer of 2025. Before that time, Congress will need to pass, and the President will need to sign, legislation that would extend or eliminate the debt limit. Failure to do so, or any agreement to raise the ceiling that significantly reduces future funding, could lead to negative impacts on our business.</w:t>
      </w:r>
    </w:p>
    <w:p>
      <w:pPr>
        <w:spacing w:after="0" w:line="13"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See “Item 1A. Risk Factors—Industry and Economic Risks and —Legal and Regulatory Risks” for additional discussion of risks to the company related to our industry and the political, budget and regulatory environment.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Sources of Revenue</w:t>
      </w:r>
    </w:p>
    <w:p>
      <w:pPr>
        <w:spacing w:after="0" w:line="53" w:lineRule="exact"/>
        <w:rPr>
          <w:sz w:val="20"/>
          <w:szCs w:val="20"/>
          <w:color w:val="auto"/>
        </w:rPr>
      </w:pPr>
    </w:p>
    <w:p>
      <w:pPr>
        <w:ind w:firstLine="350"/>
        <w:spacing w:after="0" w:line="256" w:lineRule="auto"/>
        <w:rPr>
          <w:sz w:val="20"/>
          <w:szCs w:val="20"/>
          <w:color w:val="auto"/>
        </w:rPr>
      </w:pPr>
      <w:r>
        <w:rPr>
          <w:rFonts w:ascii="Times New Roman" w:cs="Times New Roman" w:eastAsia="Times New Roman" w:hAnsi="Times New Roman"/>
          <w:sz w:val="14"/>
          <w:szCs w:val="14"/>
          <w:color w:val="auto"/>
        </w:rPr>
        <w:t>Substantially all of our revenue is derived from services provided under contracts and task orders with the U.S. government, primarily by our customer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customer base, and we believe that our diversified contract and customer base lessens potential volatility in our business; however, a reduction in the amount of services that we are contracted to provide to the U.S. government or any of our significant non-U.S. government customers could have a material adverse effect on our business and results of operations. In particular, the Department of Defense is one of our significant customers, and the Bipartisan Budget Control Act of 2011 (“BCA”) originally required nine automatic spending cuts (referred to as “sequestration”) of $109 billion annually from 2013 to 2021, half of which was intended to come from defense programs, though less than $1.0 billion has been cut for defense programs per year under the BCA. Mandatory sequestrations under the BCA were subsequently extended by the Bipartisan Budget Acts of 2013, 2015, 2018 and 2019, the Military Retired Pay Restoration Act, the CARES Act and the Infrastructure Investment and Jobs Act. The extension of the mandatory sequestration applies an 8.3% reduction in defense spending in each year from 2021 through 2031.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Types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generate revenue under the following three basic types of contracts:</w:t>
      </w:r>
    </w:p>
    <w:p>
      <w:pPr>
        <w:spacing w:after="0" w:line="49" w:lineRule="exact"/>
        <w:rPr>
          <w:sz w:val="20"/>
          <w:szCs w:val="20"/>
          <w:color w:val="auto"/>
        </w:rPr>
      </w:pPr>
    </w:p>
    <w:p>
      <w:pPr>
        <w:ind w:left="520" w:right="120" w:hanging="133"/>
        <w:spacing w:after="0" w:line="260" w:lineRule="auto"/>
        <w:tabs>
          <w:tab w:leader="none" w:pos="5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Cost-Reimbursable Contracts. </w:t>
      </w:r>
      <w:r>
        <w:rPr>
          <w:rFonts w:ascii="Times New Roman" w:cs="Times New Roman" w:eastAsia="Times New Roman" w:hAnsi="Times New Roman"/>
          <w:sz w:val="14"/>
          <w:szCs w:val="14"/>
          <w:color w:val="auto"/>
        </w:rPr>
        <w:t>Cost-reimbursable contracts provide for the payment of allowable costs incurred during performance of the contract, up to a ceiling based on the amount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customer’s assessment of our performance against a predetermined set of criteria, such as targets for factors like cost, quality, schedule, and performance.</w:t>
      </w:r>
    </w:p>
    <w:p>
      <w:pPr>
        <w:spacing w:after="0" w:line="14" w:lineRule="exact"/>
        <w:rPr>
          <w:rFonts w:ascii="Times New Roman" w:cs="Times New Roman" w:eastAsia="Times New Roman" w:hAnsi="Times New Roman"/>
          <w:sz w:val="14"/>
          <w:szCs w:val="14"/>
          <w:color w:val="auto"/>
        </w:rPr>
      </w:pPr>
    </w:p>
    <w:p>
      <w:pPr>
        <w:ind w:left="520" w:right="60" w:hanging="133"/>
        <w:spacing w:after="0" w:line="265" w:lineRule="auto"/>
        <w:tabs>
          <w:tab w:leader="none" w:pos="516" w:val="left"/>
        </w:tabs>
        <w:numPr>
          <w:ilvl w:val="0"/>
          <w:numId w:val="4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Time-and-Materials Contracts. </w:t>
      </w:r>
      <w:r>
        <w:rPr>
          <w:rFonts w:ascii="Times New Roman" w:cs="Times New Roman" w:eastAsia="Times New Roman" w:hAnsi="Times New Roman"/>
          <w:sz w:val="14"/>
          <w:szCs w:val="14"/>
          <w:color w:val="auto"/>
        </w:rPr>
        <w:t>Under contracts in this category, we are paid a fixed hourly rate for each direct labor hour expended, and we are reimbursed for billable material costs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10" w:lineRule="exact"/>
        <w:rPr>
          <w:rFonts w:ascii="Times New Roman" w:cs="Times New Roman" w:eastAsia="Times New Roman" w:hAnsi="Times New Roman"/>
          <w:sz w:val="14"/>
          <w:szCs w:val="14"/>
          <w:i w:val="1"/>
          <w:iCs w:val="1"/>
          <w:color w:val="auto"/>
        </w:rPr>
      </w:pPr>
    </w:p>
    <w:p>
      <w:pPr>
        <w:ind w:left="520" w:right="60" w:hanging="133"/>
        <w:spacing w:after="0" w:line="265" w:lineRule="auto"/>
        <w:tabs>
          <w:tab w:leader="none" w:pos="516" w:val="left"/>
        </w:tabs>
        <w:numPr>
          <w:ilvl w:val="0"/>
          <w:numId w:val="4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Fixed-Price Contracts. </w:t>
      </w:r>
      <w:r>
        <w:rPr>
          <w:rFonts w:ascii="Times New Roman" w:cs="Times New Roman" w:eastAsia="Times New Roman" w:hAnsi="Times New Roman"/>
          <w:sz w:val="14"/>
          <w:szCs w:val="14"/>
          <w:color w:val="auto"/>
        </w:rPr>
        <w:t>Under a fixed-price contract, we agree to perform the specified work for a predetermined price. To the extent our actual direct and allocated indirect costs decrease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2" w:lineRule="exact"/>
        <w:rPr>
          <w:sz w:val="20"/>
          <w:szCs w:val="20"/>
          <w:color w:val="auto"/>
        </w:rPr>
      </w:pPr>
    </w:p>
    <w:p>
      <w:pPr>
        <w:ind w:right="340" w:firstLine="350"/>
        <w:spacing w:after="0" w:line="287" w:lineRule="auto"/>
        <w:rPr>
          <w:sz w:val="20"/>
          <w:szCs w:val="20"/>
          <w:color w:val="auto"/>
        </w:rPr>
      </w:pPr>
      <w:r>
        <w:rPr>
          <w:rFonts w:ascii="Times New Roman" w:cs="Times New Roman" w:eastAsia="Times New Roman" w:hAnsi="Times New Roman"/>
          <w:sz w:val="14"/>
          <w:szCs w:val="14"/>
          <w:color w:val="auto"/>
        </w:rPr>
        <w:t>The amount of risk and potential reward varies under each type of contract. In the aggregate, the contract type mix in our revenue for any given period will affect that period's profitability. Changes in contract type as a result of re-competes and new business could influence the percentage/mix in unanticipated ways. See “Item 1A. Risk Factors—Industry and Economic Risks.”</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48" w:name="page49"/>
    <w:bookmarkEnd w:id="4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table below presents the percentage of total revenue for each type of contract for the respective periods shown:</w:t>
      </w:r>
    </w:p>
    <w:p>
      <w:pPr>
        <w:spacing w:after="0" w:line="7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70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1720" w:type="dxa"/>
        <w:tblCellMar>
          <w:top w:w="0" w:type="dxa"/>
          <w:left w:w="0" w:type="dxa"/>
          <w:bottom w:w="0" w:type="dxa"/>
          <w:right w:w="0" w:type="dxa"/>
        </w:tblCellMar>
      </w:tblPr>
      <w:tr>
        <w:trPr>
          <w:trHeight w:val="182"/>
        </w:trPr>
        <w:tc>
          <w:tcPr>
            <w:tcW w:w="3460" w:type="dxa"/>
            <w:vAlign w:val="bottom"/>
            <w:tcBorders>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top w:val="single" w:sz="8" w:color="auto"/>
              <w:bottom w:val="single" w:sz="8" w:color="CCEEFF"/>
            </w:tcBorders>
          </w:tcPr>
          <w:p>
            <w:pPr>
              <w:spacing w:after="0"/>
              <w:rPr>
                <w:sz w:val="15"/>
                <w:szCs w:val="15"/>
                <w:color w:val="auto"/>
              </w:rPr>
            </w:pPr>
          </w:p>
        </w:tc>
        <w:tc>
          <w:tcPr>
            <w:tcW w:w="14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71"/>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Cost-reimbursable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53%</w:t>
            </w:r>
          </w:p>
        </w:tc>
      </w:tr>
      <w:tr>
        <w:trPr>
          <w:trHeight w:val="180"/>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Time-and-materials</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3"/>
              </w:rPr>
              <w:t>25%</w:t>
            </w:r>
          </w:p>
        </w:tc>
      </w:tr>
      <w:tr>
        <w:trPr>
          <w:trHeight w:val="180"/>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Fixed-price</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3"/>
              </w:rPr>
              <w:t>22%</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Diversity and Revenue Mix</w:t>
      </w:r>
    </w:p>
    <w:p>
      <w:pPr>
        <w:spacing w:after="0" w:line="53" w:lineRule="exact"/>
        <w:rPr>
          <w:sz w:val="20"/>
          <w:szCs w:val="20"/>
          <w:color w:val="auto"/>
        </w:rPr>
      </w:pPr>
    </w:p>
    <w:p>
      <w:pPr>
        <w:ind w:right="40" w:firstLine="350"/>
        <w:spacing w:after="0" w:line="259" w:lineRule="auto"/>
        <w:rPr>
          <w:sz w:val="20"/>
          <w:szCs w:val="20"/>
          <w:color w:val="auto"/>
        </w:rPr>
      </w:pPr>
      <w:r>
        <w:rPr>
          <w:rFonts w:ascii="Times New Roman" w:cs="Times New Roman" w:eastAsia="Times New Roman" w:hAnsi="Times New Roman"/>
          <w:sz w:val="14"/>
          <w:szCs w:val="14"/>
          <w:color w:val="auto"/>
        </w:rPr>
        <w:t>We provide services to our customers through a large number of single award contracts, contract vehicles, and multiple award contract vehicles. Most of our revenue is generated under indefinite delivery/indefinite quantity (“IDIQ”) contract vehicles, which include multiple award government wide acquisition contract vehicles (“GWACs”) and General Services Administration (“GSA”) Multiple Award Schedule Contracts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No single task order under any IDIQ contract represented more than 4% of our revenue in fiscal 2025. No single definite contract accounted for more than 1% of our revenue in fiscal 2025.</w:t>
      </w:r>
    </w:p>
    <w:p>
      <w:pPr>
        <w:spacing w:after="0" w:line="19" w:lineRule="exact"/>
        <w:rPr>
          <w:sz w:val="20"/>
          <w:szCs w:val="20"/>
          <w:color w:val="auto"/>
        </w:rPr>
      </w:pPr>
    </w:p>
    <w:p>
      <w:pPr>
        <w:ind w:right="60" w:firstLine="350"/>
        <w:spacing w:after="0" w:line="261" w:lineRule="auto"/>
        <w:rPr>
          <w:sz w:val="20"/>
          <w:szCs w:val="20"/>
          <w:color w:val="auto"/>
        </w:rPr>
      </w:pPr>
      <w:r>
        <w:rPr>
          <w:rFonts w:ascii="Times New Roman" w:cs="Times New Roman" w:eastAsia="Times New Roman" w:hAnsi="Times New Roman"/>
          <w:sz w:val="14"/>
          <w:szCs w:val="14"/>
          <w:color w:val="auto"/>
        </w:rPr>
        <w:t>We generate revenue under our contracts and task orders through our provision of services as both a prime contractor and a subcontractor, as well as from the provision of services by subcontractors under contracts and task orders for which we act as the prime contractor. For each of fiscal 2025, 2024, and 2023, 95% of our revenue was generated by contracts and task orders for which we served as the prime contractor; 5% of our revenue was generated by contracts and task orders for which we served as a subcontractor; and 25% of our revenue was generated by services provided by our subcontractors. The mix of these types of revenue affects our operating margin. Substantially all of our operating margin is derived from direct customer staff labor as the portion of our operating margin derived from fees we earn on services provided by our subcontractors is not significant.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Backlog</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define backlog to include the following three components:</w:t>
      </w:r>
    </w:p>
    <w:p>
      <w:pPr>
        <w:spacing w:after="0" w:line="49" w:lineRule="exact"/>
        <w:rPr>
          <w:sz w:val="20"/>
          <w:szCs w:val="20"/>
          <w:color w:val="auto"/>
        </w:rPr>
      </w:pPr>
    </w:p>
    <w:p>
      <w:pPr>
        <w:ind w:left="520" w:right="340" w:hanging="133"/>
        <w:spacing w:after="0" w:line="284"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Funded Backlog. </w:t>
      </w:r>
      <w:r>
        <w:rPr>
          <w:rFonts w:ascii="Times New Roman" w:cs="Times New Roman" w:eastAsia="Times New Roman" w:hAnsi="Times New Roman"/>
          <w:sz w:val="14"/>
          <w:szCs w:val="14"/>
          <w:color w:val="auto"/>
        </w:rPr>
        <w:t>Funded backlog represents the value of orders for services under existing contracts for which funding is appropriated or otherwise authorized less revenue previously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recognized on these contracts.</w:t>
      </w:r>
    </w:p>
    <w:p>
      <w:pPr>
        <w:ind w:left="520" w:right="480" w:hanging="133"/>
        <w:spacing w:after="0" w:line="284"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Unfunded Backlog. </w:t>
      </w:r>
      <w:r>
        <w:rPr>
          <w:rFonts w:ascii="Times New Roman" w:cs="Times New Roman" w:eastAsia="Times New Roman" w:hAnsi="Times New Roman"/>
          <w:sz w:val="14"/>
          <w:szCs w:val="14"/>
          <w:color w:val="auto"/>
        </w:rPr>
        <w:t>Unfunded backlog represents the value of orders (including optional orders) for services under existing contracts for which funding has not been appropriated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otherwise authorized.</w:t>
      </w:r>
    </w:p>
    <w:p>
      <w:pPr>
        <w:ind w:left="520" w:right="280" w:hanging="133"/>
        <w:spacing w:after="0" w:line="286" w:lineRule="auto"/>
        <w:tabs>
          <w:tab w:leader="none" w:pos="51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Priced Options. </w:t>
      </w:r>
      <w:r>
        <w:rPr>
          <w:rFonts w:ascii="Times New Roman" w:cs="Times New Roman" w:eastAsia="Times New Roman" w:hAnsi="Times New Roman"/>
          <w:sz w:val="14"/>
          <w:szCs w:val="14"/>
          <w:color w:val="auto"/>
        </w:rPr>
        <w:t>Priced contract options represent 100% of the value of all future contract option periods under existing contracts that may be exercised at our customers’ option and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funding has not been appropriated or otherwise authorized.</w:t>
      </w:r>
    </w:p>
    <w:p>
      <w:pPr>
        <w:ind w:firstLine="350"/>
        <w:spacing w:after="0" w:line="284" w:lineRule="auto"/>
        <w:rPr>
          <w:sz w:val="20"/>
          <w:szCs w:val="20"/>
          <w:color w:val="auto"/>
        </w:rPr>
      </w:pPr>
      <w:r>
        <w:rPr>
          <w:rFonts w:ascii="Times New Roman" w:cs="Times New Roman" w:eastAsia="Times New Roman" w:hAnsi="Times New Roman"/>
          <w:sz w:val="14"/>
          <w:szCs w:val="14"/>
          <w:color w:val="auto"/>
        </w:rPr>
        <w:t>Our backlog does not include contracts that have been awarded but are currently under protest and also does not include any task orders under IDIQ contracts, General Services Administration Schedule or other master agreement contract vehicles, except to the extent that task orders have been awarded to us under those contracts.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value of our contract backlog as of the respective periods shown:</w:t>
      </w:r>
    </w:p>
    <w:p>
      <w:pPr>
        <w:spacing w:after="0" w:line="81"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xml:space="preserve">Backlog: </w:t>
            </w:r>
            <w:r>
              <w:rPr>
                <w:rFonts w:ascii="Times New Roman" w:cs="Times New Roman" w:eastAsia="Times New Roman" w:hAnsi="Times New Roman"/>
                <w:sz w:val="18"/>
                <w:szCs w:val="18"/>
                <w:color w:val="auto"/>
                <w:vertAlign w:val="superscript"/>
              </w:rPr>
              <w:t>(1) (2)</w:t>
            </w: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8"/>
        </w:trPr>
        <w:tc>
          <w:tcPr>
            <w:tcW w:w="47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gridSpan w:val="3"/>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Funded</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4,187</w:t>
            </w:r>
          </w:p>
        </w:tc>
        <w:tc>
          <w:tcPr>
            <w:tcW w:w="0" w:type="dxa"/>
            <w:vAlign w:val="bottom"/>
          </w:tcPr>
          <w:p>
            <w:pPr>
              <w:spacing w:after="0"/>
              <w:rPr>
                <w:sz w:val="1"/>
                <w:szCs w:val="1"/>
                <w:color w:val="auto"/>
              </w:rPr>
            </w:pPr>
          </w:p>
        </w:tc>
      </w:tr>
      <w:tr>
        <w:trPr>
          <w:trHeight w:val="180"/>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Unfunded</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8,393</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Priced options</w:t>
            </w:r>
          </w:p>
        </w:tc>
        <w:tc>
          <w:tcPr>
            <w:tcW w:w="9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23,802</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19,533</w:t>
            </w:r>
          </w:p>
        </w:tc>
        <w:tc>
          <w:tcPr>
            <w:tcW w:w="0" w:type="dxa"/>
            <w:vAlign w:val="bottom"/>
          </w:tcPr>
          <w:p>
            <w:pPr>
              <w:spacing w:after="0"/>
              <w:rPr>
                <w:sz w:val="1"/>
                <w:szCs w:val="1"/>
                <w:color w:val="auto"/>
              </w:rPr>
            </w:pPr>
          </w:p>
        </w:tc>
      </w:tr>
      <w:tr>
        <w:trPr>
          <w:trHeight w:val="171"/>
        </w:trPr>
        <w:tc>
          <w:tcPr>
            <w:tcW w:w="47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backlog</w:t>
            </w:r>
          </w:p>
        </w:tc>
        <w:tc>
          <w:tcPr>
            <w:tcW w:w="960" w:type="dxa"/>
            <w:vAlign w:val="bottom"/>
            <w:tcBorders>
              <w:bottom w:val="single" w:sz="8" w:color="auto"/>
            </w:tcBorders>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37,027</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700" w:hanging="122"/>
        <w:spacing w:after="0"/>
        <w:tabs>
          <w:tab w:leader="none" w:pos="700" w:val="left"/>
        </w:tabs>
        <w:numPr>
          <w:ilvl w:val="0"/>
          <w:numId w:val="4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Backlog presented at March 31, 2025 includes backlog acquired from the Company’s acquisition of PGSC during fiscal 2025. Original backlog value at acquisition was $231 million.</w:t>
      </w:r>
    </w:p>
    <w:p>
      <w:pPr>
        <w:spacing w:after="0" w:line="55" w:lineRule="exact"/>
        <w:rPr>
          <w:rFonts w:ascii="Times New Roman" w:cs="Times New Roman" w:eastAsia="Times New Roman" w:hAnsi="Times New Roman"/>
          <w:sz w:val="15"/>
          <w:szCs w:val="15"/>
          <w:color w:val="auto"/>
          <w:vertAlign w:val="superscript"/>
        </w:rPr>
      </w:pPr>
    </w:p>
    <w:p>
      <w:pPr>
        <w:ind w:left="700" w:hanging="122"/>
        <w:spacing w:after="0" w:line="233" w:lineRule="auto"/>
        <w:tabs>
          <w:tab w:leader="none" w:pos="700" w:val="left"/>
        </w:tabs>
        <w:numPr>
          <w:ilvl w:val="0"/>
          <w:numId w:val="4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Amounts reflect the Company’s change in policy during the fourth quarter of fiscal 2025 as noted below.</w:t>
      </w:r>
    </w:p>
    <w:p>
      <w:pPr>
        <w:spacing w:after="0" w:line="200" w:lineRule="exact"/>
        <w:rPr>
          <w:sz w:val="20"/>
          <w:szCs w:val="20"/>
          <w:color w:val="auto"/>
        </w:rPr>
      </w:pPr>
    </w:p>
    <w:p>
      <w:pPr>
        <w:spacing w:after="0" w:line="23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4" w:right="399" w:bottom="1440" w:gutter="0" w:footer="0" w:header="0"/>
        </w:sectPr>
      </w:pPr>
    </w:p>
    <w:bookmarkStart w:id="49" w:name="page50"/>
    <w:bookmarkEnd w:id="4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7" w:lineRule="auto"/>
        <w:rPr>
          <w:sz w:val="20"/>
          <w:szCs w:val="20"/>
          <w:color w:val="auto"/>
        </w:rPr>
      </w:pPr>
      <w:r>
        <w:rPr>
          <w:rFonts w:ascii="Times New Roman" w:cs="Times New Roman" w:eastAsia="Times New Roman" w:hAnsi="Times New Roman"/>
          <w:sz w:val="14"/>
          <w:szCs w:val="14"/>
          <w:color w:val="auto"/>
        </w:rPr>
        <w:t>Our total backlog consists of contractual values which is inclusive of remaining performance obligations, unexercised option periods and other unexercised optional orders. Our total backlog reflects retrospective application of the Company’s change in policy during the fourth quarter of fiscal 2025, to exclude from total backlog, in all periods presented, orders under contracts for which the period of performance has expired. As of March 31, 2025 and March 31, 2024, the Company had $9.5 billion and $8.7 billion of remaining performance obligations, respectively, and we expect to recognize approximately 65% of the remaining performance obligations as of March 31, 2025 as revenue over the next 12 months, and approximately 70% over the next 24 months. The remainder is expected to be recognized thereafter. However, given the uncertainties discussed below, as well as the risks described in “Item 1A. Risk Factors,” we can give no assurance that we will be able to convert our backlog into revenue in any particular period, if at all. Our backlog includes orders under contracts that in some cases extend for several years. The U.S. Congress generally appropriates funds for our customers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9" w:lineRule="exact"/>
        <w:rPr>
          <w:sz w:val="20"/>
          <w:szCs w:val="20"/>
          <w:color w:val="auto"/>
        </w:rPr>
      </w:pPr>
    </w:p>
    <w:p>
      <w:pPr>
        <w:ind w:right="40" w:firstLine="350"/>
        <w:spacing w:after="0" w:line="264" w:lineRule="auto"/>
        <w:rPr>
          <w:sz w:val="20"/>
          <w:szCs w:val="20"/>
          <w:color w:val="auto"/>
        </w:rPr>
      </w:pPr>
      <w:r>
        <w:rPr>
          <w:rFonts w:ascii="Times New Roman" w:cs="Times New Roman" w:eastAsia="Times New Roman" w:hAnsi="Times New Roman"/>
          <w:sz w:val="14"/>
          <w:szCs w:val="14"/>
          <w:color w:val="auto"/>
        </w:rPr>
        <w:t>We view growth in total backlog as a key measure of our potential business growth. Total backlog increased by 15% from March 31, 2024 to March 31, 2025. Additions to funded backlog during fiscal 2025 and 2024 totaled $12.2 billion and $10.2 billion respectively,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3" w:lineRule="exact"/>
        <w:rPr>
          <w:sz w:val="20"/>
          <w:szCs w:val="20"/>
          <w:color w:val="auto"/>
        </w:rPr>
      </w:pPr>
    </w:p>
    <w:p>
      <w:pPr>
        <w:ind w:right="80" w:firstLine="350"/>
        <w:spacing w:after="0" w:line="256" w:lineRule="auto"/>
        <w:rPr>
          <w:sz w:val="20"/>
          <w:szCs w:val="20"/>
          <w:color w:val="auto"/>
        </w:rPr>
      </w:pPr>
      <w:r>
        <w:rPr>
          <w:rFonts w:ascii="Times New Roman" w:cs="Times New Roman" w:eastAsia="Times New Roman" w:hAnsi="Times New Roman"/>
          <w:sz w:val="14"/>
          <w:szCs w:val="14"/>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customer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as of March 31, 2025 but could have a material effect in the future: for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customers will not exercise their options.</w:t>
      </w:r>
    </w:p>
    <w:p>
      <w:pPr>
        <w:spacing w:after="0" w:line="23"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We expect to recognize revenue from a substantial portion of funded backlog as of March 31, 2025 within the next twelve months. However, given the uncertainties discussed above, as well as the risks described in “Item 1A. Risk Factors,” we can give no assurance that we will be able to convert our backlog into revenue in any particular period, if at all.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Costs and Expenses</w:t>
      </w:r>
    </w:p>
    <w:p>
      <w:pPr>
        <w:spacing w:after="0" w:line="53" w:lineRule="exact"/>
        <w:rPr>
          <w:sz w:val="20"/>
          <w:szCs w:val="20"/>
          <w:color w:val="auto"/>
        </w:rPr>
      </w:pPr>
    </w:p>
    <w:p>
      <w:pPr>
        <w:jc w:val="both"/>
        <w:ind w:right="160" w:firstLine="350"/>
        <w:spacing w:after="0" w:line="270" w:lineRule="auto"/>
        <w:rPr>
          <w:sz w:val="20"/>
          <w:szCs w:val="20"/>
          <w:color w:val="auto"/>
        </w:rPr>
      </w:pPr>
      <w:r>
        <w:rPr>
          <w:rFonts w:ascii="Times New Roman" w:cs="Times New Roman" w:eastAsia="Times New Roman" w:hAnsi="Times New Roman"/>
          <w:sz w:val="14"/>
          <w:szCs w:val="14"/>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most significant operating costs and expenses are described below.</w:t>
      </w:r>
    </w:p>
    <w:p>
      <w:pPr>
        <w:spacing w:after="0" w:line="49" w:lineRule="exact"/>
        <w:rPr>
          <w:sz w:val="20"/>
          <w:szCs w:val="20"/>
          <w:color w:val="auto"/>
        </w:rPr>
      </w:pPr>
    </w:p>
    <w:p>
      <w:pPr>
        <w:ind w:left="520" w:right="460" w:hanging="133"/>
        <w:spacing w:after="0" w:line="284"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Cost of Revenue</w:t>
      </w:r>
      <w:r>
        <w:rPr>
          <w:rFonts w:ascii="Times New Roman" w:cs="Times New Roman" w:eastAsia="Times New Roman" w:hAnsi="Times New Roman"/>
          <w:sz w:val="14"/>
          <w:szCs w:val="14"/>
          <w:color w:val="auto"/>
        </w:rPr>
        <w:t>. Cost of revenue includes direct labor, related employee benefits, and overhead. Overhead consists of indirect costs, including indirect labor relating to infrastructure,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management and administration, and other expenses.</w:t>
      </w:r>
    </w:p>
    <w:p>
      <w:pPr>
        <w:ind w:left="520" w:hanging="133"/>
        <w:spacing w:after="0"/>
        <w:tabs>
          <w:tab w:leader="none" w:pos="5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Billable Expenses. </w:t>
      </w:r>
      <w:r>
        <w:rPr>
          <w:rFonts w:ascii="Times New Roman" w:cs="Times New Roman" w:eastAsia="Times New Roman" w:hAnsi="Times New Roman"/>
          <w:sz w:val="14"/>
          <w:szCs w:val="14"/>
          <w:color w:val="auto"/>
        </w:rPr>
        <w:t>Billable expenses include direct subcontractor expenses, travel expenses, and other expenses incurred to perform on contracts.</w:t>
      </w:r>
    </w:p>
    <w:p>
      <w:pPr>
        <w:spacing w:after="0" w:line="51" w:lineRule="exact"/>
        <w:rPr>
          <w:rFonts w:ascii="Times New Roman" w:cs="Times New Roman" w:eastAsia="Times New Roman" w:hAnsi="Times New Roman"/>
          <w:sz w:val="14"/>
          <w:szCs w:val="14"/>
          <w:color w:val="auto"/>
        </w:rPr>
      </w:pPr>
    </w:p>
    <w:p>
      <w:pPr>
        <w:ind w:left="520" w:right="200" w:hanging="133"/>
        <w:spacing w:after="0" w:line="284"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General and Administrative Expenses. </w:t>
      </w:r>
      <w:r>
        <w:rPr>
          <w:rFonts w:ascii="Times New Roman" w:cs="Times New Roman" w:eastAsia="Times New Roman" w:hAnsi="Times New Roman"/>
          <w:sz w:val="14"/>
          <w:szCs w:val="14"/>
          <w:color w:val="auto"/>
        </w:rPr>
        <w:t>General and administrative expenses include indirect labor of executive management and corporate administrative functions, marketing and bid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proposal costs, and other discretionary spending.</w:t>
      </w:r>
    </w:p>
    <w:p>
      <w:pPr>
        <w:ind w:left="520" w:right="400" w:hanging="133"/>
        <w:spacing w:after="0" w:line="290" w:lineRule="auto"/>
        <w:tabs>
          <w:tab w:leader="none" w:pos="516"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Depreciation and Amortization. </w:t>
      </w:r>
      <w:r>
        <w:rPr>
          <w:rFonts w:ascii="Times New Roman" w:cs="Times New Roman" w:eastAsia="Times New Roman" w:hAnsi="Times New Roman"/>
          <w:sz w:val="14"/>
          <w:szCs w:val="14"/>
          <w:color w:val="auto"/>
        </w:rPr>
        <w:t>Depreciation and amortization includes the depreciation of computers, leasehold improvements, furniture and other equipment, and the amortization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internally developed software, as well as third-party software that we use internally, and of identifiable long-lived intangible assets over their estimated useful lives.</w:t>
      </w:r>
    </w:p>
    <w:p>
      <w:pPr>
        <w:spacing w:after="0" w:line="38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0" w:name="page51"/>
    <w:bookmarkEnd w:id="5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Seasonality</w:t>
      </w:r>
    </w:p>
    <w:p>
      <w:pPr>
        <w:spacing w:after="0" w:line="53"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4"/>
          <w:szCs w:val="14"/>
          <w:color w:val="auto"/>
        </w:rPr>
        <w:t>The U.S. government's fiscal year ends on September 30 of each year. We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13" w:lineRule="exact"/>
        <w:rPr>
          <w:sz w:val="20"/>
          <w:szCs w:val="20"/>
          <w:color w:val="auto"/>
        </w:rPr>
      </w:pPr>
    </w:p>
    <w:p>
      <w:pPr>
        <w:ind w:right="1800" w:firstLine="318"/>
        <w:spacing w:after="0" w:line="347" w:lineRule="auto"/>
        <w:rPr>
          <w:sz w:val="20"/>
          <w:szCs w:val="20"/>
          <w:color w:val="auto"/>
        </w:rPr>
      </w:pPr>
      <w:r>
        <w:rPr>
          <w:rFonts w:ascii="Times New Roman" w:cs="Times New Roman" w:eastAsia="Times New Roman" w:hAnsi="Times New Roman"/>
          <w:sz w:val="14"/>
          <w:szCs w:val="14"/>
          <w:color w:val="auto"/>
        </w:rPr>
        <w:t xml:space="preserve">Seasonality is just one of a number of factors, many of which are outside of our control, which may affect our results in any period. See “Item 1A. Risk Factors.” </w:t>
      </w:r>
      <w:r>
        <w:rPr>
          <w:rFonts w:ascii="Times New Roman" w:cs="Times New Roman" w:eastAsia="Times New Roman" w:hAnsi="Times New Roman"/>
          <w:sz w:val="14"/>
          <w:szCs w:val="14"/>
          <w:b w:val="1"/>
          <w:bCs w:val="1"/>
          <w:i w:val="1"/>
          <w:iCs w:val="1"/>
          <w:color w:val="auto"/>
        </w:rPr>
        <w:t>Government Audit Impact on Operating Income</w:t>
      </w:r>
    </w:p>
    <w:p>
      <w:pPr>
        <w:spacing w:after="0" w:line="1" w:lineRule="exact"/>
        <w:rPr>
          <w:sz w:val="20"/>
          <w:szCs w:val="20"/>
          <w:color w:val="auto"/>
        </w:rPr>
      </w:pPr>
    </w:p>
    <w:p>
      <w:pPr>
        <w:ind w:right="80" w:firstLine="350"/>
        <w:spacing w:after="0" w:line="264" w:lineRule="auto"/>
        <w:rPr>
          <w:sz w:val="20"/>
          <w:szCs w:val="20"/>
          <w:color w:val="auto"/>
        </w:rPr>
      </w:pPr>
      <w:r>
        <w:rPr>
          <w:rFonts w:ascii="Times New Roman" w:cs="Times New Roman" w:eastAsia="Times New Roman" w:hAnsi="Times New Roman"/>
          <w:sz w:val="14"/>
          <w:szCs w:val="14"/>
          <w:color w:val="auto"/>
        </w:rPr>
        <w:t>As noted in Item 1, “Business - Regulation,” of this Annual Report on Form 10-K, in the ordinary course of business, agencies of the U.S. government for which the Company is engaged as a prime contractor or a subcontractor, including the Defense Contract Audit Agency (the “DCAA”), audit the Company’s claimed costs and conduct inquiries and investigations of our business practices with respect to government contracts. Such audits may result in, and have historically resulted in, the Company’s inability to retain certain claimed costs, including executive and employee compensation, due to differing views of the allowability and reasonableness of such costs.</w:t>
      </w:r>
    </w:p>
    <w:p>
      <w:pPr>
        <w:spacing w:after="0" w:line="13"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As discussed in Note 19 and 20, “Commitments and Contingencies,” to the consolidated financial statements contained within our Annual Reports on Form 10-K for the fiscal years ended March 31, 2025 and 2024, respectively, the Company recognized a reserve for estimated adjustments to historical claimed costs in respect of the years subsequent to fiscal 2011, based primarily on historical audit results. Following the settlement and closure of the civil and criminal investigation, respectively, of the Company by the DOJ, audits for years subsequent to fiscal 2011 have resumed and remain subject to audit and/or final resolution. As audits of the periods subsequent to 2011 are completed, our estimates of adjustment to claimed costs for these periods could change. Any such change could materially impact our reported revenue, operating income, net income and basic and diluted earnings per common share.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Estimates and Policies</w:t>
      </w:r>
    </w:p>
    <w:p>
      <w:pPr>
        <w:spacing w:after="0" w:line="53"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Our discussion and analysis of our financial condition and results of operations are based on our consolidated financial statements, which have been prepared in accordance with GAAP. The preparation of these consolidated financial statements in accordance with GAAP requires management to make estimates and assumptions that affect the reported amounts of assets and liabilities and the disclosure of contingencies at the date of the consolidated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16"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and Cost Estimation</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perform under various types of contracts, which include cost-reimbursable-plus-fee contracts, time-and-materials contracts, and fixed-price contracts.</w:t>
      </w:r>
    </w:p>
    <w:p>
      <w:pPr>
        <w:spacing w:after="0" w:line="51"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Certain of our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We evaluate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w:t>
      </w:r>
    </w:p>
    <w:p>
      <w:pPr>
        <w:spacing w:after="0" w:line="16" w:lineRule="exact"/>
        <w:rPr>
          <w:sz w:val="20"/>
          <w:szCs w:val="20"/>
          <w:color w:val="auto"/>
        </w:rPr>
      </w:pPr>
    </w:p>
    <w:p>
      <w:pPr>
        <w:ind w:right="20" w:firstLine="350"/>
        <w:spacing w:after="0" w:line="261" w:lineRule="auto"/>
        <w:rPr>
          <w:sz w:val="20"/>
          <w:szCs w:val="20"/>
          <w:color w:val="auto"/>
        </w:rPr>
      </w:pPr>
      <w:r>
        <w:rPr>
          <w:rFonts w:ascii="Times New Roman" w:cs="Times New Roman" w:eastAsia="Times New Roman" w:hAnsi="Times New Roman"/>
          <w:sz w:val="14"/>
          <w:szCs w:val="14"/>
          <w:color w:val="auto"/>
        </w:rPr>
        <w:t>We recognize revenue for fixed-price contracts using a contract cost-based input method and require an Estimate-at-Completion (“EAC”),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our contracts. If the estimate of contract profitability indicates an anticipated loss on a contract, we recognize the total loss at the time it is identified.</w:t>
      </w: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354" w:right="359" w:bottom="1440" w:gutter="0" w:footer="0" w:header="0"/>
        </w:sectPr>
      </w:pPr>
    </w:p>
    <w:bookmarkStart w:id="51" w:name="page52"/>
    <w:bookmarkEnd w:id="5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exercised contracts for which work has not yet been performed, regardless of whether funding has or has not been authorized and appropriated as of the date of exercise. Remaining performance obligations exclude negotiated but unexercised options and certain variable consideration which the Company does not expect to recognize as revenue.</w:t>
      </w:r>
    </w:p>
    <w:p>
      <w:pPr>
        <w:spacing w:after="0" w:line="8"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We recognize revenue for each performance obligation identified within our customer contracts when, or as, the performance obligation is satisfied by transferring the promised goods or services. On certain contracts, principally time-and-materials and cost-reimbursable-plus-fee contracts, revenue is recognized using the right-to-invoice practical expedient as we are contractually able to invoice the customer based on the control transferred.</w:t>
      </w:r>
    </w:p>
    <w:p>
      <w:pPr>
        <w:spacing w:after="0" w:line="8" w:lineRule="exact"/>
        <w:rPr>
          <w:sz w:val="20"/>
          <w:szCs w:val="20"/>
          <w:color w:val="auto"/>
        </w:rPr>
      </w:pPr>
    </w:p>
    <w:p>
      <w:pPr>
        <w:ind w:right="360" w:firstLine="350"/>
        <w:spacing w:after="0" w:line="287" w:lineRule="auto"/>
        <w:rPr>
          <w:sz w:val="20"/>
          <w:szCs w:val="20"/>
          <w:color w:val="auto"/>
        </w:rPr>
      </w:pPr>
      <w:r>
        <w:rPr>
          <w:rFonts w:ascii="Times New Roman" w:cs="Times New Roman" w:eastAsia="Times New Roman" w:hAnsi="Times New Roman"/>
          <w:sz w:val="14"/>
          <w:szCs w:val="14"/>
          <w:color w:val="auto"/>
        </w:rPr>
        <w:t>For further detail on our contract types and processes, including when a contract is deemed to exist, contract modifications, as well as other specifics, see Note 2, “Summary of Significant Accounting Policies,” to the consolidated financial statements contained within this Annual Report on Form 10-K.</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Claimed Costs</w:t>
      </w:r>
    </w:p>
    <w:p>
      <w:pPr>
        <w:spacing w:after="0" w:line="53"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U.S. government contracts and subcontracts are subject to extensive legal and regulatory requirements. From time to time and in the ordinary course of business, agencies of the U.S. government, including the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8"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The Company recognizes a reserve for estimated adjustments to historical claimed costs in respect of the years subsequent to fiscal 2011, based primarily on historical audit results. As audits of the periods subsequent to 2011 are completed, our estimates of adjustment to claimed costs for these periods could change. Any such change could materially impact our reported revenue, operating income, net income and basic and diluted earnings per common share.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for Income Taxes</w:t>
      </w:r>
    </w:p>
    <w:p>
      <w:pPr>
        <w:spacing w:after="0" w:line="53" w:lineRule="exact"/>
        <w:rPr>
          <w:sz w:val="20"/>
          <w:szCs w:val="20"/>
          <w:color w:val="auto"/>
        </w:rPr>
      </w:pPr>
    </w:p>
    <w:p>
      <w:pPr>
        <w:jc w:val="both"/>
        <w:ind w:right="20" w:firstLine="350"/>
        <w:spacing w:after="0" w:line="270" w:lineRule="auto"/>
        <w:rPr>
          <w:sz w:val="20"/>
          <w:szCs w:val="20"/>
          <w:color w:val="auto"/>
        </w:rPr>
      </w:pPr>
      <w:r>
        <w:rPr>
          <w:rFonts w:ascii="Times New Roman" w:cs="Times New Roman" w:eastAsia="Times New Roman" w:hAnsi="Times New Roman"/>
          <w:sz w:val="14"/>
          <w:szCs w:val="14"/>
          <w:color w:val="auto"/>
        </w:rPr>
        <w:t>Provisions for federal, state, and foreign income taxes are calculated from the income reported on our consolidated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consolidated financial statements than for income tax purposes.</w:t>
      </w:r>
    </w:p>
    <w:p>
      <w:pPr>
        <w:spacing w:after="0" w:line="8"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4"/>
          <w:szCs w:val="14"/>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consolidated financial statement period may be materially impacted.</w:t>
      </w:r>
    </w:p>
    <w:p>
      <w:pPr>
        <w:spacing w:after="0" w:line="16" w:lineRule="exact"/>
        <w:rPr>
          <w:sz w:val="20"/>
          <w:szCs w:val="20"/>
          <w:color w:val="auto"/>
        </w:rPr>
      </w:pPr>
    </w:p>
    <w:p>
      <w:pPr>
        <w:ind w:right="20" w:firstLine="350"/>
        <w:spacing w:after="0" w:line="287" w:lineRule="auto"/>
        <w:rPr>
          <w:sz w:val="20"/>
          <w:szCs w:val="20"/>
          <w:color w:val="auto"/>
        </w:rPr>
      </w:pPr>
      <w:r>
        <w:rPr>
          <w:rFonts w:ascii="Times New Roman" w:cs="Times New Roman" w:eastAsia="Times New Roman" w:hAnsi="Times New Roman"/>
          <w:sz w:val="14"/>
          <w:szCs w:val="14"/>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53" w:lineRule="exact"/>
        <w:rPr>
          <w:sz w:val="20"/>
          <w:szCs w:val="20"/>
          <w:color w:val="auto"/>
        </w:rPr>
      </w:pPr>
    </w:p>
    <w:p>
      <w:pPr>
        <w:ind w:right="100" w:firstLine="350"/>
        <w:spacing w:after="0" w:line="287" w:lineRule="auto"/>
        <w:rPr>
          <w:sz w:val="20"/>
          <w:szCs w:val="20"/>
          <w:color w:val="auto"/>
        </w:rPr>
      </w:pPr>
      <w:r>
        <w:rPr>
          <w:rFonts w:ascii="Times New Roman" w:cs="Times New Roman" w:eastAsia="Times New Roman" w:hAnsi="Times New Roman"/>
          <w:sz w:val="14"/>
          <w:szCs w:val="14"/>
          <w:color w:val="auto"/>
        </w:rPr>
        <w:t>See Note 2, “Summary of Significant Accounting Policies,” to the consolidated financial statements contained within this Annual Report on Form 10-K for information related to our adoption of new accounting standards and for information on our anticipated adoption of recently issued accounting standards.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53" w:lineRule="exact"/>
        <w:rPr>
          <w:sz w:val="20"/>
          <w:szCs w:val="20"/>
          <w:color w:val="auto"/>
        </w:rPr>
      </w:pPr>
    </w:p>
    <w:p>
      <w:pPr>
        <w:ind w:right="220" w:firstLine="350"/>
        <w:spacing w:after="0" w:line="261" w:lineRule="auto"/>
        <w:rPr>
          <w:sz w:val="20"/>
          <w:szCs w:val="20"/>
          <w:color w:val="auto"/>
        </w:rPr>
      </w:pPr>
      <w:r>
        <w:rPr>
          <w:rFonts w:ascii="Times New Roman" w:cs="Times New Roman" w:eastAsia="Times New Roman" w:hAnsi="Times New Roman"/>
          <w:sz w:val="14"/>
          <w:szCs w:val="14"/>
          <w:color w:val="auto"/>
        </w:rPr>
        <w:t>We report operating results and financial data in one operating and reportable segment. We manage our business as a single profit center in order to promote collaboration, provide comprehensive functional service offerings across our entire customer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 See Note 20, “Business Segment Information,” to the consolidated financial statements contained within this Annual Report on Form 10-K for further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53" w:lineRule="exact"/>
        <w:rPr>
          <w:sz w:val="20"/>
          <w:szCs w:val="20"/>
          <w:color w:val="auto"/>
        </w:rPr>
      </w:pPr>
    </w:p>
    <w:p>
      <w:pPr>
        <w:ind w:right="120" w:firstLine="35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wholly-owned subsidiaries, and have been prepared in accordance with GAAP, and the rules and regulations of the U.S. Securities and Exchange Commission (the “SEC”). All intercompany balances and transactions have been eliminated in consolidation.</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2" w:name="page53"/>
    <w:bookmarkEnd w:id="5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8" w:lineRule="exact"/>
        <w:rPr>
          <w:sz w:val="20"/>
          <w:szCs w:val="20"/>
          <w:color w:val="auto"/>
        </w:rPr>
      </w:pPr>
    </w:p>
    <w:p>
      <w:pPr>
        <w:ind w:right="380" w:firstLine="350"/>
        <w:spacing w:after="0" w:line="284" w:lineRule="auto"/>
        <w:rPr>
          <w:sz w:val="20"/>
          <w:szCs w:val="20"/>
          <w:color w:val="auto"/>
        </w:rPr>
      </w:pPr>
      <w:r>
        <w:rPr>
          <w:rFonts w:ascii="Times New Roman" w:cs="Times New Roman" w:eastAsia="Times New Roman" w:hAnsi="Times New Roman"/>
          <w:sz w:val="14"/>
          <w:szCs w:val="14"/>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2025 and 2024 and the Company’s results of operations for fiscal 2025, fiscal 2024, and fiscal 2023.</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Certain amounts reported in the Company's prior year consolidated financial statements have been reclassified to conform to the current year presentation.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items from our consolidated statements of operations for the respective periods shown:</w:t>
      </w:r>
    </w:p>
    <w:p>
      <w:pPr>
        <w:spacing w:after="0" w:line="2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80" w:type="dxa"/>
            <w:vAlign w:val="bottom"/>
            <w:gridSpan w:val="6"/>
            <w:vMerge w:val="restart"/>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2024</w:t>
            </w:r>
          </w:p>
        </w:tc>
        <w:tc>
          <w:tcPr>
            <w:tcW w:w="0" w:type="dxa"/>
            <w:vAlign w:val="bottom"/>
          </w:tcPr>
          <w:p>
            <w:pPr>
              <w:spacing w:after="0"/>
              <w:rPr>
                <w:sz w:val="1"/>
                <w:szCs w:val="1"/>
                <w:color w:val="auto"/>
              </w:rPr>
            </w:pPr>
          </w:p>
        </w:tc>
      </w:tr>
      <w:tr>
        <w:trPr>
          <w:trHeight w:val="127"/>
        </w:trPr>
        <w:tc>
          <w:tcPr>
            <w:tcW w:w="434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6"/>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Versus</w:t>
            </w: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Versus</w:t>
            </w:r>
          </w:p>
        </w:tc>
        <w:tc>
          <w:tcPr>
            <w:tcW w:w="0" w:type="dxa"/>
            <w:vAlign w:val="bottom"/>
          </w:tcPr>
          <w:p>
            <w:pPr>
              <w:spacing w:after="0"/>
              <w:rPr>
                <w:sz w:val="1"/>
                <w:szCs w:val="1"/>
                <w:color w:val="auto"/>
              </w:rPr>
            </w:pPr>
          </w:p>
        </w:tc>
      </w:tr>
      <w:tr>
        <w:trPr>
          <w:trHeight w:val="181"/>
        </w:trPr>
        <w:tc>
          <w:tcPr>
            <w:tcW w:w="4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Fiscal 2023</w:t>
            </w:r>
          </w:p>
        </w:tc>
        <w:tc>
          <w:tcPr>
            <w:tcW w:w="0" w:type="dxa"/>
            <w:vAlign w:val="bottom"/>
          </w:tcPr>
          <w:p>
            <w:pPr>
              <w:spacing w:after="0"/>
              <w:rPr>
                <w:sz w:val="1"/>
                <w:szCs w:val="1"/>
                <w:color w:val="auto"/>
              </w:rPr>
            </w:pPr>
          </w:p>
        </w:tc>
      </w:tr>
      <w:tr>
        <w:trPr>
          <w:trHeight w:val="171"/>
        </w:trPr>
        <w:tc>
          <w:tcPr>
            <w:tcW w:w="43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revenue</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0" w:type="dxa"/>
            <w:vAlign w:val="bottom"/>
          </w:tcPr>
          <w:p>
            <w:pPr>
              <w:spacing w:after="0"/>
              <w:rPr>
                <w:sz w:val="1"/>
                <w:szCs w:val="1"/>
                <w:color w:val="auto"/>
              </w:rPr>
            </w:pPr>
          </w:p>
        </w:tc>
      </w:tr>
      <w:tr>
        <w:trPr>
          <w:trHeight w:val="180"/>
        </w:trPr>
        <w:tc>
          <w:tcPr>
            <w:tcW w:w="4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Billable expenses</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8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80" w:type="dxa"/>
            <w:vAlign w:val="bottom"/>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0" w:type="dxa"/>
            <w:vAlign w:val="bottom"/>
          </w:tcPr>
          <w:p>
            <w:pPr>
              <w:spacing w:after="0"/>
              <w:rPr>
                <w:sz w:val="1"/>
                <w:szCs w:val="1"/>
                <w:color w:val="auto"/>
              </w:rPr>
            </w:pPr>
          </w:p>
        </w:tc>
      </w:tr>
      <w:tr>
        <w:trPr>
          <w:trHeight w:val="171"/>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8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127 %</w:t>
            </w:r>
          </w:p>
        </w:tc>
        <w:tc>
          <w:tcPr>
            <w:tcW w:w="0" w:type="dxa"/>
            <w:vAlign w:val="bottom"/>
          </w:tcPr>
          <w:p>
            <w:pPr>
              <w:spacing w:after="0"/>
              <w:rPr>
                <w:sz w:val="1"/>
                <w:szCs w:val="1"/>
                <w:color w:val="auto"/>
              </w:rPr>
            </w:pPr>
          </w:p>
        </w:tc>
      </w:tr>
      <w:tr>
        <w:trPr>
          <w:trHeight w:val="18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18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8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0" w:type="dxa"/>
            <w:vAlign w:val="bottom"/>
          </w:tcPr>
          <w:p>
            <w:pPr>
              <w:spacing w:after="0"/>
              <w:rPr>
                <w:sz w:val="1"/>
                <w:szCs w:val="1"/>
                <w:color w:val="auto"/>
              </w:rPr>
            </w:pPr>
          </w:p>
        </w:tc>
      </w:tr>
      <w:tr>
        <w:trPr>
          <w:trHeight w:val="1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124 %</w:t>
            </w:r>
          </w:p>
        </w:tc>
        <w:tc>
          <w:tcPr>
            <w:tcW w:w="0" w:type="dxa"/>
            <w:vAlign w:val="bottom"/>
          </w:tcPr>
          <w:p>
            <w:pPr>
              <w:spacing w:after="0"/>
              <w:rPr>
                <w:sz w:val="1"/>
                <w:szCs w:val="1"/>
                <w:color w:val="auto"/>
              </w:rPr>
            </w:pPr>
          </w:p>
        </w:tc>
      </w:tr>
      <w:tr>
        <w:trPr>
          <w:trHeight w:val="180"/>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800" w:type="dxa"/>
            <w:vAlign w:val="bottom"/>
          </w:tcPr>
          <w:p>
            <w:pPr>
              <w:spacing w:after="0"/>
              <w:rPr>
                <w:sz w:val="15"/>
                <w:szCs w:val="15"/>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4"/>
                <w:szCs w:val="14"/>
                <w:color w:val="auto"/>
              </w:rPr>
              <w:t>NM</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6"/>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800" w:type="dxa"/>
            <w:vAlign w:val="bottom"/>
            <w:tcBorders>
              <w:top w:val="single" w:sz="8" w:color="auto"/>
              <w:bottom w:val="single" w:sz="8" w:color="auto"/>
            </w:tcBorders>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123 %</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Fiscal 2025 Compared to Fiscal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5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Revenue increased 12% to $11,980 million, primarily driven by strong demand for our solutions, outcomes, and services, as well as an increase in headcount to meet that demand, and higher billable expenses. In addition, revenue was positively impacted by $122 million representing the reduction to our provision for claimed costs recorded during fiscal 2025 (as compared to $18 million in fiscal 2024). See Note 19, “Commitments and Contingencies,” to the consolidated financial statements for further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Cost of Revenue</w:t>
      </w:r>
    </w:p>
    <w:p>
      <w:pPr>
        <w:spacing w:after="0" w:line="53" w:lineRule="exact"/>
        <w:rPr>
          <w:sz w:val="20"/>
          <w:szCs w:val="20"/>
          <w:color w:val="auto"/>
        </w:rPr>
      </w:pPr>
    </w:p>
    <w:p>
      <w:pPr>
        <w:ind w:right="120" w:firstLine="350"/>
        <w:spacing w:after="0" w:line="283" w:lineRule="auto"/>
        <w:rPr>
          <w:sz w:val="20"/>
          <w:szCs w:val="20"/>
          <w:color w:val="auto"/>
        </w:rPr>
      </w:pPr>
      <w:r>
        <w:rPr>
          <w:rFonts w:ascii="Times New Roman" w:cs="Times New Roman" w:eastAsia="Times New Roman" w:hAnsi="Times New Roman"/>
          <w:sz w:val="14"/>
          <w:szCs w:val="14"/>
          <w:color w:val="auto"/>
        </w:rPr>
        <w:t>Cost of revenue increased 10% to $5,419 million, and decreased as a percentage of revenue to 45% from 46%. The increase was primarily due to an increase in salaries and salary-related benefits of $540 million, driven by increased headcount and annual base salary increases, partially offset by a decrease in incentive and stock-based compensation of $47 million over the prior year.</w:t>
      </w:r>
    </w:p>
    <w:p>
      <w:pPr>
        <w:spacing w:after="0"/>
        <w:rPr>
          <w:sz w:val="20"/>
          <w:szCs w:val="20"/>
          <w:color w:val="auto"/>
        </w:rPr>
      </w:pPr>
      <w:r>
        <w:rPr>
          <w:rFonts w:ascii="Times New Roman" w:cs="Times New Roman" w:eastAsia="Times New Roman" w:hAnsi="Times New Roman"/>
          <w:sz w:val="14"/>
          <w:szCs w:val="14"/>
          <w:i w:val="1"/>
          <w:iCs w:val="1"/>
          <w:color w:val="auto"/>
        </w:rPr>
        <w:t>Billable Expenses</w:t>
      </w:r>
    </w:p>
    <w:p>
      <w:pPr>
        <w:spacing w:after="0" w:line="53"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Billable expenses increased 15% to $3,780 million, and increased as a percentage of revenue to 32% from 31%. This increase was primarily attributable to an increase in the use of subcontractors driven by customer demand and timing of customer needs as well as increases in expenses from contracts that require the Company to incur other direct expenses and travel on behalf of customers as compared to the prior year.</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53" w:name="page54"/>
    <w:bookmarkEnd w:id="5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53" w:lineRule="exact"/>
        <w:rPr>
          <w:sz w:val="20"/>
          <w:szCs w:val="20"/>
          <w:color w:val="auto"/>
        </w:rPr>
      </w:pPr>
    </w:p>
    <w:p>
      <w:pPr>
        <w:ind w:right="120" w:firstLine="350"/>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decreased 3% to $1,246 million, and decreased as a percentage of revenue to 10% from 12%. Fiscal 2025 was impacted by $115 million in insurance recoveries from claims related to the Company’s fiscal 2024 settlement as described in Note 19, “Commitments and Contingencies,” to the consolidated financial statements contained within this Annual Report on Form 10-K for further information, as well as a $27 million reserve from fiscal 2024 associated with the U.S. Department of Justice's investigation of the Company, not present in the current year. Partially offsetting the above was an increase in salaries and salary related benefits of $75 million, and increases in other business expenses and professional fees of $29 million.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Depreciation and Amortization</w:t>
      </w:r>
    </w:p>
    <w:p>
      <w:pPr>
        <w:spacing w:after="0" w:line="53" w:lineRule="exact"/>
        <w:rPr>
          <w:sz w:val="20"/>
          <w:szCs w:val="20"/>
          <w:color w:val="auto"/>
        </w:rPr>
      </w:pPr>
    </w:p>
    <w:p>
      <w:pPr>
        <w:ind w:right="240" w:firstLine="350"/>
        <w:spacing w:after="0" w:line="283" w:lineRule="auto"/>
        <w:rPr>
          <w:sz w:val="20"/>
          <w:szCs w:val="20"/>
          <w:color w:val="auto"/>
        </w:rPr>
      </w:pPr>
      <w:r>
        <w:rPr>
          <w:rFonts w:ascii="Times New Roman" w:cs="Times New Roman" w:eastAsia="Times New Roman" w:hAnsi="Times New Roman"/>
          <w:sz w:val="14"/>
          <w:szCs w:val="14"/>
          <w:color w:val="auto"/>
        </w:rPr>
        <w:t>Depreciation and amortization expense increased 1% to $165 million, primarily driven by increases in internal software amortization, partially offset by decreases in intangible amortization related to acquisitions.</w:t>
      </w:r>
    </w:p>
    <w:p>
      <w:pPr>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Interest expense, net increased 14% to $168 million. This was primarily due to the following:</w:t>
      </w:r>
    </w:p>
    <w:p>
      <w:pPr>
        <w:spacing w:after="0" w:line="51" w:lineRule="exact"/>
        <w:rPr>
          <w:sz w:val="20"/>
          <w:szCs w:val="20"/>
          <w:color w:val="auto"/>
        </w:rPr>
      </w:pPr>
    </w:p>
    <w:p>
      <w:pPr>
        <w:ind w:left="520" w:hanging="133"/>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$13 million in bond interest expense related to the $650 million Senior Notes due 2033 (issued August of fiscal 2024)</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interest income driven by a combination of a lower average cash balance and lower interest rates, partially offset by,</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in interest expense on the Company’s term loan due to lower rates year over year.</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Other income (expense), net increased to $17 million from $(13) million in the prior year period primarily due to the following:</w:t>
      </w:r>
    </w:p>
    <w:p>
      <w:pPr>
        <w:spacing w:after="0" w:line="51" w:lineRule="exact"/>
        <w:rPr>
          <w:sz w:val="20"/>
          <w:szCs w:val="20"/>
          <w:color w:val="auto"/>
        </w:rPr>
      </w:pPr>
    </w:p>
    <w:p>
      <w:pPr>
        <w:ind w:left="520" w:hanging="133"/>
        <w:spacing w:after="0"/>
        <w:tabs>
          <w:tab w:leader="none" w:pos="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$13 million as a result of the gain on sale of an investment in fiscal 2025;</w:t>
      </w:r>
    </w:p>
    <w:p>
      <w:pPr>
        <w:spacing w:after="0" w:line="51" w:lineRule="exact"/>
        <w:rPr>
          <w:rFonts w:ascii="Times New Roman" w:cs="Times New Roman" w:eastAsia="Times New Roman" w:hAnsi="Times New Roman"/>
          <w:sz w:val="14"/>
          <w:szCs w:val="14"/>
          <w:color w:val="auto"/>
        </w:rPr>
      </w:pPr>
    </w:p>
    <w:p>
      <w:pPr>
        <w:ind w:left="520" w:right="40" w:hanging="133"/>
        <w:spacing w:after="0" w:line="283" w:lineRule="auto"/>
        <w:tabs>
          <w:tab w:leader="none" w:pos="516"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$11 million in the fair value of the Company’s cost method investments reflected in fiscal 2025, as compared to a net decrease in fiscal 2024 of $6 million from non-recurring valuation adjustments (primarily from the write-off of one of its investments), resulting in a year over year increase of $17 million.</w:t>
      </w:r>
    </w:p>
    <w:p>
      <w:pPr>
        <w:spacing w:after="0"/>
        <w:rPr>
          <w:sz w:val="20"/>
          <w:szCs w:val="20"/>
          <w:color w:val="auto"/>
        </w:rPr>
      </w:pPr>
      <w:r>
        <w:rPr>
          <w:rFonts w:ascii="Times New Roman" w:cs="Times New Roman" w:eastAsia="Times New Roman" w:hAnsi="Times New Roman"/>
          <w:sz w:val="14"/>
          <w:szCs w:val="14"/>
          <w:i w:val="1"/>
          <w:iCs w:val="1"/>
          <w:color w:val="auto"/>
        </w:rPr>
        <w:t>Income Tax Expense</w:t>
      </w:r>
    </w:p>
    <w:p>
      <w:pPr>
        <w:spacing w:after="0" w:line="53" w:lineRule="exact"/>
        <w:rPr>
          <w:sz w:val="20"/>
          <w:szCs w:val="20"/>
          <w:color w:val="auto"/>
        </w:rPr>
      </w:pPr>
    </w:p>
    <w:p>
      <w:pPr>
        <w:ind w:right="180" w:firstLine="350"/>
        <w:spacing w:after="0" w:line="264" w:lineRule="auto"/>
        <w:rPr>
          <w:sz w:val="20"/>
          <w:szCs w:val="20"/>
          <w:color w:val="auto"/>
        </w:rPr>
      </w:pPr>
      <w:r>
        <w:rPr>
          <w:rFonts w:ascii="Times New Roman" w:cs="Times New Roman" w:eastAsia="Times New Roman" w:hAnsi="Times New Roman"/>
          <w:sz w:val="14"/>
          <w:szCs w:val="14"/>
          <w:color w:val="auto"/>
        </w:rPr>
        <w:t>Income tax expense increased to $284 million from $248 million. The effective tax rate decreased to 23% in fiscal 2025 from 29% in fiscal 2024. The increase in income tax expense for the year to date period was primarily driven by increases in pre-tax income. The decrease in the effective tax rate was driven by increases in fiscal 2024 state taxes, related to an unfavorable ruling received from the District of Columbia Court of Appeals related to contested tax assessments from the District of Columbia Office of Tax and Revenue (“DC OTR”) and the fiscal 2024 reversal of prior period indirect effects of underlying prior period uncertain tax positions.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As of March 31, 2025, our total liquidity was $1.9 billion, consisting of $885 million of cash and cash equivalents and $999 million available under the Revolving Credit Facility. In the opinion of management, we will be able to meet our liquidity and cash needs through a combination of cash flows from operating activities, available cash balances, and available borrowing under the Revolving Credit Facility. If these resources need to be augmented, additional cash requirements would likely be financed through the issuance of debt or equity securities.</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selected financial information for the respective periods shown:</w:t>
      </w:r>
    </w:p>
    <w:p>
      <w:pPr>
        <w:spacing w:after="0" w:line="3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84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260" w:type="dxa"/>
        <w:tblCellMar>
          <w:top w:w="0" w:type="dxa"/>
          <w:left w:w="0" w:type="dxa"/>
          <w:bottom w:w="0" w:type="dxa"/>
          <w:right w:w="0" w:type="dxa"/>
        </w:tblCellMar>
      </w:tblPr>
      <w:tr>
        <w:trPr>
          <w:trHeight w:val="182"/>
        </w:trPr>
        <w:tc>
          <w:tcPr>
            <w:tcW w:w="616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debt</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w:t>
            </w:r>
          </w:p>
        </w:tc>
      </w:tr>
      <w:tr>
        <w:trPr>
          <w:trHeight w:val="74"/>
        </w:trPr>
        <w:tc>
          <w:tcPr>
            <w:tcW w:w="61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60" w:type="dxa"/>
            <w:vAlign w:val="bottom"/>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w:t>
            </w:r>
          </w:p>
        </w:tc>
      </w:tr>
      <w:tr>
        <w:trPr>
          <w:trHeight w:val="18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w:t>
            </w: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increase (decrease) in cash and cash equivalents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right="80" w:firstLine="350"/>
        <w:spacing w:after="0" w:line="287" w:lineRule="auto"/>
        <w:rPr>
          <w:sz w:val="20"/>
          <w:szCs w:val="20"/>
          <w:color w:val="auto"/>
        </w:rPr>
      </w:pPr>
      <w:r>
        <w:rPr>
          <w:rFonts w:ascii="Times New Roman" w:cs="Times New Roman" w:eastAsia="Times New Roman" w:hAnsi="Times New Roman"/>
          <w:sz w:val="14"/>
          <w:szCs w:val="14"/>
          <w:color w:val="auto"/>
        </w:rPr>
        <w:t>Some of the possible uses of our remaining excess cash at any point in time may include funding strategic acquisitions and investments, further investment in our business, and returning value to stockholders through share repurchases, quarterly dividends, and special dividends.</w:t>
      </w:r>
    </w:p>
    <w:p>
      <w:pPr>
        <w:spacing w:after="0" w:line="400"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54" w:name="page55"/>
    <w:bookmarkEnd w:id="5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59" w:lineRule="auto"/>
        <w:rPr>
          <w:sz w:val="20"/>
          <w:szCs w:val="20"/>
          <w:color w:val="auto"/>
        </w:rPr>
      </w:pPr>
      <w:r>
        <w:rPr>
          <w:rFonts w:ascii="Times New Roman" w:cs="Times New Roman" w:eastAsia="Times New Roman" w:hAnsi="Times New Roman"/>
          <w:sz w:val="14"/>
          <w:szCs w:val="14"/>
          <w:color w:val="auto"/>
        </w:rPr>
        <w:t>Historically, we have been able to generate sufficient cash to fund our operations, mandatory debt and interest payments, capital expenditures, and discretionary funding needs. However, due to the trends and developments described above under “—Factors and Trends Affecting Our Results of Operations” relating to U.S. government cost-cutting, reductions or delays in the appropriations and spending process as well as potential shutdowns, it may be necessary to borrow under our Credit Agreement to meet cash demands in the future. While the timing and financial magnitude of these possible actions are currently indeterminable, we expect to be able to manage and adjust our capital structure to meet our liquidity needs.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9" w:lineRule="exact"/>
        <w:rPr>
          <w:sz w:val="20"/>
          <w:szCs w:val="20"/>
          <w:color w:val="auto"/>
        </w:rPr>
      </w:pPr>
    </w:p>
    <w:p>
      <w:pPr>
        <w:ind w:left="520" w:hanging="133"/>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including salaries;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requirements to fund both organic and inorganic growth of our business;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which primarily relate to the purchase of computers, business systems, furniture and leasehold improvements to support our operations;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ongoing maintenance around all financial management systems;</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and other discretionary investments;</w:t>
      </w:r>
    </w:p>
    <w:p>
      <w:pPr>
        <w:spacing w:after="0" w:line="51" w:lineRule="exact"/>
        <w:rPr>
          <w:rFonts w:ascii="Times New Roman" w:cs="Times New Roman" w:eastAsia="Times New Roman" w:hAnsi="Times New Roman"/>
          <w:sz w:val="14"/>
          <w:szCs w:val="14"/>
          <w:color w:val="auto"/>
        </w:rPr>
      </w:pPr>
    </w:p>
    <w:p>
      <w:pPr>
        <w:ind w:left="520" w:right="20" w:hanging="133"/>
        <w:spacing w:after="0" w:line="284" w:lineRule="auto"/>
        <w:tabs>
          <w:tab w:leader="none" w:pos="51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service requirements for borrowings under our Credit Agreement and interest payments for the Senior Notes due 2028, Senior Notes due 2029, Senior Notes due 2033, and Senior Notes due 2035; and</w:t>
      </w:r>
    </w:p>
    <w:p>
      <w:pPr>
        <w:ind w:left="520" w:hanging="133"/>
        <w:spacing w:after="0"/>
        <w:tabs>
          <w:tab w:leader="none" w:pos="5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taxes to be paid.</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From time to time, we evaluate conditions to opportunistically access the financing markets to secure additional debt capital resources and improve the terms of our indebtedness.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Cash Flow</w:t>
      </w:r>
    </w:p>
    <w:p>
      <w:pPr>
        <w:spacing w:after="0" w:line="53"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4"/>
          <w:szCs w:val="14"/>
          <w:color w:val="auto"/>
        </w:rPr>
        <w:t>Net cash provided by operations was $1.0 billion in fiscal 2025 compared to $259 million in fiscal 2024. Fiscal 2025 operating cash was aided by strong collection performance and overall revenue growth. Fiscal 2024 reflects a $378 million outflow related to the Company’s fiscal 2024 settlement as described in Note 20, “Commitments and Contingencies,” to the consolidated financial statements contained within the Annual Report on Form 10-K for the fiscal year ended March 31, 2024, whereas fiscal 2025 reflects $115 million in insurance recoveries from claims related to that settlement.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Cash Flow</w:t>
      </w:r>
    </w:p>
    <w:p>
      <w:pPr>
        <w:spacing w:after="0" w:line="53" w:lineRule="exact"/>
        <w:rPr>
          <w:sz w:val="20"/>
          <w:szCs w:val="20"/>
          <w:color w:val="auto"/>
        </w:rPr>
      </w:pPr>
    </w:p>
    <w:p>
      <w:pPr>
        <w:ind w:right="200" w:firstLine="350"/>
        <w:spacing w:after="0" w:line="264" w:lineRule="auto"/>
        <w:rPr>
          <w:sz w:val="20"/>
          <w:szCs w:val="20"/>
          <w:color w:val="auto"/>
        </w:rPr>
      </w:pPr>
      <w:r>
        <w:rPr>
          <w:rFonts w:ascii="Times New Roman" w:cs="Times New Roman" w:eastAsia="Times New Roman" w:hAnsi="Times New Roman"/>
          <w:sz w:val="14"/>
          <w:szCs w:val="14"/>
          <w:color w:val="auto"/>
        </w:rPr>
        <w:t xml:space="preserve">Net cash used in investing activities was $218 million in fiscal 2025 compared to $91 million in the prior year. The increase in net cash used over the prior year was primarily due to the Company’s acquisition of PAR Government Systems Corporation for $99 million, net of post-closing adjustments and incurred transaction costs as part of the acquisition, as well as an increase in capital expenditures over the prior year of $31 million. See Note 5,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Acquisitions and Divestitures,” to the consolidated financial statements contained within this Annual Report on Form 10-K for further information on the acquisition.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Cash Flow</w:t>
      </w:r>
    </w:p>
    <w:p>
      <w:pPr>
        <w:spacing w:after="0" w:line="53" w:lineRule="exact"/>
        <w:rPr>
          <w:sz w:val="20"/>
          <w:szCs w:val="20"/>
          <w:color w:val="auto"/>
        </w:rPr>
      </w:pPr>
    </w:p>
    <w:p>
      <w:pPr>
        <w:ind w:right="480" w:firstLine="350"/>
        <w:spacing w:after="0" w:line="284" w:lineRule="auto"/>
        <w:rPr>
          <w:sz w:val="20"/>
          <w:szCs w:val="20"/>
          <w:color w:val="auto"/>
        </w:rPr>
      </w:pPr>
      <w:r>
        <w:rPr>
          <w:rFonts w:ascii="Times New Roman" w:cs="Times New Roman" w:eastAsia="Times New Roman" w:hAnsi="Times New Roman"/>
          <w:sz w:val="14"/>
          <w:szCs w:val="14"/>
          <w:color w:val="auto"/>
        </w:rPr>
        <w:t>Net cash used in financing activities was $460 million in fiscal 2025 compared to $19 million in the prior year. The increase in net cash used over the prior year was primarily due to the following:</w:t>
      </w:r>
    </w:p>
    <w:p>
      <w:pPr>
        <w:spacing w:after="0" w:line="1" w:lineRule="exact"/>
        <w:rPr>
          <w:sz w:val="20"/>
          <w:szCs w:val="20"/>
          <w:color w:val="auto"/>
        </w:rPr>
      </w:pPr>
    </w:p>
    <w:p>
      <w:pPr>
        <w:ind w:left="520" w:hanging="133"/>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share repurchases of $408 million,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dividends paid of $14 million,</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term loan payments of $21 million, partially offset by,</w:t>
      </w:r>
    </w:p>
    <w:p>
      <w:pPr>
        <w:spacing w:after="0" w:line="51" w:lineRule="exact"/>
        <w:rPr>
          <w:rFonts w:ascii="Times New Roman" w:cs="Times New Roman" w:eastAsia="Times New Roman" w:hAnsi="Times New Roman"/>
          <w:sz w:val="14"/>
          <w:szCs w:val="14"/>
          <w:color w:val="auto"/>
        </w:rPr>
      </w:pPr>
    </w:p>
    <w:p>
      <w:pPr>
        <w:ind w:left="520" w:hanging="133"/>
        <w:spacing w:after="0"/>
        <w:tabs>
          <w:tab w:leader="none" w:pos="5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$7 million in net proceeds associated with the Company’s issuance of its Senior Notes in each respective year:</w:t>
      </w:r>
    </w:p>
    <w:p>
      <w:pPr>
        <w:spacing w:after="0" w:line="51"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2025 - $644 million received from the issuance of the 5.95% Senior Notes due 2035</w:t>
      </w:r>
    </w:p>
    <w:p>
      <w:pPr>
        <w:spacing w:after="0" w:line="51" w:lineRule="exact"/>
        <w:rPr>
          <w:rFonts w:ascii="Times New Roman" w:cs="Times New Roman" w:eastAsia="Times New Roman" w:hAnsi="Times New Roman"/>
          <w:sz w:val="14"/>
          <w:szCs w:val="14"/>
          <w:color w:val="auto"/>
        </w:rPr>
      </w:pPr>
    </w:p>
    <w:p>
      <w:pPr>
        <w:ind w:left="1020" w:hanging="124"/>
        <w:spacing w:after="0"/>
        <w:tabs>
          <w:tab w:leader="none" w:pos="102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2024 - $637 million received from the issuance of the 5.95% Senior Notes due 2033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 and Share Repurchases</w:t>
      </w:r>
    </w:p>
    <w:p>
      <w:pPr>
        <w:spacing w:after="0" w:line="53" w:lineRule="exact"/>
        <w:rPr>
          <w:sz w:val="20"/>
          <w:szCs w:val="20"/>
          <w:color w:val="auto"/>
        </w:rPr>
      </w:pPr>
    </w:p>
    <w:p>
      <w:pPr>
        <w:ind w:right="200" w:firstLine="350"/>
        <w:spacing w:after="0" w:line="287" w:lineRule="auto"/>
        <w:rPr>
          <w:sz w:val="20"/>
          <w:szCs w:val="20"/>
          <w:color w:val="auto"/>
        </w:rPr>
      </w:pPr>
      <w:r>
        <w:rPr>
          <w:rFonts w:ascii="Times New Roman" w:cs="Times New Roman" w:eastAsia="Times New Roman" w:hAnsi="Times New Roman"/>
          <w:sz w:val="14"/>
          <w:szCs w:val="14"/>
          <w:color w:val="auto"/>
        </w:rPr>
        <w:t>The Company paid $2.08 in dividends per share to stockholders of record in fiscal 2025. On May 23, 2025, the Company announced a regular quarterly cash dividend in the amount of $0.55 per share. The quarterly dividend is payable on June 27, 2025 to stockholders of record on June 11, 2025.</w:t>
      </w:r>
    </w:p>
    <w:p>
      <w:pPr>
        <w:spacing w:after="0" w:line="389"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5" w:name="page56"/>
    <w:bookmarkEnd w:id="5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cash distributions recognized in the consolidated statement of cash flows for the respective periods shown:</w:t>
      </w:r>
    </w:p>
    <w:p>
      <w:pPr>
        <w:spacing w:after="0" w:line="3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ind w:left="6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2440"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39"/>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4"/>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1"/>
        </w:trPr>
        <w:tc>
          <w:tcPr>
            <w:tcW w:w="264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Recurring dividends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bl>
    <w:p>
      <w:pPr>
        <w:spacing w:after="0" w:line="37" w:lineRule="exact"/>
        <w:rPr>
          <w:sz w:val="20"/>
          <w:szCs w:val="20"/>
          <w:color w:val="auto"/>
        </w:rPr>
      </w:pPr>
    </w:p>
    <w:p>
      <w:pPr>
        <w:ind w:left="520" w:hanging="133"/>
        <w:spacing w:after="0"/>
        <w:tabs>
          <w:tab w:leader="none" w:pos="520" w:val="left"/>
        </w:tabs>
        <w:numPr>
          <w:ilvl w:val="0"/>
          <w:numId w:val="5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recurring dividends that were declared and paid for during each quarter of fiscal 2025, 2024, and 2023, respectively.</w:t>
      </w:r>
    </w:p>
    <w:p>
      <w:pPr>
        <w:spacing w:after="0" w:line="44" w:lineRule="exact"/>
        <w:rPr>
          <w:sz w:val="20"/>
          <w:szCs w:val="20"/>
          <w:color w:val="auto"/>
        </w:rPr>
      </w:pPr>
    </w:p>
    <w:p>
      <w:pPr>
        <w:ind w:right="20" w:firstLine="350"/>
        <w:spacing w:after="0" w:line="256" w:lineRule="auto"/>
        <w:rPr>
          <w:sz w:val="20"/>
          <w:szCs w:val="20"/>
          <w:color w:val="auto"/>
        </w:rPr>
      </w:pPr>
      <w:r>
        <w:rPr>
          <w:rFonts w:ascii="Times New Roman" w:cs="Times New Roman" w:eastAsia="Times New Roman" w:hAnsi="Times New Roman"/>
          <w:sz w:val="14"/>
          <w:szCs w:val="14"/>
          <w:color w:val="auto"/>
        </w:rPr>
        <w:t>On December 12, 2011, the Board of Directors initially approved a share repurchase program, which was subsequently increased from time to time, and most recently increased by $500 million to $3,585 million on January 28, 2025. The Company may repurchase shares pursuant to the program by means of open market repurchases, directly negotiated repurchases or through agents acting pursuant to negotiated repurchase agreements. During fiscal 2025 and 2024, the Company purchased 5.6 million and 3.2 million shares of the Company’s Class A Common Stock, respectively, for an aggregate of $764 million and $373 million, respectively. As of March 31, 2025, the Company had approximately $745 million remaining under the repurchase program.</w:t>
      </w:r>
    </w:p>
    <w:p>
      <w:pPr>
        <w:spacing w:after="0" w:line="19"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Indebtedness</w:t>
      </w:r>
    </w:p>
    <w:p>
      <w:pPr>
        <w:spacing w:after="0" w:line="5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Our debt totaled $4.0 billion and $3.4 billion as of March 31, 2025 and 2024, respectively. The total outstanding debt balance is recorded in the accompanying consolidated balance sheets net of unamortized discount and debt issuance costs of $28 million and $26 million, respectively, as of March 31, 2025 and 2024. Our debt is comprised of our Credit Agreement and four separate and distinct tranches of our Senior Notes, which all bear interest at specified rates. See Note 10, “Debt,” to the consolidated financial statements contained within this Annual Report on Form 10-K for further information and specifics on the material terms of our debt.</w:t>
      </w:r>
    </w:p>
    <w:p>
      <w:pPr>
        <w:spacing w:after="0" w:line="13" w:lineRule="exact"/>
        <w:rPr>
          <w:sz w:val="20"/>
          <w:szCs w:val="20"/>
          <w:color w:val="auto"/>
        </w:rPr>
      </w:pPr>
    </w:p>
    <w:p>
      <w:pPr>
        <w:ind w:right="240" w:firstLine="318"/>
        <w:spacing w:after="0" w:line="261" w:lineRule="auto"/>
        <w:rPr>
          <w:sz w:val="20"/>
          <w:szCs w:val="20"/>
          <w:color w:val="auto"/>
        </w:rPr>
      </w:pPr>
      <w:r>
        <w:rPr>
          <w:rFonts w:ascii="Times New Roman" w:cs="Times New Roman" w:eastAsia="Times New Roman" w:hAnsi="Times New Roman"/>
          <w:sz w:val="14"/>
          <w:szCs w:val="14"/>
          <w:color w:val="auto"/>
        </w:rPr>
        <w:t>As of both March 31, 2025 and 2024, Booz Allen Hamilton was contingently liable under open standby letters of credit and bank guarantees issued by its banks in favor of third parties that totaled $4 million. These letters of credit and bank guarantees primarily support insurance and bid and performance obligations. As of both March 31, 2025 and 2024, approximately $1 million of these instruments reduced our available borrowings under the Credit Agreement. The remainder is guaranteed under a separate $3 million facility, formerly $8 million, of which less than a million and $4 million, respectively, were available to the Company at March 31, 2025 and March 31, 2024, respectively. See Note 19, “Commitments and Contingencies,” to our consolidated financial statements contained within this Annual Report on Form 10-K for further information.</w:t>
      </w:r>
    </w:p>
    <w:p>
      <w:pPr>
        <w:spacing w:after="0" w:line="1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Company occasionally borrows under the Credit Agreement’s revolving credit facility for our working capital needs and during the fourth quarter of fiscal 2025, we borrowed $200 million on this revolving credit facility, which was subsequently repaid with the proceeds from our latest offering of Senior Notes in the same quarter. As of March 31, 2025 and March 31, 2024, respectively, there was no outstanding balance on the Revolving Credit Facility. See Note 10, “Debt,” to the consolidated financial statements contained within this Annual Report on Form 10-K for further information our latest offering of Senior Notes that was completed in fiscal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Summarized Financial Information</w:t>
      </w:r>
    </w:p>
    <w:p>
      <w:pPr>
        <w:spacing w:after="0" w:line="53"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Senior Notes due 2033 and Senior Notes due 2035 were issued by Booz Allen Hamilton pursuant to the respective Indenture, among Booz Allen Hamilton, the Company and U.S. Bank Trust Company, National Association, as trustee, as supplemented by the respective Supplemental Indenture and are fully and unconditionally guaranteed on an unsecured and unsubordinated basis by the Company pursuant to the respective Indenture.</w:t>
      </w:r>
    </w:p>
    <w:p>
      <w:pPr>
        <w:spacing w:after="0" w:line="8"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The tables below present the summarized financial information as combined for the Company and Booz Allen Hamilton as of March 31, 2025, after the elimination of intercompany transactions and balances between the Company and Booz Allen Hamilton and excluding the subsidiaries of both entities that are not issuers or guarantors of the Senior Notes due 2033 and Senior Notes due 2035, including earnings from and investments in these entities. The summarized financial information is provided in accordance with the reporting requirements of Rule 13-01 under Regulation S-X and is not intended to present our financial position or results of operations in accordance with GAAP.</w:t>
      </w:r>
    </w:p>
    <w:p>
      <w:pPr>
        <w:spacing w:after="0" w:line="200" w:lineRule="exact"/>
        <w:rPr>
          <w:sz w:val="20"/>
          <w:szCs w:val="20"/>
          <w:color w:val="auto"/>
        </w:rPr>
      </w:pPr>
    </w:p>
    <w:p>
      <w:pPr>
        <w:spacing w:after="0" w:line="216"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1"/>
                <w:szCs w:val="11"/>
                <w:color w:val="auto"/>
              </w:rPr>
            </w:pPr>
          </w:p>
        </w:tc>
        <w:tc>
          <w:tcPr>
            <w:tcW w:w="74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7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Statements of Financial Condition</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receivables from non-guarantor subsidiaries</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current assets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and intangible assets, net of accumulated amortization</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non-current assets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Intercompany payables to non-guarantor subsidiaries</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current liabilities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non-current liabilities</w:t>
            </w:r>
          </w:p>
        </w:tc>
        <w:tc>
          <w:tcPr>
            <w:tcW w:w="380" w:type="dxa"/>
            <w:vAlign w:val="bottom"/>
            <w:gridSpan w:val="2"/>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76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i w:val="1"/>
                <w:iCs w:val="1"/>
                <w:color w:val="auto"/>
              </w:rPr>
              <w:t>Summarized Statement of Operations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4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11,200</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 from non-guarantor subsidiaries</w:t>
            </w:r>
          </w:p>
        </w:tc>
        <w:tc>
          <w:tcPr>
            <w:tcW w:w="3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income from non-guarantor subsidiaries</w:t>
            </w:r>
          </w:p>
        </w:tc>
        <w:tc>
          <w:tcPr>
            <w:tcW w:w="3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80"/>
        </w:trPr>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38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84"/>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attributable to the Obligor Group</w:t>
            </w:r>
          </w:p>
        </w:tc>
        <w:tc>
          <w:tcPr>
            <w:tcW w:w="3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Structure and Resources</w:t>
      </w:r>
    </w:p>
    <w:p>
      <w:pPr>
        <w:spacing w:after="0" w:line="53" w:lineRule="exact"/>
        <w:rPr>
          <w:sz w:val="20"/>
          <w:szCs w:val="20"/>
          <w:color w:val="auto"/>
        </w:rPr>
      </w:pPr>
    </w:p>
    <w:p>
      <w:pPr>
        <w:ind w:right="140" w:firstLine="350"/>
        <w:spacing w:after="0" w:line="270" w:lineRule="auto"/>
        <w:rPr>
          <w:sz w:val="20"/>
          <w:szCs w:val="20"/>
          <w:color w:val="auto"/>
        </w:rPr>
      </w:pPr>
      <w:r>
        <w:rPr>
          <w:rFonts w:ascii="Times New Roman" w:cs="Times New Roman" w:eastAsia="Times New Roman" w:hAnsi="Times New Roman"/>
          <w:sz w:val="14"/>
          <w:szCs w:val="14"/>
          <w:color w:val="auto"/>
        </w:rPr>
        <w:t>Our stockholders’ equity totaled $1,003 million as of March 31, 2025, a decrease of $44 million compared to stockholders’ equity of $1,047 million as of March 31, 2024. The decrease was primarily due to $804 million in treasury stock resulting from the repurchase of shares of our Class A Common Stock and $269 million in aggregate quarterly dividend payments, partially offset by net income of $935 million and stock-based compensation expense of $94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Expenditures</w:t>
      </w:r>
    </w:p>
    <w:p>
      <w:pPr>
        <w:spacing w:after="0" w:line="53" w:lineRule="exact"/>
        <w:rPr>
          <w:sz w:val="20"/>
          <w:szCs w:val="20"/>
          <w:color w:val="auto"/>
        </w:rPr>
      </w:pPr>
    </w:p>
    <w:p>
      <w:pPr>
        <w:ind w:right="180" w:firstLine="350"/>
        <w:spacing w:after="0" w:line="270" w:lineRule="auto"/>
        <w:rPr>
          <w:sz w:val="20"/>
          <w:szCs w:val="20"/>
          <w:color w:val="auto"/>
        </w:rPr>
      </w:pPr>
      <w:r>
        <w:rPr>
          <w:rFonts w:ascii="Times New Roman" w:cs="Times New Roman" w:eastAsia="Times New Roman" w:hAnsi="Times New Roman"/>
          <w:sz w:val="14"/>
          <w:szCs w:val="14"/>
          <w:color w:val="auto"/>
        </w:rPr>
        <w:t>Since we do not own any of our facilities, our capital expenditure requirements primarily relate to the purchase of computers, management systems, furniture, and leasehold improvements to support our operations. Direct facility and equipment costs billed to customers are not treated as capital expenses. Our capital expenditures for fiscal 2025 and 2024 were $107 million and $83 million, respectively, of which $9 million and $16 million, respectively, were unpaid at fiscal 2025 and 2024 year end.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Commitments and Contingencies</w:t>
      </w:r>
    </w:p>
    <w:p>
      <w:pPr>
        <w:spacing w:after="0" w:line="53" w:lineRule="exact"/>
        <w:rPr>
          <w:sz w:val="20"/>
          <w:szCs w:val="20"/>
          <w:color w:val="auto"/>
        </w:rPr>
      </w:pPr>
    </w:p>
    <w:p>
      <w:pPr>
        <w:ind w:right="280" w:firstLine="350"/>
        <w:spacing w:after="0" w:line="287" w:lineRule="auto"/>
        <w:rPr>
          <w:sz w:val="20"/>
          <w:szCs w:val="20"/>
          <w:color w:val="auto"/>
        </w:rPr>
      </w:pPr>
      <w:r>
        <w:rPr>
          <w:rFonts w:ascii="Times New Roman" w:cs="Times New Roman" w:eastAsia="Times New Roman" w:hAnsi="Times New Roman"/>
          <w:sz w:val="14"/>
          <w:szCs w:val="14"/>
          <w:color w:val="auto"/>
        </w:rPr>
        <w:t>We are subject to a number of reviews, investigations, claims, lawsuits, and other uncertainties related to our business. For a discussion of these items, refer to Note 19, “Commitments and Contingencies,” to our consolidated financial statements.</w:t>
      </w:r>
    </w:p>
    <w:p>
      <w:pPr>
        <w:spacing w:after="0" w:line="3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7A.</w:t>
        <w:tab/>
        <w:t>Quantitative and Qualitative Disclosures About Market Risk</w:t>
      </w:r>
      <w:r>
        <w:rPr>
          <w:rFonts w:ascii="Times New Roman" w:cs="Times New Roman" w:eastAsia="Times New Roman" w:hAnsi="Times New Roman"/>
          <w:sz w:val="14"/>
          <w:szCs w:val="14"/>
          <w:b w:val="1"/>
          <w:bCs w:val="1"/>
          <w:i w:val="1"/>
          <w:iCs w:val="1"/>
          <w:color w:val="auto"/>
        </w:rPr>
        <w:t>.</w:t>
      </w:r>
    </w:p>
    <w:p>
      <w:pPr>
        <w:spacing w:after="0" w:line="53" w:lineRule="exact"/>
        <w:rPr>
          <w:sz w:val="20"/>
          <w:szCs w:val="20"/>
          <w:color w:val="auto"/>
        </w:rPr>
      </w:pPr>
    </w:p>
    <w:p>
      <w:pPr>
        <w:ind w:right="200" w:firstLine="350"/>
        <w:spacing w:after="0" w:line="270" w:lineRule="auto"/>
        <w:rPr>
          <w:sz w:val="20"/>
          <w:szCs w:val="20"/>
          <w:color w:val="auto"/>
        </w:rPr>
      </w:pPr>
      <w:r>
        <w:rPr>
          <w:rFonts w:ascii="Times New Roman" w:cs="Times New Roman" w:eastAsia="Times New Roman" w:hAnsi="Times New Roman"/>
          <w:sz w:val="14"/>
          <w:szCs w:val="14"/>
          <w:color w:val="auto"/>
        </w:rPr>
        <w:t>Market risk is the potential loss arising from adverse changes in market rates and market prices such as those related to interest rates. Due to the wide-ranging adverse impacts on global financial markets, we may be exposed to greater interest rate volatility and market risk in the near future. We actively monitor these exposures and manage such risks through our regular financing activities and through the use of derivative financial instruments.</w:t>
      </w:r>
    </w:p>
    <w:p>
      <w:pPr>
        <w:spacing w:after="0" w:line="8" w:lineRule="exact"/>
        <w:rPr>
          <w:sz w:val="20"/>
          <w:szCs w:val="20"/>
          <w:color w:val="auto"/>
        </w:rPr>
      </w:pPr>
    </w:p>
    <w:p>
      <w:pPr>
        <w:ind w:firstLine="350"/>
        <w:spacing w:after="0" w:line="284"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relates primarily to our outstanding debt, cash equivalents, which consist primarily of funds invested in U.S. government money-market funds, our cash flow hedges and our Rabbi trust.</w:t>
      </w:r>
    </w:p>
    <w:p>
      <w:pPr>
        <w:spacing w:after="0" w:line="1" w:lineRule="exact"/>
        <w:rPr>
          <w:sz w:val="20"/>
          <w:szCs w:val="20"/>
          <w:color w:val="auto"/>
        </w:rPr>
      </w:pPr>
    </w:p>
    <w:p>
      <w:pPr>
        <w:ind w:right="20" w:firstLine="350"/>
        <w:spacing w:after="0" w:line="270" w:lineRule="auto"/>
        <w:rPr>
          <w:sz w:val="20"/>
          <w:szCs w:val="20"/>
          <w:color w:val="auto"/>
        </w:rPr>
      </w:pPr>
      <w:r>
        <w:rPr>
          <w:rFonts w:ascii="Times New Roman" w:cs="Times New Roman" w:eastAsia="Times New Roman" w:hAnsi="Times New Roman"/>
          <w:sz w:val="14"/>
          <w:szCs w:val="14"/>
          <w:color w:val="auto"/>
        </w:rPr>
        <w:t>Our exposure to market risk for changes in interest rates related to our outstanding debt will impact our Senior Credit Facility. The interest expense associated with our term loans and any loans under our Revolving Credit Facility will vary with market rates. A hypothetical interest rate increase of 25 basis points would have increased interest expense related to the term facilities under our Senior Credit Facility by approximately $2 million in fiscal 2025 and $3 million in fiscal 2024, and likewise decreased our income and cash flows.</w:t>
      </w:r>
    </w:p>
    <w:p>
      <w:pPr>
        <w:spacing w:after="0" w:line="8"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As of March 31, 2025 and 2024, we had $885 million and $554 million, respectively, in cash and cash equivalents. As of March 31, 2025 and 2024 the interest income as a percentage of average monthly balance sheet cash was approximately 3% and 6%, respectively. A hypothetical decrease in market interest rates of 25 basis points would have decreased interest income on our cash and cash equivalents of approximately $1 million in both fiscal 2025 and 2024, and likewise decreased our income and cash flows.</w:t>
      </w: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2" w:right="339" w:bottom="1440" w:gutter="0" w:footer="0" w:header="0"/>
        </w:sectPr>
      </w:pPr>
    </w:p>
    <w:bookmarkStart w:id="57" w:name="page58"/>
    <w:bookmarkEnd w:id="5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02" w:lineRule="exact"/>
        <w:rPr>
          <w:sz w:val="20"/>
          <w:szCs w:val="20"/>
          <w:color w:val="auto"/>
        </w:rPr>
      </w:pPr>
    </w:p>
    <w:p>
      <w:pPr>
        <w:ind w:firstLine="350"/>
        <w:spacing w:after="0" w:line="261" w:lineRule="auto"/>
        <w:rPr>
          <w:sz w:val="20"/>
          <w:szCs w:val="20"/>
          <w:color w:val="auto"/>
        </w:rPr>
      </w:pPr>
      <w:r>
        <w:rPr>
          <w:rFonts w:ascii="Times New Roman" w:cs="Times New Roman" w:eastAsia="Times New Roman" w:hAnsi="Times New Roman"/>
          <w:sz w:val="14"/>
          <w:szCs w:val="14"/>
          <w:color w:val="auto"/>
        </w:rPr>
        <w:t>Pursuant to our interest rate risk management strategies, we use interest rate cash flow hedges to add stability to our incurrence of interest rate expense and to manage our exposure to related interest rate movement. As of March 31, 2025, we had effective interest rate swaps with an aggregate notional amount of $550 million. These derivative instruments hedge the variability of cash outflows for interest payments on our variable rate debt and are recorded at fair value on our consolidated balance sheet. See Note 11, “Derivatives,” to the consolidated financial statements contained within this Annual Report on Form 10-K for further discussion. As of March 31, 2025, a 25 basis point increase in interest rates would increase the fair value of our interest rate swaps by approximately $2 million and a 25 basis point decrease in interest rates would decrease the fair value of our interest rate swaps by approximately $2 million.</w:t>
      </w:r>
    </w:p>
    <w:p>
      <w:pPr>
        <w:spacing w:after="0" w:line="16"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We maintain a Rabbi trust to provide for the payment of benefits under our non-qualified deferred compensation plan. As of March 31, 2025, fund assets totaled $35 million which include mutual fund investments that are subject to fluctuations in market prices and interest rates. Cash distributions made to plan participants are recognized as operating cash flows in the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consolidated statements of operations. See Note 18, “Fair Value Measurements,” to the consolidated financial statements contained within this Annual Report on Form 10-K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4" w:right="339"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 xml:space="preserve">  Financial Statements and Supplementary Data</w:t>
            </w:r>
            <w:r>
              <w:rPr>
                <w:rFonts w:ascii="Times New Roman" w:cs="Times New Roman" w:eastAsia="Times New Roman" w:hAnsi="Times New Roman"/>
                <w:sz w:val="14"/>
                <w:szCs w:val="14"/>
                <w:b w:val="1"/>
                <w:bCs w:val="1"/>
                <w:i w:val="1"/>
                <w:iCs w:val="1"/>
                <w:color w:val="auto"/>
              </w:rPr>
              <w:t>.</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446"/>
        </w:trPr>
        <w:tc>
          <w:tcPr>
            <w:tcW w:w="92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INDEX TO THE CONSOLIDATED FINANCIAL STATEMENTS</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4"/>
        </w:trPr>
        <w:tc>
          <w:tcPr>
            <w:tcW w:w="9280" w:type="dxa"/>
            <w:vAlign w:val="bottom"/>
          </w:tcPr>
          <w:p>
            <w:pPr>
              <w:spacing w:after="0"/>
              <w:rPr>
                <w:sz w:val="21"/>
                <w:szCs w:val="21"/>
                <w:color w:val="auto"/>
              </w:rPr>
            </w:pP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65"/>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Report of Independent Registered Public Accounting Firm </w:t>
            </w:r>
            <w:r>
              <w:rPr>
                <w:rFonts w:ascii="Times New Roman" w:cs="Times New Roman" w:eastAsia="Times New Roman" w:hAnsi="Times New Roman"/>
                <w:sz w:val="14"/>
                <w:szCs w:val="14"/>
                <w:color w:val="000000"/>
              </w:rPr>
              <w:t>(PCAOB ID#00042)</w:t>
            </w: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3051F2"/>
                <w:w w:val="98"/>
              </w:rPr>
              <w:t>F-2</w:t>
            </w:r>
          </w:p>
        </w:tc>
        <w:tc>
          <w:tcPr>
            <w:tcW w:w="760" w:type="dxa"/>
            <w:vAlign w:val="bottom"/>
          </w:tcPr>
          <w:p>
            <w:pPr>
              <w:spacing w:after="0"/>
              <w:rPr>
                <w:sz w:val="14"/>
                <w:szCs w:val="14"/>
                <w:color w:val="auto"/>
              </w:rPr>
            </w:pP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Balance Sheets as of March 31, </w:t>
            </w:r>
            <w:r>
              <w:rPr>
                <w:rFonts w:ascii="Times New Roman" w:cs="Times New Roman" w:eastAsia="Times New Roman" w:hAnsi="Times New Roman"/>
                <w:sz w:val="14"/>
                <w:szCs w:val="14"/>
                <w:color w:val="0E32E1"/>
              </w:rPr>
              <w:t>2025</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2024</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F-5</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Operations for the Fiscal Years Ended March 31, </w:t>
            </w:r>
            <w:r>
              <w:rPr>
                <w:rFonts w:ascii="Times New Roman" w:cs="Times New Roman" w:eastAsia="Times New Roman" w:hAnsi="Times New Roman"/>
                <w:sz w:val="14"/>
                <w:szCs w:val="14"/>
                <w:color w:val="0E32E1"/>
              </w:rPr>
              <w:t>2025</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2023</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F-6</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Comprehensive Income for the Fiscal Years Ended March 31, </w:t>
            </w:r>
            <w:r>
              <w:rPr>
                <w:rFonts w:ascii="Times New Roman" w:cs="Times New Roman" w:eastAsia="Times New Roman" w:hAnsi="Times New Roman"/>
                <w:sz w:val="14"/>
                <w:szCs w:val="14"/>
                <w:color w:val="0E32E1"/>
              </w:rPr>
              <w:t>2025, 2024 and 2023</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F-7</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Cash Flows for the Fiscal Years Ended March 31, </w:t>
            </w:r>
            <w:r>
              <w:rPr>
                <w:rFonts w:ascii="Times New Roman" w:cs="Times New Roman" w:eastAsia="Times New Roman" w:hAnsi="Times New Roman"/>
                <w:sz w:val="14"/>
                <w:szCs w:val="14"/>
                <w:color w:val="0E32E1"/>
              </w:rPr>
              <w:t>2025</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2023</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F-8</w:t>
            </w:r>
          </w:p>
        </w:tc>
      </w:tr>
      <w:tr>
        <w:trPr>
          <w:trHeight w:val="180"/>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 xml:space="preserve">Consolidated Statements of Stockholders' Equity for the Fiscal Years Ended March 31, </w:t>
            </w:r>
            <w:r>
              <w:rPr>
                <w:rFonts w:ascii="Times New Roman" w:cs="Times New Roman" w:eastAsia="Times New Roman" w:hAnsi="Times New Roman"/>
                <w:sz w:val="14"/>
                <w:szCs w:val="14"/>
                <w:color w:val="0E32E1"/>
              </w:rPr>
              <w:t>2025</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E32E1"/>
              </w:rPr>
              <w:t>2024</w:t>
            </w:r>
            <w:r>
              <w:rPr>
                <w:rFonts w:ascii="Times New Roman" w:cs="Times New Roman" w:eastAsia="Times New Roman" w:hAnsi="Times New Roman"/>
                <w:sz w:val="14"/>
                <w:szCs w:val="14"/>
                <w:color w:val="0000FF"/>
              </w:rPr>
              <w:t xml:space="preserve"> and </w:t>
            </w:r>
            <w:r>
              <w:rPr>
                <w:rFonts w:ascii="Times New Roman" w:cs="Times New Roman" w:eastAsia="Times New Roman" w:hAnsi="Times New Roman"/>
                <w:sz w:val="14"/>
                <w:szCs w:val="14"/>
                <w:color w:val="0E32E1"/>
              </w:rPr>
              <w:t>2023</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w w:val="98"/>
              </w:rPr>
              <w:t>F-9</w:t>
            </w:r>
          </w:p>
        </w:tc>
      </w:tr>
      <w:tr>
        <w:trPr>
          <w:trHeight w:val="186"/>
        </w:trPr>
        <w:tc>
          <w:tcPr>
            <w:tcW w:w="9280" w:type="dxa"/>
            <w:vAlign w:val="bottom"/>
          </w:tcPr>
          <w:p>
            <w:pPr>
              <w:ind w:left="20"/>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2000" w:type="dxa"/>
            <w:vAlign w:val="bottom"/>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3051F2"/>
              </w:rPr>
              <w:t>F-10</w:t>
            </w:r>
          </w:p>
        </w:tc>
      </w:tr>
      <w:tr>
        <w:trPr>
          <w:trHeight w:val="870"/>
        </w:trPr>
        <w:tc>
          <w:tcPr>
            <w:tcW w:w="9280" w:type="dxa"/>
            <w:vAlign w:val="bottom"/>
          </w:tcPr>
          <w:p>
            <w:pPr>
              <w:ind w:left="5540"/>
              <w:spacing w:after="0"/>
              <w:rPr>
                <w:sz w:val="20"/>
                <w:szCs w:val="20"/>
                <w:color w:val="auto"/>
              </w:rPr>
            </w:pPr>
            <w:r>
              <w:rPr>
                <w:rFonts w:ascii="Times New Roman" w:cs="Times New Roman" w:eastAsia="Times New Roman" w:hAnsi="Times New Roman"/>
                <w:sz w:val="14"/>
                <w:szCs w:val="14"/>
                <w:color w:val="auto"/>
              </w:rPr>
              <w:t>F-1</w:t>
            </w: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87"/>
        </w:trPr>
        <w:tc>
          <w:tcPr>
            <w:tcW w:w="92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59" w:name="page60"/>
    <w:bookmarkEnd w:id="5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Booz Allen Hamilton Holding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audited the accompanying consolidated balance sheets of Booz Allen Hamilton Holding Corporation (the Company) as of March 31, 2025 and 2024, the related consolidated statements of</w:t>
      </w:r>
    </w:p>
    <w:p>
      <w:pPr>
        <w:spacing w:after="0" w:line="21"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4"/>
          <w:szCs w:val="14"/>
          <w:color w:val="auto"/>
        </w:rPr>
        <w:t>operations, comprehensive income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4"/>
          <w:szCs w:val="14"/>
          <w:color w:val="auto"/>
        </w:rPr>
        <w:t xml:space="preserve"> stockholders' equity and cash flows for each of the three years in the period ended March 31, 2025, and the related notes</w:t>
      </w:r>
      <w:r>
        <w:rPr>
          <w:sz w:val="1"/>
          <w:szCs w:val="1"/>
          <w:color w:val="auto"/>
        </w:rPr>
        <w:drawing>
          <wp:inline distT="0" distB="0" distL="0" distR="0">
            <wp:extent cx="20320" cy="7429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320" cy="74295"/>
                    </a:xfrm>
                    <a:prstGeom prst="rect">
                      <a:avLst/>
                    </a:prstGeom>
                    <a:noFill/>
                    <a:ln>
                      <a:noFill/>
                    </a:ln>
                  </pic:spPr>
                </pic:pic>
              </a:graphicData>
            </a:graphic>
          </wp:inline>
        </w:drawing>
      </w:r>
      <w:r>
        <w:rPr>
          <w:rFonts w:ascii="Times New Roman" w:cs="Times New Roman" w:eastAsia="Times New Roman" w:hAnsi="Times New Roman"/>
          <w:sz w:val="14"/>
          <w:szCs w:val="14"/>
          <w:color w:val="auto"/>
        </w:rPr>
        <w:t>(collectively referred to as the “consolidated financial statements”). In our opinion, the consolidated financial statements present fairly, in all material respects, the financial position of the Company at March 31, 2025 and 2024, and the results of its operations and its cash flows for each of the three years in the period ended March 31, 2025, in conformity with U.S. generally accepted accounting principles.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Company's internal control over financial reporting as of</w:t>
      </w:r>
    </w:p>
    <w:p>
      <w:pPr>
        <w:spacing w:after="0" w:line="3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4"/>
          <w:szCs w:val="14"/>
          <w:color w:val="auto"/>
        </w:rPr>
        <w:t>March 31, 2025, based on criteria established in Internal Control-Integrated Framework issued by the Committee of Sponsoring Organizations of the Treadway Commission (2013 framework) and our report dated May 23, 2025 expressed an unqualified opinion thereon.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Audit Matters</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26"/>
        </w:trPr>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9460" w:type="dxa"/>
            <w:vAlign w:val="bottom"/>
          </w:tcPr>
          <w:p>
            <w:pPr>
              <w:spacing w:after="0"/>
              <w:rPr>
                <w:sz w:val="11"/>
                <w:szCs w:val="11"/>
                <w:color w:val="auto"/>
              </w:rPr>
            </w:pPr>
          </w:p>
        </w:tc>
      </w:tr>
      <w:tr>
        <w:trPr>
          <w:trHeight w:val="457"/>
        </w:trPr>
        <w:tc>
          <w:tcPr>
            <w:tcW w:w="1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 for select contracts under the cost-based input method</w:t>
            </w:r>
          </w:p>
        </w:tc>
      </w:tr>
      <w:tr>
        <w:trPr>
          <w:trHeight w:val="177"/>
        </w:trPr>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 described in Note 2 to the consolidated financial statements, the Company generally recognizes revenue over time, as its contracts typically involve a</w:t>
            </w:r>
          </w:p>
        </w:tc>
      </w:tr>
      <w:tr>
        <w:trPr>
          <w:trHeight w:val="149"/>
        </w:trPr>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continuous transfer of control to the customer. Many of its contracts recognize revenue under a cost-based input method and management estimates the total costs</w:t>
            </w:r>
          </w:p>
        </w:tc>
      </w:tr>
      <w:tr>
        <w:trPr>
          <w:trHeight w:val="159"/>
        </w:trPr>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at completion of the performance obligations (EAC). Estimates of costs at completion are subjective and can change over the contract performance period for a</w:t>
            </w:r>
          </w:p>
        </w:tc>
      </w:tr>
      <w:tr>
        <w:trPr>
          <w:trHeight w:val="184"/>
        </w:trPr>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variety of reasons and, if significant, may impact the profitability of the Company’s contracts.</w:t>
            </w:r>
          </w:p>
        </w:tc>
      </w:tr>
      <w:tr>
        <w:trPr>
          <w:trHeight w:val="325"/>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Auditing revenue recognition based on the cost-based input method for select contracts was complex due to the subjective nature of management’s estimates of</w:t>
            </w:r>
          </w:p>
        </w:tc>
      </w:tr>
      <w:tr>
        <w:trPr>
          <w:trHeight w:val="159"/>
        </w:trPr>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the costs at completion, which include labor, material, and subcontractor costs. The estimates of costs at completion are based on management’s assessment of the</w:t>
            </w:r>
          </w:p>
        </w:tc>
      </w:tr>
      <w:tr>
        <w:trPr>
          <w:trHeight w:val="184"/>
        </w:trPr>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progress towards completion of the performance obligations and other factors.</w:t>
            </w:r>
          </w:p>
        </w:tc>
      </w:tr>
    </w:tbl>
    <w:p>
      <w:pPr>
        <w:spacing w:after="0" w:line="16" w:lineRule="exact"/>
        <w:rPr>
          <w:sz w:val="20"/>
          <w:szCs w:val="20"/>
          <w:color w:val="auto"/>
        </w:rPr>
      </w:pPr>
    </w:p>
    <w:p>
      <w:pPr>
        <w:spacing w:after="0"/>
        <w:tabs>
          <w:tab w:leader="none" w:pos="2000" w:val="left"/>
        </w:tabs>
        <w:rPr>
          <w:sz w:val="20"/>
          <w:szCs w:val="20"/>
          <w:color w:val="auto"/>
        </w:rPr>
      </w:pPr>
      <w:r>
        <w:rPr>
          <w:rFonts w:ascii="Times New Roman" w:cs="Times New Roman" w:eastAsia="Times New Roman" w:hAnsi="Times New Roman"/>
          <w:sz w:val="14"/>
          <w:szCs w:val="14"/>
          <w:i w:val="1"/>
          <w:iCs w:val="1"/>
          <w:color w:val="auto"/>
        </w:rPr>
        <w:t>How We Addressed the Matter in</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related to the Company’s revenue recognition process,</w:t>
      </w:r>
    </w:p>
    <w:p>
      <w:pPr>
        <w:sectPr>
          <w:pgSz w:w="11900" w:h="16838" w:orient="portrait"/>
          <w:cols w:equalWidth="0" w:num="1">
            <w:col w:w="11240"/>
          </w:cols>
          <w:pgMar w:left="320" w:top="352"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Our Audit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4"/>
          <w:szCs w:val="14"/>
          <w:color w:val="auto"/>
        </w:rPr>
        <w:t>including controls over management’s review of the estimated costs at completion for the select contracts and controls evaluating the appropriateness of changes in estimated future costs.</w:t>
      </w:r>
    </w:p>
    <w:p>
      <w:pPr>
        <w:spacing w:after="0" w:line="167" w:lineRule="exact"/>
        <w:rPr>
          <w:sz w:val="20"/>
          <w:szCs w:val="20"/>
          <w:color w:val="auto"/>
        </w:rPr>
      </w:pPr>
    </w:p>
    <w:p>
      <w:pPr>
        <w:sectPr>
          <w:pgSz w:w="11900" w:h="16838" w:orient="portrait"/>
          <w:cols w:equalWidth="0" w:num="2">
            <w:col w:w="1300" w:space="720"/>
            <w:col w:w="9220"/>
          </w:cols>
          <w:pgMar w:left="320" w:top="352" w:right="339" w:bottom="1440" w:gutter="0" w:footer="0" w:header="0"/>
          <w:type w:val="continuous"/>
        </w:sectPr>
      </w:pPr>
    </w:p>
    <w:p>
      <w:pPr>
        <w:jc w:val="both"/>
        <w:ind w:left="2020" w:right="120"/>
        <w:spacing w:after="0" w:line="246" w:lineRule="auto"/>
        <w:rPr>
          <w:sz w:val="20"/>
          <w:szCs w:val="20"/>
          <w:color w:val="auto"/>
        </w:rPr>
      </w:pPr>
      <w:r>
        <w:rPr>
          <w:rFonts w:ascii="Times New Roman" w:cs="Times New Roman" w:eastAsia="Times New Roman" w:hAnsi="Times New Roman"/>
          <w:sz w:val="14"/>
          <w:szCs w:val="14"/>
          <w:color w:val="auto"/>
        </w:rPr>
        <w:t>To test the recognition of revenue under the cost-based input method for select contracts, our audit procedures included among others, reviewing management’s projected costs for consistency with contract terms, comparing estimated costs to actual costs incurred to date, and obtaining an understanding of the Company’s progress on the contract.</w:t>
      </w:r>
    </w:p>
    <w:p>
      <w:pPr>
        <w:spacing w:after="0" w:line="9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i w:val="1"/>
          <w:iCs w:val="1"/>
          <w:color w:val="auto"/>
        </w:rPr>
        <w:t>Government Contracting Matters – Provision for Claimed Costs</w:t>
      </w:r>
    </w:p>
    <w:p>
      <w:pPr>
        <w:sectPr>
          <w:pgSz w:w="11900" w:h="16838" w:orient="portrait"/>
          <w:cols w:equalWidth="0" w:num="1">
            <w:col w:w="11240"/>
          </w:cols>
          <w:pgMar w:left="320" w:top="352"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4"/>
          <w:szCs w:val="14"/>
          <w:color w:val="auto"/>
        </w:rPr>
        <w:t>As discussed in Note 19 to the consolidated financial statements, in the ordinary course of business, agencies of the U.S. government, including the Defense Contract Audit Agency (DCAA), routinely audit the Company’s claimed costs and conduct inquiries and investigations of its business practices with respect to government contracts to determine whether the Company’s operations are conducted in accordance with relevant requirements. As of March 31, 2025, the Company had recorded liabilities for estimated adjustments to claimed costs based on its historical DCAA audit results (the provision for claimed audit costs) and the status of its negotiations with the Defense Contract Management Agency (DCMA).</w:t>
      </w:r>
    </w:p>
    <w:p>
      <w:pPr>
        <w:spacing w:after="0" w:line="165" w:lineRule="exact"/>
        <w:rPr>
          <w:sz w:val="20"/>
          <w:szCs w:val="20"/>
          <w:color w:val="auto"/>
        </w:rPr>
      </w:pPr>
    </w:p>
    <w:p>
      <w:pPr>
        <w:sectPr>
          <w:pgSz w:w="11900" w:h="16838" w:orient="portrait"/>
          <w:cols w:equalWidth="0" w:num="2">
            <w:col w:w="1440" w:space="580"/>
            <w:col w:w="9220"/>
          </w:cols>
          <w:pgMar w:left="320" w:top="352" w:right="339" w:bottom="1440" w:gutter="0" w:footer="0" w:header="0"/>
          <w:type w:val="continuous"/>
        </w:sectPr>
      </w:pPr>
    </w:p>
    <w:p>
      <w:pPr>
        <w:ind w:left="2020" w:right="200"/>
        <w:spacing w:after="0" w:line="252" w:lineRule="auto"/>
        <w:rPr>
          <w:sz w:val="20"/>
          <w:szCs w:val="20"/>
          <w:color w:val="auto"/>
        </w:rPr>
      </w:pPr>
      <w:r>
        <w:rPr>
          <w:rFonts w:ascii="Times New Roman" w:cs="Times New Roman" w:eastAsia="Times New Roman" w:hAnsi="Times New Roman"/>
          <w:sz w:val="14"/>
          <w:szCs w:val="14"/>
          <w:color w:val="auto"/>
        </w:rPr>
        <w:t>Auditing the liabilities recorded for certain matters included in the provision for claimed costs was complex due to the inherently judgmental nature of management’s estimates, which consider the number of years that remain open to audit and the status of audit results from the DCAA and negotiations with the DCMA. Significant changes in management’s estimates could have a material effect on the Company’s results of operations.</w:t>
      </w:r>
    </w:p>
    <w:p>
      <w:pPr>
        <w:sectPr>
          <w:pgSz w:w="11900" w:h="16838" w:orient="portrait"/>
          <w:cols w:equalWidth="0" w:num="1">
            <w:col w:w="11240"/>
          </w:cols>
          <w:pgMar w:left="320" w:top="352" w:right="339" w:bottom="1440" w:gutter="0" w:footer="0" w:header="0"/>
          <w:type w:val="continuous"/>
        </w:sectPr>
      </w:pPr>
    </w:p>
    <w:p>
      <w:pPr>
        <w:spacing w:after="0"/>
        <w:tabs>
          <w:tab w:leader="none" w:pos="2000" w:val="left"/>
        </w:tabs>
        <w:rPr>
          <w:sz w:val="20"/>
          <w:szCs w:val="20"/>
          <w:color w:val="auto"/>
        </w:rPr>
      </w:pPr>
      <w:r>
        <w:rPr>
          <w:rFonts w:ascii="Times New Roman" w:cs="Times New Roman" w:eastAsia="Times New Roman" w:hAnsi="Times New Roman"/>
          <w:sz w:val="14"/>
          <w:szCs w:val="14"/>
          <w:i w:val="1"/>
          <w:iCs w:val="1"/>
          <w:color w:val="auto"/>
        </w:rPr>
        <w:t>How We Addressed the Matter in</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over the Company’s determination of the liabilities recorded</w:t>
      </w:r>
    </w:p>
    <w:p>
      <w:pPr>
        <w:sectPr>
          <w:pgSz w:w="11900" w:h="16838" w:orient="portrait"/>
          <w:cols w:equalWidth="0" w:num="1">
            <w:col w:w="11240"/>
          </w:cols>
          <w:pgMar w:left="320" w:top="35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Our Audit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4"/>
          <w:szCs w:val="14"/>
          <w:color w:val="auto"/>
        </w:rPr>
        <w:t>for certain matters included in the provision for claimed costs. For example, we tested controls over the application of the available historical information from resolution of audits and communications from the DCAA and DCMA utilized in the determination of the estimate. We also tested management’s controls over the completeness and accuracy of the data used.</w:t>
      </w:r>
    </w:p>
    <w:p>
      <w:pPr>
        <w:spacing w:after="0" w:line="167" w:lineRule="exact"/>
        <w:rPr>
          <w:sz w:val="20"/>
          <w:szCs w:val="20"/>
          <w:color w:val="auto"/>
        </w:rPr>
      </w:pPr>
    </w:p>
    <w:p>
      <w:pPr>
        <w:sectPr>
          <w:pgSz w:w="11900" w:h="16838" w:orient="portrait"/>
          <w:cols w:equalWidth="0" w:num="2">
            <w:col w:w="1300" w:space="720"/>
            <w:col w:w="9220"/>
          </w:cols>
          <w:pgMar w:left="320" w:top="352" w:right="339" w:bottom="1440" w:gutter="0" w:footer="0" w:header="0"/>
          <w:type w:val="continuous"/>
        </w:sectPr>
      </w:pPr>
    </w:p>
    <w:p>
      <w:pPr>
        <w:ind w:left="2020" w:right="140"/>
        <w:spacing w:after="0" w:line="248" w:lineRule="auto"/>
        <w:rPr>
          <w:sz w:val="20"/>
          <w:szCs w:val="20"/>
          <w:color w:val="auto"/>
        </w:rPr>
      </w:pPr>
      <w:r>
        <w:rPr>
          <w:rFonts w:ascii="Times New Roman" w:cs="Times New Roman" w:eastAsia="Times New Roman" w:hAnsi="Times New Roman"/>
          <w:sz w:val="14"/>
          <w:szCs w:val="14"/>
          <w:color w:val="auto"/>
        </w:rPr>
        <w:t>We also performed audit procedures that included, among others, testing the clerical accuracy of the estimates, testing the completeness and accuracy of the data utilized in determining the estimates, and inspecting available communications with the DCAA and DCMA that were relevant to the estimates. We also engaged our government contracting specialists to assist in evaluating communications with the DCAA and DCMA and the data the Company used to estimate certain matters included in the provision for claimed costs.</w:t>
      </w:r>
    </w:p>
    <w:p>
      <w:pPr>
        <w:sectPr>
          <w:pgSz w:w="11900" w:h="16838" w:orient="portrait"/>
          <w:cols w:equalWidth="0" w:num="1">
            <w:col w:w="11240"/>
          </w:cols>
          <w:pgMar w:left="320" w:top="3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type w:val="continuous"/>
        </w:sectPr>
      </w:pPr>
    </w:p>
    <w:bookmarkStart w:id="61" w:name="page62"/>
    <w:bookmarkEnd w:id="61"/>
    <w:tbl>
      <w:tblPr>
        <w:tblLayout w:type="fixed"/>
        <w:tblInd w:w="20" w:type="dxa"/>
        <w:tblCellMar>
          <w:top w:w="0" w:type="dxa"/>
          <w:left w:w="0" w:type="dxa"/>
          <w:bottom w:w="0" w:type="dxa"/>
          <w:right w:w="0" w:type="dxa"/>
        </w:tblCellMar>
      </w:tblPr>
      <w:tr>
        <w:trPr>
          <w:trHeight w:val="126"/>
        </w:trPr>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9340" w:type="dxa"/>
            <w:vAlign w:val="bottom"/>
          </w:tcPr>
          <w:p>
            <w:pPr>
              <w:spacing w:after="0"/>
              <w:rPr>
                <w:sz w:val="11"/>
                <w:szCs w:val="11"/>
                <w:color w:val="auto"/>
              </w:rPr>
            </w:pPr>
          </w:p>
        </w:tc>
      </w:tr>
      <w:tr>
        <w:trPr>
          <w:trHeight w:val="457"/>
        </w:trPr>
        <w:tc>
          <w:tcPr>
            <w:tcW w:w="18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Income tax reserves for uncertain tax positions</w:t>
            </w:r>
          </w:p>
        </w:tc>
      </w:tr>
      <w:tr>
        <w:trPr>
          <w:trHeight w:val="177"/>
        </w:trPr>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Description of the Matter</w:t>
            </w:r>
          </w:p>
        </w:tc>
        <w:tc>
          <w:tcPr>
            <w:tcW w:w="9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 discussed in Notes 2 and 13 to the consolidated financial statements, the Company maintains reserves for uncertain tax positions related to unrecognized</w:t>
            </w:r>
          </w:p>
        </w:tc>
      </w:tr>
      <w:tr>
        <w:trPr>
          <w:trHeight w:val="149"/>
        </w:trPr>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3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income tax benefits where it is not more likely than not that the Company’s tax position will be sustained on examination and settlement with the various taxing</w:t>
            </w:r>
          </w:p>
        </w:tc>
      </w:tr>
      <w:tr>
        <w:trPr>
          <w:trHeight w:val="184"/>
        </w:trPr>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authorities, that, when recognized, impact the effective tax rate.</w:t>
            </w:r>
          </w:p>
        </w:tc>
      </w:tr>
      <w:tr>
        <w:trPr>
          <w:trHeight w:val="350"/>
        </w:trPr>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Auditing the reserve for certain unrecognized tax benefits was complex due to the considerable judgment by management in determining the reserves.</w:t>
            </w:r>
          </w:p>
        </w:tc>
      </w:tr>
    </w:tbl>
    <w:p>
      <w:pPr>
        <w:spacing w:after="0" w:line="26" w:lineRule="exact"/>
        <w:rPr>
          <w:sz w:val="20"/>
          <w:szCs w:val="20"/>
          <w:color w:val="auto"/>
        </w:rPr>
      </w:pPr>
    </w:p>
    <w:p>
      <w:pPr>
        <w:ind w:left="20"/>
        <w:spacing w:after="0"/>
        <w:tabs>
          <w:tab w:leader="none" w:pos="2020" w:val="left"/>
        </w:tabs>
        <w:rPr>
          <w:sz w:val="20"/>
          <w:szCs w:val="20"/>
          <w:color w:val="auto"/>
        </w:rPr>
      </w:pPr>
      <w:r>
        <w:rPr>
          <w:rFonts w:ascii="Times New Roman" w:cs="Times New Roman" w:eastAsia="Times New Roman" w:hAnsi="Times New Roman"/>
          <w:sz w:val="14"/>
          <w:szCs w:val="14"/>
          <w:i w:val="1"/>
          <w:iCs w:val="1"/>
          <w:color w:val="auto"/>
        </w:rPr>
        <w:t>How We Addressed the Matter in</w:t>
      </w:r>
      <w:r>
        <w:rPr>
          <w:sz w:val="20"/>
          <w:szCs w:val="20"/>
          <w:color w:val="auto"/>
        </w:rPr>
        <w:tab/>
      </w:r>
      <w:r>
        <w:rPr>
          <w:rFonts w:ascii="Times New Roman" w:cs="Times New Roman" w:eastAsia="Times New Roman" w:hAnsi="Times New Roman"/>
          <w:sz w:val="14"/>
          <w:szCs w:val="14"/>
          <w:color w:val="auto"/>
        </w:rPr>
        <w:t>We obtained an understanding, evaluated the design, and tested the operating effectiveness of controls over the Company’s accounting for uncertain tax positions.</w:t>
      </w:r>
    </w:p>
    <w:p>
      <w:pPr>
        <w:sectPr>
          <w:pgSz w:w="11900" w:h="16838" w:orient="portrait"/>
          <w:cols w:equalWidth="0" w:num="1">
            <w:col w:w="11200"/>
          </w:cols>
          <w:pgMar w:left="300" w:top="352" w:right="39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Our Audit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20"/>
        <w:spacing w:after="0" w:line="229" w:lineRule="auto"/>
        <w:rPr>
          <w:sz w:val="20"/>
          <w:szCs w:val="20"/>
          <w:color w:val="auto"/>
        </w:rPr>
      </w:pPr>
      <w:r>
        <w:rPr>
          <w:rFonts w:ascii="Times New Roman" w:cs="Times New Roman" w:eastAsia="Times New Roman" w:hAnsi="Times New Roman"/>
          <w:sz w:val="14"/>
          <w:szCs w:val="14"/>
          <w:color w:val="auto"/>
        </w:rPr>
        <w:t>For example, we tested controls over management’s review of the application of the tax law and the analysis performed to determine certain reserves. We also tested management’s controls over the completeness and accuracy of the data used in certain of the calculations of the liabilities recorded.</w:t>
      </w:r>
    </w:p>
    <w:p>
      <w:pPr>
        <w:spacing w:after="0" w:line="167" w:lineRule="exact"/>
        <w:rPr>
          <w:sz w:val="20"/>
          <w:szCs w:val="20"/>
          <w:color w:val="auto"/>
        </w:rPr>
      </w:pPr>
    </w:p>
    <w:p>
      <w:pPr>
        <w:sectPr>
          <w:pgSz w:w="11900" w:h="16838" w:orient="portrait"/>
          <w:cols w:equalWidth="0" w:num="2">
            <w:col w:w="1320" w:space="720"/>
            <w:col w:w="9160"/>
          </w:cols>
          <w:pgMar w:left="300" w:top="352" w:right="399" w:bottom="1440" w:gutter="0" w:footer="0" w:header="0"/>
          <w:type w:val="continuous"/>
        </w:sectPr>
      </w:pPr>
    </w:p>
    <w:p>
      <w:pPr>
        <w:ind w:left="2040" w:right="140"/>
        <w:spacing w:after="0" w:line="248" w:lineRule="auto"/>
        <w:rPr>
          <w:sz w:val="20"/>
          <w:szCs w:val="20"/>
          <w:color w:val="auto"/>
        </w:rPr>
      </w:pPr>
      <w:r>
        <w:rPr>
          <w:rFonts w:ascii="Times New Roman" w:cs="Times New Roman" w:eastAsia="Times New Roman" w:hAnsi="Times New Roman"/>
          <w:sz w:val="14"/>
          <w:szCs w:val="14"/>
          <w:color w:val="auto"/>
        </w:rPr>
        <w:t>To test the reserves for certain uncertain tax positions, we performed audit procedures that included, among others, understanding the application of the tax law and rationale used by management and evaluating whether the uncertain tax position met the more likely than not recognition threshold. We involved our tax subject matter resources in the assessment of the technical merits of the Company’s tax positions, considering the applicable tax laws, and the methodology applied. We assessed the mathematical accuracy of management’s calculations and performed sensitivity analyses related to management’s estimate.</w:t>
      </w:r>
    </w:p>
    <w:p>
      <w:pPr>
        <w:sectPr>
          <w:pgSz w:w="11900" w:h="16838" w:orient="portrait"/>
          <w:cols w:equalWidth="0" w:num="1">
            <w:col w:w="11200"/>
          </w:cols>
          <w:pgMar w:left="300" w:top="352"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2006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Tysons,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23, 2025</w:t>
      </w: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352" w:right="399" w:bottom="1440" w:gutter="0" w:footer="0" w:header="0"/>
          <w:type w:val="continuous"/>
        </w:sectPr>
      </w:pPr>
    </w:p>
    <w:bookmarkStart w:id="62" w:name="page63"/>
    <w:bookmarkEnd w:id="62"/>
    <w:p>
      <w:pPr>
        <w:ind w:left="18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86"/>
        </w:trPr>
        <w:tc>
          <w:tcPr>
            <w:tcW w:w="8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99"/>
        </w:trPr>
        <w:tc>
          <w:tcPr>
            <w:tcW w:w="8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720" w:type="dxa"/>
            <w:vAlign w:val="bottom"/>
            <w:gridSpan w:val="4"/>
          </w:tcPr>
          <w:p>
            <w:pPr>
              <w:jc w:val="right"/>
              <w:ind w:right="729"/>
              <w:spacing w:after="0" w:line="99" w:lineRule="exact"/>
              <w:rPr>
                <w:sz w:val="20"/>
                <w:szCs w:val="20"/>
                <w:color w:val="auto"/>
              </w:rPr>
            </w:pPr>
            <w:r>
              <w:rPr>
                <w:rFonts w:ascii="Times New Roman" w:cs="Times New Roman" w:eastAsia="Times New Roman" w:hAnsi="Times New Roman"/>
                <w:sz w:val="11"/>
                <w:szCs w:val="11"/>
                <w:b w:val="1"/>
                <w:bCs w:val="1"/>
                <w:color w:val="auto"/>
              </w:rPr>
              <w:t>(Amounts in millions, except</w:t>
            </w:r>
          </w:p>
        </w:tc>
        <w:tc>
          <w:tcPr>
            <w:tcW w:w="0" w:type="dxa"/>
            <w:vAlign w:val="bottom"/>
          </w:tcPr>
          <w:p>
            <w:pPr>
              <w:spacing w:after="0"/>
              <w:rPr>
                <w:sz w:val="1"/>
                <w:szCs w:val="1"/>
                <w:color w:val="auto"/>
              </w:rPr>
            </w:pPr>
          </w:p>
        </w:tc>
      </w:tr>
      <w:tr>
        <w:trPr>
          <w:trHeight w:val="149"/>
        </w:trPr>
        <w:tc>
          <w:tcPr>
            <w:tcW w:w="8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20" w:type="dxa"/>
            <w:vAlign w:val="bottom"/>
            <w:gridSpan w:val="4"/>
          </w:tcPr>
          <w:p>
            <w:pPr>
              <w:jc w:val="right"/>
              <w:ind w:right="809"/>
              <w:spacing w:after="0"/>
              <w:rPr>
                <w:sz w:val="20"/>
                <w:szCs w:val="20"/>
                <w:color w:val="auto"/>
              </w:rPr>
            </w:pPr>
            <w:r>
              <w:rPr>
                <w:rFonts w:ascii="Times New Roman" w:cs="Times New Roman" w:eastAsia="Times New Roman" w:hAnsi="Times New Roman"/>
                <w:sz w:val="11"/>
                <w:szCs w:val="11"/>
                <w:b w:val="1"/>
                <w:bCs w:val="1"/>
                <w:color w:val="auto"/>
              </w:rPr>
              <w:t>share and per share data)</w:t>
            </w:r>
          </w:p>
        </w:tc>
        <w:tc>
          <w:tcPr>
            <w:tcW w:w="0" w:type="dxa"/>
            <w:vAlign w:val="bottom"/>
          </w:tcPr>
          <w:p>
            <w:pPr>
              <w:spacing w:after="0"/>
              <w:rPr>
                <w:sz w:val="1"/>
                <w:szCs w:val="1"/>
                <w:color w:val="auto"/>
              </w:rPr>
            </w:pPr>
          </w:p>
        </w:tc>
      </w:tr>
      <w:tr>
        <w:trPr>
          <w:trHeight w:val="189"/>
        </w:trPr>
        <w:tc>
          <w:tcPr>
            <w:tcW w:w="8300" w:type="dxa"/>
            <w:vAlign w:val="bottom"/>
          </w:tcPr>
          <w:p>
            <w:pPr>
              <w:ind w:left="38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80"/>
        </w:trPr>
        <w:tc>
          <w:tcPr>
            <w:tcW w:w="83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71"/>
        </w:trPr>
        <w:tc>
          <w:tcPr>
            <w:tcW w:w="83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assets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assets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00" w:type="dxa"/>
            <w:vAlign w:val="bottom"/>
            <w:shd w:val="clear" w:color="auto" w:fill="CCEEFF"/>
          </w:tcPr>
          <w:p>
            <w:pPr>
              <w:ind w:left="2600"/>
              <w:spacing w:after="0" w:line="142"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8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liabilities, net of current portion</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1"/>
        </w:trPr>
        <w:tc>
          <w:tcPr>
            <w:tcW w:w="83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5,517</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Commitments and contingencies (Note 19)</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30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Common stock, Class A - $0.01 par value - 600,000,000 shares authorized; 168,522,544 shares and 167,402,268 shares issued at March 31,</w:t>
            </w: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00" w:type="dxa"/>
            <w:vAlign w:val="bottom"/>
            <w:shd w:val="clear" w:color="auto" w:fill="CCEEFF"/>
          </w:tcPr>
          <w:p>
            <w:pPr>
              <w:ind w:left="300"/>
              <w:spacing w:after="0" w:line="142" w:lineRule="exact"/>
              <w:rPr>
                <w:sz w:val="20"/>
                <w:szCs w:val="20"/>
                <w:color w:val="auto"/>
              </w:rPr>
            </w:pPr>
            <w:r>
              <w:rPr>
                <w:rFonts w:ascii="Times New Roman" w:cs="Times New Roman" w:eastAsia="Times New Roman" w:hAnsi="Times New Roman"/>
                <w:sz w:val="14"/>
                <w:szCs w:val="14"/>
                <w:color w:val="auto"/>
              </w:rPr>
              <w:t>2025 and March 31, 2024, respectively; 124,879,004 shares and 129,643,123 shares outstanding at March 31, 2025 and March 31, 2024,</w:t>
            </w:r>
          </w:p>
        </w:tc>
        <w:tc>
          <w:tcPr>
            <w:tcW w:w="24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shd w:val="clear" w:color="auto" w:fill="CCEEFF"/>
          </w:tcPr>
          <w:p>
            <w:pPr>
              <w:spacing w:after="0"/>
              <w:rPr>
                <w:sz w:val="15"/>
                <w:szCs w:val="15"/>
                <w:color w:val="auto"/>
              </w:rPr>
            </w:pPr>
          </w:p>
        </w:tc>
        <w:tc>
          <w:tcPr>
            <w:tcW w:w="11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Treasury stock, at cost - 43,643,540 and 37,759,145 shares at March 31, 2025 and March 31, 2024, respectively</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0" w:type="dxa"/>
            <w:vAlign w:val="bottom"/>
          </w:tcPr>
          <w:p>
            <w:pPr>
              <w:spacing w:after="0"/>
              <w:rPr>
                <w:sz w:val="1"/>
                <w:szCs w:val="1"/>
                <w:color w:val="auto"/>
              </w:rPr>
            </w:pPr>
          </w:p>
        </w:tc>
      </w:tr>
      <w:tr>
        <w:trPr>
          <w:trHeight w:val="180"/>
        </w:trPr>
        <w:tc>
          <w:tcPr>
            <w:tcW w:w="83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0" w:type="dxa"/>
            <w:vAlign w:val="bottom"/>
          </w:tcPr>
          <w:p>
            <w:pPr>
              <w:spacing w:after="0"/>
              <w:rPr>
                <w:sz w:val="1"/>
                <w:szCs w:val="1"/>
                <w:color w:val="auto"/>
              </w:rPr>
            </w:pPr>
          </w:p>
        </w:tc>
      </w:tr>
      <w:tr>
        <w:trPr>
          <w:trHeight w:val="180"/>
        </w:trPr>
        <w:tc>
          <w:tcPr>
            <w:tcW w:w="8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54"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26"/>
        </w:trPr>
        <w:tc>
          <w:tcPr>
            <w:tcW w:w="332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3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9"/>
        </w:trPr>
        <w:tc>
          <w:tcPr>
            <w:tcW w:w="20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280" w:type="dxa"/>
            <w:vAlign w:val="bottom"/>
          </w:tcPr>
          <w:p>
            <w:pPr>
              <w:spacing w:after="0"/>
              <w:rPr>
                <w:sz w:val="24"/>
                <w:szCs w:val="24"/>
                <w:color w:val="auto"/>
              </w:rPr>
            </w:pPr>
          </w:p>
        </w:tc>
        <w:tc>
          <w:tcPr>
            <w:tcW w:w="4380" w:type="dxa"/>
            <w:vAlign w:val="bottom"/>
            <w:gridSpan w:val="2"/>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380" w:type="dxa"/>
            <w:vAlign w:val="bottom"/>
            <w:gridSpan w:val="2"/>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5"/>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40" w:type="dxa"/>
            <w:vAlign w:val="bottom"/>
            <w:gridSpan w:val="6"/>
          </w:tcPr>
          <w:p>
            <w:pPr>
              <w:jc w:val="center"/>
              <w:ind w:left="10"/>
              <w:spacing w:after="0"/>
              <w:rPr>
                <w:sz w:val="20"/>
                <w:szCs w:val="20"/>
                <w:color w:val="auto"/>
              </w:rPr>
            </w:pPr>
            <w:r>
              <w:rPr>
                <w:rFonts w:ascii="Times New Roman" w:cs="Times New Roman" w:eastAsia="Times New Roman" w:hAnsi="Times New Roman"/>
                <w:sz w:val="11"/>
                <w:szCs w:val="11"/>
                <w:b w:val="1"/>
                <w:bCs w:val="1"/>
                <w:color w:val="auto"/>
              </w:rPr>
              <w:t>(Amounts in millions, except per share data)</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4380" w:type="dxa"/>
            <w:vAlign w:val="bottom"/>
            <w:gridSpan w:val="2"/>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11,980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9,259</w:t>
            </w:r>
          </w:p>
        </w:tc>
        <w:tc>
          <w:tcPr>
            <w:tcW w:w="0" w:type="dxa"/>
            <w:vAlign w:val="bottom"/>
          </w:tcPr>
          <w:p>
            <w:pPr>
              <w:spacing w:after="0"/>
              <w:rPr>
                <w:sz w:val="1"/>
                <w:szCs w:val="1"/>
                <w:color w:val="auto"/>
              </w:rPr>
            </w:pPr>
          </w:p>
        </w:tc>
      </w:tr>
      <w:tr>
        <w:trPr>
          <w:trHeight w:val="180"/>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3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revenue</w:t>
            </w:r>
          </w:p>
        </w:tc>
        <w:tc>
          <w:tcPr>
            <w:tcW w:w="3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4,305</w:t>
            </w:r>
          </w:p>
        </w:tc>
        <w:tc>
          <w:tcPr>
            <w:tcW w:w="0" w:type="dxa"/>
            <w:vAlign w:val="bottom"/>
          </w:tcPr>
          <w:p>
            <w:pPr>
              <w:spacing w:after="0"/>
              <w:rPr>
                <w:sz w:val="1"/>
                <w:szCs w:val="1"/>
                <w:color w:val="auto"/>
              </w:rPr>
            </w:pPr>
          </w:p>
        </w:tc>
      </w:tr>
      <w:tr>
        <w:trPr>
          <w:trHeight w:val="180"/>
        </w:trPr>
        <w:tc>
          <w:tcPr>
            <w:tcW w:w="33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Billable expenses</w:t>
            </w:r>
          </w:p>
        </w:tc>
        <w:tc>
          <w:tcPr>
            <w:tcW w:w="3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2,809</w:t>
            </w:r>
          </w:p>
        </w:tc>
        <w:tc>
          <w:tcPr>
            <w:tcW w:w="0" w:type="dxa"/>
            <w:vAlign w:val="bottom"/>
          </w:tcPr>
          <w:p>
            <w:pPr>
              <w:spacing w:after="0"/>
              <w:rPr>
                <w:sz w:val="1"/>
                <w:szCs w:val="1"/>
                <w:color w:val="auto"/>
              </w:rPr>
            </w:pPr>
          </w:p>
        </w:tc>
      </w:tr>
      <w:tr>
        <w:trPr>
          <w:trHeight w:val="180"/>
        </w:trPr>
        <w:tc>
          <w:tcPr>
            <w:tcW w:w="33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4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71"/>
        </w:trPr>
        <w:tc>
          <w:tcPr>
            <w:tcW w:w="20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46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8,812</w:t>
            </w:r>
          </w:p>
        </w:tc>
        <w:tc>
          <w:tcPr>
            <w:tcW w:w="0" w:type="dxa"/>
            <w:vAlign w:val="bottom"/>
          </w:tcPr>
          <w:p>
            <w:pPr>
              <w:spacing w:after="0"/>
              <w:rPr>
                <w:sz w:val="1"/>
                <w:szCs w:val="1"/>
                <w:color w:val="auto"/>
              </w:rPr>
            </w:pPr>
          </w:p>
        </w:tc>
      </w:tr>
      <w:tr>
        <w:trPr>
          <w:trHeight w:val="171"/>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3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80"/>
        </w:trPr>
        <w:tc>
          <w:tcPr>
            <w:tcW w:w="3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expense, net</w:t>
            </w:r>
          </w:p>
        </w:tc>
        <w:tc>
          <w:tcPr>
            <w:tcW w:w="3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4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71"/>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3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0"/>
        </w:trPr>
        <w:tc>
          <w:tcPr>
            <w:tcW w:w="332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4"/>
                <w:szCs w:val="14"/>
                <w:color w:val="auto"/>
              </w:rPr>
              <w:t>Income tax expense</w:t>
            </w:r>
          </w:p>
        </w:tc>
        <w:tc>
          <w:tcPr>
            <w:tcW w:w="34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71"/>
        </w:trPr>
        <w:tc>
          <w:tcPr>
            <w:tcW w:w="3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4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80"/>
        </w:trPr>
        <w:tc>
          <w:tcPr>
            <w:tcW w:w="3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3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stockholders</w:t>
            </w:r>
          </w:p>
        </w:tc>
        <w:tc>
          <w:tcPr>
            <w:tcW w:w="346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Earnings per share of common stock (Note 4):</w:t>
            </w:r>
          </w:p>
        </w:tc>
        <w:tc>
          <w:tcPr>
            <w:tcW w:w="3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320" w:type="dxa"/>
            <w:vAlign w:val="bottom"/>
            <w:gridSpan w:val="3"/>
            <w:vMerge w:val="continue"/>
          </w:tcPr>
          <w:p>
            <w:pPr>
              <w:spacing w:after="0"/>
              <w:rPr>
                <w:sz w:val="10"/>
                <w:szCs w:val="10"/>
                <w:color w:val="auto"/>
              </w:rPr>
            </w:pPr>
          </w:p>
        </w:tc>
        <w:tc>
          <w:tcPr>
            <w:tcW w:w="3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33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w:t>
            </w:r>
          </w:p>
        </w:tc>
        <w:tc>
          <w:tcPr>
            <w:tcW w:w="34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Diluted</w:t>
            </w:r>
          </w:p>
        </w:tc>
        <w:tc>
          <w:tcPr>
            <w:tcW w:w="43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20" w:type="dxa"/>
            <w:vAlign w:val="bottom"/>
            <w:gridSpan w:val="3"/>
            <w:vMerge w:val="continue"/>
          </w:tcPr>
          <w:p>
            <w:pPr>
              <w:spacing w:after="0"/>
              <w:rPr>
                <w:sz w:val="12"/>
                <w:szCs w:val="12"/>
                <w:color w:val="auto"/>
              </w:rPr>
            </w:pPr>
          </w:p>
        </w:tc>
        <w:tc>
          <w:tcPr>
            <w:tcW w:w="34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76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4.59</w:t>
            </w:r>
          </w:p>
        </w:tc>
        <w:tc>
          <w:tcPr>
            <w:tcW w:w="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24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35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26"/>
        </w:trPr>
        <w:tc>
          <w:tcPr>
            <w:tcW w:w="3840" w:type="dxa"/>
            <w:vAlign w:val="bottom"/>
            <w:gridSpan w:val="3"/>
          </w:tcPr>
          <w:p>
            <w:pPr>
              <w:ind w:left="200"/>
              <w:spacing w:after="0"/>
              <w:rPr>
                <w:sz w:val="20"/>
                <w:szCs w:val="20"/>
                <w:color w:val="auto"/>
              </w:rPr>
            </w:pPr>
            <w:r>
              <w:rPr>
                <w:rFonts w:ascii="Times New Roman" w:cs="Times New Roman" w:eastAsia="Times New Roman" w:hAnsi="Times New Roman"/>
                <w:sz w:val="11"/>
                <w:szCs w:val="11"/>
                <w:b w:val="1"/>
                <w:bCs w:val="1"/>
                <w:color w:val="0000FF"/>
              </w:rPr>
              <w:t>Table of Contents</w:t>
            </w:r>
          </w:p>
        </w:tc>
        <w:tc>
          <w:tcPr>
            <w:tcW w:w="2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409"/>
        </w:trPr>
        <w:tc>
          <w:tcPr>
            <w:tcW w:w="200" w:type="dxa"/>
            <w:vAlign w:val="bottom"/>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800" w:type="dxa"/>
            <w:vAlign w:val="bottom"/>
          </w:tcPr>
          <w:p>
            <w:pPr>
              <w:spacing w:after="0"/>
              <w:rPr>
                <w:sz w:val="24"/>
                <w:szCs w:val="24"/>
                <w:color w:val="auto"/>
              </w:rPr>
            </w:pPr>
          </w:p>
        </w:tc>
        <w:tc>
          <w:tcPr>
            <w:tcW w:w="398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INCOME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8"/>
        </w:trPr>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Fiscal Year Ended</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6"/>
        </w:trPr>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6"/>
        </w:trPr>
        <w:tc>
          <w:tcPr>
            <w:tcW w:w="3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980" w:type="dxa"/>
            <w:vAlign w:val="bottom"/>
            <w:gridSpan w:val="2"/>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r>
      <w:tr>
        <w:trPr>
          <w:trHeight w:val="18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28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7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Change in unrealized (loss) gain on derivatives designated as cash flow hedges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38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4"/>
                <w:szCs w:val="14"/>
                <w:color w:val="auto"/>
              </w:rPr>
              <w:t>Change in postretirement plan costs</w:t>
            </w:r>
          </w:p>
        </w:tc>
        <w:tc>
          <w:tcPr>
            <w:tcW w:w="28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200" w:type="dxa"/>
            <w:vAlign w:val="bottom"/>
            <w:shd w:val="clear" w:color="auto" w:fill="CCEEFF"/>
          </w:tcPr>
          <w:p>
            <w:pPr>
              <w:spacing w:after="0"/>
              <w:rPr>
                <w:sz w:val="14"/>
                <w:szCs w:val="14"/>
                <w:color w:val="auto"/>
              </w:rPr>
            </w:pPr>
          </w:p>
        </w:tc>
        <w:tc>
          <w:tcPr>
            <w:tcW w:w="3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Total other comprehensive (loss) income, net of tax</w:t>
            </w:r>
          </w:p>
        </w:tc>
        <w:tc>
          <w:tcPr>
            <w:tcW w:w="28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1"/>
        </w:trPr>
        <w:tc>
          <w:tcPr>
            <w:tcW w:w="200" w:type="dxa"/>
            <w:vAlign w:val="bottom"/>
          </w:tcPr>
          <w:p>
            <w:pPr>
              <w:spacing w:after="0"/>
              <w:rPr>
                <w:sz w:val="14"/>
                <w:szCs w:val="14"/>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Comprehensive income</w:t>
            </w:r>
          </w:p>
        </w:tc>
        <w:tc>
          <w:tcPr>
            <w:tcW w:w="2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180"/>
        </w:trPr>
        <w:tc>
          <w:tcPr>
            <w:tcW w:w="200" w:type="dxa"/>
            <w:vAlign w:val="bottom"/>
            <w:shd w:val="clear" w:color="auto" w:fill="CCEEFF"/>
          </w:tcPr>
          <w:p>
            <w:pPr>
              <w:spacing w:after="0"/>
              <w:rPr>
                <w:sz w:val="15"/>
                <w:szCs w:val="15"/>
                <w:color w:val="auto"/>
              </w:rPr>
            </w:pPr>
          </w:p>
        </w:tc>
        <w:tc>
          <w:tcPr>
            <w:tcW w:w="3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28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200" w:type="dxa"/>
            <w:vAlign w:val="bottom"/>
          </w:tcPr>
          <w:p>
            <w:pPr>
              <w:spacing w:after="0"/>
              <w:rPr>
                <w:sz w:val="14"/>
                <w:szCs w:val="14"/>
                <w:color w:val="auto"/>
              </w:rPr>
            </w:pPr>
          </w:p>
        </w:tc>
        <w:tc>
          <w:tcPr>
            <w:tcW w:w="3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Comprehensive income attributable to common stockholders</w:t>
            </w:r>
          </w:p>
        </w:tc>
        <w:tc>
          <w:tcPr>
            <w:tcW w:w="288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
        </w:trPr>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353" w:right="439" w:bottom="1440" w:gutter="0" w:footer="0" w:header="0"/>
        </w:sectPr>
      </w:pPr>
    </w:p>
    <w:bookmarkStart w:id="65" w:name="page66"/>
    <w:bookmarkEnd w:id="6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8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3"/>
          <w:szCs w:val="13"/>
          <w:b w:val="1"/>
          <w:bCs w:val="1"/>
          <w:color w:val="auto"/>
        </w:rPr>
        <w:t>Fiscal Year Ended</w:t>
      </w:r>
    </w:p>
    <w:p>
      <w:pPr>
        <w:ind w:left="8720"/>
        <w:spacing w:after="0"/>
        <w:rPr>
          <w:sz w:val="20"/>
          <w:szCs w:val="20"/>
          <w:color w:val="auto"/>
        </w:rPr>
      </w:pPr>
      <w:r>
        <w:rPr>
          <w:rFonts w:ascii="Times New Roman" w:cs="Times New Roman" w:eastAsia="Times New Roman" w:hAnsi="Times New Roman"/>
          <w:sz w:val="13"/>
          <w:szCs w:val="13"/>
          <w:b w:val="1"/>
          <w:bCs w:val="1"/>
          <w:color w:val="auto"/>
        </w:rPr>
        <w:t>March 31,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5"/>
        </w:trPr>
        <w:tc>
          <w:tcPr>
            <w:tcW w:w="7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Noncash lease expense</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income taxes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0" w:type="dxa"/>
            <w:vAlign w:val="bottom"/>
          </w:tcPr>
          <w:p>
            <w:pPr>
              <w:spacing w:after="0"/>
              <w:rPr>
                <w:sz w:val="1"/>
                <w:szCs w:val="1"/>
                <w:color w:val="auto"/>
              </w:rPr>
            </w:pP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Net (gain) loss associated with investment activities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Net (gain) loss on dispositions and other</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net</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Income taxes receivable / payable</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Prepaid expenses and other current and long-term assets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0" w:type="dxa"/>
            <w:vAlign w:val="bottom"/>
          </w:tcPr>
          <w:p>
            <w:pPr>
              <w:spacing w:after="0"/>
              <w:rPr>
                <w:sz w:val="1"/>
                <w:szCs w:val="1"/>
                <w:color w:val="auto"/>
              </w:rPr>
            </w:pPr>
          </w:p>
        </w:tc>
      </w:tr>
      <w:tr>
        <w:trPr>
          <w:trHeight w:val="168"/>
        </w:trPr>
        <w:tc>
          <w:tcPr>
            <w:tcW w:w="70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payable and other accrued expenses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w:t>
            </w:r>
          </w:p>
        </w:tc>
        <w:tc>
          <w:tcPr>
            <w:tcW w:w="0" w:type="dxa"/>
            <w:vAlign w:val="bottom"/>
          </w:tcPr>
          <w:p>
            <w:pPr>
              <w:spacing w:after="0"/>
              <w:rPr>
                <w:sz w:val="1"/>
                <w:szCs w:val="1"/>
                <w:color w:val="auto"/>
              </w:rPr>
            </w:pPr>
          </w:p>
        </w:tc>
      </w:tr>
      <w:tr>
        <w:trPr>
          <w:trHeight w:val="168"/>
        </w:trPr>
        <w:tc>
          <w:tcPr>
            <w:tcW w:w="7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Other current and long-term liabilities</w:t>
            </w: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63"/>
        </w:trPr>
        <w:tc>
          <w:tcPr>
            <w:tcW w:w="7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w:t>
            </w:r>
          </w:p>
        </w:tc>
        <w:tc>
          <w:tcPr>
            <w:tcW w:w="0" w:type="dxa"/>
            <w:vAlign w:val="bottom"/>
          </w:tcPr>
          <w:p>
            <w:pPr>
              <w:spacing w:after="0"/>
              <w:rPr>
                <w:sz w:val="1"/>
                <w:szCs w:val="1"/>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Purchases of property, equipment, and software</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Payments for business acquisitions, net of cash acquired</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Payments for cost method investments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sales and distributions of businesses and equity interests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63"/>
        </w:trPr>
        <w:tc>
          <w:tcPr>
            <w:tcW w:w="7020" w:type="dxa"/>
            <w:vAlign w:val="bottom"/>
            <w:tcBorders>
              <w:top w:val="single" w:sz="8" w:color="CCEEFF"/>
            </w:tcBorders>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84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0" w:type="dxa"/>
            <w:vAlign w:val="bottom"/>
          </w:tcPr>
          <w:p>
            <w:pPr>
              <w:spacing w:after="0"/>
              <w:rPr>
                <w:sz w:val="1"/>
                <w:szCs w:val="1"/>
                <w:color w:val="auto"/>
              </w:rPr>
            </w:pPr>
          </w:p>
        </w:tc>
      </w:tr>
      <w:tr>
        <w:trPr>
          <w:trHeight w:val="169"/>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 option exercises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Cash dividends paid</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revolving credit facility</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Repayments on revolving credit facility, term loans, and Senior Notes</w:t>
            </w:r>
          </w:p>
        </w:tc>
        <w:tc>
          <w:tcPr>
            <w:tcW w:w="8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proceeds from debt issuance</w:t>
            </w:r>
          </w:p>
        </w:tc>
        <w:tc>
          <w:tcPr>
            <w:tcW w:w="84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58"/>
        </w:trPr>
        <w:tc>
          <w:tcPr>
            <w:tcW w:w="7020" w:type="dxa"/>
            <w:vAlign w:val="bottom"/>
          </w:tcPr>
          <w:p>
            <w:pPr>
              <w:ind w:left="520"/>
              <w:spacing w:after="0" w:line="146"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8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w:t>
            </w:r>
          </w:p>
        </w:tc>
        <w:tc>
          <w:tcPr>
            <w:tcW w:w="0" w:type="dxa"/>
            <w:vAlign w:val="bottom"/>
          </w:tcPr>
          <w:p>
            <w:pPr>
              <w:spacing w:after="0"/>
              <w:rPr>
                <w:sz w:val="1"/>
                <w:szCs w:val="1"/>
                <w:color w:val="auto"/>
              </w:rPr>
            </w:pPr>
          </w:p>
        </w:tc>
      </w:tr>
      <w:tr>
        <w:trPr>
          <w:trHeight w:val="168"/>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and cash equivalents––beginning of year</w:t>
            </w: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696</w:t>
            </w:r>
          </w:p>
        </w:tc>
        <w:tc>
          <w:tcPr>
            <w:tcW w:w="0" w:type="dxa"/>
            <w:vAlign w:val="bottom"/>
          </w:tcPr>
          <w:p>
            <w:pPr>
              <w:spacing w:after="0"/>
              <w:rPr>
                <w:sz w:val="1"/>
                <w:szCs w:val="1"/>
                <w:color w:val="auto"/>
              </w:rPr>
            </w:pPr>
          </w:p>
        </w:tc>
      </w:tr>
      <w:tr>
        <w:trPr>
          <w:trHeight w:val="185"/>
        </w:trPr>
        <w:tc>
          <w:tcPr>
            <w:tcW w:w="702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Cash and cash equivalents––end of year</w:t>
            </w:r>
          </w:p>
        </w:tc>
        <w:tc>
          <w:tcPr>
            <w:tcW w:w="84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70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paid during the period for:</w:t>
            </w:r>
          </w:p>
        </w:tc>
        <w:tc>
          <w:tcPr>
            <w:tcW w:w="8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Interest</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Income taxes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0" w:type="dxa"/>
            <w:vAlign w:val="bottom"/>
          </w:tcPr>
          <w:p>
            <w:pPr>
              <w:spacing w:after="0"/>
              <w:rPr>
                <w:sz w:val="1"/>
                <w:szCs w:val="1"/>
                <w:color w:val="auto"/>
              </w:rPr>
            </w:pPr>
          </w:p>
        </w:tc>
      </w:tr>
      <w:tr>
        <w:trPr>
          <w:trHeight w:val="168"/>
        </w:trPr>
        <w:tc>
          <w:tcPr>
            <w:tcW w:w="7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disclosures of non-cash investing and financing activities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 repurchases transacted but not settled and paid</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5"/>
        </w:trPr>
        <w:tc>
          <w:tcPr>
            <w:tcW w:w="70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Unpaid property, equipment and software purchases</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40"/>
          </w:cols>
          <w:pgMar w:left="300" w:top="354" w:right="659" w:bottom="1440" w:gutter="0" w:footer="0" w:header="0"/>
        </w:sectPr>
      </w:pPr>
    </w:p>
    <w:bookmarkStart w:id="66" w:name="page67"/>
    <w:bookmarkEnd w:id="6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240" w:type="dxa"/>
            <w:vAlign w:val="bottom"/>
            <w:gridSpan w:val="3"/>
          </w:tcPr>
          <w:p>
            <w:pPr>
              <w:jc w:val="center"/>
              <w:ind w:left="196"/>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20" w:type="dxa"/>
            <w:vAlign w:val="bottom"/>
            <w:gridSpan w:val="5"/>
          </w:tcPr>
          <w:p>
            <w:pPr>
              <w:ind w:left="6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380" w:type="dxa"/>
            <w:vAlign w:val="bottom"/>
          </w:tcPr>
          <w:p>
            <w:pPr>
              <w:spacing w:after="0"/>
              <w:rPr>
                <w:sz w:val="6"/>
                <w:szCs w:val="6"/>
                <w:color w:val="auto"/>
              </w:rPr>
            </w:pPr>
          </w:p>
        </w:tc>
        <w:tc>
          <w:tcPr>
            <w:tcW w:w="1240" w:type="dxa"/>
            <w:vAlign w:val="bottom"/>
            <w:gridSpan w:val="3"/>
            <w:vMerge w:val="restart"/>
          </w:tcPr>
          <w:p>
            <w:pPr>
              <w:jc w:val="center"/>
              <w:ind w:left="176"/>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3380" w:type="dxa"/>
            <w:vAlign w:val="bottom"/>
          </w:tcPr>
          <w:p>
            <w:pPr>
              <w:spacing w:after="0"/>
              <w:rPr>
                <w:sz w:val="9"/>
                <w:szCs w:val="9"/>
                <w:color w:val="auto"/>
              </w:rPr>
            </w:pPr>
          </w:p>
        </w:tc>
        <w:tc>
          <w:tcPr>
            <w:tcW w:w="124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bottom w:val="single" w:sz="8" w:color="auto"/>
            </w:tcBorders>
            <w:gridSpan w:val="3"/>
            <w:vMerge w:val="continue"/>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160"/>
              <w:spacing w:after="0" w:line="107"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9"/>
                <w:szCs w:val="9"/>
                <w:color w:val="auto"/>
              </w:rPr>
            </w:pPr>
          </w:p>
        </w:tc>
        <w:tc>
          <w:tcPr>
            <w:tcW w:w="720" w:type="dxa"/>
            <w:vAlign w:val="bottom"/>
            <w:gridSpan w:val="2"/>
          </w:tcPr>
          <w:p>
            <w:pPr>
              <w:jc w:val="center"/>
              <w:ind w:right="180"/>
              <w:spacing w:after="0" w:line="107" w:lineRule="exact"/>
              <w:rPr>
                <w:sz w:val="20"/>
                <w:szCs w:val="20"/>
                <w:color w:val="auto"/>
              </w:rPr>
            </w:pPr>
            <w:r>
              <w:rPr>
                <w:rFonts w:ascii="Times New Roman" w:cs="Times New Roman" w:eastAsia="Times New Roman" w:hAnsi="Times New Roman"/>
                <w:sz w:val="12"/>
                <w:szCs w:val="12"/>
                <w:b w:val="1"/>
                <w:bCs w:val="1"/>
                <w:color w:val="auto"/>
              </w:rPr>
              <w:t>Non-</w:t>
            </w:r>
          </w:p>
        </w:tc>
        <w:tc>
          <w:tcPr>
            <w:tcW w:w="80" w:type="dxa"/>
            <w:vAlign w:val="bottom"/>
          </w:tcPr>
          <w:p>
            <w:pPr>
              <w:spacing w:after="0"/>
              <w:rPr>
                <w:sz w:val="9"/>
                <w:szCs w:val="9"/>
                <w:color w:val="auto"/>
              </w:rPr>
            </w:pPr>
          </w:p>
        </w:tc>
        <w:tc>
          <w:tcPr>
            <w:tcW w:w="86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3380" w:type="dxa"/>
            <w:vAlign w:val="bottom"/>
          </w:tcPr>
          <w:p>
            <w:pPr>
              <w:spacing w:after="0"/>
              <w:rPr>
                <w:sz w:val="11"/>
                <w:szCs w:val="11"/>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1"/>
                <w:szCs w:val="11"/>
                <w:color w:val="auto"/>
              </w:rPr>
            </w:pPr>
          </w:p>
        </w:tc>
        <w:tc>
          <w:tcPr>
            <w:tcW w:w="720" w:type="dxa"/>
            <w:vAlign w:val="bottom"/>
            <w:gridSpan w:val="2"/>
          </w:tcPr>
          <w:p>
            <w:pPr>
              <w:jc w:val="center"/>
              <w:ind w:right="120"/>
              <w:spacing w:after="0" w:line="128"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1"/>
                <w:szCs w:val="11"/>
                <w:color w:val="auto"/>
              </w:rPr>
            </w:pPr>
          </w:p>
        </w:tc>
        <w:tc>
          <w:tcPr>
            <w:tcW w:w="72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104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840" w:type="dxa"/>
            <w:vAlign w:val="bottom"/>
            <w:gridSpan w:val="3"/>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80" w:type="dxa"/>
            <w:vAlign w:val="bottom"/>
          </w:tcPr>
          <w:p>
            <w:pPr>
              <w:spacing w:after="0"/>
              <w:rPr>
                <w:sz w:val="11"/>
                <w:szCs w:val="11"/>
                <w:color w:val="auto"/>
              </w:rPr>
            </w:pPr>
          </w:p>
        </w:tc>
        <w:tc>
          <w:tcPr>
            <w:tcW w:w="86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(Amounts in millions, except share data)</w:t>
            </w:r>
          </w:p>
        </w:tc>
        <w:tc>
          <w:tcPr>
            <w:tcW w:w="9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2022</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164,372,545</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(31,788,197)</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1,048</w:t>
            </w:r>
          </w:p>
        </w:tc>
        <w:tc>
          <w:tcPr>
            <w:tcW w:w="0" w:type="dxa"/>
            <w:vAlign w:val="bottom"/>
          </w:tcPr>
          <w:p>
            <w:pPr>
              <w:spacing w:after="0"/>
              <w:rPr>
                <w:sz w:val="1"/>
                <w:szCs w:val="1"/>
                <w:color w:val="auto"/>
              </w:rPr>
            </w:pPr>
          </w:p>
        </w:tc>
      </w:tr>
      <w:tr>
        <w:trPr>
          <w:trHeight w:val="158"/>
        </w:trPr>
        <w:tc>
          <w:tcPr>
            <w:tcW w:w="33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1,170,726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329,061</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(2,446,547)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0" w:type="dxa"/>
            <w:vAlign w:val="bottom"/>
          </w:tcPr>
          <w:p>
            <w:pPr>
              <w:spacing w:after="0"/>
              <w:rPr>
                <w:sz w:val="1"/>
                <w:szCs w:val="1"/>
                <w:color w:val="auto"/>
              </w:rPr>
            </w:pPr>
          </w:p>
        </w:tc>
      </w:tr>
      <w:tr>
        <w:trPr>
          <w:trHeight w:val="169"/>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of $1.76 per share of common stock</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Contribution to non-controlling interest</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De-Consolidation of non-controlling interest</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3"/>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165,872,332</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(34,234,744)</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(1,860)</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2,051</w:t>
            </w: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0" w:type="dxa"/>
            <w:vAlign w:val="bottom"/>
          </w:tcPr>
          <w:p>
            <w:pPr>
              <w:spacing w:after="0"/>
              <w:rPr>
                <w:sz w:val="1"/>
                <w:szCs w:val="1"/>
                <w:color w:val="auto"/>
              </w:rPr>
            </w:pPr>
          </w:p>
        </w:tc>
      </w:tr>
      <w:tr>
        <w:trPr>
          <w:trHeight w:val="158"/>
        </w:trPr>
        <w:tc>
          <w:tcPr>
            <w:tcW w:w="33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1,194,324</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335,612</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(3,524,401)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w:t>
            </w:r>
          </w:p>
        </w:tc>
        <w:tc>
          <w:tcPr>
            <w:tcW w:w="0" w:type="dxa"/>
            <w:vAlign w:val="bottom"/>
          </w:tcPr>
          <w:p>
            <w:pPr>
              <w:spacing w:after="0"/>
              <w:rPr>
                <w:sz w:val="1"/>
                <w:szCs w:val="1"/>
                <w:color w:val="auto"/>
              </w:rPr>
            </w:pPr>
          </w:p>
        </w:tc>
      </w:tr>
      <w:tr>
        <w:trPr>
          <w:trHeight w:val="169"/>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of $1.92 per share of common stock</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167,402,268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(37,759,145)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w:t>
            </w:r>
          </w:p>
        </w:tc>
        <w:tc>
          <w:tcPr>
            <w:tcW w:w="0" w:type="dxa"/>
            <w:vAlign w:val="bottom"/>
          </w:tcPr>
          <w:p>
            <w:pPr>
              <w:spacing w:after="0"/>
              <w:rPr>
                <w:sz w:val="1"/>
                <w:szCs w:val="1"/>
                <w:color w:val="auto"/>
              </w:rPr>
            </w:pPr>
          </w:p>
        </w:tc>
      </w:tr>
      <w:tr>
        <w:trPr>
          <w:trHeight w:val="158"/>
        </w:trPr>
        <w:tc>
          <w:tcPr>
            <w:tcW w:w="33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Issuance of common stock</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1,022,351</w:t>
            </w: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Stock options exercised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97,925</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70"/>
        </w:trPr>
        <w:tc>
          <w:tcPr>
            <w:tcW w:w="3380" w:type="dxa"/>
            <w:vAlign w:val="bottom"/>
          </w:tcPr>
          <w:p>
            <w:pPr>
              <w:ind w:left="120"/>
              <w:spacing w:after="0" w:line="170" w:lineRule="exact"/>
              <w:rPr>
                <w:sz w:val="20"/>
                <w:szCs w:val="20"/>
                <w:color w:val="auto"/>
              </w:rPr>
            </w:pPr>
            <w:r>
              <w:rPr>
                <w:rFonts w:ascii="Times New Roman" w:cs="Times New Roman" w:eastAsia="Times New Roman" w:hAnsi="Times New Roman"/>
                <w:sz w:val="13"/>
                <w:szCs w:val="13"/>
                <w:color w:val="auto"/>
              </w:rPr>
              <w:t xml:space="preserve">Repurchase of common stock </w:t>
            </w:r>
            <w:r>
              <w:rPr>
                <w:rFonts w:ascii="Times New Roman" w:cs="Times New Roman" w:eastAsia="Times New Roman" w:hAnsi="Times New Roman"/>
                <w:sz w:val="16"/>
                <w:szCs w:val="16"/>
                <w:color w:val="auto"/>
                <w:vertAlign w:val="superscript"/>
              </w:rPr>
              <w:t>(1)</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(5,884,395)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170"/>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w:t>
            </w:r>
          </w:p>
        </w:tc>
        <w:tc>
          <w:tcPr>
            <w:tcW w:w="920" w:type="dxa"/>
            <w:vAlign w:val="bottom"/>
            <w:gridSpan w:val="2"/>
            <w:shd w:val="clear" w:color="auto" w:fill="CCEEFF"/>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72"/>
        </w:trPr>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Dividends paid of $2.08 per share of common stock</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0" w:type="dxa"/>
            <w:vAlign w:val="bottom"/>
          </w:tcPr>
          <w:p>
            <w:pPr>
              <w:spacing w:after="0"/>
              <w:rPr>
                <w:sz w:val="1"/>
                <w:szCs w:val="1"/>
                <w:color w:val="auto"/>
              </w:rPr>
            </w:pPr>
          </w:p>
        </w:tc>
      </w:tr>
      <w:tr>
        <w:trPr>
          <w:trHeight w:val="168"/>
        </w:trPr>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20" w:type="dxa"/>
            <w:vAlign w:val="bottom"/>
            <w:gridSpan w:val="2"/>
          </w:tcPr>
          <w:p>
            <w:pPr>
              <w:jc w:val="center"/>
              <w:ind w:left="476"/>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0" w:type="dxa"/>
            <w:vAlign w:val="bottom"/>
          </w:tcPr>
          <w:p>
            <w:pPr>
              <w:spacing w:after="0"/>
              <w:rPr>
                <w:sz w:val="1"/>
                <w:szCs w:val="1"/>
                <w:color w:val="auto"/>
              </w:rPr>
            </w:pPr>
          </w:p>
        </w:tc>
      </w:tr>
      <w:tr>
        <w:trPr>
          <w:trHeight w:val="185"/>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168,522,544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(43,643,540)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80" w:right="60" w:hanging="130"/>
        <w:spacing w:after="0" w:line="230" w:lineRule="auto"/>
        <w:tabs>
          <w:tab w:leader="none" w:pos="595" w:val="left"/>
        </w:tabs>
        <w:numPr>
          <w:ilvl w:val="0"/>
          <w:numId w:val="5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3"/>
          <w:szCs w:val="13"/>
          <w:color w:val="auto"/>
        </w:rPr>
        <w:t xml:space="preserve">During fiscal </w:t>
      </w:r>
      <w:r>
        <w:rPr>
          <w:rFonts w:ascii="Times New Roman" w:cs="Times New Roman" w:eastAsia="Times New Roman" w:hAnsi="Times New Roman"/>
          <w:sz w:val="14"/>
          <w:szCs w:val="14"/>
          <w:color w:val="auto"/>
        </w:rPr>
        <w:t>2025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2024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2023</w:t>
      </w:r>
      <w:r>
        <w:rPr>
          <w:rFonts w:ascii="Times New Roman" w:cs="Times New Roman" w:eastAsia="Times New Roman" w:hAnsi="Times New Roman"/>
          <w:sz w:val="13"/>
          <w:szCs w:val="13"/>
          <w:color w:val="auto"/>
        </w:rPr>
        <w:t xml:space="preserve">, the Company purchased </w:t>
      </w:r>
      <w:r>
        <w:rPr>
          <w:rFonts w:ascii="Times New Roman" w:cs="Times New Roman" w:eastAsia="Times New Roman" w:hAnsi="Times New Roman"/>
          <w:sz w:val="14"/>
          <w:szCs w:val="14"/>
          <w:color w:val="auto"/>
        </w:rPr>
        <w:t>5.6 million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3.2 million and 2.1 million</w:t>
      </w:r>
      <w:r>
        <w:rPr>
          <w:rFonts w:ascii="Times New Roman" w:cs="Times New Roman" w:eastAsia="Times New Roman" w:hAnsi="Times New Roman"/>
          <w:sz w:val="13"/>
          <w:szCs w:val="13"/>
          <w:color w:val="auto"/>
        </w:rPr>
        <w:t xml:space="preserve"> shares, respectively, of the Company’s Class A Common Stock for </w:t>
      </w:r>
      <w:r>
        <w:rPr>
          <w:rFonts w:ascii="Times New Roman" w:cs="Times New Roman" w:eastAsia="Times New Roman" w:hAnsi="Times New Roman"/>
          <w:sz w:val="14"/>
          <w:szCs w:val="14"/>
          <w:color w:val="auto"/>
        </w:rPr>
        <w:t>$764 million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4"/>
          <w:szCs w:val="14"/>
          <w:color w:val="auto"/>
        </w:rPr>
        <w:t>$373 million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$196 million</w:t>
      </w:r>
      <w:r>
        <w:rPr>
          <w:rFonts w:ascii="Times New Roman" w:cs="Times New Roman" w:eastAsia="Times New Roman" w:hAnsi="Times New Roman"/>
          <w:sz w:val="12"/>
          <w:szCs w:val="12"/>
          <w:color w:val="auto"/>
        </w:rPr>
        <w:t>, respectively. Additionally, during fiscal</w:t>
      </w:r>
      <w:r>
        <w:rPr>
          <w:rFonts w:ascii="Times New Roman" w:cs="Times New Roman" w:eastAsia="Times New Roman" w:hAnsi="Times New Roman"/>
          <w:sz w:val="14"/>
          <w:szCs w:val="14"/>
          <w:color w:val="auto"/>
        </w:rPr>
        <w:t xml:space="preserve"> 2025</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2024</w:t>
      </w:r>
      <w:r>
        <w:rPr>
          <w:rFonts w:ascii="Times New Roman" w:cs="Times New Roman" w:eastAsia="Times New Roman" w:hAnsi="Times New Roman"/>
          <w:sz w:val="12"/>
          <w:szCs w:val="12"/>
          <w:color w:val="auto"/>
        </w:rPr>
        <w:t>, and</w:t>
      </w:r>
      <w:r>
        <w:rPr>
          <w:rFonts w:ascii="Times New Roman" w:cs="Times New Roman" w:eastAsia="Times New Roman" w:hAnsi="Times New Roman"/>
          <w:sz w:val="14"/>
          <w:szCs w:val="14"/>
          <w:color w:val="auto"/>
        </w:rPr>
        <w:t xml:space="preserve"> 2023</w:t>
      </w:r>
      <w:r>
        <w:rPr>
          <w:rFonts w:ascii="Times New Roman" w:cs="Times New Roman" w:eastAsia="Times New Roman" w:hAnsi="Times New Roman"/>
          <w:sz w:val="12"/>
          <w:szCs w:val="12"/>
          <w:color w:val="auto"/>
        </w:rPr>
        <w:t>, the Company repurchased shares for</w:t>
      </w:r>
      <w:r>
        <w:rPr>
          <w:rFonts w:ascii="Times New Roman" w:cs="Times New Roman" w:eastAsia="Times New Roman" w:hAnsi="Times New Roman"/>
          <w:sz w:val="14"/>
          <w:szCs w:val="14"/>
          <w:color w:val="auto"/>
        </w:rPr>
        <w:t xml:space="preserve"> $40 million</w:t>
      </w: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 xml:space="preserve"> $45 million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4"/>
          <w:szCs w:val="14"/>
          <w:color w:val="auto"/>
        </w:rPr>
        <w:t xml:space="preserve"> $29 million</w:t>
      </w:r>
      <w:r>
        <w:rPr>
          <w:rFonts w:ascii="Times New Roman" w:cs="Times New Roman" w:eastAsia="Times New Roman" w:hAnsi="Times New Roman"/>
          <w:sz w:val="12"/>
          <w:szCs w:val="12"/>
          <w:color w:val="auto"/>
        </w:rPr>
        <w:t>, respectively, to cover the minimum statutory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2"/>
          <w:szCs w:val="12"/>
          <w:color w:val="auto"/>
        </w:rPr>
        <w:t>taxes on repurchases and restricted stock units that vested on various dates during those years.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54" w:right="319" w:bottom="1440" w:gutter="0" w:footer="0" w:header="0"/>
        </w:sectPr>
      </w:pPr>
    </w:p>
    <w:bookmarkStart w:id="67" w:name="page68"/>
    <w:bookmarkEnd w:id="6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Business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w:t>
      </w:r>
    </w:p>
    <w:p>
      <w:pPr>
        <w:spacing w:after="0" w:line="53" w:lineRule="exact"/>
        <w:rPr>
          <w:sz w:val="20"/>
          <w:szCs w:val="20"/>
          <w:color w:val="auto"/>
        </w:rPr>
      </w:pPr>
    </w:p>
    <w:p>
      <w:pPr>
        <w:ind w:right="100" w:firstLine="318"/>
        <w:spacing w:after="0" w:line="261" w:lineRule="auto"/>
        <w:rPr>
          <w:sz w:val="20"/>
          <w:szCs w:val="20"/>
          <w:color w:val="auto"/>
        </w:rPr>
      </w:pPr>
      <w:r>
        <w:rPr>
          <w:rFonts w:ascii="Times New Roman" w:cs="Times New Roman" w:eastAsia="Times New Roman" w:hAnsi="Times New Roman"/>
          <w:sz w:val="14"/>
          <w:szCs w:val="14"/>
          <w:color w:val="auto"/>
        </w:rPr>
        <w:t>Booz Allen Hamilton Holding Corporation, including its wholly owned subsidiaries, or the Company, we, us, and our, was incorporated in Delaware in May 2008. As an advanced technology company, the Company builds technology solutions using artificial intelligence (“AI”), cyber, and other cutting-edge technologies to advance and protect the nation and its citizens. The Company supports critical missions for a diverse base of federal government customers, including nearly all of the U.S. government’s cabinet-level departments, as well as for commercial customers, both domestically and in select international locations. The Company is headquartered in McLean, Virginia, with approximately 35,800 employees as of March 31, 2025, and reports operating results and financial data in one reportable segment.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53" w:lineRule="exact"/>
        <w:rPr>
          <w:sz w:val="20"/>
          <w:szCs w:val="20"/>
          <w:color w:val="auto"/>
        </w:rPr>
      </w:pPr>
    </w:p>
    <w:p>
      <w:pPr>
        <w:ind w:right="160" w:firstLine="318"/>
        <w:spacing w:after="0" w:line="270" w:lineRule="auto"/>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the Company and its subsidiaries that are majority-owned or otherwise controlled by the Company and have been prepared in accordance with accounting principles generally accepted in the United States (“U.S. GAAP”), and the rules and regulations of the U.S. Securities and Exchange Commission (the “SEC”). All intercompany balances and transactions have been eliminated in consolidation.</w:t>
      </w:r>
    </w:p>
    <w:p>
      <w:pPr>
        <w:spacing w:after="0" w:line="8" w:lineRule="exact"/>
        <w:rPr>
          <w:sz w:val="20"/>
          <w:szCs w:val="20"/>
          <w:color w:val="auto"/>
        </w:rPr>
      </w:pPr>
    </w:p>
    <w:p>
      <w:pPr>
        <w:ind w:right="200" w:firstLine="318"/>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and notes of the Company also include other entities where the Company is a primary beneficiary.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carried at cost and are subject to fair value adjustments in certain circumstances (e.g., observable price changes or impairment).</w:t>
      </w:r>
    </w:p>
    <w:p>
      <w:pPr>
        <w:spacing w:after="0" w:line="13" w:lineRule="exact"/>
        <w:rPr>
          <w:sz w:val="20"/>
          <w:szCs w:val="20"/>
          <w:color w:val="auto"/>
        </w:rPr>
      </w:pPr>
    </w:p>
    <w:p>
      <w:pPr>
        <w:ind w:right="440" w:firstLine="318"/>
        <w:spacing w:after="0" w:line="284" w:lineRule="auto"/>
        <w:rPr>
          <w:sz w:val="20"/>
          <w:szCs w:val="20"/>
          <w:color w:val="auto"/>
        </w:rPr>
      </w:pPr>
      <w:r>
        <w:rPr>
          <w:rFonts w:ascii="Times New Roman" w:cs="Times New Roman" w:eastAsia="Times New Roman" w:hAnsi="Times New Roman"/>
          <w:sz w:val="14"/>
          <w:szCs w:val="14"/>
          <w:color w:val="auto"/>
        </w:rPr>
        <w:t>The Company’s fiscal year ends on March 31 and unless otherwise noted, references to fiscal year or fiscal are for fiscal years ended March 31. The accompanying consolidated financial statements present the financial position of the Company as of March 31, 2025 and 2024 and the Company’s results of operations for fiscal 2025, 2024, and 2023.</w:t>
      </w:r>
    </w:p>
    <w:p>
      <w:pPr>
        <w:spacing w:after="0" w:line="1" w:lineRule="exact"/>
        <w:rPr>
          <w:sz w:val="20"/>
          <w:szCs w:val="20"/>
          <w:color w:val="auto"/>
        </w:rPr>
      </w:pPr>
    </w:p>
    <w:p>
      <w:pPr>
        <w:jc w:val="both"/>
        <w:ind w:right="160" w:firstLine="318"/>
        <w:spacing w:after="0" w:line="270" w:lineRule="auto"/>
        <w:rPr>
          <w:sz w:val="20"/>
          <w:szCs w:val="20"/>
          <w:color w:val="auto"/>
        </w:rPr>
      </w:pPr>
      <w:r>
        <w:rPr>
          <w:rFonts w:ascii="Times New Roman" w:cs="Times New Roman" w:eastAsia="Times New Roman" w:hAnsi="Times New Roman"/>
          <w:sz w:val="14"/>
          <w:szCs w:val="14"/>
          <w:color w:val="auto"/>
        </w:rPr>
        <w:t>Certain amounts reported in the Company's prior year consolidated financial statements have been reclassified to conform to the current year presentation, including the reclassification of $26 million and $10 million, respectively, of interest income for fiscal 2024 and 2023 from “Other income (loss), net” into “Interest expense, net” on the consolidated statement of operations. There are no changes to the Company’s financial position or results of operations as a result of this reclassification.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Accounting Estimates</w:t>
      </w:r>
    </w:p>
    <w:p>
      <w:pPr>
        <w:spacing w:after="0" w:line="53"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estimates and assumptions that affect the reported amounts of assets, liabilities, revenue and expenses, as well as the disclosure of contingent assets and liabilities at the date of the financial statements or during the relevant reporting periods (as applicable). The Company bases its estimates on assumptions that it believes are reasonable and appropriate. Actual results may differ materially from those estimates. Estimates are used for, but not limited to, revenue recognition including the profitability of long-term contracts and cost accruals, the provision for claimed costs, fair value measurements, the valuation and expected lives of acquired intangible assets, incentive compensation, income taxes including reserves for uncertain tax positions, postretirement obligations and contingencies.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performs and generates revenue under three basic types of contracts, as described below:</w:t>
      </w:r>
    </w:p>
    <w:p>
      <w:pPr>
        <w:spacing w:after="0" w:line="51" w:lineRule="exact"/>
        <w:rPr>
          <w:sz w:val="20"/>
          <w:szCs w:val="20"/>
          <w:color w:val="auto"/>
        </w:rPr>
      </w:pPr>
    </w:p>
    <w:p>
      <w:pPr>
        <w:ind w:left="1020" w:right="340" w:hanging="506"/>
        <w:spacing w:after="0" w:line="284" w:lineRule="auto"/>
        <w:tabs>
          <w:tab w:leader="none" w:pos="10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Cost-Reimbursable Contracts: Cost-reimbursable contracts provide for the payment of allowable costs incurred during performance of the contract, up to a ceiling based on the amount that has been funded, plus a fixed fee or award fee.</w:t>
      </w:r>
    </w:p>
    <w:p>
      <w:pPr>
        <w:ind w:left="1020" w:hanging="506"/>
        <w:spacing w:after="0" w:line="270" w:lineRule="auto"/>
        <w:tabs>
          <w:tab w:leader="none" w:pos="10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the Company’s costs of performance may exceed negotiated hourly rates.</w:t>
      </w:r>
    </w:p>
    <w:p>
      <w:pPr>
        <w:spacing w:after="0" w:line="8" w:lineRule="exact"/>
        <w:rPr>
          <w:rFonts w:ascii="Times New Roman" w:cs="Times New Roman" w:eastAsia="Times New Roman" w:hAnsi="Times New Roman"/>
          <w:sz w:val="14"/>
          <w:szCs w:val="14"/>
          <w:color w:val="auto"/>
        </w:rPr>
      </w:pPr>
    </w:p>
    <w:p>
      <w:pPr>
        <w:ind w:left="1020" w:right="380" w:hanging="506"/>
        <w:spacing w:after="0" w:line="287" w:lineRule="auto"/>
        <w:tabs>
          <w:tab w:leader="none" w:pos="1016"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Fixed-Price Contracts: Under a fixed-price contract, we agree to perform the specified work for a predetermined price. To the extent the Company’s actual direct and allocated indirect costs decrease or increase from the estimates upon which the price was negotiated, we will generate more or less profit, respectively, or could incur a loss.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68" w:name="page69"/>
    <w:bookmarkEnd w:id="6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4"/>
          <w:szCs w:val="14"/>
          <w:color w:val="auto"/>
        </w:rPr>
        <w:t>The Company considers a contract with a customer to exist under Accounting Standards Codification (“ASC”) No. 606, Revenue from Contracts with Customers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 contracts entered into with the same customer should be combined and accounted for as a single contract. Furthermore, in certain transactions,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16"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1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4"/>
          <w:szCs w:val="14"/>
          <w:color w:val="auto"/>
        </w:rPr>
        <w:t>The Company evaluates each service deliverable contracted with the customer to determine whether it represents promises to transfer distinct goods or services. Under Topic 606, these are referred to as performance obligations. One or more service deliverables often represent a single performance obligation. The Company’s contracts generally provide a set of integrated or highly interrelated tasks or services and are therefore accounted for as a single performance obligation. In the limited number of situations where our contracts with customers contain more than one performance obligation, we allocate the transaction price of a contract between the performance obligations in the proportion to their respective stand-alone selling prices. We generally estimate the stand-alone selling price of performance obligations based on an expected cost-plus margin approach as allowed under Topic 606. However, in cases where we provide more than one distinct good or service within a customer contract, the contract is separated into individual performance obligations which are accounted for discretely.</w:t>
      </w:r>
    </w:p>
    <w:p>
      <w:pPr>
        <w:spacing w:after="0" w:line="19"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Billing timetables and payment terms on our contracts vary based on a number of factors, including whether the contract type is cost-reimbursable, time-and-materials, or fixed-price. Fixed-price contracts are typically billed to the customer using milestone or fixed monthly payments, while cost-reimbursable-plus-fee and time-and-materials contracts are typically billed to the customer at periodic intervals (e.g. monthly or weekly) as indicated by the terms of the contract. Disparities between the timing of revenue recognition and customer billings and cash collections result in changes to net contract assets or liabilities being recognized at the end of each reporting period.</w:t>
      </w:r>
    </w:p>
    <w:p>
      <w:pPr>
        <w:spacing w:after="0" w:line="13"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Contract assets primarily consist of unbilled receivables typically resulting from revenue recognized exceeding the amount billed to the customer and right to payment is not just subject to the passage of time. Unbilled amounts represent revenues for which billings have not yet been presented to customers. These amounts are generally billed and collected within one year subject to various conditions including, without limitation, appropriated and available funding. Our customers generally pay our invoices within 30 days of the invoice date, although we experience a longer billing and collection cycle with our global commercial customers. Long-term unbilled receivables not anticipated to be billed and collected within one year, which are primarily related to retainage, holdbacks, and certain years’ long-term rate settlements to be billed at contract closeout, are included in other long-term assets in the accompanying consolidated balance sheets. Contract liabilities primarily consist of billings in excess of costs incurred and deferred revenue. Contract assets and liabilities are reported on a net contract basis at the end of each reporting period. The Company maintains an allowance for credit losses to provide for an estimate of uncollectible receivables.</w:t>
      </w:r>
    </w:p>
    <w:p>
      <w:pPr>
        <w:spacing w:after="0" w:line="19"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Contracts with the U.S. government are generally subject to the Federal Acquisition Regulation (the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the Company’s assessment of the variable fee provisions within the contract, prior experience with similar contracts or customers, and management’s evaluation of the performance on such contracts. The Company may perform work under a contract that has not been fully funded if the work has been authorized by management and the customer to proceed. The Company evaluates unfunded amounts as variable consideration in estimating the transaction price. The Company includes the estimated variable consideration in its transaction price to the extent that it is probable that a significant reversal of revenue will not occur upon the ultimate settlement of the variable fee provision. The Company’s U.S. government contracts generally contain FAR provisions that enable the customer to terminate a contract for default or for the convenience of the U.S. government.</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69" w:name="page70"/>
    <w:bookmarkEnd w:id="6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The Company recognizes revenue for each performance obligation identified within its customer contracts when, or as, the performance obligation is satisfied by transferring the promised goods or services. Revenue may either be recognized over time or at a point in time. The Company generally recognizes revenue over time as its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fixed-price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generally includes both funded and unfunded portions of customer contracts in this estimation process.</w:t>
      </w:r>
    </w:p>
    <w:p>
      <w:pPr>
        <w:spacing w:after="0" w:line="21"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For interim financial reporting periods, contract revenue attributable to indirect costs is recognized based upon agreed-upon annual rates established with the U.S. government at the start of each fiscal year. These rates are estimated and agreed upon between the Company and the U.S. government and represent indirect contract costs required to execute and administer contract obligations. The impact of any overall changes or changes in the rates are recorded in the interim financial reporting period when such changes are identified. At the end of each fiscal year, estimated annual rates are adjusted to reported actual rates, with contract revenue attributable to indirect costs adjusted accordingly. These preliminary actual rates and their impact on contract revenue are subject to final audit and negotiation with the U.S. government, which may take place several years in the future.</w:t>
      </w:r>
    </w:p>
    <w:p>
      <w:pPr>
        <w:spacing w:after="0" w:line="1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4"/>
          <w:szCs w:val="14"/>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for remaining performance obligations, discussed below, which would allow the Company to exclude contracts using the right-to-invoice from remaining performance obligations. For stand-ready performance obligations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19"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4"/>
          <w:szCs w:val="14"/>
          <w:color w:val="auto"/>
        </w:rPr>
        <w:t>Many of the Company’s fixed price contracts recognize revenue under a contract cost-based input method and require an Estimate-at-Completion (“EAC”), which management uses to review and monitor the progress towards the completion of its performance obligations.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EACs are recognized in the period when such changes are made on a cumulative catch-up basis. If the estimate of contract profitability indicates an anticipated loss on a contract, the Company recognizes the total loss at the time it is identified. For fiscal 2025, 2024 and 2023, the aggregate impact of adjustments in contract estimates was not material.</w:t>
      </w:r>
    </w:p>
    <w:p>
      <w:pPr>
        <w:spacing w:after="0" w:line="19"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exclude negotiated but unexercised options and certain variable consideration which the Company does not expect to recognize as revenue.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Claimed Costs</w:t>
      </w:r>
    </w:p>
    <w:p>
      <w:pPr>
        <w:spacing w:after="0" w:line="53" w:lineRule="exact"/>
        <w:rPr>
          <w:sz w:val="20"/>
          <w:szCs w:val="20"/>
          <w:color w:val="auto"/>
        </w:rPr>
      </w:pPr>
    </w:p>
    <w:p>
      <w:pPr>
        <w:ind w:right="140" w:firstLine="318"/>
        <w:spacing w:after="0" w:line="270" w:lineRule="auto"/>
        <w:rPr>
          <w:sz w:val="20"/>
          <w:szCs w:val="20"/>
          <w:color w:val="auto"/>
        </w:rPr>
      </w:pPr>
      <w:r>
        <w:rPr>
          <w:rFonts w:ascii="Times New Roman" w:cs="Times New Roman" w:eastAsia="Times New Roman" w:hAnsi="Times New Roman"/>
          <w:sz w:val="14"/>
          <w:szCs w:val="14"/>
          <w:color w:val="auto"/>
        </w:rPr>
        <w:t>U.S. government contracts and subcontracts are subject to extensive legal and regulatory requirements.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8"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The Company recognizes a reserve for estimated adjustments to historical claimed costs in respect of the years subsequent to fiscal 2011, based primarily on historical audit results. As audits of the periods subsequent to 2011 are completed, our estimates of adjustment to claimed costs for these periods could change.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70" w:name="page71"/>
    <w:bookmarkEnd w:id="7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Cash and cash equivalents include unrestricted cash accounts and highly liquid investments that have a maturity of three months or less at the date of purchase. The Company’s cash equivalents consist primarily of government money market funds and money market deposit accounts. The Company maintains its cash and cash equivalents in bank accounts that, at times, exceed the federally insured FDIC limits. The Company has not experienced any losses in such accounts.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Accounts Receivable</w:t>
      </w:r>
    </w:p>
    <w:p>
      <w:pPr>
        <w:spacing w:after="0" w:line="53" w:lineRule="exact"/>
        <w:rPr>
          <w:sz w:val="20"/>
          <w:szCs w:val="20"/>
          <w:color w:val="auto"/>
        </w:rPr>
      </w:pPr>
    </w:p>
    <w:p>
      <w:pPr>
        <w:ind w:right="40" w:firstLine="350"/>
        <w:spacing w:after="0" w:line="260" w:lineRule="auto"/>
        <w:rPr>
          <w:sz w:val="20"/>
          <w:szCs w:val="20"/>
          <w:color w:val="auto"/>
        </w:rPr>
      </w:pPr>
      <w:r>
        <w:rPr>
          <w:rFonts w:ascii="Times New Roman" w:cs="Times New Roman" w:eastAsia="Times New Roman" w:hAnsi="Times New Roman"/>
          <w:sz w:val="14"/>
          <w:szCs w:val="14"/>
          <w:color w:val="auto"/>
        </w:rPr>
        <w:t>Accounts receivable includes amounts billed and currently due from customers, and amounts billable where the right to consideration is unconditional. We also include in accounts receivable amounts related to revenue accrued in excess of amounts billed, primarily on our fixed-price and cost-reimbursable-plus-award-fee contracts. Amounts billable and unbilled receivables are recognized at estimated realizable value and consist of costs and fees, most of which are expected to be billed and collected generally within one year. When events or conditions indicate that amounts outstanding from customers may become uncollectible, an allowance for expected credit losses is estimated and recorded. This estimate is based on the age of outstanding receivables and/or specific identification of the balances at risk of becoming uncollectible. Upon final determination that a receivable is uncollectible, the receivable is written off against the allowance for expected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Concentrations of Credit Risk</w:t>
      </w:r>
    </w:p>
    <w:p>
      <w:pPr>
        <w:spacing w:after="0" w:line="53" w:lineRule="exact"/>
        <w:rPr>
          <w:sz w:val="20"/>
          <w:szCs w:val="20"/>
          <w:color w:val="auto"/>
        </w:rPr>
      </w:pPr>
    </w:p>
    <w:p>
      <w:pPr>
        <w:ind w:right="160" w:firstLine="350"/>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primarily of cash equivalents and accounts receivable. The Company’s cash equivalents are generally invested in U.S. government money market funds and money market deposit accounts. The Company believes that credit risk for accounts receivable is limited as the receivables are primarily with the U.S. government.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53"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Property and equipment are recorded at cost, and the balances are presented net of accumulated depreciation. Depreciation is calculated using the straight-line method over the estimated useful lives of the assets. Furniture and equipment is depreciated over five to ten years, and computer equipment, including laptops and tablets, is depreciated over two to four years. Leasehold improvements are amortized over the shorter of the useful life of the asset or lease term. Maintenance and repairs are charged to expense as incurred.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w:t>
      </w:r>
    </w:p>
    <w:p>
      <w:pPr>
        <w:spacing w:after="0" w:line="5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accounting for the Company’s business combinations consists of allocating the purchase price to tangible and intangible assets acquired and liabilities assumed based on their estimated fair values, with the excess recorded as goodwill. Certain fair value measurements may include inputs that are unobservable, requiring management to make judgments and estimates that can be affected by contract performance, and other factors that may cause final amounts to differ materially from original estimates. The Company has up to one year from the acquisition date to use information as of each acquisition date to adjust the fair value of the acquired assets and liabilities which may result in material changes to their recorded values with an offsetting adjustment to goodwill.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p>
      <w:pPr>
        <w:spacing w:after="0" w:line="53" w:lineRule="exact"/>
        <w:rPr>
          <w:sz w:val="20"/>
          <w:szCs w:val="20"/>
          <w:color w:val="auto"/>
        </w:rPr>
      </w:pPr>
    </w:p>
    <w:p>
      <w:pPr>
        <w:ind w:right="20" w:firstLine="350"/>
        <w:spacing w:after="0" w:line="257" w:lineRule="auto"/>
        <w:rPr>
          <w:sz w:val="20"/>
          <w:szCs w:val="20"/>
          <w:color w:val="auto"/>
        </w:rPr>
      </w:pPr>
      <w:r>
        <w:rPr>
          <w:rFonts w:ascii="Times New Roman" w:cs="Times New Roman" w:eastAsia="Times New Roman" w:hAnsi="Times New Roman"/>
          <w:sz w:val="14"/>
          <w:szCs w:val="14"/>
          <w:color w:val="auto"/>
        </w:rPr>
        <w:t>Intangible assets primarily consist of programs and contracts assets, channel relationships, the Company's trade name, customer relationships, software and other amortizable intangible assets. The Company capitalizes costs associated with developing internal-use computer software pertaining to upgrades in its business and financial systems. Programs and contract assets, channel relationships, and other amortizable intangible assets are generally amortized on an accelerated basis over the expected life based on projected future cash flows of approximately five to fourteen years. Software purchased or developed for internal use is amortized over one to ten years. Intangible assets with finite lives are assessed for impairment whenever events or changes in circumstances indicate that the carrying value may not be recoverable. The Company's trade name intangible asset is not amortized, but is tested for impairment on at least an annual basis as of January 1 and more frequently if interim indicators of impairment exist. The trade name is considered to be impaired if the carrying value exceeds its estimated fair value. The Company uses the relief from royalty method to estimate the fair value. The fair value of the asset is the present value of the license fees avoided by owning the asset, or the royalty savings. During the fiscal years ended March 31, 2025, 2024, and 2023, the Company did not record any impairment of intangible assets.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71" w:name="page72"/>
    <w:bookmarkEnd w:id="7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53" w:lineRule="exact"/>
        <w:rPr>
          <w:sz w:val="20"/>
          <w:szCs w:val="20"/>
          <w:color w:val="auto"/>
        </w:rPr>
      </w:pPr>
    </w:p>
    <w:p>
      <w:pPr>
        <w:ind w:right="40" w:firstLine="350"/>
        <w:spacing w:after="0" w:line="261" w:lineRule="auto"/>
        <w:rPr>
          <w:sz w:val="20"/>
          <w:szCs w:val="20"/>
          <w:color w:val="auto"/>
        </w:rPr>
      </w:pPr>
      <w:r>
        <w:rPr>
          <w:rFonts w:ascii="Times New Roman" w:cs="Times New Roman" w:eastAsia="Times New Roman" w:hAnsi="Times New Roman"/>
          <w:sz w:val="14"/>
          <w:szCs w:val="14"/>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2025, the Company performed its annual impairment test of goodwill by comparing the fair value of the Company (based on market capitalization) to the carrying value of the Company's net equity, and concluded that the fair value of the reporting unit was significantly greater than the carrying amount. During the fiscal years ended March 31, 2025, 2024, and 2023, the Company did not record any impairment of goodwill.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Long-Lived Assets</w:t>
      </w:r>
    </w:p>
    <w:p>
      <w:pPr>
        <w:spacing w:after="0" w:line="53" w:lineRule="exact"/>
        <w:rPr>
          <w:sz w:val="20"/>
          <w:szCs w:val="20"/>
          <w:color w:val="auto"/>
        </w:rPr>
      </w:pPr>
    </w:p>
    <w:p>
      <w:pPr>
        <w:ind w:firstLine="350"/>
        <w:spacing w:after="0" w:line="264" w:lineRule="auto"/>
        <w:rPr>
          <w:sz w:val="20"/>
          <w:szCs w:val="20"/>
          <w:color w:val="auto"/>
        </w:rPr>
      </w:pPr>
      <w:r>
        <w:rPr>
          <w:rFonts w:ascii="Times New Roman" w:cs="Times New Roman" w:eastAsia="Times New Roman" w:hAnsi="Times New Roman"/>
          <w:sz w:val="14"/>
          <w:szCs w:val="14"/>
          <w:color w:val="auto"/>
        </w:rPr>
        <w:t>The Company reviews its long-lived assets, including property and equipment, amortizable intangible assets, and right-of-use (“ROU”)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2025, 2024, and 2023, the Company did not record any material impairment charges.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53" w:lineRule="exact"/>
        <w:rPr>
          <w:sz w:val="20"/>
          <w:szCs w:val="20"/>
          <w:color w:val="auto"/>
        </w:rPr>
      </w:pPr>
    </w:p>
    <w:p>
      <w:pPr>
        <w:ind w:right="100" w:firstLine="350"/>
        <w:spacing w:after="0" w:line="264" w:lineRule="auto"/>
        <w:rPr>
          <w:sz w:val="20"/>
          <w:szCs w:val="20"/>
          <w:color w:val="auto"/>
        </w:rPr>
      </w:pPr>
      <w:r>
        <w:rPr>
          <w:rFonts w:ascii="Times New Roman" w:cs="Times New Roman" w:eastAsia="Times New Roman" w:hAnsi="Times New Roman"/>
          <w:sz w:val="14"/>
          <w:szCs w:val="14"/>
          <w:color w:val="auto"/>
        </w:rPr>
        <w:t>At contract inception, the Company determines whether the contract is, or contains, a lease, which exists when the contract conveys the right to control the use of identified property or equipment for a period of time in exchange for consideration. Operating lease balances are included in operating lease ROU assets, operating lease liabilities, and operating lease liabilities, net of current portion in the Company’s consolidated balance sheet. Cash payments arising from operating leases are classified within operating activities in the consolidated statement of cash flows. As of March 31, 2025, the Company had no finance leases.</w:t>
      </w:r>
    </w:p>
    <w:p>
      <w:pPr>
        <w:spacing w:after="0" w:line="13" w:lineRule="exact"/>
        <w:rPr>
          <w:sz w:val="20"/>
          <w:szCs w:val="20"/>
          <w:color w:val="auto"/>
        </w:rPr>
      </w:pPr>
    </w:p>
    <w:p>
      <w:pPr>
        <w:ind w:right="20" w:firstLine="318"/>
        <w:spacing w:after="0" w:line="257" w:lineRule="auto"/>
        <w:rPr>
          <w:sz w:val="20"/>
          <w:szCs w:val="20"/>
          <w:color w:val="auto"/>
        </w:rPr>
      </w:pPr>
      <w:r>
        <w:rPr>
          <w:rFonts w:ascii="Times New Roman" w:cs="Times New Roman" w:eastAsia="Times New Roman" w:hAnsi="Times New Roman"/>
          <w:sz w:val="14"/>
          <w:szCs w:val="14"/>
          <w:color w:val="auto"/>
        </w:rPr>
        <w:t>The Company's leases are generally for facilities and office space and the Company recognizes ROU assets and lease liabilities at the lease commencement date for those arrangements. The initial lease liability is equal to the present value of the future lease payments over the lease term. The initial measurement of the ROU asset is equal to the initial lease liability plus any initial direct costs and prepaid lease payments, less any lease incentives. At the lease commencement date, the Company estimates its collateralized incremental borrowing rate based on publicly available yields adjusted for Company-specific considerations and the Company's varying lease terms in determining the present value of future payments. Certain of the Company’s leases contain options to renew or to terminate the lease which are included in the determination of the ROU assets and lease liabilities when it is reasonably certain that the Company will exercise the option. The Company's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lease-related payments that do not depend on an index or rate are recorded as lease expense in the period incurred. ROU assets are evaluated for impairment in a manner consistent with the treatment of other long-lived assets.</w:t>
      </w:r>
    </w:p>
    <w:p>
      <w:pPr>
        <w:spacing w:after="0" w:line="21" w:lineRule="exact"/>
        <w:rPr>
          <w:sz w:val="20"/>
          <w:szCs w:val="20"/>
          <w:color w:val="auto"/>
        </w:rPr>
      </w:pPr>
    </w:p>
    <w:p>
      <w:pPr>
        <w:jc w:val="both"/>
        <w:ind w:right="60" w:firstLine="318"/>
        <w:spacing w:after="0" w:line="264" w:lineRule="auto"/>
        <w:rPr>
          <w:sz w:val="20"/>
          <w:szCs w:val="20"/>
          <w:color w:val="auto"/>
        </w:rPr>
      </w:pPr>
      <w:r>
        <w:rPr>
          <w:rFonts w:ascii="Times New Roman" w:cs="Times New Roman" w:eastAsia="Times New Roman" w:hAnsi="Times New Roman"/>
          <w:sz w:val="14"/>
          <w:szCs w:val="14"/>
          <w:color w:val="auto"/>
        </w:rPr>
        <w:t>The Company elected the short-term lease policy election not to recognize ROU assets and lease liabilities for leases with an initial term of 12 months or less; lease expense from these leases is recognized on a straight-line basis over the lease term. For all material classes of leased assets, the Company elected to apply the practical expedient to not separate lease components from non-lease components, and instead account for both components as a single lease component. As of March 31, 2025, the Company did not have any lease agreements with residual value guarantees or material restrictions or covenants.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provides for income taxes as a “C” corporation on income earned from operations. The Company is subject to federal, state, and foreign taxation in various jurisdictions.</w:t>
      </w:r>
    </w:p>
    <w:p>
      <w:pPr>
        <w:spacing w:after="0" w:line="51" w:lineRule="exact"/>
        <w:rPr>
          <w:sz w:val="20"/>
          <w:szCs w:val="20"/>
          <w:color w:val="auto"/>
        </w:rPr>
      </w:pPr>
    </w:p>
    <w:p>
      <w:pPr>
        <w:ind w:right="20" w:firstLine="350"/>
        <w:spacing w:after="0" w:line="259" w:lineRule="auto"/>
        <w:rPr>
          <w:sz w:val="20"/>
          <w:szCs w:val="20"/>
          <w:color w:val="auto"/>
        </w:rPr>
      </w:pPr>
      <w:r>
        <w:rPr>
          <w:rFonts w:ascii="Times New Roman" w:cs="Times New Roman" w:eastAsia="Times New Roman" w:hAnsi="Times New Roman"/>
          <w:sz w:val="14"/>
          <w:szCs w:val="14"/>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consolidated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72" w:name="page73"/>
    <w:bookmarkEnd w:id="7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right="120" w:firstLine="350"/>
        <w:spacing w:after="0" w:line="259" w:lineRule="auto"/>
        <w:rPr>
          <w:sz w:val="20"/>
          <w:szCs w:val="20"/>
          <w:color w:val="auto"/>
        </w:rPr>
      </w:pPr>
      <w:r>
        <w:rPr>
          <w:rFonts w:ascii="Times New Roman" w:cs="Times New Roman" w:eastAsia="Times New Roman" w:hAnsi="Times New Roman"/>
          <w:sz w:val="14"/>
          <w:szCs w:val="14"/>
          <w:color w:val="auto"/>
        </w:rPr>
        <w:t>The Company periodically assesses its tax positions for all periods open to examination by tax authorities based on the latest available information. Those positions are evaluated to determine whether they will more likely than not be sustained upon examination by the Internal Revenue Service (“IRS”) or other taxing authorities. The Company reserves for these uncertain tax positions related to unrecognized income tax benefits where it is not more likely than not that the Company’s tax position will be sustained on examination and settlement with the various taxing authorities. Liabilities for unrecognized tax benefits are measured based on the largest amount of benefit that is greater than 50% likely of being realized upon ultimate settlement. These unrecognized tax benefits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w:t>
      </w:r>
    </w:p>
    <w:p>
      <w:pPr>
        <w:spacing w:after="0" w:line="53" w:lineRule="exact"/>
        <w:rPr>
          <w:sz w:val="20"/>
          <w:szCs w:val="20"/>
          <w:color w:val="auto"/>
        </w:rPr>
      </w:pPr>
    </w:p>
    <w:p>
      <w:pPr>
        <w:jc w:val="both"/>
        <w:ind w:right="200" w:firstLine="350"/>
        <w:spacing w:after="0" w:line="270" w:lineRule="auto"/>
        <w:rPr>
          <w:sz w:val="20"/>
          <w:szCs w:val="20"/>
          <w:color w:val="auto"/>
        </w:rPr>
      </w:pPr>
      <w:r>
        <w:rPr>
          <w:rFonts w:ascii="Times New Roman" w:cs="Times New Roman" w:eastAsia="Times New Roman" w:hAnsi="Times New Roman"/>
          <w:sz w:val="14"/>
          <w:szCs w:val="14"/>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income as of March 31, 2025 and 2024 consisted of net unrealized gains or losses on the Company’s defined and postretirement benefit plans and unrealized gains or losses on interest rate swaps designated as cash flow hedges.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53" w:lineRule="exact"/>
        <w:rPr>
          <w:sz w:val="20"/>
          <w:szCs w:val="20"/>
          <w:color w:val="auto"/>
        </w:rPr>
      </w:pPr>
    </w:p>
    <w:p>
      <w:pPr>
        <w:ind w:right="340" w:firstLine="350"/>
        <w:spacing w:after="0" w:line="270" w:lineRule="auto"/>
        <w:rPr>
          <w:sz w:val="20"/>
          <w:szCs w:val="20"/>
          <w:color w:val="auto"/>
        </w:rPr>
      </w:pPr>
      <w:r>
        <w:rPr>
          <w:rFonts w:ascii="Times New Roman" w:cs="Times New Roman" w:eastAsia="Times New Roman" w:hAnsi="Times New Roman"/>
          <w:sz w:val="14"/>
          <w:szCs w:val="14"/>
          <w:color w:val="auto"/>
        </w:rPr>
        <w:t>The Company’s stock-based compensation to employees are classified as equity plans. Compensation expense for all stock-based awards is measured at the grant date fair value and is recognized ratably over the vesting period, net of estimated forfeitures. The Company estimates forfeitures anticipated to occur during the vesting period, and the number of performance awards expected to vest based on service and performance conditions is adjusted at each reporting date.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 and Other Post-Retirement Benefits</w:t>
      </w:r>
    </w:p>
    <w:p>
      <w:pPr>
        <w:spacing w:after="0" w:line="53"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The Company recognizes the underfunded status of defined contribution plans and other post-retirement benefits on the consolidated balance sheets within other long-term liabilities. Gains and losses, and prior service costs and credits that have not yet been recognized through net periodic benefit cost are recognized in accumulated other comprehensive loss, net of tax effects, and will be amortized as a component of net periodic cost in future periods. The measurement date, the date at which the benefit obligations are measured, is the Company’s fiscal year-end.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Self-Funded Medical Plans</w:t>
      </w:r>
    </w:p>
    <w:p>
      <w:pPr>
        <w:spacing w:after="0" w:line="53" w:lineRule="exact"/>
        <w:rPr>
          <w:sz w:val="20"/>
          <w:szCs w:val="20"/>
          <w:color w:val="auto"/>
        </w:rPr>
      </w:pPr>
    </w:p>
    <w:p>
      <w:pPr>
        <w:ind w:right="20" w:firstLine="350"/>
        <w:spacing w:after="0" w:line="264" w:lineRule="auto"/>
        <w:rPr>
          <w:sz w:val="20"/>
          <w:szCs w:val="20"/>
          <w:color w:val="auto"/>
        </w:rPr>
      </w:pPr>
      <w:r>
        <w:rPr>
          <w:rFonts w:ascii="Times New Roman" w:cs="Times New Roman" w:eastAsia="Times New Roman" w:hAnsi="Times New Roman"/>
          <w:sz w:val="14"/>
          <w:szCs w:val="14"/>
          <w:color w:val="auto"/>
        </w:rPr>
        <w:t>The Company maintains self-funded medical insurance. Self-funded plans include Consumer Driven Health Plans with a Health Savings Account option and traditional choice plans. Further, self-funded plans also include prescription drug and dental benefits. The Company records an incurred but unreported claim liability in the accrued compensation and benefits line of the consolidated balance sheets for self-funded plans based on an actuarial valuation. The estimate of the incurred but unreported claim liability was provided by a third-party valuation firm, primarily based on claims and participant data for the medical, dental, and pharmacy related costs.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53" w:lineRule="exact"/>
        <w:rPr>
          <w:sz w:val="20"/>
          <w:szCs w:val="20"/>
          <w:color w:val="auto"/>
        </w:rPr>
      </w:pPr>
    </w:p>
    <w:p>
      <w:pPr>
        <w:jc w:val="both"/>
        <w:ind w:right="300" w:firstLine="350"/>
        <w:spacing w:after="0" w:line="270" w:lineRule="auto"/>
        <w:rPr>
          <w:sz w:val="20"/>
          <w:szCs w:val="20"/>
          <w:color w:val="auto"/>
        </w:rPr>
      </w:pPr>
      <w:r>
        <w:rPr>
          <w:rFonts w:ascii="Times New Roman" w:cs="Times New Roman" w:eastAsia="Times New Roman" w:hAnsi="Times New Roman"/>
          <w:sz w:val="14"/>
          <w:szCs w:val="14"/>
          <w:color w:val="auto"/>
        </w:rPr>
        <w:t>Fair value is the price that would be received to sell an asset or paid to transfer a liability in an orderly transaction between market participants at the measurement date. In determining fair value, the Company considers the principal or most advantageous market in which the asset or liability would transact, and if necessary, considers assumptions that market participants would use when pricing the asset or liability.</w:t>
      </w:r>
    </w:p>
    <w:p>
      <w:pPr>
        <w:spacing w:after="0" w:line="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 financial instrument's level within the fair value hierarchy is based on the lowest level of input that is significant to the fair value measurement.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73" w:name="page74"/>
    <w:bookmarkEnd w:id="7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Investments in Variable Interest Entities and Other Investments</w:t>
      </w:r>
    </w:p>
    <w:p>
      <w:pPr>
        <w:spacing w:after="0" w:line="53"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Company invests in certain companies that advance or develop new technologies applicable to its business. Each investment is evaluated for consolidation under the variable interest entities model and/or the voting interest model. The Company uses the equity method to account for investments in entities that it does not control if it is otherwise able to exert significant influence over the entities' operating and financial policies. Equity investments in entities over which the Company does not have the ability to exercise significant influence and whose securities do not have a readily determinable fair value are accounted for under the measurement alternative, where they are subject to fair value adjustments in certain circumstances (e.g. observable price changes or impairment).</w:t>
      </w:r>
    </w:p>
    <w:p>
      <w:pPr>
        <w:spacing w:after="0" w:line="16"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results of our investments are not material to the consolidated financial statements for the periods presented. As of March 31, 2025 and March 31, 2024, respectively, the total of equity and other investments related to unconsolidated entities included in other long term assets of the Company’s consolidated balance sheet were $90 million and $42 million.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Adopted</w:t>
      </w:r>
    </w:p>
    <w:p>
      <w:pPr>
        <w:spacing w:after="0" w:line="51" w:lineRule="exact"/>
        <w:rPr>
          <w:sz w:val="20"/>
          <w:szCs w:val="20"/>
          <w:color w:val="auto"/>
        </w:rPr>
      </w:pPr>
    </w:p>
    <w:p>
      <w:pPr>
        <w:ind w:right="20" w:firstLine="318"/>
        <w:spacing w:after="0" w:line="265" w:lineRule="auto"/>
        <w:rPr>
          <w:sz w:val="20"/>
          <w:szCs w:val="20"/>
          <w:color w:val="auto"/>
        </w:rPr>
      </w:pPr>
      <w:r>
        <w:rPr>
          <w:rFonts w:ascii="Times New Roman" w:cs="Times New Roman" w:eastAsia="Times New Roman" w:hAnsi="Times New Roman"/>
          <w:sz w:val="14"/>
          <w:szCs w:val="14"/>
          <w:color w:val="auto"/>
        </w:rPr>
        <w:t xml:space="preserve">In November 2023, the Financial Accounting Standards Board (“FASB”) issued ASU 2023-07, </w:t>
      </w:r>
      <w:r>
        <w:rPr>
          <w:rFonts w:ascii="Times New Roman" w:cs="Times New Roman" w:eastAsia="Times New Roman" w:hAnsi="Times New Roman"/>
          <w:sz w:val="14"/>
          <w:szCs w:val="14"/>
          <w:i w:val="1"/>
          <w:iCs w:val="1"/>
          <w:color w:val="auto"/>
        </w:rPr>
        <w:t>Improvements to Reportable Segment Disclosures</w:t>
      </w:r>
      <w:r>
        <w:rPr>
          <w:rFonts w:ascii="Times New Roman" w:cs="Times New Roman" w:eastAsia="Times New Roman" w:hAnsi="Times New Roman"/>
          <w:sz w:val="14"/>
          <w:szCs w:val="14"/>
          <w:color w:val="auto"/>
        </w:rPr>
        <w:t>, which enhances reportable segment disclosure requirements, including significant segment expenses and interim disclosures (“Topic 280”). The guidance allows for disclosure of multiple measures of a reportable segment’s profit or loss, and it requires that public entities with a single reportable segment provide all disclosures required by the ASU and all existing disclosures in Topic 280. The Company adopted the new standard effective March 31, 2025 on a retrospective basis. The adoption of this ASU affects only the Company’s disclosures, with no impacts to its financial condition or results of operations.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51"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xml:space="preserve"> which requires disclosure of disaggregated information about an entity’s effective tax rate reconciliation as well as information on income taxes paid by jurisdiction. The standard is effective for fiscal periods beginning after December 15, 2024. The Company plans to adopt this standard prospectively in fiscal 2026 and the expected impacts will be on its disclosures only with no impact to its financial condition and results of operations.</w:t>
      </w:r>
    </w:p>
    <w:p>
      <w:pPr>
        <w:spacing w:after="0" w:line="6"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Disaggregation of Income Statement Expenses</w:t>
      </w:r>
      <w:r>
        <w:rPr>
          <w:rFonts w:ascii="Times New Roman" w:cs="Times New Roman" w:eastAsia="Times New Roman" w:hAnsi="Times New Roman"/>
          <w:sz w:val="14"/>
          <w:szCs w:val="14"/>
          <w:color w:val="auto"/>
        </w:rPr>
        <w:t>, which is intended to enhance transparency into the nature and function of certain expenses as specified by the ASU. The guidance does not change the expense captions an entity presents on the face of the income statement; rather, it requires public business entities to provide disaggregated disclosures of certain expense captions in the notes to the financial statements. The ASU is effective for annual periods beginning after December 15, 2026 and interim periods within fiscal years beginning after December 15, 2027, and can be applied retrospectively or prospectively. The Company is currently assessing the impact of this update, however, its adoption will affect only the Company’s disclosures, with no impacts to its financial condition or results of operations.</w:t>
      </w:r>
    </w:p>
    <w:p>
      <w:pPr>
        <w:spacing w:after="0" w:line="15" w:lineRule="exact"/>
        <w:rPr>
          <w:sz w:val="20"/>
          <w:szCs w:val="20"/>
          <w:color w:val="auto"/>
        </w:rPr>
      </w:pPr>
    </w:p>
    <w:p>
      <w:pPr>
        <w:ind w:right="400" w:firstLine="318"/>
        <w:spacing w:after="0" w:line="287" w:lineRule="auto"/>
        <w:rPr>
          <w:sz w:val="20"/>
          <w:szCs w:val="20"/>
          <w:color w:val="auto"/>
        </w:rPr>
      </w:pPr>
      <w:r>
        <w:rPr>
          <w:rFonts w:ascii="Times New Roman" w:cs="Times New Roman" w:eastAsia="Times New Roman" w:hAnsi="Times New Roman"/>
          <w:sz w:val="14"/>
          <w:szCs w:val="14"/>
          <w:color w:val="auto"/>
        </w:rPr>
        <w:t>Other recent accounting pronouncements issued during fiscal 2025 and through the filing date that have not yet been adopted are not expected to have a material impact on the Company's present or historical consolidated financial statements.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Revenue</w:t>
      </w:r>
    </w:p>
    <w:p>
      <w:pPr>
        <w:spacing w:after="0" w:line="53"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each of the fiscal years 2025, 2024, and 2023, approximately 98%, 98%, and 97%, respectively, of the Company’s revenue was generated from contracts with an agency or department of the U.S. government, including contracts where the Company performed either as a prime contractor or subcontractor, and regardless of the geographic location in which the work was performed.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53"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We disaggregate our revenue from contracts with customers by contract type and by customer type, as well as by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74" w:name="page75"/>
    <w:bookmarkEnd w:id="7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200" w:lineRule="exact"/>
        <w:rPr>
          <w:sz w:val="20"/>
          <w:szCs w:val="20"/>
          <w:color w:val="auto"/>
        </w:rPr>
      </w:pP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3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Revenue by Contract Type:</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9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Cost-reimbursable</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6,865</w:t>
            </w:r>
          </w:p>
        </w:tc>
        <w:tc>
          <w:tcPr>
            <w:tcW w:w="76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5,874</w:t>
            </w:r>
          </w:p>
        </w:tc>
        <w:tc>
          <w:tcPr>
            <w:tcW w:w="7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4,909</w:t>
            </w:r>
          </w:p>
        </w:tc>
        <w:tc>
          <w:tcPr>
            <w:tcW w:w="760" w:type="dxa"/>
            <w:vAlign w:val="bottom"/>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Time-and-materials</w:t>
            </w:r>
          </w:p>
        </w:tc>
        <w:tc>
          <w:tcPr>
            <w:tcW w:w="480" w:type="dxa"/>
            <w:vAlign w:val="bottom"/>
          </w:tcPr>
          <w:p>
            <w:pPr>
              <w:spacing w:after="0"/>
              <w:rPr>
                <w:sz w:val="15"/>
                <w:szCs w:val="15"/>
                <w:color w:val="auto"/>
              </w:rPr>
            </w:pPr>
          </w:p>
        </w:tc>
        <w:tc>
          <w:tcPr>
            <w:tcW w:w="9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2,707</w:t>
            </w: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2,530</w:t>
            </w: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2,297</w:t>
            </w:r>
          </w:p>
        </w:tc>
        <w:tc>
          <w:tcPr>
            <w:tcW w:w="76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Fixed-price</w:t>
            </w:r>
          </w:p>
        </w:tc>
        <w:tc>
          <w:tcPr>
            <w:tcW w:w="4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2,408</w:t>
            </w:r>
          </w:p>
        </w:tc>
        <w:tc>
          <w:tcPr>
            <w:tcW w:w="76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2,258</w:t>
            </w:r>
          </w:p>
        </w:tc>
        <w:tc>
          <w:tcPr>
            <w:tcW w:w="76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2,053</w:t>
            </w:r>
          </w:p>
        </w:tc>
        <w:tc>
          <w:tcPr>
            <w:tcW w:w="76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4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11,980</w:t>
            </w: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7"/>
              </w:rPr>
              <w:t>100%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10,662</w:t>
            </w:r>
          </w:p>
        </w:tc>
        <w:tc>
          <w:tcPr>
            <w:tcW w:w="7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9,259</w:t>
            </w:r>
          </w:p>
        </w:tc>
        <w:tc>
          <w:tcPr>
            <w:tcW w:w="7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xml:space="preserve">Revenue by Customer Type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i w:val="1"/>
                <w:iCs w:val="1"/>
                <w:color w:val="auto"/>
              </w:rPr>
              <w:t>:</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39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3"/>
            <w:vMerge w:val="continue"/>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Defense Customers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5,943</w:t>
            </w:r>
          </w:p>
        </w:tc>
        <w:tc>
          <w:tcPr>
            <w:tcW w:w="740" w:type="dxa"/>
            <w:vAlign w:val="bottom"/>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5,061</w:t>
            </w:r>
          </w:p>
        </w:tc>
        <w:tc>
          <w:tcPr>
            <w:tcW w:w="74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4,230</w:t>
            </w:r>
          </w:p>
        </w:tc>
        <w:tc>
          <w:tcPr>
            <w:tcW w:w="740" w:type="dxa"/>
            <w:vAlign w:val="bottom"/>
            <w:shd w:val="clear" w:color="auto" w:fill="CCEEFF"/>
          </w:tcPr>
          <w:p>
            <w:pPr>
              <w:jc w:val="center"/>
              <w:ind w:right="35"/>
              <w:spacing w:after="0"/>
              <w:rPr>
                <w:sz w:val="20"/>
                <w:szCs w:val="20"/>
                <w:color w:val="auto"/>
              </w:rPr>
            </w:pPr>
            <w:r>
              <w:rPr>
                <w:rFonts w:ascii="Times New Roman" w:cs="Times New Roman" w:eastAsia="Times New Roman" w:hAnsi="Times New Roman"/>
                <w:sz w:val="13"/>
                <w:szCs w:val="13"/>
                <w:color w:val="auto"/>
              </w:rPr>
              <w:t>46%</w:t>
            </w:r>
          </w:p>
        </w:tc>
        <w:tc>
          <w:tcPr>
            <w:tcW w:w="0" w:type="dxa"/>
            <w:vAlign w:val="bottom"/>
          </w:tcPr>
          <w:p>
            <w:pPr>
              <w:spacing w:after="0"/>
              <w:rPr>
                <w:sz w:val="1"/>
                <w:szCs w:val="1"/>
                <w:color w:val="auto"/>
              </w:rPr>
            </w:pPr>
          </w:p>
        </w:tc>
      </w:tr>
      <w:tr>
        <w:trPr>
          <w:trHeight w:val="180"/>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Intelligence Customers</w:t>
            </w:r>
          </w:p>
        </w:tc>
        <w:tc>
          <w:tcPr>
            <w:tcW w:w="460" w:type="dxa"/>
            <w:vAlign w:val="bottom"/>
          </w:tcPr>
          <w:p>
            <w:pPr>
              <w:spacing w:after="0"/>
              <w:rPr>
                <w:sz w:val="15"/>
                <w:szCs w:val="15"/>
                <w:color w:val="auto"/>
              </w:rPr>
            </w:pP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1,867</w:t>
            </w:r>
          </w:p>
        </w:tc>
        <w:tc>
          <w:tcPr>
            <w:tcW w:w="740" w:type="dxa"/>
            <w:vAlign w:val="bottom"/>
          </w:tcPr>
          <w:p>
            <w:pPr>
              <w:jc w:val="center"/>
              <w:ind w:right="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1,763</w:t>
            </w:r>
          </w:p>
        </w:tc>
        <w:tc>
          <w:tcPr>
            <w:tcW w:w="74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rPr>
              <w:t>1,684</w:t>
            </w: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Civil Customers </w:t>
            </w:r>
            <w:r>
              <w:rPr>
                <w:rFonts w:ascii="Times New Roman" w:cs="Times New Roman" w:eastAsia="Times New Roman" w:hAnsi="Times New Roman"/>
                <w:sz w:val="18"/>
                <w:szCs w:val="18"/>
                <w:color w:val="auto"/>
                <w:vertAlign w:val="superscript"/>
              </w:rPr>
              <w:t>(2)</w:t>
            </w:r>
          </w:p>
        </w:tc>
        <w:tc>
          <w:tcPr>
            <w:tcW w:w="4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4,170</w:t>
            </w:r>
          </w:p>
        </w:tc>
        <w:tc>
          <w:tcPr>
            <w:tcW w:w="740" w:type="dxa"/>
            <w:vAlign w:val="bottom"/>
            <w:tcBorders>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3,838</w:t>
            </w:r>
          </w:p>
        </w:tc>
        <w:tc>
          <w:tcPr>
            <w:tcW w:w="740" w:type="dxa"/>
            <w:vAlign w:val="bottom"/>
            <w:tcBorders>
              <w:bottom w:val="single" w:sz="8" w:color="auto"/>
            </w:tcBorders>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center"/>
              <w:ind w:left="169"/>
              <w:spacing w:after="0"/>
              <w:rPr>
                <w:sz w:val="20"/>
                <w:szCs w:val="20"/>
                <w:color w:val="auto"/>
              </w:rPr>
            </w:pPr>
            <w:r>
              <w:rPr>
                <w:rFonts w:ascii="Times New Roman" w:cs="Times New Roman" w:eastAsia="Times New Roman" w:hAnsi="Times New Roman"/>
                <w:sz w:val="14"/>
                <w:szCs w:val="14"/>
                <w:color w:val="auto"/>
              </w:rPr>
              <w:t>3,345</w:t>
            </w:r>
          </w:p>
        </w:tc>
        <w:tc>
          <w:tcPr>
            <w:tcW w:w="740" w:type="dxa"/>
            <w:vAlign w:val="bottom"/>
            <w:tcBorders>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4"/>
                <w:szCs w:val="14"/>
                <w:color w:val="auto"/>
                <w:w w:val="93"/>
              </w:rPr>
              <w:t>36%</w:t>
            </w:r>
          </w:p>
        </w:tc>
        <w:tc>
          <w:tcPr>
            <w:tcW w:w="0" w:type="dxa"/>
            <w:vAlign w:val="bottom"/>
          </w:tcPr>
          <w:p>
            <w:pPr>
              <w:spacing w:after="0"/>
              <w:rPr>
                <w:sz w:val="1"/>
                <w:szCs w:val="1"/>
                <w:color w:val="auto"/>
              </w:rPr>
            </w:pPr>
          </w:p>
        </w:tc>
      </w:tr>
      <w:tr>
        <w:trPr>
          <w:trHeight w:val="171"/>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11,980</w:t>
            </w:r>
          </w:p>
        </w:tc>
        <w:tc>
          <w:tcPr>
            <w:tcW w:w="74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10,662</w:t>
            </w:r>
          </w:p>
        </w:tc>
        <w:tc>
          <w:tcPr>
            <w:tcW w:w="7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center"/>
              <w:ind w:left="169"/>
              <w:spacing w:after="0"/>
              <w:rPr>
                <w:sz w:val="20"/>
                <w:szCs w:val="20"/>
                <w:color w:val="auto"/>
              </w:rPr>
            </w:pPr>
            <w:r>
              <w:rPr>
                <w:rFonts w:ascii="Times New Roman" w:cs="Times New Roman" w:eastAsia="Times New Roman" w:hAnsi="Times New Roman"/>
                <w:sz w:val="14"/>
                <w:szCs w:val="14"/>
                <w:color w:val="auto"/>
              </w:rPr>
              <w:t>9,259</w:t>
            </w: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color w:val="auto"/>
                <w:w w:val="92"/>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640" w:right="140" w:hanging="126"/>
        <w:spacing w:after="0" w:line="234" w:lineRule="auto"/>
        <w:tabs>
          <w:tab w:leader="none" w:pos="641" w:val="left"/>
        </w:tabs>
        <w:numPr>
          <w:ilvl w:val="0"/>
          <w:numId w:val="5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Customer type is based on public market as defined by government agency hierarchy mapping. Certain contracts were reassigned between the various verticals of our U.S. government business shown in the table above to better align our operations to the customers we serve within each market. Comparative periods revenue by customer type has been reclassified to reflect the changes.</w:t>
      </w:r>
    </w:p>
    <w:p>
      <w:pPr>
        <w:spacing w:after="0" w:line="25" w:lineRule="exact"/>
        <w:rPr>
          <w:rFonts w:ascii="Times New Roman" w:cs="Times New Roman" w:eastAsia="Times New Roman" w:hAnsi="Times New Roman"/>
          <w:sz w:val="16"/>
          <w:szCs w:val="16"/>
          <w:color w:val="auto"/>
          <w:vertAlign w:val="superscript"/>
        </w:rPr>
      </w:pPr>
    </w:p>
    <w:p>
      <w:pPr>
        <w:ind w:left="640" w:right="420" w:hanging="126"/>
        <w:spacing w:after="0"/>
        <w:tabs>
          <w:tab w:leader="none" w:pos="641" w:val="left"/>
        </w:tabs>
        <w:numPr>
          <w:ilvl w:val="0"/>
          <w:numId w:val="5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Beginning in fiscal 2025, Civil Customers includes revenue from Global Commercial Customers, which was previously separately reported. Prior periods’ revenues have been reclassified to reflect this change.</w:t>
      </w:r>
    </w:p>
    <w:p>
      <w:pPr>
        <w:spacing w:after="0" w:line="2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Revenue by Whether the Company Acts as Prime Contractor or a Subcontractor:</w:t>
      </w:r>
    </w:p>
    <w:p>
      <w:pPr>
        <w:spacing w:after="0" w:line="25" w:lineRule="exact"/>
        <w:rPr>
          <w:sz w:val="20"/>
          <w:szCs w:val="20"/>
          <w:color w:val="auto"/>
        </w:rPr>
      </w:pPr>
    </w:p>
    <w:tbl>
      <w:tblPr>
        <w:tblLayout w:type="fixed"/>
        <w:tblInd w:w="140"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71"/>
        </w:trPr>
        <w:tc>
          <w:tcPr>
            <w:tcW w:w="39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Prime Contractor</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11,397</w:t>
            </w:r>
          </w:p>
        </w:tc>
        <w:tc>
          <w:tcPr>
            <w:tcW w:w="740" w:type="dxa"/>
            <w:vAlign w:val="bottom"/>
            <w:shd w:val="clear" w:color="auto" w:fill="CCEEFF"/>
          </w:tcPr>
          <w:p>
            <w:pPr>
              <w:jc w:val="center"/>
              <w:ind w:right="49"/>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10,143</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8,756</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w:t>
            </w:r>
          </w:p>
        </w:tc>
      </w:tr>
      <w:tr>
        <w:trPr>
          <w:trHeight w:val="18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Subcontractor</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583</w:t>
            </w:r>
          </w:p>
        </w:tc>
        <w:tc>
          <w:tcPr>
            <w:tcW w:w="74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519</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503</w:t>
            </w: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5%</w:t>
            </w: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11,980</w:t>
            </w:r>
          </w:p>
        </w:tc>
        <w:tc>
          <w:tcPr>
            <w:tcW w:w="740" w:type="dxa"/>
            <w:vAlign w:val="bottom"/>
            <w:tcBorders>
              <w:bottom w:val="single" w:sz="8" w:color="auto"/>
            </w:tcBorders>
            <w:shd w:val="clear" w:color="auto" w:fill="CCEEFF"/>
          </w:tcPr>
          <w:p>
            <w:pPr>
              <w:jc w:val="center"/>
              <w:ind w:right="29"/>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10,662</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9,259</w:t>
            </w:r>
          </w:p>
        </w:tc>
        <w:tc>
          <w:tcPr>
            <w:tcW w:w="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Obligations</w:t>
      </w:r>
    </w:p>
    <w:p>
      <w:pPr>
        <w:spacing w:after="0" w:line="53" w:lineRule="exact"/>
        <w:rPr>
          <w:sz w:val="20"/>
          <w:szCs w:val="20"/>
          <w:color w:val="auto"/>
        </w:rPr>
      </w:pPr>
    </w:p>
    <w:p>
      <w:pPr>
        <w:ind w:right="40" w:firstLine="318"/>
        <w:spacing w:after="0" w:line="287" w:lineRule="auto"/>
        <w:rPr>
          <w:sz w:val="20"/>
          <w:szCs w:val="20"/>
          <w:color w:val="auto"/>
        </w:rPr>
      </w:pPr>
      <w:r>
        <w:rPr>
          <w:rFonts w:ascii="Times New Roman" w:cs="Times New Roman" w:eastAsia="Times New Roman" w:hAnsi="Times New Roman"/>
          <w:sz w:val="14"/>
          <w:szCs w:val="14"/>
          <w:color w:val="auto"/>
        </w:rPr>
        <w:t>As of March 31, 2025 and 2024, the Company had $9.5 billion and $8.7 billion of remaining performance obligations, respectively. We expect to recognize approximately 65% of the remaining performance obligations as of March 31, 2025 as revenue over the next 12 months, and approximately 70% over the next 24 months. The remainder is expected to be recognized thereafter.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contract assets and liabilities, and accounts receivable, net of allowance recognized on the Company’s consolidated balance sheets: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71"/>
        </w:trPr>
        <w:tc>
          <w:tcPr>
            <w:tcW w:w="580" w:type="dxa"/>
            <w:vAlign w:val="bottom"/>
          </w:tcPr>
          <w:p>
            <w:pPr>
              <w:spacing w:after="0"/>
              <w:rPr>
                <w:sz w:val="14"/>
                <w:szCs w:val="14"/>
                <w:color w:val="auto"/>
              </w:rPr>
            </w:pPr>
          </w:p>
        </w:tc>
        <w:tc>
          <w:tcPr>
            <w:tcW w:w="70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r>
      <w:tr>
        <w:trPr>
          <w:trHeight w:val="160"/>
        </w:trPr>
        <w:tc>
          <w:tcPr>
            <w:tcW w:w="580" w:type="dxa"/>
            <w:vAlign w:val="bottom"/>
          </w:tcPr>
          <w:p>
            <w:pPr>
              <w:spacing w:after="0"/>
              <w:rPr>
                <w:sz w:val="13"/>
                <w:szCs w:val="13"/>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tcPr>
          <w:p>
            <w:pPr>
              <w:spacing w:after="0"/>
              <w:rPr>
                <w:sz w:val="13"/>
                <w:szCs w:val="13"/>
                <w:color w:val="auto"/>
              </w:rPr>
            </w:pPr>
          </w:p>
        </w:tc>
      </w:tr>
      <w:tr>
        <w:trPr>
          <w:trHeight w:val="180"/>
        </w:trPr>
        <w:tc>
          <w:tcPr>
            <w:tcW w:w="580" w:type="dxa"/>
            <w:vAlign w:val="bottom"/>
          </w:tcPr>
          <w:p>
            <w:pPr>
              <w:spacing w:after="0"/>
              <w:rPr>
                <w:sz w:val="15"/>
                <w:szCs w:val="15"/>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receivable–billed</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8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receivable–unbilled (contract assets)</w:t>
            </w:r>
          </w:p>
        </w:tc>
        <w:tc>
          <w:tcPr>
            <w:tcW w:w="10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7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0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5"/>
                <w:szCs w:val="15"/>
                <w:color w:val="auto"/>
              </w:rPr>
            </w:pPr>
          </w:p>
        </w:tc>
      </w:tr>
      <w:tr>
        <w:trPr>
          <w:trHeight w:val="171"/>
        </w:trPr>
        <w:tc>
          <w:tcPr>
            <w:tcW w:w="580" w:type="dxa"/>
            <w:vAlign w:val="bottom"/>
          </w:tcPr>
          <w:p>
            <w:pPr>
              <w:spacing w:after="0"/>
              <w:rPr>
                <w:sz w:val="14"/>
                <w:szCs w:val="14"/>
                <w:color w:val="auto"/>
              </w:rPr>
            </w:pPr>
          </w:p>
        </w:tc>
        <w:tc>
          <w:tcPr>
            <w:tcW w:w="7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0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560" w:type="dxa"/>
            <w:vAlign w:val="bottom"/>
          </w:tcPr>
          <w:p>
            <w:pPr>
              <w:spacing w:after="0"/>
              <w:rPr>
                <w:sz w:val="14"/>
                <w:szCs w:val="14"/>
                <w:color w:val="auto"/>
              </w:rPr>
            </w:pPr>
          </w:p>
        </w:tc>
      </w:tr>
      <w:tr>
        <w:trPr>
          <w:trHeight w:val="180"/>
        </w:trPr>
        <w:tc>
          <w:tcPr>
            <w:tcW w:w="580" w:type="dxa"/>
            <w:vAlign w:val="bottom"/>
          </w:tcPr>
          <w:p>
            <w:pPr>
              <w:spacing w:after="0"/>
              <w:rPr>
                <w:sz w:val="15"/>
                <w:szCs w:val="15"/>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0"/>
        </w:trPr>
        <w:tc>
          <w:tcPr>
            <w:tcW w:w="580" w:type="dxa"/>
            <w:vAlign w:val="bottom"/>
          </w:tcPr>
          <w:p>
            <w:pPr>
              <w:spacing w:after="0"/>
              <w:rPr>
                <w:sz w:val="15"/>
                <w:szCs w:val="15"/>
                <w:color w:val="auto"/>
              </w:rPr>
            </w:pPr>
          </w:p>
        </w:tc>
        <w:tc>
          <w:tcPr>
            <w:tcW w:w="7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Accounts receivable–unbilled (contract assets)</w:t>
            </w:r>
          </w:p>
        </w:tc>
        <w:tc>
          <w:tcPr>
            <w:tcW w:w="10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560" w:type="dxa"/>
            <w:vAlign w:val="bottom"/>
          </w:tcPr>
          <w:p>
            <w:pPr>
              <w:spacing w:after="0"/>
              <w:rPr>
                <w:sz w:val="15"/>
                <w:szCs w:val="15"/>
                <w:color w:val="auto"/>
              </w:rPr>
            </w:pPr>
          </w:p>
        </w:tc>
      </w:tr>
      <w:tr>
        <w:trPr>
          <w:trHeight w:val="171"/>
        </w:trPr>
        <w:tc>
          <w:tcPr>
            <w:tcW w:w="580" w:type="dxa"/>
            <w:vAlign w:val="bottom"/>
          </w:tcPr>
          <w:p>
            <w:pPr>
              <w:spacing w:after="0"/>
              <w:rPr>
                <w:sz w:val="14"/>
                <w:szCs w:val="14"/>
                <w:color w:val="auto"/>
              </w:rPr>
            </w:pPr>
          </w:p>
        </w:tc>
        <w:tc>
          <w:tcPr>
            <w:tcW w:w="708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02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2,329</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560" w:type="dxa"/>
            <w:vAlign w:val="bottom"/>
          </w:tcPr>
          <w:p>
            <w:pPr>
              <w:spacing w:after="0"/>
              <w:rPr>
                <w:sz w:val="14"/>
                <w:szCs w:val="14"/>
                <w:color w:val="auto"/>
              </w:rPr>
            </w:pPr>
          </w:p>
        </w:tc>
      </w:tr>
      <w:tr>
        <w:trPr>
          <w:trHeight w:val="20"/>
        </w:trPr>
        <w:tc>
          <w:tcPr>
            <w:tcW w:w="580" w:type="dxa"/>
            <w:vAlign w:val="bottom"/>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42"/>
        </w:trPr>
        <w:tc>
          <w:tcPr>
            <w:tcW w:w="580" w:type="dxa"/>
            <w:vAlign w:val="bottom"/>
          </w:tcPr>
          <w:p>
            <w:pPr>
              <w:spacing w:after="0"/>
              <w:rPr>
                <w:sz w:val="12"/>
                <w:szCs w:val="12"/>
                <w:color w:val="auto"/>
              </w:rPr>
            </w:pPr>
          </w:p>
        </w:tc>
        <w:tc>
          <w:tcPr>
            <w:tcW w:w="70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Other current liabilities</w:t>
            </w:r>
          </w:p>
        </w:tc>
        <w:tc>
          <w:tcPr>
            <w:tcW w:w="10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tcPr>
          <w:p>
            <w:pPr>
              <w:spacing w:after="0"/>
              <w:rPr>
                <w:sz w:val="12"/>
                <w:szCs w:val="12"/>
                <w:color w:val="auto"/>
              </w:rPr>
            </w:pPr>
          </w:p>
        </w:tc>
      </w:tr>
      <w:tr>
        <w:trPr>
          <w:trHeight w:val="184"/>
        </w:trPr>
        <w:tc>
          <w:tcPr>
            <w:tcW w:w="580" w:type="dxa"/>
            <w:vAlign w:val="bottom"/>
          </w:tcPr>
          <w:p>
            <w:pPr>
              <w:spacing w:after="0"/>
              <w:rPr>
                <w:sz w:val="16"/>
                <w:szCs w:val="16"/>
                <w:color w:val="auto"/>
              </w:rPr>
            </w:pPr>
          </w:p>
        </w:tc>
        <w:tc>
          <w:tcPr>
            <w:tcW w:w="7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Advance payments, billings in excess of costs incurred and deferred revenue (contract liabilities)</w:t>
            </w:r>
          </w:p>
        </w:tc>
        <w:tc>
          <w:tcPr>
            <w:tcW w:w="1020" w:type="dxa"/>
            <w:vAlign w:val="bottom"/>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560" w:type="dxa"/>
            <w:vAlign w:val="bottom"/>
          </w:tcPr>
          <w:p>
            <w:pPr>
              <w:spacing w:after="0"/>
              <w:rPr>
                <w:sz w:val="16"/>
                <w:szCs w:val="16"/>
                <w:color w:val="auto"/>
              </w:rPr>
            </w:pPr>
          </w:p>
        </w:tc>
      </w:tr>
      <w:tr>
        <w:trPr>
          <w:trHeight w:val="696"/>
        </w:trPr>
        <w:tc>
          <w:tcPr>
            <w:tcW w:w="580" w:type="dxa"/>
            <w:vAlign w:val="bottom"/>
          </w:tcPr>
          <w:p>
            <w:pPr>
              <w:spacing w:after="0"/>
              <w:rPr>
                <w:sz w:val="24"/>
                <w:szCs w:val="24"/>
                <w:color w:val="auto"/>
              </w:rPr>
            </w:pPr>
          </w:p>
        </w:tc>
        <w:tc>
          <w:tcPr>
            <w:tcW w:w="7080" w:type="dxa"/>
            <w:vAlign w:val="bottom"/>
          </w:tcPr>
          <w:p>
            <w:pPr>
              <w:ind w:left="4940"/>
              <w:spacing w:after="0"/>
              <w:rPr>
                <w:sz w:val="20"/>
                <w:szCs w:val="20"/>
                <w:color w:val="auto"/>
              </w:rPr>
            </w:pPr>
            <w:r>
              <w:rPr>
                <w:rFonts w:ascii="Times New Roman" w:cs="Times New Roman" w:eastAsia="Times New Roman" w:hAnsi="Times New Roman"/>
                <w:sz w:val="14"/>
                <w:szCs w:val="14"/>
                <w:color w:val="auto"/>
              </w:rPr>
              <w:t>F-17</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7"/>
        </w:trPr>
        <w:tc>
          <w:tcPr>
            <w:tcW w:w="580" w:type="dxa"/>
            <w:vAlign w:val="bottom"/>
            <w:tcBorders>
              <w:bottom w:val="single" w:sz="8" w:color="9A9A9A"/>
            </w:tcBorders>
          </w:tcPr>
          <w:p>
            <w:pPr>
              <w:spacing w:after="0"/>
              <w:rPr>
                <w:sz w:val="7"/>
                <w:szCs w:val="7"/>
                <w:color w:val="auto"/>
              </w:rPr>
            </w:pPr>
          </w:p>
        </w:tc>
        <w:tc>
          <w:tcPr>
            <w:tcW w:w="70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75" w:name="page76"/>
    <w:bookmarkEnd w:id="7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To determine revenue recognized from contract liabilities during the reporting periods, the Company allocates revenue recognized during the period to the beginning balances of individual contract liabilities first, until the revenue exceeds the liability balances. For fiscal 2025, 2024 and 2023, we recognized revenue of $12 million, $17 million and $24 million, respectively, related to our contract liabilities on April 1, 2024, 2023 and 2022,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Earnings Per Share</w:t>
      </w:r>
    </w:p>
    <w:p>
      <w:pPr>
        <w:spacing w:after="0" w:line="53" w:lineRule="exact"/>
        <w:rPr>
          <w:sz w:val="20"/>
          <w:szCs w:val="20"/>
          <w:color w:val="auto"/>
        </w:rPr>
      </w:pPr>
    </w:p>
    <w:p>
      <w:pPr>
        <w:ind w:right="240" w:firstLine="318"/>
        <w:spacing w:after="0" w:line="270" w:lineRule="auto"/>
        <w:rPr>
          <w:sz w:val="20"/>
          <w:szCs w:val="20"/>
          <w:color w:val="auto"/>
        </w:rPr>
      </w:pPr>
      <w:r>
        <w:rPr>
          <w:rFonts w:ascii="Times New Roman" w:cs="Times New Roman" w:eastAsia="Times New Roman" w:hAnsi="Times New Roman"/>
          <w:sz w:val="14"/>
          <w:szCs w:val="14"/>
          <w:color w:val="auto"/>
        </w:rPr>
        <w:t>The Company computes basic and diluted earnings per share amounts based on net income attributable to common stockholders for the periods presented. The Company uses the weighted average number of shares of common stock outstanding during the period to calculate basic earnings per share (“EPS”). Diluted EPS adjusts the weighted average number of shares outstanding to include the dilutive effect of outstanding common stock options and other stock-based awards.</w:t>
      </w:r>
    </w:p>
    <w:p>
      <w:pPr>
        <w:spacing w:after="0" w:line="8"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The Company currently has outstanding shares of Class A Common Stock. Holders of unvested Class A Restricted Common Stock are entitled to participate in non-forfeitable dividends or other distributions (“participating securities”). These unvested restricted shares participated in the Company's dividends declared and paid in each quarter of fiscal 2025, 2024, and 2023. As such, EPS is calculated using the two-class method whereby earnings are reduced by distributed earnings as well as any available undistributed earnings allocable to holders of these unvested restricted shares. A reconciliation of the income used to compute basic and diluted EPS for the periods presented are as follows:</w:t>
      </w:r>
    </w:p>
    <w:p>
      <w:pPr>
        <w:spacing w:after="0" w:line="1"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16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0"/>
        </w:trPr>
        <w:tc>
          <w:tcPr>
            <w:tcW w:w="61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 xml:space="preserve">Numerator: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Earnings for basic computations</w:t>
            </w: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Earnings for diluted computations</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80"/>
        </w:trPr>
        <w:tc>
          <w:tcPr>
            <w:tcW w:w="6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Weighted-average common stock shares outstanding, basic</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127,763,166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130,366,501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132,161,646</w:t>
            </w:r>
          </w:p>
        </w:tc>
        <w:tc>
          <w:tcPr>
            <w:tcW w:w="0" w:type="dxa"/>
            <w:vAlign w:val="bottom"/>
          </w:tcPr>
          <w:p>
            <w:pPr>
              <w:spacing w:after="0"/>
              <w:rPr>
                <w:sz w:val="1"/>
                <w:szCs w:val="1"/>
                <w:color w:val="auto"/>
              </w:rPr>
            </w:pPr>
          </w:p>
        </w:tc>
      </w:tr>
      <w:tr>
        <w:trPr>
          <w:trHeight w:val="180"/>
        </w:trPr>
        <w:tc>
          <w:tcPr>
            <w:tcW w:w="6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Dilutive stock options and restricted stock</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527,251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449,402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554,790</w:t>
            </w:r>
          </w:p>
        </w:tc>
        <w:tc>
          <w:tcPr>
            <w:tcW w:w="0" w:type="dxa"/>
            <w:vAlign w:val="bottom"/>
          </w:tcPr>
          <w:p>
            <w:pPr>
              <w:spacing w:after="0"/>
              <w:rPr>
                <w:sz w:val="1"/>
                <w:szCs w:val="1"/>
                <w:color w:val="auto"/>
              </w:rPr>
            </w:pPr>
          </w:p>
        </w:tc>
      </w:tr>
      <w:tr>
        <w:trPr>
          <w:trHeight w:val="180"/>
        </w:trPr>
        <w:tc>
          <w:tcPr>
            <w:tcW w:w="6160" w:type="dxa"/>
            <w:vAlign w:val="bottom"/>
            <w:shd w:val="clear" w:color="auto" w:fill="CCEEFF"/>
          </w:tcPr>
          <w:p>
            <w:pPr>
              <w:ind w:left="200"/>
              <w:spacing w:after="0" w:line="181" w:lineRule="exact"/>
              <w:rPr>
                <w:sz w:val="20"/>
                <w:szCs w:val="20"/>
                <w:color w:val="auto"/>
              </w:rPr>
            </w:pPr>
            <w:r>
              <w:rPr>
                <w:rFonts w:ascii="Times New Roman" w:cs="Times New Roman" w:eastAsia="Times New Roman" w:hAnsi="Times New Roman"/>
                <w:sz w:val="14"/>
                <w:szCs w:val="14"/>
                <w:color w:val="auto"/>
              </w:rPr>
              <w:t xml:space="preserve">Weighted-average common stock shares outstanding, diluted </w:t>
            </w:r>
            <w:r>
              <w:rPr>
                <w:rFonts w:ascii="Times New Roman" w:cs="Times New Roman" w:eastAsia="Times New Roman" w:hAnsi="Times New Roman"/>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128,290,417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130,815,903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132,716,436</w:t>
            </w:r>
          </w:p>
        </w:tc>
        <w:tc>
          <w:tcPr>
            <w:tcW w:w="0" w:type="dxa"/>
            <w:vAlign w:val="bottom"/>
          </w:tcPr>
          <w:p>
            <w:pPr>
              <w:spacing w:after="0"/>
              <w:rPr>
                <w:sz w:val="1"/>
                <w:szCs w:val="1"/>
                <w:color w:val="auto"/>
              </w:rPr>
            </w:pPr>
          </w:p>
        </w:tc>
      </w:tr>
      <w:tr>
        <w:trPr>
          <w:trHeight w:val="180"/>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Earnings per share of common share:</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280"/>
              <w:spacing w:after="0" w:line="182" w:lineRule="exact"/>
              <w:rPr>
                <w:sz w:val="20"/>
                <w:szCs w:val="20"/>
                <w:color w:val="auto"/>
              </w:rPr>
            </w:pPr>
            <w:r>
              <w:rPr>
                <w:rFonts w:ascii="Times New Roman" w:cs="Times New Roman" w:eastAsia="Times New Roman" w:hAnsi="Times New Roman"/>
                <w:sz w:val="14"/>
                <w:szCs w:val="14"/>
                <w:color w:val="auto"/>
              </w:rPr>
              <w:t xml:space="preserve">Diluted </w:t>
            </w:r>
            <w:r>
              <w:rPr>
                <w:rFonts w:ascii="Times New Roman" w:cs="Times New Roman" w:eastAsia="Times New Roman" w:hAnsi="Times New Roman"/>
                <w:sz w:val="18"/>
                <w:szCs w:val="18"/>
                <w:color w:val="auto"/>
                <w:vertAlign w:val="superscript"/>
              </w:rPr>
              <w:t>(2)</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520" w:right="100" w:hanging="133"/>
        <w:spacing w:after="0" w:line="263" w:lineRule="auto"/>
        <w:tabs>
          <w:tab w:leader="none" w:pos="523" w:val="left"/>
        </w:tabs>
        <w:numPr>
          <w:ilvl w:val="1"/>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difference between earnings for basic and diluted computations and net income presented on the consolidated statements of operations is due to undistributed earnings and dividends allocated to the participating securities. During fiscal 2025, 2024, and 2023, respectively, approximately 0.7 million, 1.1 million, and 1.1 million shares of participating securities were paid dividends totaling $1 million, $2 million, and $2 million, respectively. There were undistributed earnings of $4 million, $3 million, and less than a million allocated to the participating class of securities in both basic and diluted earnings per share of common stock for fiscal 2025, 2024, and 2023, respectively.</w:t>
      </w:r>
    </w:p>
    <w:p>
      <w:pPr>
        <w:spacing w:after="0" w:line="4" w:lineRule="exact"/>
        <w:rPr>
          <w:rFonts w:ascii="Times New Roman" w:cs="Times New Roman" w:eastAsia="Times New Roman" w:hAnsi="Times New Roman"/>
          <w:sz w:val="17"/>
          <w:szCs w:val="17"/>
          <w:color w:val="auto"/>
          <w:vertAlign w:val="superscript"/>
        </w:rPr>
      </w:pPr>
    </w:p>
    <w:p>
      <w:pPr>
        <w:ind w:left="520" w:hanging="133"/>
        <w:spacing w:after="0"/>
        <w:tabs>
          <w:tab w:leader="none" w:pos="520" w:val="left"/>
        </w:tabs>
        <w:numPr>
          <w:ilvl w:val="1"/>
          <w:numId w:val="5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impact of anti-dilutive options excluded from the calculation of diluted EPS was not material during the periods presented.</w:t>
      </w:r>
    </w:p>
    <w:p>
      <w:pPr>
        <w:spacing w:after="0" w:line="68" w:lineRule="exact"/>
        <w:rPr>
          <w:rFonts w:ascii="Times New Roman" w:cs="Times New Roman" w:eastAsia="Times New Roman" w:hAnsi="Times New Roman"/>
          <w:sz w:val="17"/>
          <w:szCs w:val="17"/>
          <w:color w:val="auto"/>
          <w:vertAlign w:val="superscript"/>
        </w:rPr>
      </w:pPr>
    </w:p>
    <w:p>
      <w:pPr>
        <w:ind w:left="140" w:hanging="135"/>
        <w:spacing w:after="0"/>
        <w:tabs>
          <w:tab w:leader="none" w:pos="140" w:val="left"/>
        </w:tabs>
        <w:numPr>
          <w:ilvl w:val="0"/>
          <w:numId w:val="6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Acquisitions and 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Everwatch Corp.</w:t>
      </w:r>
    </w:p>
    <w:p>
      <w:pPr>
        <w:spacing w:after="0" w:line="53" w:lineRule="exact"/>
        <w:rPr>
          <w:sz w:val="20"/>
          <w:szCs w:val="20"/>
          <w:color w:val="auto"/>
        </w:rPr>
      </w:pPr>
    </w:p>
    <w:p>
      <w:pPr>
        <w:ind w:right="100" w:firstLine="318"/>
        <w:spacing w:after="0" w:line="270" w:lineRule="auto"/>
        <w:rPr>
          <w:sz w:val="20"/>
          <w:szCs w:val="20"/>
          <w:color w:val="auto"/>
        </w:rPr>
      </w:pPr>
      <w:r>
        <w:rPr>
          <w:rFonts w:ascii="Times New Roman" w:cs="Times New Roman" w:eastAsia="Times New Roman" w:hAnsi="Times New Roman"/>
          <w:sz w:val="14"/>
          <w:szCs w:val="14"/>
          <w:color w:val="auto"/>
        </w:rPr>
        <w:t>On October 14, 2022, the Company completed the acquisition of EverWatch Corp. (“EverWatch”), a leading provider of advanced solutions to the defense and intelligence communities for approximately $445 million, net of post-closing adjustments and also incurred transaction costs as part of the acquisition. The acquisition was funded with cash on hand and was accounted for under the acquisition method of accounting. As a result of the transaction, EverWatch became a wholly owned subsidiary of Booz Allen Hamilton Inc.</w:t>
      </w:r>
    </w:p>
    <w:p>
      <w:pPr>
        <w:spacing w:after="0" w:line="8"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4"/>
          <w:szCs w:val="14"/>
          <w:color w:val="auto"/>
        </w:rPr>
        <w:t>The Company recognized $109 million of intangible assets which consists primarily of contract assets and were valued using the excess earnings method discounted cash flow approach, incorporating Level 3 inputs as described under the fair value hierarchy of Topic 820. These unobservable inputs reflect the Company's own judgment about which assumptions market participants would use in pricing an asset on a non-recurring basis. The intangible assets will be amortized over the estimated useful life of fourteen years. The goodwill of $331 million is primarily attributable to EverWatch's specialized workforce and the expected synergies between the Company and EverWatch, and is non-deductible for tax purposes.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76" w:name="page77"/>
    <w:bookmarkEnd w:id="7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PAR Government Systems Corporation</w:t>
      </w:r>
    </w:p>
    <w:p>
      <w:pPr>
        <w:spacing w:after="0" w:line="5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On June 7, 2024, the Company completed the acquisition of PAR Government Systems Corporation (“PGSC”), previously a wholly owned subsidiary of PAR Technology Corporation, for approximately $99 million, net of post-closing adjustments and incurred transaction costs as part of the acquisition. PGSC was founded in 1985 and headquartered in Rome, New York, and delivers differentiated services and solutions in strategic mission areas, including the provision of real-time communications and mobile situational awareness to maintain battlespace dominance for a range of government customers. The acquisition was funded with cash on hand. As a result of the transaction, PGSC became a wholly owned subsidiary of Booz Allen Hamilton Inc.</w:t>
      </w:r>
    </w:p>
    <w:p>
      <w:pPr>
        <w:spacing w:after="0" w:line="13" w:lineRule="exact"/>
        <w:rPr>
          <w:sz w:val="20"/>
          <w:szCs w:val="20"/>
          <w:color w:val="auto"/>
        </w:rPr>
      </w:pPr>
    </w:p>
    <w:p>
      <w:pPr>
        <w:ind w:right="20" w:firstLine="318"/>
        <w:spacing w:after="0" w:line="284" w:lineRule="auto"/>
        <w:rPr>
          <w:sz w:val="20"/>
          <w:szCs w:val="20"/>
          <w:color w:val="auto"/>
        </w:rPr>
      </w:pPr>
      <w:r>
        <w:rPr>
          <w:rFonts w:ascii="Times New Roman" w:cs="Times New Roman" w:eastAsia="Times New Roman" w:hAnsi="Times New Roman"/>
          <w:sz w:val="14"/>
          <w:szCs w:val="14"/>
          <w:color w:val="auto"/>
        </w:rPr>
        <w:t>The acquisition was accounted for under the acquisition method of accounting. The Company completed the determination of fair values of the acquired assets and liabilities assumed during the fourth quarter of fiscal 2025.</w:t>
      </w:r>
    </w:p>
    <w:p>
      <w:pPr>
        <w:spacing w:after="0" w:line="1" w:lineRule="exact"/>
        <w:rPr>
          <w:sz w:val="20"/>
          <w:szCs w:val="20"/>
          <w:color w:val="auto"/>
        </w:rPr>
      </w:pPr>
    </w:p>
    <w:p>
      <w:pPr>
        <w:ind w:right="480" w:firstLine="318"/>
        <w:spacing w:after="0" w:line="287" w:lineRule="auto"/>
        <w:rPr>
          <w:sz w:val="20"/>
          <w:szCs w:val="20"/>
          <w:color w:val="auto"/>
        </w:rPr>
      </w:pPr>
      <w:r>
        <w:rPr>
          <w:rFonts w:ascii="Times New Roman" w:cs="Times New Roman" w:eastAsia="Times New Roman" w:hAnsi="Times New Roman"/>
          <w:sz w:val="14"/>
          <w:szCs w:val="14"/>
          <w:color w:val="auto"/>
        </w:rPr>
        <w:t>The goodwill recognized of $61 million is primarily attributable to PGSC’s specialized workforce and the expected synergies between the Company and PGSC, and is deductible for tax purposes. The intangible assets recognized of $27 million consist primarily of contract assets and are being amortized over the estimated useful life of twelve years.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Divestitures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Middle East and North Africa Management Consulting Business</w:t>
      </w:r>
    </w:p>
    <w:p>
      <w:pPr>
        <w:spacing w:after="0" w:line="53"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On September 1, 2022, the Company completed the divestiture of its management consulting business serving the Middle East and North Africa (“MENA”) region to Oliver Wyman, a global management consulting firm and a business of Marsh McLennan. The divestiture was substantially comprised of the contracts associated with the MENA business, the assets and liabilities associated with those contracts, and the workforce that provides services under those contracts.</w:t>
      </w:r>
    </w:p>
    <w:p>
      <w:pPr>
        <w:spacing w:after="0" w:line="8"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As a result of this transaction, the Company de-recognized the assets and liabilities associated with the MENA business and recognized a pre-tax gain of $31 million in the second quarter of fiscal 2023, which is reflected in other income (expense), net, on the consolidated statement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Goodwill and Intangible Assets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53" w:lineRule="exact"/>
        <w:rPr>
          <w:sz w:val="20"/>
          <w:szCs w:val="20"/>
          <w:color w:val="auto"/>
        </w:rPr>
      </w:pPr>
    </w:p>
    <w:p>
      <w:pPr>
        <w:ind w:right="240" w:firstLine="318"/>
        <w:spacing w:after="0" w:line="287" w:lineRule="auto"/>
        <w:rPr>
          <w:sz w:val="20"/>
          <w:szCs w:val="20"/>
          <w:color w:val="auto"/>
        </w:rPr>
      </w:pPr>
      <w:r>
        <w:rPr>
          <w:rFonts w:ascii="Times New Roman" w:cs="Times New Roman" w:eastAsia="Times New Roman" w:hAnsi="Times New Roman"/>
          <w:sz w:val="14"/>
          <w:szCs w:val="14"/>
          <w:color w:val="auto"/>
        </w:rPr>
        <w:t>Goodwill was $2,405 million and $2,344 million as of March 31, 2025 and March 31, 2024, respectively. The $61 million increase in the carrying amount of goodwill was attributable to the Company's finalization of the accounting for the acquisition of PGSC.</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352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Intangible assets consisted of the following:</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2"/>
        </w:trPr>
        <w:tc>
          <w:tcPr>
            <w:tcW w:w="4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140" w:type="dxa"/>
            <w:vAlign w:val="bottom"/>
            <w:gridSpan w:val="3"/>
          </w:tcPr>
          <w:p>
            <w:pPr>
              <w:jc w:val="center"/>
              <w:ind w:right="80"/>
              <w:spacing w:after="0" w:line="133"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1"/>
                <w:szCs w:val="11"/>
                <w:color w:val="auto"/>
              </w:rPr>
            </w:pPr>
          </w:p>
        </w:tc>
        <w:tc>
          <w:tcPr>
            <w:tcW w:w="1340" w:type="dxa"/>
            <w:vAlign w:val="bottom"/>
            <w:gridSpan w:val="2"/>
          </w:tcPr>
          <w:p>
            <w:pPr>
              <w:ind w:left="16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920" w:type="dxa"/>
            <w:vAlign w:val="bottom"/>
          </w:tcPr>
          <w:p>
            <w:pPr>
              <w:jc w:val="center"/>
              <w:ind w:right="9"/>
              <w:spacing w:after="0" w:line="133"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1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1"/>
                <w:szCs w:val="11"/>
                <w:color w:val="auto"/>
              </w:rPr>
            </w:pPr>
          </w:p>
        </w:tc>
        <w:tc>
          <w:tcPr>
            <w:tcW w:w="13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60" w:type="dxa"/>
            <w:vAlign w:val="bottom"/>
          </w:tcPr>
          <w:p>
            <w:pPr>
              <w:jc w:val="right"/>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86"/>
        </w:trPr>
        <w:tc>
          <w:tcPr>
            <w:tcW w:w="4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6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1"/>
        </w:trPr>
        <w:tc>
          <w:tcPr>
            <w:tcW w:w="440" w:type="dxa"/>
            <w:vAlign w:val="bottom"/>
          </w:tcPr>
          <w:p>
            <w:pPr>
              <w:spacing w:after="0"/>
              <w:rPr>
                <w:sz w:val="13"/>
                <w:szCs w:val="13"/>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Amortizable intangible assets:</w:t>
            </w: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r>
      <w:tr>
        <w:trPr>
          <w:trHeight w:val="144"/>
        </w:trPr>
        <w:tc>
          <w:tcPr>
            <w:tcW w:w="440" w:type="dxa"/>
            <w:vAlign w:val="bottom"/>
          </w:tcPr>
          <w:p>
            <w:pPr>
              <w:spacing w:after="0"/>
              <w:rPr>
                <w:sz w:val="12"/>
                <w:szCs w:val="12"/>
                <w:color w:val="auto"/>
              </w:rPr>
            </w:pPr>
          </w:p>
        </w:tc>
        <w:tc>
          <w:tcPr>
            <w:tcW w:w="3080" w:type="dxa"/>
            <w:vAlign w:val="bottom"/>
          </w:tcPr>
          <w:p>
            <w:pPr>
              <w:ind w:left="160"/>
              <w:spacing w:after="0" w:line="145" w:lineRule="exact"/>
              <w:rPr>
                <w:sz w:val="20"/>
                <w:szCs w:val="20"/>
                <w:color w:val="auto"/>
              </w:rPr>
            </w:pPr>
            <w:r>
              <w:rPr>
                <w:rFonts w:ascii="Times New Roman" w:cs="Times New Roman" w:eastAsia="Times New Roman" w:hAnsi="Times New Roman"/>
                <w:sz w:val="14"/>
                <w:szCs w:val="14"/>
                <w:color w:val="auto"/>
              </w:rPr>
              <w:t>Customer contracts and related customer</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84"/>
        </w:trPr>
        <w:tc>
          <w:tcPr>
            <w:tcW w:w="44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relationships</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8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8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w:t>
            </w:r>
          </w:p>
        </w:tc>
      </w:tr>
      <w:tr>
        <w:trPr>
          <w:trHeight w:val="181"/>
        </w:trPr>
        <w:tc>
          <w:tcPr>
            <w:tcW w:w="440" w:type="dxa"/>
            <w:vAlign w:val="bottom"/>
          </w:tcPr>
          <w:p>
            <w:pPr>
              <w:spacing w:after="0"/>
              <w:rPr>
                <w:sz w:val="15"/>
                <w:szCs w:val="15"/>
                <w:color w:val="auto"/>
              </w:rPr>
            </w:pPr>
          </w:p>
        </w:tc>
        <w:tc>
          <w:tcPr>
            <w:tcW w:w="3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Software</w:t>
            </w: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71"/>
        </w:trPr>
        <w:tc>
          <w:tcPr>
            <w:tcW w:w="440" w:type="dxa"/>
            <w:vAlign w:val="bottom"/>
          </w:tcPr>
          <w:p>
            <w:pPr>
              <w:spacing w:after="0"/>
              <w:rPr>
                <w:sz w:val="14"/>
                <w:szCs w:val="14"/>
                <w:color w:val="auto"/>
              </w:rPr>
            </w:pPr>
          </w:p>
        </w:tc>
        <w:tc>
          <w:tcPr>
            <w:tcW w:w="3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amortizable intangible assets</w:t>
            </w: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160"/>
        </w:trPr>
        <w:tc>
          <w:tcPr>
            <w:tcW w:w="440" w:type="dxa"/>
            <w:vAlign w:val="bottom"/>
          </w:tcPr>
          <w:p>
            <w:pPr>
              <w:spacing w:after="0"/>
              <w:rPr>
                <w:sz w:val="13"/>
                <w:szCs w:val="13"/>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Unamortizable intangible assets:</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80"/>
        </w:trPr>
        <w:tc>
          <w:tcPr>
            <w:tcW w:w="440" w:type="dxa"/>
            <w:vAlign w:val="bottom"/>
          </w:tcPr>
          <w:p>
            <w:pPr>
              <w:spacing w:after="0"/>
              <w:rPr>
                <w:sz w:val="15"/>
                <w:szCs w:val="15"/>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Trade name</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196"/>
        </w:trPr>
        <w:tc>
          <w:tcPr>
            <w:tcW w:w="440" w:type="dxa"/>
            <w:vAlign w:val="bottom"/>
          </w:tcPr>
          <w:p>
            <w:pPr>
              <w:spacing w:after="0"/>
              <w:rPr>
                <w:sz w:val="16"/>
                <w:szCs w:val="16"/>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w:t>
            </w:r>
          </w:p>
        </w:tc>
      </w:tr>
      <w:tr>
        <w:trPr>
          <w:trHeight w:val="20"/>
        </w:trPr>
        <w:tc>
          <w:tcPr>
            <w:tcW w:w="44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$27 million increase in the gross carrying value of amortizable intangible assets (excluding software) was primarily attributable to the Company’s acquisition of PGSC.</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Amortization expense for fiscal 2025, 2024, and 2023 was $95 million, $93 million, and $94 million, respectively.</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77" w:name="page78"/>
    <w:bookmarkEnd w:id="7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estimated annual amortization expense for future periods: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Fiscal Year Ended March 31,</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000" w:type="dxa"/>
            <w:vAlign w:val="bottom"/>
            <w:gridSpan w:val="2"/>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estimated amortization expense</w:t>
            </w: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7. Property and Equipment, Net</w:t>
            </w:r>
          </w:p>
        </w:tc>
        <w:tc>
          <w:tcPr>
            <w:tcW w:w="55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160" w:type="dxa"/>
            <w:vAlign w:val="bottom"/>
            <w:gridSpan w:val="2"/>
            <w:vMerge w:val="continue"/>
          </w:tcPr>
          <w:p>
            <w:pPr>
              <w:spacing w:after="0"/>
              <w:rPr>
                <w:sz w:val="24"/>
                <w:szCs w:val="24"/>
                <w:color w:val="auto"/>
              </w:rPr>
            </w:pPr>
          </w:p>
        </w:tc>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720" w:type="dxa"/>
            <w:vAlign w:val="bottom"/>
            <w:gridSpan w:val="3"/>
          </w:tcPr>
          <w:p>
            <w:pPr>
              <w:ind w:left="320"/>
              <w:spacing w:after="0"/>
              <w:rPr>
                <w:sz w:val="20"/>
                <w:szCs w:val="20"/>
                <w:color w:val="auto"/>
              </w:rPr>
            </w:pPr>
            <w:r>
              <w:rPr>
                <w:rFonts w:ascii="Times New Roman" w:cs="Times New Roman" w:eastAsia="Times New Roman" w:hAnsi="Times New Roman"/>
                <w:sz w:val="14"/>
                <w:szCs w:val="14"/>
                <w:color w:val="auto"/>
              </w:rPr>
              <w:t>The components of property and equipment, net were as follows: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556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spacing w:after="0"/>
              <w:rPr>
                <w:sz w:val="14"/>
                <w:szCs w:val="14"/>
                <w:color w:val="auto"/>
              </w:rPr>
            </w:pP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113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equipment</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jc w:val="center"/>
              <w:ind w:left="629"/>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236</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629"/>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458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jc w:val="center"/>
              <w:ind w:left="629"/>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7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8"/>
              </w:rPr>
              <w:t>(281)</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589"/>
              <w:spacing w:after="0"/>
              <w:rPr>
                <w:sz w:val="20"/>
                <w:szCs w:val="20"/>
                <w:color w:val="auto"/>
              </w:rPr>
            </w:pPr>
            <w:r>
              <w:rPr>
                <w:rFonts w:ascii="Times New Roman" w:cs="Times New Roman" w:eastAsia="Times New Roman" w:hAnsi="Times New Roman"/>
                <w:sz w:val="14"/>
                <w:szCs w:val="14"/>
                <w:color w:val="auto"/>
                <w:w w:val="98"/>
              </w:rPr>
              <w:t>(311)</w:t>
            </w:r>
          </w:p>
        </w:tc>
        <w:tc>
          <w:tcPr>
            <w:tcW w:w="0" w:type="dxa"/>
            <w:vAlign w:val="bottom"/>
          </w:tcPr>
          <w:p>
            <w:pPr>
              <w:spacing w:after="0"/>
              <w:rPr>
                <w:sz w:val="1"/>
                <w:szCs w:val="1"/>
                <w:color w:val="auto"/>
              </w:rPr>
            </w:pPr>
          </w:p>
        </w:tc>
      </w:tr>
      <w:tr>
        <w:trPr>
          <w:trHeight w:val="171"/>
        </w:trPr>
        <w:tc>
          <w:tcPr>
            <w:tcW w:w="600" w:type="dxa"/>
            <w:vAlign w:val="bottom"/>
          </w:tcPr>
          <w:p>
            <w:pPr>
              <w:spacing w:after="0"/>
              <w:rPr>
                <w:sz w:val="14"/>
                <w:szCs w:val="14"/>
                <w:color w:val="auto"/>
              </w:rPr>
            </w:pPr>
          </w:p>
        </w:tc>
        <w:tc>
          <w:tcPr>
            <w:tcW w:w="71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177</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center"/>
              <w:ind w:left="629"/>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Depreciation expense relating to property and equipment for fiscal 2025, 2024, and 2023 was $41 million, $41 million, and $43 million, respectively. Amortization expense related to leasehold improvements for fiscal 2025, 2024, and 2023 was $29 million, $30 million, and $28 million, respectively. During fiscal 2025 and 2024, the Company reduced the gross cost and accumulated depreciation and amortization by $90 million and $36 million, respectively, for zero net book value assets deemed no longer in service.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8. Accounts Payable and Other Accrued Expenses</w:t>
            </w: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74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Accounts payable and other accrued expenses consisted of the following:</w:t>
            </w: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8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71"/>
        </w:trPr>
        <w:tc>
          <w:tcPr>
            <w:tcW w:w="840" w:type="dxa"/>
            <w:vAlign w:val="bottom"/>
          </w:tcPr>
          <w:p>
            <w:pPr>
              <w:spacing w:after="0"/>
              <w:rPr>
                <w:sz w:val="14"/>
                <w:szCs w:val="14"/>
                <w:color w:val="auto"/>
              </w:rPr>
            </w:pPr>
          </w:p>
        </w:tc>
        <w:tc>
          <w:tcPr>
            <w:tcW w:w="664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40" w:type="dxa"/>
            <w:vAlign w:val="bottom"/>
          </w:tcPr>
          <w:p>
            <w:pPr>
              <w:spacing w:after="0"/>
              <w:rPr>
                <w:sz w:val="14"/>
                <w:szCs w:val="14"/>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Vendor payables</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r>
      <w:tr>
        <w:trPr>
          <w:trHeight w:val="180"/>
        </w:trPr>
        <w:tc>
          <w:tcPr>
            <w:tcW w:w="840" w:type="dxa"/>
            <w:vAlign w:val="bottom"/>
          </w:tcPr>
          <w:p>
            <w:pPr>
              <w:spacing w:after="0"/>
              <w:rPr>
                <w:sz w:val="15"/>
                <w:szCs w:val="15"/>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claimed costs</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180"/>
        </w:trPr>
        <w:tc>
          <w:tcPr>
            <w:tcW w:w="840" w:type="dxa"/>
            <w:vAlign w:val="bottom"/>
          </w:tcPr>
          <w:p>
            <w:pPr>
              <w:spacing w:after="0"/>
              <w:rPr>
                <w:sz w:val="15"/>
                <w:szCs w:val="15"/>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840" w:type="dxa"/>
            <w:vAlign w:val="bottom"/>
          </w:tcPr>
          <w:p>
            <w:pPr>
              <w:spacing w:after="0"/>
              <w:rPr>
                <w:sz w:val="15"/>
                <w:szCs w:val="15"/>
                <w:color w:val="auto"/>
              </w:rPr>
            </w:pPr>
          </w:p>
        </w:tc>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0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6"/>
        </w:trPr>
        <w:tc>
          <w:tcPr>
            <w:tcW w:w="840" w:type="dxa"/>
            <w:vAlign w:val="bottom"/>
          </w:tcPr>
          <w:p>
            <w:pPr>
              <w:spacing w:after="0"/>
              <w:rPr>
                <w:sz w:val="16"/>
                <w:szCs w:val="16"/>
                <w:color w:val="auto"/>
              </w:rPr>
            </w:pPr>
          </w:p>
        </w:tc>
        <w:tc>
          <w:tcPr>
            <w:tcW w:w="66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accounts payable and other accrued expenses</w:t>
            </w:r>
          </w:p>
        </w:tc>
        <w:tc>
          <w:tcPr>
            <w:tcW w:w="1020" w:type="dxa"/>
            <w:vAlign w:val="bottom"/>
            <w:tcBorders>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w:t>
            </w:r>
          </w:p>
        </w:tc>
      </w:tr>
      <w:tr>
        <w:trPr>
          <w:trHeight w:val="20"/>
        </w:trPr>
        <w:tc>
          <w:tcPr>
            <w:tcW w:w="84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See Note 19, “Commitments and Contingencies,” to the consolidated financial statements for information on the Company’s provision for claimed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9. Accrued Compensation and Benefits</w:t>
            </w: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7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Accrued compensation and benefits consisted of the following:</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88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7"/>
                <w:szCs w:val="17"/>
                <w:color w:val="auto"/>
              </w:rPr>
            </w:pPr>
          </w:p>
        </w:tc>
      </w:tr>
      <w:tr>
        <w:trPr>
          <w:trHeight w:val="171"/>
        </w:trPr>
        <w:tc>
          <w:tcPr>
            <w:tcW w:w="880" w:type="dxa"/>
            <w:vAlign w:val="bottom"/>
          </w:tcPr>
          <w:p>
            <w:pPr>
              <w:spacing w:after="0"/>
              <w:rPr>
                <w:sz w:val="14"/>
                <w:szCs w:val="14"/>
                <w:color w:val="auto"/>
              </w:rPr>
            </w:pPr>
          </w:p>
        </w:tc>
        <w:tc>
          <w:tcPr>
            <w:tcW w:w="65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80" w:type="dxa"/>
            <w:vAlign w:val="bottom"/>
          </w:tcPr>
          <w:p>
            <w:pPr>
              <w:spacing w:after="0"/>
              <w:rPr>
                <w:sz w:val="14"/>
                <w:szCs w:val="14"/>
                <w:color w:val="auto"/>
              </w:rPr>
            </w:pPr>
          </w:p>
        </w:tc>
        <w:tc>
          <w:tcPr>
            <w:tcW w:w="65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Accrued payroll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880" w:type="dxa"/>
            <w:vAlign w:val="bottom"/>
          </w:tcPr>
          <w:p>
            <w:pPr>
              <w:spacing w:after="0"/>
              <w:rPr>
                <w:sz w:val="15"/>
                <w:szCs w:val="15"/>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color w:val="auto"/>
              </w:rPr>
              <w:t>Accrued retirement</w:t>
            </w:r>
          </w:p>
        </w:tc>
        <w:tc>
          <w:tcPr>
            <w:tcW w:w="10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80"/>
        </w:trPr>
        <w:tc>
          <w:tcPr>
            <w:tcW w:w="880" w:type="dxa"/>
            <w:vAlign w:val="bottom"/>
          </w:tcPr>
          <w:p>
            <w:pPr>
              <w:spacing w:after="0"/>
              <w:rPr>
                <w:sz w:val="15"/>
                <w:szCs w:val="15"/>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paid time off</w:t>
            </w:r>
          </w:p>
        </w:tc>
        <w:tc>
          <w:tcPr>
            <w:tcW w:w="10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r>
      <w:tr>
        <w:trPr>
          <w:trHeight w:val="180"/>
        </w:trPr>
        <w:tc>
          <w:tcPr>
            <w:tcW w:w="880" w:type="dxa"/>
            <w:vAlign w:val="bottom"/>
          </w:tcPr>
          <w:p>
            <w:pPr>
              <w:spacing w:after="0"/>
              <w:rPr>
                <w:sz w:val="15"/>
                <w:szCs w:val="15"/>
                <w:color w:val="auto"/>
              </w:rPr>
            </w:pPr>
          </w:p>
        </w:tc>
        <w:tc>
          <w:tcPr>
            <w:tcW w:w="6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96"/>
        </w:trPr>
        <w:tc>
          <w:tcPr>
            <w:tcW w:w="880" w:type="dxa"/>
            <w:vAlign w:val="bottom"/>
          </w:tcPr>
          <w:p>
            <w:pPr>
              <w:spacing w:after="0"/>
              <w:rPr>
                <w:sz w:val="16"/>
                <w:szCs w:val="16"/>
                <w:color w:val="auto"/>
              </w:rPr>
            </w:pPr>
          </w:p>
        </w:tc>
        <w:tc>
          <w:tcPr>
            <w:tcW w:w="6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accrued compensation and benefits</w:t>
            </w: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20"/>
        </w:trPr>
        <w:tc>
          <w:tcPr>
            <w:tcW w:w="880" w:type="dxa"/>
            <w:vAlign w:val="bottom"/>
          </w:tcPr>
          <w:p>
            <w:pPr>
              <w:spacing w:after="0" w:line="20" w:lineRule="exact"/>
              <w:rPr>
                <w:sz w:val="1"/>
                <w:szCs w:val="1"/>
                <w:color w:val="auto"/>
              </w:rPr>
            </w:pPr>
          </w:p>
        </w:tc>
        <w:tc>
          <w:tcPr>
            <w:tcW w:w="6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5520" w:hanging="4942"/>
        <w:spacing w:after="0" w:line="503" w:lineRule="auto"/>
        <w:tabs>
          <w:tab w:leader="none" w:pos="717" w:val="left"/>
        </w:tabs>
        <w:numPr>
          <w:ilvl w:val="0"/>
          <w:numId w:val="6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balance in accrued payroll includes salary, bonuses and related payroll tax liabilities. Fiscal 2025 includes the effect of the shift in the Company’s payroll cadence during fiscal 2025.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302260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63" w:right="379" w:bottom="1440" w:gutter="0" w:footer="0" w:header="0"/>
        </w:sectPr>
      </w:pPr>
    </w:p>
    <w:bookmarkStart w:id="78" w:name="page79"/>
    <w:bookmarkEnd w:id="7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Debt</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63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Debt consisted of the following on the dates below:</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4"/>
          </w:tcPr>
          <w:p>
            <w:pPr>
              <w:jc w:val="right"/>
              <w:ind w:right="909"/>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Pr>
          <w:p>
            <w:pPr>
              <w:spacing w:after="0"/>
              <w:rPr>
                <w:sz w:val="17"/>
                <w:szCs w:val="17"/>
                <w:color w:val="auto"/>
              </w:rPr>
            </w:pPr>
          </w:p>
        </w:tc>
        <w:tc>
          <w:tcPr>
            <w:tcW w:w="2920" w:type="dxa"/>
            <w:vAlign w:val="bottom"/>
            <w:tcBorders>
              <w:bottom w:val="single" w:sz="8" w:color="auto"/>
            </w:tcBorders>
            <w:gridSpan w:val="4"/>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33"/>
        </w:trPr>
        <w:tc>
          <w:tcPr>
            <w:tcW w:w="2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960" w:type="dxa"/>
            <w:vAlign w:val="bottom"/>
          </w:tcPr>
          <w:p>
            <w:pPr>
              <w:jc w:val="center"/>
              <w:ind w:left="409"/>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right"/>
              <w:ind w:right="229"/>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740" w:type="dxa"/>
            <w:vAlign w:val="bottom"/>
            <w:gridSpan w:val="3"/>
          </w:tcPr>
          <w:p>
            <w:pPr>
              <w:jc w:val="right"/>
              <w:ind w:right="709"/>
              <w:spacing w:after="0" w:line="133"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80" w:type="dxa"/>
            <w:vAlign w:val="bottom"/>
          </w:tcPr>
          <w:p>
            <w:pPr>
              <w:jc w:val="right"/>
              <w:ind w:right="229"/>
              <w:spacing w:after="0" w:line="133" w:lineRule="exact"/>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86"/>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960" w:type="dxa"/>
            <w:vAlign w:val="bottom"/>
          </w:tcPr>
          <w:p>
            <w:pPr>
              <w:jc w:val="center"/>
              <w:ind w:left="409"/>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740" w:type="dxa"/>
            <w:vAlign w:val="bottom"/>
            <w:gridSpan w:val="3"/>
          </w:tcPr>
          <w:p>
            <w:pPr>
              <w:jc w:val="right"/>
              <w:ind w:right="809"/>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71"/>
        </w:trPr>
        <w:tc>
          <w:tcPr>
            <w:tcW w:w="20" w:type="dxa"/>
            <w:vAlign w:val="bottom"/>
          </w:tcPr>
          <w:p>
            <w:pPr>
              <w:spacing w:after="0"/>
              <w:rPr>
                <w:sz w:val="14"/>
                <w:szCs w:val="14"/>
                <w:color w:val="auto"/>
              </w:rPr>
            </w:pPr>
          </w:p>
        </w:tc>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96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5.675 %</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6.677 %</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r>
      <w:tr>
        <w:trPr>
          <w:trHeight w:val="180"/>
        </w:trPr>
        <w:tc>
          <w:tcPr>
            <w:tcW w:w="20" w:type="dxa"/>
            <w:vAlign w:val="bottom"/>
          </w:tcPr>
          <w:p>
            <w:pPr>
              <w:spacing w:after="0"/>
              <w:rPr>
                <w:sz w:val="15"/>
                <w:szCs w:val="15"/>
                <w:color w:val="auto"/>
              </w:rPr>
            </w:pPr>
          </w:p>
        </w:tc>
        <w:tc>
          <w:tcPr>
            <w:tcW w:w="6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Notes due 2028</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3.875 %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3.875 %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r>
      <w:tr>
        <w:trPr>
          <w:trHeight w:val="180"/>
        </w:trPr>
        <w:tc>
          <w:tcPr>
            <w:tcW w:w="20" w:type="dxa"/>
            <w:vAlign w:val="bottom"/>
          </w:tcPr>
          <w:p>
            <w:pPr>
              <w:spacing w:after="0"/>
              <w:rPr>
                <w:sz w:val="15"/>
                <w:szCs w:val="15"/>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2029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4.000 %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20" w:type="dxa"/>
            <w:vAlign w:val="bottom"/>
          </w:tcPr>
          <w:p>
            <w:pPr>
              <w:spacing w:after="0"/>
              <w:rPr>
                <w:sz w:val="15"/>
                <w:szCs w:val="15"/>
                <w:color w:val="auto"/>
              </w:rPr>
            </w:pP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Senior Notes due 2033</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5.950 %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r>
      <w:tr>
        <w:trPr>
          <w:trHeight w:val="180"/>
        </w:trPr>
        <w:tc>
          <w:tcPr>
            <w:tcW w:w="20" w:type="dxa"/>
            <w:vAlign w:val="bottom"/>
          </w:tcPr>
          <w:p>
            <w:pPr>
              <w:spacing w:after="0"/>
              <w:rPr>
                <w:sz w:val="15"/>
                <w:szCs w:val="15"/>
                <w:color w:val="auto"/>
              </w:rPr>
            </w:pPr>
          </w:p>
        </w:tc>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2035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5.950 %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5"/>
                <w:szCs w:val="15"/>
                <w:color w:val="auto"/>
              </w:rPr>
            </w:pPr>
          </w:p>
        </w:tc>
        <w:tc>
          <w:tcPr>
            <w:tcW w:w="1740" w:type="dxa"/>
            <w:vAlign w:val="bottom"/>
            <w:gridSpan w:val="3"/>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63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Less: Unamortized debt issuance costs and discount on debt</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71"/>
        </w:trPr>
        <w:tc>
          <w:tcPr>
            <w:tcW w:w="20" w:type="dxa"/>
            <w:vAlign w:val="bottom"/>
          </w:tcPr>
          <w:p>
            <w:pPr>
              <w:spacing w:after="0"/>
              <w:rPr>
                <w:sz w:val="14"/>
                <w:szCs w:val="14"/>
                <w:color w:val="auto"/>
              </w:rPr>
            </w:pPr>
          </w:p>
        </w:tc>
        <w:tc>
          <w:tcPr>
            <w:tcW w:w="6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3,412</w:t>
            </w:r>
          </w:p>
        </w:tc>
      </w:tr>
      <w:tr>
        <w:trPr>
          <w:trHeight w:val="180"/>
        </w:trPr>
        <w:tc>
          <w:tcPr>
            <w:tcW w:w="20" w:type="dxa"/>
            <w:vAlign w:val="bottom"/>
          </w:tcPr>
          <w:p>
            <w:pPr>
              <w:spacing w:after="0"/>
              <w:rPr>
                <w:sz w:val="15"/>
                <w:szCs w:val="15"/>
                <w:color w:val="auto"/>
              </w:rPr>
            </w:pPr>
          </w:p>
        </w:tc>
        <w:tc>
          <w:tcPr>
            <w:tcW w:w="63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96"/>
        </w:trPr>
        <w:tc>
          <w:tcPr>
            <w:tcW w:w="20" w:type="dxa"/>
            <w:vAlign w:val="bottom"/>
          </w:tcPr>
          <w:p>
            <w:pPr>
              <w:spacing w:after="0"/>
              <w:rPr>
                <w:sz w:val="16"/>
                <w:szCs w:val="16"/>
                <w:color w:val="auto"/>
              </w:rPr>
            </w:pPr>
          </w:p>
        </w:tc>
        <w:tc>
          <w:tcPr>
            <w:tcW w:w="63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w:t>
            </w: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53"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Booz Allen Hamilton Inc. (“Booz Allen Hamilton”), Booz Allen Hamilton Investor Corporation, and certain wholly owned subsidiaries of Booz Allen Hamilton are parties to a Credit Agreement dated as of July 31, 2012, as amended (the “Credit Agreement”), with certain institutional lenders and Bank of America, N.A., as Administrative Agent, Collateral Agent and Issuing Lender. As of March 31, 2025, the Credit Agreement provided Booz Allen Hamilton with a $1,526 million Term Loan A (“Term Loan A”) and a $1.0 billion revolving credit facility (the “Revolving Credit Facility”), with a sub-limit for letters of credit of $200 million. As of March 31, 2025, the maturity date of the Term Loan A and the Revolving Commitments is September 7, 2027. Voluntary prepayments of the Term Loan A and the Revolving Loans are permitted at any time, in minimum principal amounts, without premium or penalty.</w:t>
      </w:r>
    </w:p>
    <w:p>
      <w:pPr>
        <w:spacing w:after="0" w:line="16" w:lineRule="exact"/>
        <w:rPr>
          <w:sz w:val="20"/>
          <w:szCs w:val="20"/>
          <w:color w:val="auto"/>
        </w:rPr>
      </w:pPr>
    </w:p>
    <w:p>
      <w:pPr>
        <w:ind w:right="40" w:firstLine="318"/>
        <w:spacing w:after="0" w:line="257" w:lineRule="auto"/>
        <w:rPr>
          <w:sz w:val="20"/>
          <w:szCs w:val="20"/>
          <w:color w:val="auto"/>
        </w:rPr>
      </w:pPr>
      <w:r>
        <w:rPr>
          <w:rFonts w:ascii="Times New Roman" w:cs="Times New Roman" w:eastAsia="Times New Roman" w:hAnsi="Times New Roman"/>
          <w:sz w:val="14"/>
          <w:szCs w:val="14"/>
          <w:color w:val="auto"/>
        </w:rPr>
        <w:t>On July 27, 2023 (the “Tenth Amendment Effective Date”), Booz Allen Hamilton entered into a Tenth Amendment (the “Amendment”) to the Credit Agreement (as amended prior to the Tenth Amendment Effective Date, the “Existing Credit Agreement” and, as amended by the Amendment, the “Amended Credit Agreement”) with Bank of America, N.A., as administrative agent (in such capacity, the “Administrative Agent”), and the lenders and other financial institutions party thereto, in order to make permanent certain changes to the Existing Credit Agreement in connection with Booz Allen Hamilton obtaining investment grade ratings from both Moody's and S&amp;P and to make certain additional changes in connection therewith, including, among other things, (i) removing the requirements for the obligations under the Amended Credit Agreement to be secured, (ii) removing the requirement for any subsidiary or other affiliate of Booz Allen Hamilton (other than the Company) to provide any guarantee of the obligations under the Amended Credit Agreement, and (iii) removing or modifying certain covenants applicable to Booz Allen Hamilton. Pursuant to the Amendment, all guarantees in respect of the Existing Credit Agreement have been released. The Amendment did not impact any of the terms of the Credit Agreement related to amortization or payments. On the Tenth Amendment Effective Date in connection with the Amendment, the Company entered into a Guarantee Agreement (the “Guarantee Agreement”) in favor of the Administrative Agent, pursuant to which the Company guarantees on an unsecured basis the obligations of Booz Allen Hamilton under the Amended Credit Agreement subject to certain conditions.</w:t>
      </w:r>
    </w:p>
    <w:p>
      <w:pPr>
        <w:spacing w:after="0" w:line="19" w:lineRule="exact"/>
        <w:rPr>
          <w:sz w:val="20"/>
          <w:szCs w:val="20"/>
          <w:color w:val="auto"/>
        </w:rPr>
      </w:pPr>
    </w:p>
    <w:p>
      <w:pPr>
        <w:ind w:right="420" w:firstLine="318"/>
        <w:spacing w:after="0" w:line="284" w:lineRule="auto"/>
        <w:rPr>
          <w:sz w:val="20"/>
          <w:szCs w:val="20"/>
          <w:color w:val="auto"/>
        </w:rPr>
      </w:pPr>
      <w:r>
        <w:rPr>
          <w:rFonts w:ascii="Times New Roman" w:cs="Times New Roman" w:eastAsia="Times New Roman" w:hAnsi="Times New Roman"/>
          <w:sz w:val="14"/>
          <w:szCs w:val="14"/>
          <w:color w:val="auto"/>
        </w:rPr>
        <w:t>Term Loan A amortizes in consecutive quarterly installments in an amount equal to 1.25% of the stated principal amount of Term Loan A. The remaining balance of Term Loan A will be payable upon maturity.</w:t>
      </w:r>
    </w:p>
    <w:p>
      <w:pPr>
        <w:spacing w:after="0" w:line="1" w:lineRule="exact"/>
        <w:rPr>
          <w:sz w:val="20"/>
          <w:szCs w:val="20"/>
          <w:color w:val="auto"/>
        </w:rPr>
      </w:pPr>
    </w:p>
    <w:p>
      <w:pPr>
        <w:ind w:right="20" w:firstLine="318"/>
        <w:spacing w:after="0" w:line="258" w:lineRule="auto"/>
        <w:rPr>
          <w:sz w:val="20"/>
          <w:szCs w:val="20"/>
          <w:color w:val="auto"/>
        </w:rPr>
      </w:pPr>
      <w:r>
        <w:rPr>
          <w:rFonts w:ascii="Times New Roman" w:cs="Times New Roman" w:eastAsia="Times New Roman" w:hAnsi="Times New Roman"/>
          <w:sz w:val="14"/>
          <w:szCs w:val="14"/>
          <w:color w:val="auto"/>
        </w:rPr>
        <w:t>The rate at which Term Loan A and the Revolving Loans bear interest will be based either on Term SOFR (subject to a 0.10% adjustment and a floor of zero) for the applicable interest period or a base rate (equal to the highest of (i) the administrative agent’s prime corporate rate, (ii) the overnight federal funds rate plus 0.50% and (iii) three-month Term SOFR (subject to a 0.10% adjustment and a floor of zero) plus 1.00%), in each case plus an applicable margin, payable at the end of the applicable interest period and in any event at least quarterly. The applicable margin for Term Loan A and the Revolving Loans ranges from 1.00% to 2.00% for Term SOFR loans and zero to 1.00% for base rate loans, in each case based on the lower of (i) the applicable rate per annum determined pursuant to a consolidated total net leverage ratio grid and (ii) the applicable rate per annum determined pursuant to a ratings grid. Unused New Revolving Commitments are subject to a quarterly fee ranging from 0.10% to 0.35% based on the lower of (i) the applicable fee rate per annum determined pursuant to a consolidated total net leverage ratio grid and (ii) the applicable fee rate per annum determined pursuant to a ratings grid. Booz Allen Hamilton has also agreed to pay customary letter of credit and agency fees.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79" w:name="page80"/>
    <w:bookmarkEnd w:id="7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right="120" w:firstLine="318"/>
        <w:spacing w:after="0" w:line="270" w:lineRule="auto"/>
        <w:rPr>
          <w:sz w:val="20"/>
          <w:szCs w:val="20"/>
          <w:color w:val="auto"/>
        </w:rPr>
      </w:pPr>
      <w:r>
        <w:rPr>
          <w:rFonts w:ascii="Times New Roman" w:cs="Times New Roman" w:eastAsia="Times New Roman" w:hAnsi="Times New Roman"/>
          <w:sz w:val="14"/>
          <w:szCs w:val="14"/>
          <w:color w:val="auto"/>
        </w:rPr>
        <w:t>The Company occasionally borrows under the Revolving Credit Facility for our working capital needs. During the fourth quarter of fiscal 2025, the Company borrowed $200 million under the Revolving Credit Facility for our working capital needs, which was subsequently repaid with the proceeds from the bond offering in the same quarter. As of March 31, 2025 and March 31, 2024, respectively, there was no outstanding balance on the Revolving Credit Facility.</w:t>
      </w:r>
    </w:p>
    <w:p>
      <w:pPr>
        <w:spacing w:after="0" w:line="8" w:lineRule="exact"/>
        <w:rPr>
          <w:sz w:val="20"/>
          <w:szCs w:val="20"/>
          <w:color w:val="auto"/>
        </w:rPr>
      </w:pPr>
    </w:p>
    <w:p>
      <w:pPr>
        <w:ind w:right="500" w:firstLine="318"/>
        <w:spacing w:after="0" w:line="264" w:lineRule="auto"/>
        <w:rPr>
          <w:sz w:val="20"/>
          <w:szCs w:val="20"/>
          <w:color w:val="auto"/>
        </w:rPr>
      </w:pPr>
      <w:r>
        <w:rPr>
          <w:rFonts w:ascii="Times New Roman" w:cs="Times New Roman" w:eastAsia="Times New Roman" w:hAnsi="Times New Roman"/>
          <w:sz w:val="14"/>
          <w:szCs w:val="14"/>
          <w:color w:val="auto"/>
        </w:rPr>
        <w:t>Borrowings under Term Loan A, and if used, the Revolving Credit Facility, incur interest at a variable rate. As of March 31, 2025, Booz Allen Hamilton had interest rate swaps with an aggregate notional amount of $550 million. These instruments hedge the variability of cash outflows for interest payments on Term Loan A and the Revolving Credit Facility. The Company's objectives in using cash flow hedges are to reduce volatility due to interest rate movements and to add stability to interest expense (see Note 11, “Derivatives,” to the consolidated financial statements).</w:t>
      </w:r>
    </w:p>
    <w:p>
      <w:pPr>
        <w:spacing w:after="0" w:line="13"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4"/>
          <w:szCs w:val="14"/>
          <w:color w:val="auto"/>
        </w:rPr>
        <w:t>The Credit Agreement contains customary representations and warranties and customary affirmative and negative covenants. In connection with Booz Allen Hamilton obtaining investment grade ratings from both Moody's and S&amp;P, certain activities previously restricted by certain negative covenants are permitted subject to pro forma compliance with the financial covenants and no events of default having occurred or are continuing. In addition, Booz Allen Hamilton is required to meet certain financial covenants at each quarter end, namely the Consolidated Net Total Leverage Ratio. As of March 31, 2025 and March 31, 2024, Booz Allen Hamilton was in compliance with all financial covenants associated with its debt.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Senior Notes</w:t>
      </w:r>
    </w:p>
    <w:p>
      <w:pPr>
        <w:spacing w:after="0" w:line="53" w:lineRule="exact"/>
        <w:rPr>
          <w:sz w:val="20"/>
          <w:szCs w:val="20"/>
          <w:color w:val="auto"/>
        </w:rPr>
      </w:pPr>
    </w:p>
    <w:p>
      <w:pPr>
        <w:ind w:right="260" w:firstLine="318"/>
        <w:spacing w:after="0" w:line="270" w:lineRule="auto"/>
        <w:rPr>
          <w:sz w:val="20"/>
          <w:szCs w:val="20"/>
          <w:color w:val="auto"/>
        </w:rPr>
      </w:pPr>
      <w:r>
        <w:rPr>
          <w:rFonts w:ascii="Times New Roman" w:cs="Times New Roman" w:eastAsia="Times New Roman" w:hAnsi="Times New Roman"/>
          <w:sz w:val="14"/>
          <w:szCs w:val="14"/>
          <w:color w:val="auto"/>
        </w:rPr>
        <w:t>On March 14, 2025, Booz Allen Hamilton issued $650 million aggregate principal amount of its 5.950% Senior Notes due April 15, 2035 (the “Senior Notes due 2035”) under an Indenture, dated as of August 4, 2023, and Second Supplemental Indenture, dated as of March 14, 2025, among Booz Allen Hamilton, the Company, as parent guarantor, and U.S. Bank Trust Company, National Association, as trustee.</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material terms of the senior notes issued by Booz Allen Hamilton as of March 31, 2025:</w:t>
      </w:r>
    </w:p>
    <w:p>
      <w:pPr>
        <w:spacing w:after="0" w:line="3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6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Issuance Costs</w:t>
            </w:r>
          </w:p>
        </w:tc>
      </w:tr>
      <w:tr>
        <w:trPr>
          <w:trHeight w:val="186"/>
        </w:trPr>
        <w:tc>
          <w:tcPr>
            <w:tcW w:w="212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Indenture 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Payable</w:t>
            </w:r>
          </w:p>
        </w:tc>
        <w:tc>
          <w:tcPr>
            <w:tcW w:w="1360" w:type="dxa"/>
            <w:vAlign w:val="bottom"/>
          </w:tcPr>
          <w:p>
            <w:pPr>
              <w:jc w:val="center"/>
              <w:ind w:left="49"/>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r>
      <w:tr>
        <w:trPr>
          <w:trHeight w:val="22"/>
        </w:trPr>
        <w:tc>
          <w:tcPr>
            <w:tcW w:w="2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2"/>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2035</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3/14/2025</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5.950%</w:t>
            </w:r>
          </w:p>
        </w:tc>
        <w:tc>
          <w:tcPr>
            <w:tcW w:w="128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4/15/2035</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April and October 15</w:t>
            </w:r>
          </w:p>
        </w:tc>
        <w:tc>
          <w:tcPr>
            <w:tcW w:w="13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$6</w:t>
            </w:r>
          </w:p>
        </w:tc>
      </w:tr>
      <w:tr>
        <w:trPr>
          <w:trHeight w:val="222"/>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2033</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8/4/2023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$650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5.950%</w:t>
            </w:r>
          </w:p>
        </w:tc>
        <w:tc>
          <w:tcPr>
            <w:tcW w:w="12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8/4/2033</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February and August 4</w:t>
            </w:r>
          </w:p>
        </w:tc>
        <w:tc>
          <w:tcPr>
            <w:tcW w:w="13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w w:val="95"/>
              </w:rPr>
              <w:t>$12</w:t>
            </w:r>
          </w:p>
        </w:tc>
      </w:tr>
      <w:tr>
        <w:trPr>
          <w:trHeight w:val="22"/>
        </w:trPr>
        <w:tc>
          <w:tcPr>
            <w:tcW w:w="2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24"/>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6/17/2021</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4.000%</w:t>
            </w:r>
          </w:p>
        </w:tc>
        <w:tc>
          <w:tcPr>
            <w:tcW w:w="1280" w:type="dxa"/>
            <w:vAlign w:val="bottom"/>
            <w:tcBorders>
              <w:bottom w:val="single" w:sz="8" w:color="CCEEFF"/>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7/1/2029</w:t>
            </w:r>
          </w:p>
        </w:tc>
        <w:tc>
          <w:tcPr>
            <w:tcW w:w="1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July and January 1</w:t>
            </w:r>
          </w:p>
        </w:tc>
        <w:tc>
          <w:tcPr>
            <w:tcW w:w="1360" w:type="dxa"/>
            <w:vAlign w:val="bottom"/>
            <w:tcBorders>
              <w:bottom w:val="single" w:sz="8" w:color="CCEEFF"/>
            </w:tcBorders>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$7</w:t>
            </w:r>
          </w:p>
        </w:tc>
      </w:tr>
      <w:tr>
        <w:trPr>
          <w:trHeight w:val="222"/>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8/24/2020</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$700</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3.875%</w:t>
            </w:r>
          </w:p>
        </w:tc>
        <w:tc>
          <w:tcPr>
            <w:tcW w:w="12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9/1/2028</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and September 1</w:t>
            </w:r>
          </w:p>
        </w:tc>
        <w:tc>
          <w:tcPr>
            <w:tcW w:w="13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$9</w:t>
            </w:r>
          </w:p>
        </w:tc>
      </w:tr>
    </w:tbl>
    <w:p>
      <w:pPr>
        <w:spacing w:after="0" w:line="124" w:lineRule="exact"/>
        <w:rPr>
          <w:sz w:val="20"/>
          <w:szCs w:val="20"/>
          <w:color w:val="auto"/>
        </w:rPr>
      </w:pPr>
    </w:p>
    <w:p>
      <w:pPr>
        <w:ind w:firstLine="318"/>
        <w:spacing w:after="0" w:line="261" w:lineRule="auto"/>
        <w:rPr>
          <w:sz w:val="20"/>
          <w:szCs w:val="20"/>
          <w:color w:val="auto"/>
        </w:rPr>
      </w:pPr>
      <w:r>
        <w:rPr>
          <w:rFonts w:ascii="Times New Roman" w:cs="Times New Roman" w:eastAsia="Times New Roman" w:hAnsi="Times New Roman"/>
          <w:sz w:val="14"/>
          <w:szCs w:val="14"/>
          <w:color w:val="auto"/>
        </w:rPr>
        <w:t>The Senior Notes due 2035 and 2033 are fully and unconditionally guaranteed on an unsecured and unsubordinated basis by Booz Allen Hamilton Holding Corporation and rank equally and ratably in right of payment with all of Booz Allen Hamilton’s and Booz Allen Hamilton Holding Corporation’s other unsecured and unsubordinated indebtedness outstanding from time to time, pursuant to the relevant indenture. The Senior Notes due 2029 and 2028 are unsecured and are guaranteed by certain subsidiaries of Booz Allen Hamilton and rank equally in right of payment with all of Booz Allen Hamilton’s and the respective subsidiary guarantors’ existing and future senior indebtedness and rank senior in right of payment to any of Booz Allen Hamilton’s future subordinated indebtedness, pursuant to the relevant indenture. We refer to the Senior Notes due 2035, Senior Notes due 2033, Senior Notes due 2029 and Senior Notes due 2028, together, as the “Senior Notes”.</w:t>
      </w:r>
    </w:p>
    <w:p>
      <w:pPr>
        <w:spacing w:after="0" w:line="16" w:lineRule="exact"/>
        <w:rPr>
          <w:sz w:val="20"/>
          <w:szCs w:val="20"/>
          <w:color w:val="auto"/>
        </w:rPr>
      </w:pPr>
    </w:p>
    <w:p>
      <w:pPr>
        <w:ind w:right="40" w:firstLine="318"/>
        <w:spacing w:after="0" w:line="284" w:lineRule="auto"/>
        <w:rPr>
          <w:sz w:val="20"/>
          <w:szCs w:val="20"/>
          <w:color w:val="auto"/>
        </w:rPr>
      </w:pPr>
      <w:r>
        <w:rPr>
          <w:rFonts w:ascii="Times New Roman" w:cs="Times New Roman" w:eastAsia="Times New Roman" w:hAnsi="Times New Roman"/>
          <w:sz w:val="14"/>
          <w:szCs w:val="14"/>
          <w:color w:val="auto"/>
        </w:rPr>
        <w:t>Interest is payable on the Senior Notes semi-annually in cash in arrears, with the principal due at maturity. Issuance Costs were recorded as an offset against the carrying value of respective debt and are being amortized to interest expense over the term of the respective debt.</w:t>
      </w:r>
    </w:p>
    <w:p>
      <w:pPr>
        <w:spacing w:after="0" w:line="1" w:lineRule="exact"/>
        <w:rPr>
          <w:sz w:val="20"/>
          <w:szCs w:val="20"/>
          <w:color w:val="auto"/>
        </w:rPr>
      </w:pPr>
    </w:p>
    <w:p>
      <w:pPr>
        <w:ind w:right="380" w:firstLine="318"/>
        <w:spacing w:after="0" w:line="284" w:lineRule="auto"/>
        <w:rPr>
          <w:sz w:val="20"/>
          <w:szCs w:val="20"/>
          <w:color w:val="auto"/>
        </w:rPr>
      </w:pPr>
      <w:r>
        <w:rPr>
          <w:rFonts w:ascii="Times New Roman" w:cs="Times New Roman" w:eastAsia="Times New Roman" w:hAnsi="Times New Roman"/>
          <w:sz w:val="14"/>
          <w:szCs w:val="14"/>
          <w:color w:val="auto"/>
        </w:rPr>
        <w:t>All the Senior Notes’ indentures contain certain covenants, events of default, and other customary provisions. In connection with the Senior Notes obtaining investment grade ratings from Moody’s and S&amp;P, in January 2023, certain negative covenants in the indentures governing the Senior Notes 2028 and Senior Notes 2029 were suspended.</w:t>
      </w:r>
    </w:p>
    <w:p>
      <w:pPr>
        <w:spacing w:after="0" w:line="1" w:lineRule="exact"/>
        <w:rPr>
          <w:sz w:val="20"/>
          <w:szCs w:val="20"/>
          <w:color w:val="auto"/>
        </w:rPr>
      </w:pPr>
    </w:p>
    <w:p>
      <w:pPr>
        <w:ind w:right="380" w:firstLine="318"/>
        <w:spacing w:after="0" w:line="287" w:lineRule="auto"/>
        <w:rPr>
          <w:sz w:val="20"/>
          <w:szCs w:val="20"/>
          <w:color w:val="auto"/>
        </w:rPr>
      </w:pPr>
      <w:r>
        <w:rPr>
          <w:rFonts w:ascii="Times New Roman" w:cs="Times New Roman" w:eastAsia="Times New Roman" w:hAnsi="Times New Roman"/>
          <w:sz w:val="14"/>
          <w:szCs w:val="14"/>
          <w:color w:val="auto"/>
        </w:rPr>
        <w:t>The Senior Notes are generally subject to redemption, in whole or in part, at Booz Allen Hamilton’s option, in whole or in part, at any time and from time to time, at the redemption prices specified in their respective indenture and outlined below:</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Optional Redemption Date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Redemption Price</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40" w:type="dxa"/>
            <w:vAlign w:val="bottom"/>
            <w:tcBorders>
              <w:top w:val="single" w:sz="8" w:color="CCEEFF"/>
            </w:tcBorders>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Senior Notes due 2035</w:t>
            </w:r>
          </w:p>
        </w:tc>
        <w:tc>
          <w:tcPr>
            <w:tcW w:w="4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360" w:type="dxa"/>
            <w:vAlign w:val="bottom"/>
            <w:tcBorders>
              <w:top w:val="single" w:sz="8" w:color="auto"/>
            </w:tcBorders>
            <w:gridSpan w:val="3"/>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present - 1/14/2035</w:t>
            </w:r>
          </w:p>
        </w:tc>
        <w:tc>
          <w:tcPr>
            <w:tcW w:w="3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80" w:type="dxa"/>
            <w:vAlign w:val="bottom"/>
            <w:tcBorders>
              <w:top w:val="single" w:sz="8" w:color="auto"/>
            </w:tcBorders>
            <w:gridSpan w:val="14"/>
            <w:shd w:val="clear" w:color="auto" w:fill="CCEEFF"/>
          </w:tcPr>
          <w:p>
            <w:pPr>
              <w:spacing w:after="0" w:line="146" w:lineRule="exact"/>
              <w:rPr>
                <w:sz w:val="20"/>
                <w:szCs w:val="20"/>
                <w:color w:val="auto"/>
              </w:rPr>
            </w:pPr>
            <w:r>
              <w:rPr>
                <w:rFonts w:ascii="Times New Roman" w:cs="Times New Roman" w:eastAsia="Times New Roman" w:hAnsi="Times New Roman"/>
                <w:sz w:val="14"/>
                <w:szCs w:val="14"/>
                <w:color w:val="auto"/>
              </w:rPr>
              <w:t>The greater of 1) the present value of the remaining payments plus 100% of the principal being redeemed,</w:t>
            </w:r>
          </w:p>
        </w:tc>
        <w:tc>
          <w:tcPr>
            <w:tcW w:w="18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accrued interest and 2) 100% of the principal amount being redeemed*</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1/15/2035 - maturity</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100% of the principal amount being redeemed *</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3"/>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2033</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rPr>
              <w:t>present - 5/4/2033</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greater of 1) the present value of the remaining payments plus 100% of the principal being redeemed,</w:t>
            </w:r>
          </w:p>
        </w:tc>
        <w:tc>
          <w:tcPr>
            <w:tcW w:w="180" w:type="dxa"/>
            <w:vAlign w:val="bottom"/>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06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accrued interest and 2) 100% of the principal amount being redeemed*</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5/4/33 - maturity</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100% of the principal amount being redeemed*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Senior Notes due 2029</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present - 6/30/2025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102% of the principal amount being redeemed*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ind w:left="9"/>
              <w:spacing w:after="0"/>
              <w:rPr>
                <w:sz w:val="20"/>
                <w:szCs w:val="20"/>
                <w:color w:val="auto"/>
              </w:rPr>
            </w:pPr>
            <w:r>
              <w:rPr>
                <w:rFonts w:ascii="Times New Roman" w:cs="Times New Roman" w:eastAsia="Times New Roman" w:hAnsi="Times New Roman"/>
                <w:sz w:val="14"/>
                <w:szCs w:val="14"/>
                <w:color w:val="auto"/>
              </w:rPr>
              <w:t>7/1/2025 - 6/30/2026</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101% of the principal amount being redeemed*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7/1/2026 - maturity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of the principal amount being redeemed*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 due 2028</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present - 8/31/2025</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100.969% of the principal amount being redeemed*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9/1/2025 - maturity</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96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4"/>
                <w:szCs w:val="14"/>
                <w:color w:val="auto"/>
              </w:rPr>
              <w:t>100% of the principal amount being redeemed*</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*plus any unpaid interest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55"/>
        </w:trPr>
        <w:tc>
          <w:tcPr>
            <w:tcW w:w="3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Scheduled Maturities and Interest Expense</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55"/>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6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The following table summarizes required future debt repayments: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2"/>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Payments Due By March 31,</w:t>
            </w: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171"/>
        </w:trPr>
        <w:tc>
          <w:tcPr>
            <w:tcW w:w="2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2027</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9"/>
              </w:rPr>
              <w:t>2029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171"/>
        </w:trPr>
        <w:tc>
          <w:tcPr>
            <w:tcW w:w="20" w:type="dxa"/>
            <w:vAlign w:val="bottom"/>
          </w:tcPr>
          <w:p>
            <w:pPr>
              <w:spacing w:after="0"/>
              <w:rPr>
                <w:sz w:val="14"/>
                <w:szCs w:val="14"/>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Term Loan A</w:t>
            </w:r>
          </w:p>
        </w:tc>
        <w:tc>
          <w:tcPr>
            <w:tcW w:w="480" w:type="dxa"/>
            <w:vAlign w:val="bottom"/>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Notes due 2028</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2029</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20" w:type="dxa"/>
            <w:vAlign w:val="bottom"/>
          </w:tcPr>
          <w:p>
            <w:pPr>
              <w:spacing w:after="0"/>
              <w:rPr>
                <w:sz w:val="15"/>
                <w:szCs w:val="15"/>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Senior Notes due 2033</w:t>
            </w: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650</w:t>
            </w:r>
          </w:p>
        </w:tc>
      </w:tr>
      <w:tr>
        <w:trPr>
          <w:trHeight w:val="180"/>
        </w:trPr>
        <w:tc>
          <w:tcPr>
            <w:tcW w:w="20" w:type="dxa"/>
            <w:vAlign w:val="bottom"/>
          </w:tcPr>
          <w:p>
            <w:pPr>
              <w:spacing w:after="0"/>
              <w:rPr>
                <w:sz w:val="15"/>
                <w:szCs w:val="15"/>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Senior Notes due 2035</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650</w:t>
            </w:r>
          </w:p>
        </w:tc>
      </w:tr>
      <w:tr>
        <w:trPr>
          <w:trHeight w:val="180"/>
        </w:trPr>
        <w:tc>
          <w:tcPr>
            <w:tcW w:w="20" w:type="dxa"/>
            <w:vAlign w:val="bottom"/>
          </w:tcPr>
          <w:p>
            <w:pPr>
              <w:spacing w:after="0"/>
              <w:rPr>
                <w:sz w:val="15"/>
                <w:szCs w:val="15"/>
                <w:color w:val="auto"/>
              </w:rPr>
            </w:pPr>
          </w:p>
        </w:tc>
        <w:tc>
          <w:tcPr>
            <w:tcW w:w="2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Interest on indebtedness</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348</w:t>
            </w:r>
          </w:p>
        </w:tc>
      </w:tr>
      <w:tr>
        <w:trPr>
          <w:trHeight w:val="196"/>
        </w:trPr>
        <w:tc>
          <w:tcPr>
            <w:tcW w:w="20" w:type="dxa"/>
            <w:vAlign w:val="bottom"/>
          </w:tcPr>
          <w:p>
            <w:pPr>
              <w:spacing w:after="0"/>
              <w:rPr>
                <w:sz w:val="16"/>
                <w:szCs w:val="16"/>
                <w:color w:val="auto"/>
              </w:rPr>
            </w:pPr>
          </w:p>
        </w:tc>
        <w:tc>
          <w:tcPr>
            <w:tcW w:w="244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w:t>
            </w: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520" w:type="dxa"/>
            <w:vAlign w:val="bottom"/>
            <w:tcBorders>
              <w:bottom w:val="single" w:sz="8" w:color="auto"/>
            </w:tcBorders>
            <w:gridSpan w:val="2"/>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1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1,648</w:t>
            </w: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Interest expense consisted of the following:</w:t>
            </w: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2"/>
        </w:trPr>
        <w:tc>
          <w:tcPr>
            <w:tcW w:w="7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980" w:type="dxa"/>
            <w:vAlign w:val="bottom"/>
            <w:tcBorders>
              <w:bottom w:val="single" w:sz="8" w:color="auto"/>
            </w:tcBorders>
          </w:tcPr>
          <w:p>
            <w:pPr>
              <w:spacing w:after="0"/>
              <w:rPr>
                <w:sz w:val="17"/>
                <w:szCs w:val="17"/>
                <w:color w:val="auto"/>
              </w:rPr>
            </w:pPr>
          </w:p>
        </w:tc>
      </w:tr>
      <w:tr>
        <w:trPr>
          <w:trHeight w:val="171"/>
        </w:trPr>
        <w:tc>
          <w:tcPr>
            <w:tcW w:w="71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A</w:t>
            </w:r>
          </w:p>
        </w:tc>
        <w:tc>
          <w:tcPr>
            <w:tcW w:w="920" w:type="dxa"/>
            <w:vAlign w:val="bottom"/>
            <w:shd w:val="clear" w:color="auto" w:fill="CCEEFF"/>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Term Loan B</w:t>
            </w:r>
          </w:p>
        </w:tc>
        <w:tc>
          <w:tcPr>
            <w:tcW w:w="92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Revolving Credit Facility</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71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Amortization of Debt Issuance Cost (DIC) and Original Issue Discount (OID) </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9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0"/>
        </w:trPr>
        <w:tc>
          <w:tcPr>
            <w:tcW w:w="7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20" w:right="20" w:hanging="133"/>
        <w:spacing w:after="0" w:line="237" w:lineRule="auto"/>
        <w:tabs>
          <w:tab w:leader="none" w:pos="535" w:val="left"/>
        </w:tabs>
        <w:numPr>
          <w:ilvl w:val="1"/>
          <w:numId w:val="6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DIC and OID on the Term Loans and Senior Notes are recorded as a reduction of long-term debt in the consolidated balance sheet and are amortized ratably over the life of the related debt using the effective rate method. DIC on the Company's Revolving Credit Facility is recorded as a long-term asset on the consolidated balance sheet and amortized ratably over the term of the Revolving Credit Facility.</w:t>
      </w:r>
    </w:p>
    <w:p>
      <w:pPr>
        <w:spacing w:after="0" w:line="69" w:lineRule="exact"/>
        <w:rPr>
          <w:rFonts w:ascii="Times New Roman" w:cs="Times New Roman" w:eastAsia="Times New Roman" w:hAnsi="Times New Roman"/>
          <w:sz w:val="18"/>
          <w:szCs w:val="18"/>
          <w:color w:val="auto"/>
          <w:vertAlign w:val="superscript"/>
        </w:rPr>
      </w:pPr>
    </w:p>
    <w:p>
      <w:pPr>
        <w:ind w:left="200" w:hanging="195"/>
        <w:spacing w:after="0"/>
        <w:tabs>
          <w:tab w:leader="none" w:pos="200" w:val="left"/>
        </w:tabs>
        <w:numPr>
          <w:ilvl w:val="0"/>
          <w:numId w:val="6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Derivatives</w:t>
      </w:r>
    </w:p>
    <w:p>
      <w:pPr>
        <w:spacing w:after="0" w:line="53"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Company’s outstanding interest rate swaps have a total notional amount of $550 million as of March 31, 2025 and mature from June 30, 2025 to June 30, 2027. The variable-to-fixed interest rate swaps effectively convert a portion of the variable rate debt into fixed interest rate debt.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81" w:name="page82"/>
    <w:bookmarkEnd w:id="8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right="80" w:firstLine="318"/>
        <w:spacing w:after="0" w:line="261" w:lineRule="auto"/>
        <w:rPr>
          <w:sz w:val="20"/>
          <w:szCs w:val="20"/>
          <w:color w:val="auto"/>
        </w:rPr>
      </w:pPr>
      <w:r>
        <w:rPr>
          <w:rFonts w:ascii="Times New Roman" w:cs="Times New Roman" w:eastAsia="Times New Roman" w:hAnsi="Times New Roman"/>
          <w:sz w:val="14"/>
          <w:szCs w:val="14"/>
          <w:color w:val="auto"/>
        </w:rPr>
        <w:t>For interest rate swaps designated as cash flow hedges, the changes in the fair value of derivatives is recorded in Accumulated Other Comprehensive Income (Loss) (“AOCI”), net of taxes, and are subsequently reclassified into interest expense, net in the period that the hedged forecasted interest payments are made on the Company's variable-rate debt. See Note 15, “Accumulated Other Comprehensive Income (Loss),” and Note 10, “Debt,” to the consolidated financial statements for additional information on reclassifications from AOCI and interest payments related to the derivatives, and Note 18, “Fair Value Measurements,” to the consolidated financial statements for additional information on the fair values and location of our derivative instruments on the consolidated balance sheets.</w:t>
      </w:r>
    </w:p>
    <w:p>
      <w:pPr>
        <w:spacing w:after="0" w:line="16" w:lineRule="exact"/>
        <w:rPr>
          <w:sz w:val="20"/>
          <w:szCs w:val="20"/>
          <w:color w:val="auto"/>
        </w:rPr>
      </w:pPr>
    </w:p>
    <w:p>
      <w:pPr>
        <w:ind w:right="120" w:firstLine="318"/>
        <w:spacing w:after="0" w:line="284" w:lineRule="auto"/>
        <w:rPr>
          <w:sz w:val="20"/>
          <w:szCs w:val="20"/>
          <w:color w:val="auto"/>
        </w:rPr>
      </w:pPr>
      <w:r>
        <w:rPr>
          <w:rFonts w:ascii="Times New Roman" w:cs="Times New Roman" w:eastAsia="Times New Roman" w:hAnsi="Times New Roman"/>
          <w:sz w:val="14"/>
          <w:szCs w:val="14"/>
          <w:color w:val="auto"/>
        </w:rPr>
        <w:t>Over the next 12 months, the Company estimates that $1 million will be reclassified as a decrease to interest expense. Cash flows associated with periodic settlements of interest rate swaps are classified as operating activities in the consolidated statement of cash flows.</w:t>
      </w:r>
    </w:p>
    <w:p>
      <w:pPr>
        <w:spacing w:after="0" w:line="1" w:lineRule="exact"/>
        <w:rPr>
          <w:sz w:val="20"/>
          <w:szCs w:val="20"/>
          <w:color w:val="auto"/>
        </w:rPr>
      </w:pPr>
    </w:p>
    <w:p>
      <w:pPr>
        <w:ind w:right="20" w:firstLine="318"/>
        <w:spacing w:after="0" w:line="270" w:lineRule="auto"/>
        <w:rPr>
          <w:sz w:val="20"/>
          <w:szCs w:val="20"/>
          <w:color w:val="auto"/>
        </w:rPr>
      </w:pPr>
      <w:r>
        <w:rPr>
          <w:rFonts w:ascii="Times New Roman" w:cs="Times New Roman" w:eastAsia="Times New Roman" w:hAnsi="Times New Roman"/>
          <w:sz w:val="14"/>
          <w:szCs w:val="14"/>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Leases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leases are generally for facilities and office space.</w:t>
      </w:r>
    </w:p>
    <w:p>
      <w:pPr>
        <w:spacing w:after="0" w:line="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total lease cost is recorded primarily within general and administrative expenses on the consolidated statement of operations and consisted of the following:</w:t>
      </w:r>
    </w:p>
    <w:p>
      <w:pPr>
        <w:spacing w:after="0" w:line="3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4"/>
          <w:szCs w:val="14"/>
          <w:b w:val="1"/>
          <w:bCs w:val="1"/>
          <w:color w:val="auto"/>
        </w:rPr>
        <w:t>Fiscal Year Ended</w:t>
      </w:r>
    </w:p>
    <w:p>
      <w:pPr>
        <w:spacing w:after="0" w:line="6"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6340" w:type="dxa"/>
            <w:vAlign w:val="bottom"/>
            <w:tcBorders>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80"/>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10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71"/>
        </w:trPr>
        <w:tc>
          <w:tcPr>
            <w:tcW w:w="63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operating lease costs</w:t>
            </w: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4"/>
                <w:szCs w:val="14"/>
                <w:color w:val="auto"/>
              </w:rPr>
            </w:pPr>
          </w:p>
        </w:tc>
        <w:tc>
          <w:tcPr>
            <w:tcW w:w="1080" w:type="dxa"/>
            <w:vAlign w:val="bottom"/>
            <w:tcBorders>
              <w:bottom w:val="single" w:sz="8" w:color="auto"/>
            </w:tcBorders>
          </w:tcPr>
          <w:p>
            <w:pPr>
              <w:jc w:val="right"/>
              <w:ind w:right="9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6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Future minimum operating lease payments for noncancelable operating leases as of March 31, 2025 are as follows: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tc>
        <w:tc>
          <w:tcPr>
            <w:tcW w:w="180" w:type="dxa"/>
            <w:vAlign w:val="bottom"/>
            <w:tcBorders>
              <w:bottom w:val="single" w:sz="8" w:color="CCEEFF"/>
            </w:tcBorders>
          </w:tcPr>
          <w:p>
            <w:pPr>
              <w:spacing w:after="0"/>
              <w:rPr>
                <w:sz w:val="17"/>
                <w:szCs w:val="17"/>
                <w:color w:val="auto"/>
              </w:rPr>
            </w:pPr>
          </w:p>
        </w:tc>
        <w:tc>
          <w:tcPr>
            <w:tcW w:w="240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Operating Lease Payments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future lease payments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Less: imputed interest</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lease liabilities</w:t>
            </w:r>
          </w:p>
        </w:tc>
        <w:tc>
          <w:tcPr>
            <w:tcW w:w="18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w:t>
            </w: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720" w:type="dxa"/>
            <w:vAlign w:val="bottom"/>
            <w:gridSpan w:val="3"/>
            <w:vMerge w:val="continue"/>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60" w:type="dxa"/>
            <w:vAlign w:val="bottom"/>
            <w:gridSpan w:val="4"/>
          </w:tcPr>
          <w:p>
            <w:pPr>
              <w:ind w:left="100"/>
              <w:spacing w:after="0" w:line="159" w:lineRule="exact"/>
              <w:rPr>
                <w:sz w:val="20"/>
                <w:szCs w:val="20"/>
                <w:color w:val="auto"/>
              </w:rPr>
            </w:pPr>
            <w:r>
              <w:rPr>
                <w:rFonts w:ascii="Times New Roman" w:cs="Times New Roman" w:eastAsia="Times New Roman" w:hAnsi="Times New Roman"/>
                <w:sz w:val="14"/>
                <w:szCs w:val="14"/>
                <w:b w:val="1"/>
                <w:bCs w:val="1"/>
                <w:color w:val="auto"/>
              </w:rPr>
              <w:t>Fiscal Year Ended</w:t>
            </w: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060" w:type="dxa"/>
            <w:vAlign w:val="bottom"/>
            <w:gridSpan w:val="2"/>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120" w:type="dxa"/>
            <w:vAlign w:val="bottom"/>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Operating lease liabilities arising from obtaining ROU assets </w:t>
            </w:r>
            <w:r>
              <w:rPr>
                <w:rFonts w:ascii="Times New Roman" w:cs="Times New Roman" w:eastAsia="Times New Roman" w:hAnsi="Times New Roman"/>
                <w:sz w:val="18"/>
                <w:szCs w:val="18"/>
                <w:color w:val="auto"/>
                <w:vertAlign w:val="superscript"/>
              </w:rPr>
              <w:t>(1)</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120" w:type="dxa"/>
            <w:vAlign w:val="bottom"/>
            <w:gridSpan w:val="2"/>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21"/>
                <w:szCs w:val="21"/>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bl>
    <w:p>
      <w:pPr>
        <w:ind w:left="3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all noncash increases and decreases arising from new or remeasured operating lease arrangements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82" w:name="page83"/>
    <w:bookmarkEnd w:id="82"/>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information related to leases was as follows: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2"/>
        </w:trPr>
        <w:tc>
          <w:tcPr>
            <w:tcW w:w="11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r>
      <w:tr>
        <w:trPr>
          <w:trHeight w:val="171"/>
        </w:trPr>
        <w:tc>
          <w:tcPr>
            <w:tcW w:w="118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20" w:type="dxa"/>
            <w:vAlign w:val="bottom"/>
            <w:gridSpan w:val="5"/>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(in years)</w:t>
            </w:r>
          </w:p>
        </w:tc>
        <w:tc>
          <w:tcPr>
            <w:tcW w:w="4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140" w:type="dxa"/>
            <w:vAlign w:val="bottom"/>
          </w:tcPr>
          <w:p>
            <w:pPr>
              <w:spacing w:after="0"/>
              <w:rPr>
                <w:sz w:val="14"/>
                <w:szCs w:val="14"/>
                <w:color w:val="auto"/>
              </w:rPr>
            </w:pPr>
          </w:p>
        </w:tc>
      </w:tr>
      <w:tr>
        <w:trPr>
          <w:trHeight w:val="184"/>
        </w:trPr>
        <w:tc>
          <w:tcPr>
            <w:tcW w:w="1180" w:type="dxa"/>
            <w:vAlign w:val="bottom"/>
          </w:tcPr>
          <w:p>
            <w:pPr>
              <w:spacing w:after="0"/>
              <w:rPr>
                <w:sz w:val="16"/>
                <w:szCs w:val="16"/>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140" w:type="dxa"/>
            <w:vAlign w:val="bottom"/>
          </w:tcPr>
          <w:p>
            <w:pPr>
              <w:spacing w:after="0"/>
              <w:rPr>
                <w:sz w:val="16"/>
                <w:szCs w:val="16"/>
                <w:color w:val="auto"/>
              </w:rPr>
            </w:pPr>
          </w:p>
        </w:tc>
      </w:tr>
      <w:tr>
        <w:trPr>
          <w:trHeight w:val="325"/>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13. Income Taxes</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5"/>
        </w:trPr>
        <w:tc>
          <w:tcPr>
            <w:tcW w:w="58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components of income tax expense were as follows:</w:t>
            </w: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02"/>
        </w:trPr>
        <w:tc>
          <w:tcPr>
            <w:tcW w:w="118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71"/>
        </w:trPr>
        <w:tc>
          <w:tcPr>
            <w:tcW w:w="1180" w:type="dxa"/>
            <w:vAlign w:val="bottom"/>
            <w:tcBorders>
              <w:bottom w:val="single" w:sz="8" w:color="CCEEFF"/>
            </w:tcBorders>
          </w:tcPr>
          <w:p>
            <w:pPr>
              <w:spacing w:after="0"/>
              <w:rPr>
                <w:sz w:val="14"/>
                <w:szCs w:val="14"/>
                <w:color w:val="auto"/>
              </w:rPr>
            </w:pPr>
          </w:p>
        </w:tc>
        <w:tc>
          <w:tcPr>
            <w:tcW w:w="46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80"/>
        </w:trPr>
        <w:tc>
          <w:tcPr>
            <w:tcW w:w="58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60" w:type="dxa"/>
            <w:vAlign w:val="bottom"/>
          </w:tcPr>
          <w:p>
            <w:pPr>
              <w:spacing w:after="0"/>
              <w:rPr>
                <w:sz w:val="15"/>
                <w:szCs w:val="15"/>
                <w:color w:val="auto"/>
              </w:rPr>
            </w:pPr>
          </w:p>
        </w:tc>
        <w:tc>
          <w:tcPr>
            <w:tcW w:w="76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229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355</w:t>
            </w:r>
          </w:p>
        </w:tc>
      </w:tr>
      <w:tr>
        <w:trPr>
          <w:trHeight w:val="180"/>
        </w:trPr>
        <w:tc>
          <w:tcPr>
            <w:tcW w:w="5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w:t>
            </w:r>
          </w:p>
        </w:tc>
      </w:tr>
      <w:tr>
        <w:trPr>
          <w:trHeight w:val="180"/>
        </w:trPr>
        <w:tc>
          <w:tcPr>
            <w:tcW w:w="580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9</w:t>
            </w:r>
          </w:p>
        </w:tc>
      </w:tr>
      <w:tr>
        <w:trPr>
          <w:trHeight w:val="171"/>
        </w:trPr>
        <w:tc>
          <w:tcPr>
            <w:tcW w:w="58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current</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451</w:t>
            </w:r>
          </w:p>
        </w:tc>
      </w:tr>
      <w:tr>
        <w:trPr>
          <w:trHeight w:val="16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5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U.S. Federal</w:t>
            </w:r>
          </w:p>
        </w:tc>
        <w:tc>
          <w:tcPr>
            <w:tcW w:w="4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(300)</w:t>
            </w:r>
          </w:p>
        </w:tc>
      </w:tr>
      <w:tr>
        <w:trPr>
          <w:trHeight w:val="180"/>
        </w:trPr>
        <w:tc>
          <w:tcPr>
            <w:tcW w:w="58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State and local</w:t>
            </w:r>
          </w:p>
        </w:tc>
        <w:tc>
          <w:tcPr>
            <w:tcW w:w="40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r>
      <w:tr>
        <w:trPr>
          <w:trHeight w:val="180"/>
        </w:trPr>
        <w:tc>
          <w:tcPr>
            <w:tcW w:w="58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Foreign</w:t>
            </w: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580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 deferred</w:t>
            </w: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(354)</w:t>
            </w:r>
          </w:p>
        </w:tc>
      </w:tr>
      <w:tr>
        <w:trPr>
          <w:trHeight w:val="196"/>
        </w:trPr>
        <w:tc>
          <w:tcPr>
            <w:tcW w:w="580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Total</w:t>
            </w: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97</w:t>
            </w: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right="80" w:firstLine="318"/>
        <w:spacing w:after="0" w:line="275" w:lineRule="auto"/>
        <w:rPr>
          <w:sz w:val="20"/>
          <w:szCs w:val="20"/>
          <w:color w:val="auto"/>
        </w:rPr>
      </w:pPr>
      <w:r>
        <w:rPr>
          <w:rFonts w:ascii="Times New Roman" w:cs="Times New Roman" w:eastAsia="Times New Roman" w:hAnsi="Times New Roman"/>
          <w:sz w:val="14"/>
          <w:szCs w:val="14"/>
          <w:color w:val="auto"/>
        </w:rPr>
        <w:t>A reconciliation of the provision for income tax to the amount computed by applying the statutory federal income tax rate to income from continuing operations before income taxes for each of the three years ended March 31 is as follows:</w:t>
      </w:r>
    </w:p>
    <w:tbl>
      <w:tblPr>
        <w:tblLayout w:type="fixed"/>
        <w:tblInd w:w="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computed at U.S. federal statutory rate</w:t>
            </w:r>
          </w:p>
        </w:tc>
        <w:tc>
          <w:tcPr>
            <w:tcW w:w="15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Increases (reductions) resulting from:</w:t>
            </w: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local income taxes, net of federal tax</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income taxes, net of federal tax</w:t>
            </w: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Non-deductible expenses, including non-deductible penalties</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Excess tax benefits from stock-based compensation</w:t>
            </w: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 and other federal credits</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Executive compensation -162(m)</w:t>
            </w: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Foreign-Derived Intangible Income (FDII)</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shd w:val="clear" w:color="auto" w:fill="CCEEFF"/>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uncertain tax positions (including indirect effects)</w:t>
            </w: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CCEEFF"/>
            </w:tcBorders>
          </w:tcPr>
          <w:p>
            <w:pPr>
              <w:spacing w:after="0"/>
              <w:rPr>
                <w:sz w:val="15"/>
                <w:szCs w:val="15"/>
                <w:color w:val="auto"/>
              </w:rPr>
            </w:pPr>
          </w:p>
        </w:tc>
        <w:tc>
          <w:tcPr>
            <w:tcW w:w="4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58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20" w:type="dxa"/>
            <w:vAlign w:val="bottom"/>
            <w:tcBorders>
              <w:bottom w:val="single" w:sz="8" w:color="CCEEFF"/>
            </w:tcBorders>
            <w:shd w:val="clear" w:color="auto" w:fill="CCEEFF"/>
          </w:tcPr>
          <w:p>
            <w:pPr>
              <w:spacing w:after="0"/>
              <w:rPr>
                <w:sz w:val="16"/>
                <w:szCs w:val="16"/>
                <w:color w:val="auto"/>
              </w:rPr>
            </w:pPr>
          </w:p>
        </w:tc>
        <w:tc>
          <w:tcPr>
            <w:tcW w:w="4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Income tax expense from operations</w:t>
            </w:r>
          </w:p>
        </w:tc>
        <w:tc>
          <w:tcPr>
            <w:tcW w:w="15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106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Receivables and Payables</w:t>
            </w:r>
          </w:p>
        </w:tc>
        <w:tc>
          <w:tcPr>
            <w:tcW w:w="1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72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540" w:type="dxa"/>
            <w:vAlign w:val="bottom"/>
            <w:gridSpan w:val="4"/>
          </w:tcPr>
          <w:p>
            <w:pPr>
              <w:jc w:val="right"/>
              <w:ind w:right="589"/>
              <w:spacing w:after="0"/>
              <w:rPr>
                <w:sz w:val="20"/>
                <w:szCs w:val="20"/>
                <w:color w:val="auto"/>
              </w:rPr>
            </w:pPr>
            <w:r>
              <w:rPr>
                <w:rFonts w:ascii="Times New Roman" w:cs="Times New Roman" w:eastAsia="Times New Roman" w:hAnsi="Times New Roman"/>
                <w:sz w:val="14"/>
                <w:szCs w:val="14"/>
                <w:color w:val="auto"/>
              </w:rPr>
              <w:t>The Company has both income tax receivables and income tax payable on its consolidated balance sheet as follows: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receivable</w:t>
            </w:r>
          </w:p>
        </w:tc>
        <w:tc>
          <w:tcPr>
            <w:tcW w:w="15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 term income tax receivable</w:t>
            </w:r>
          </w:p>
        </w:tc>
        <w:tc>
          <w:tcPr>
            <w:tcW w:w="1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income tax payable</w:t>
            </w:r>
          </w:p>
        </w:tc>
        <w:tc>
          <w:tcPr>
            <w:tcW w:w="15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0"/>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20" w:type="dxa"/>
            <w:vAlign w:val="bottom"/>
            <w:gridSpan w:val="2"/>
          </w:tcPr>
          <w:p>
            <w:pPr>
              <w:jc w:val="right"/>
              <w:ind w:right="1689"/>
              <w:spacing w:after="0"/>
              <w:rPr>
                <w:sz w:val="20"/>
                <w:szCs w:val="20"/>
                <w:color w:val="auto"/>
              </w:rPr>
            </w:pPr>
            <w:r>
              <w:rPr>
                <w:rFonts w:ascii="Times New Roman" w:cs="Times New Roman" w:eastAsia="Times New Roman" w:hAnsi="Times New Roman"/>
                <w:sz w:val="14"/>
                <w:szCs w:val="14"/>
                <w:color w:val="auto"/>
              </w:rPr>
              <w:t>F-25</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83" w:name="page84"/>
    <w:bookmarkEnd w:id="83"/>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Current income tax receivable represents previously made estimated payments that will be applied to the Company’s future U.S. federal and state tax returns. This amount is classified as prepaid expenses and other current assets on the consolidated balance sheet. Current income tax payable represents current liabilities associated with the Company’s current tax returns that the Company intends to file in fiscal 2026. This amount is classified as other current liabilities on the consolidated balance sheet.</w:t>
      </w:r>
    </w:p>
    <w:p>
      <w:pPr>
        <w:spacing w:after="0" w:line="8" w:lineRule="exact"/>
        <w:rPr>
          <w:sz w:val="20"/>
          <w:szCs w:val="20"/>
          <w:color w:val="auto"/>
        </w:rPr>
      </w:pPr>
    </w:p>
    <w:p>
      <w:pPr>
        <w:jc w:val="both"/>
        <w:ind w:right="20" w:firstLine="318"/>
        <w:spacing w:after="0" w:line="270" w:lineRule="auto"/>
        <w:rPr>
          <w:sz w:val="20"/>
          <w:szCs w:val="20"/>
          <w:color w:val="auto"/>
        </w:rPr>
      </w:pPr>
      <w:r>
        <w:rPr>
          <w:rFonts w:ascii="Times New Roman" w:cs="Times New Roman" w:eastAsia="Times New Roman" w:hAnsi="Times New Roman"/>
          <w:sz w:val="14"/>
          <w:szCs w:val="14"/>
          <w:color w:val="auto"/>
        </w:rPr>
        <w:t>The long-term income tax receivable represents the amended U.S. federal return refund claims for research and development tax credits and the carryback claim for the fiscal 2021 net operating loss which is classified as other long-term assets on the consolidated balance sheet. The Company is currently under federal audit by the IRS for fiscal years 2016, 2017 and 2019-2021 and the receipt of our U.S federal return refund claims is contingent upon the completion of the ongoing IRS audit.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Taxes</w:t>
            </w: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2"/>
        </w:trPr>
        <w:tc>
          <w:tcPr>
            <w:tcW w:w="3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Times New Roman" w:cs="Times New Roman" w:eastAsia="Times New Roman" w:hAnsi="Times New Roman"/>
                <w:sz w:val="14"/>
                <w:szCs w:val="14"/>
                <w:color w:val="auto"/>
              </w:rPr>
              <w:t>The significant components of the Company’s deferred income tax assets and liabilities were as follows:</w:t>
            </w: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2"/>
        </w:trPr>
        <w:tc>
          <w:tcPr>
            <w:tcW w:w="3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80" w:type="dxa"/>
            <w:vAlign w:val="bottom"/>
            <w:tcBorders>
              <w:bottom w:val="single" w:sz="8" w:color="auto"/>
            </w:tcBorders>
          </w:tcPr>
          <w:p>
            <w:pPr>
              <w:spacing w:after="0"/>
              <w:rPr>
                <w:sz w:val="17"/>
                <w:szCs w:val="17"/>
                <w:color w:val="auto"/>
              </w:rPr>
            </w:pPr>
          </w:p>
        </w:tc>
      </w:tr>
      <w:tr>
        <w:trPr>
          <w:trHeight w:val="171"/>
        </w:trPr>
        <w:tc>
          <w:tcPr>
            <w:tcW w:w="3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0"/>
        </w:trPr>
        <w:tc>
          <w:tcPr>
            <w:tcW w:w="320" w:type="dxa"/>
            <w:vAlign w:val="bottom"/>
          </w:tcPr>
          <w:p>
            <w:pPr>
              <w:spacing w:after="0"/>
              <w:rPr>
                <w:sz w:val="13"/>
                <w:szCs w:val="13"/>
                <w:color w:val="auto"/>
              </w:rPr>
            </w:pP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assets:</w:t>
            </w:r>
          </w:p>
        </w:tc>
        <w:tc>
          <w:tcPr>
            <w:tcW w:w="1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1240" w:type="dxa"/>
            <w:vAlign w:val="bottom"/>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compensation</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Postretirement benefits</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operating loss and other carryforwards</w:t>
            </w:r>
          </w:p>
        </w:tc>
        <w:tc>
          <w:tcPr>
            <w:tcW w:w="1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 expenditures and indirect effects</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State tax credits</w:t>
            </w:r>
          </w:p>
        </w:tc>
        <w:tc>
          <w:tcPr>
            <w:tcW w:w="1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80"/>
        </w:trPr>
        <w:tc>
          <w:tcPr>
            <w:tcW w:w="320" w:type="dxa"/>
            <w:vAlign w:val="bottom"/>
          </w:tcPr>
          <w:p>
            <w:pPr>
              <w:spacing w:after="0"/>
              <w:rPr>
                <w:sz w:val="15"/>
                <w:szCs w:val="15"/>
                <w:color w:val="auto"/>
              </w:rPr>
            </w:pPr>
          </w:p>
        </w:tc>
        <w:tc>
          <w:tcPr>
            <w:tcW w:w="71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320" w:type="dxa"/>
            <w:vAlign w:val="bottom"/>
          </w:tcPr>
          <w:p>
            <w:pPr>
              <w:spacing w:after="0"/>
              <w:rPr>
                <w:sz w:val="14"/>
                <w:szCs w:val="14"/>
                <w:color w:val="auto"/>
              </w:rPr>
            </w:pPr>
          </w:p>
        </w:tc>
        <w:tc>
          <w:tcPr>
            <w:tcW w:w="7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 gross deferred income tax assets</w:t>
            </w:r>
          </w:p>
        </w:tc>
        <w:tc>
          <w:tcPr>
            <w:tcW w:w="1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535</w:t>
            </w:r>
          </w:p>
        </w:tc>
      </w:tr>
      <w:tr>
        <w:trPr>
          <w:trHeight w:val="180"/>
        </w:trPr>
        <w:tc>
          <w:tcPr>
            <w:tcW w:w="320" w:type="dxa"/>
            <w:vAlign w:val="bottom"/>
          </w:tcPr>
          <w:p>
            <w:pPr>
              <w:spacing w:after="0"/>
              <w:rPr>
                <w:sz w:val="15"/>
                <w:szCs w:val="15"/>
                <w:color w:val="auto"/>
              </w:rPr>
            </w:pPr>
          </w:p>
        </w:tc>
        <w:tc>
          <w:tcPr>
            <w:tcW w:w="71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4"/>
                <w:szCs w:val="14"/>
                <w:color w:val="auto"/>
              </w:rPr>
              <w:t>Less: Valuation allowance</w:t>
            </w:r>
          </w:p>
        </w:tc>
        <w:tc>
          <w:tcPr>
            <w:tcW w:w="1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71"/>
        </w:trPr>
        <w:tc>
          <w:tcPr>
            <w:tcW w:w="320" w:type="dxa"/>
            <w:vAlign w:val="bottom"/>
          </w:tcPr>
          <w:p>
            <w:pPr>
              <w:spacing w:after="0"/>
              <w:rPr>
                <w:sz w:val="14"/>
                <w:szCs w:val="14"/>
                <w:color w:val="auto"/>
              </w:rPr>
            </w:pPr>
          </w:p>
        </w:tc>
        <w:tc>
          <w:tcPr>
            <w:tcW w:w="71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Total net deferred income tax assets</w:t>
            </w:r>
          </w:p>
        </w:tc>
        <w:tc>
          <w:tcPr>
            <w:tcW w:w="12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r>
      <w:tr>
        <w:trPr>
          <w:trHeight w:val="160"/>
        </w:trPr>
        <w:tc>
          <w:tcPr>
            <w:tcW w:w="320" w:type="dxa"/>
            <w:vAlign w:val="bottom"/>
          </w:tcPr>
          <w:p>
            <w:pPr>
              <w:spacing w:after="0"/>
              <w:rPr>
                <w:sz w:val="13"/>
                <w:szCs w:val="13"/>
                <w:color w:val="auto"/>
              </w:rPr>
            </w:pPr>
          </w:p>
        </w:tc>
        <w:tc>
          <w:tcPr>
            <w:tcW w:w="7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1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Unbilled receivables</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Intangible assets</w:t>
            </w:r>
          </w:p>
        </w:tc>
        <w:tc>
          <w:tcPr>
            <w:tcW w:w="1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w:t>
            </w:r>
          </w:p>
        </w:tc>
        <w:tc>
          <w:tcPr>
            <w:tcW w:w="12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80"/>
        </w:trPr>
        <w:tc>
          <w:tcPr>
            <w:tcW w:w="320" w:type="dxa"/>
            <w:vAlign w:val="bottom"/>
          </w:tcPr>
          <w:p>
            <w:pPr>
              <w:spacing w:after="0"/>
              <w:rPr>
                <w:sz w:val="15"/>
                <w:szCs w:val="15"/>
                <w:color w:val="auto"/>
              </w:rPr>
            </w:pPr>
          </w:p>
        </w:tc>
        <w:tc>
          <w:tcPr>
            <w:tcW w:w="7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320" w:type="dxa"/>
            <w:vAlign w:val="bottom"/>
          </w:tcPr>
          <w:p>
            <w:pPr>
              <w:spacing w:after="0"/>
              <w:rPr>
                <w:sz w:val="15"/>
                <w:szCs w:val="15"/>
                <w:color w:val="auto"/>
              </w:rPr>
            </w:pPr>
          </w:p>
        </w:tc>
        <w:tc>
          <w:tcPr>
            <w:tcW w:w="7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1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320" w:type="dxa"/>
            <w:vAlign w:val="bottom"/>
          </w:tcPr>
          <w:p>
            <w:pPr>
              <w:spacing w:after="0"/>
              <w:rPr>
                <w:sz w:val="14"/>
                <w:szCs w:val="14"/>
                <w:color w:val="auto"/>
              </w:rPr>
            </w:pPr>
          </w:p>
        </w:tc>
        <w:tc>
          <w:tcPr>
            <w:tcW w:w="71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4"/>
                <w:szCs w:val="14"/>
                <w:color w:val="auto"/>
              </w:rPr>
              <w:t>Total deferred income tax liabilities</w:t>
            </w:r>
          </w:p>
        </w:tc>
        <w:tc>
          <w:tcPr>
            <w:tcW w:w="1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196"/>
        </w:trPr>
        <w:tc>
          <w:tcPr>
            <w:tcW w:w="320" w:type="dxa"/>
            <w:vAlign w:val="bottom"/>
          </w:tcPr>
          <w:p>
            <w:pPr>
              <w:spacing w:after="0"/>
              <w:rPr>
                <w:sz w:val="16"/>
                <w:szCs w:val="16"/>
                <w:color w:val="auto"/>
              </w:rPr>
            </w:pPr>
          </w:p>
        </w:tc>
        <w:tc>
          <w:tcPr>
            <w:tcW w:w="7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Net deferred income tax asset</w:t>
            </w:r>
          </w:p>
        </w:tc>
        <w:tc>
          <w:tcPr>
            <w:tcW w:w="1240" w:type="dxa"/>
            <w:vAlign w:val="bottom"/>
            <w:tcBorders>
              <w:bottom w:val="single" w:sz="8" w:color="auto"/>
            </w:tcBorders>
            <w:shd w:val="clear" w:color="auto" w:fill="CCEEFF"/>
          </w:tcPr>
          <w:p>
            <w:pPr>
              <w:jc w:val="right"/>
              <w:ind w:right="1089"/>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0"/>
        </w:trPr>
        <w:tc>
          <w:tcPr>
            <w:tcW w:w="32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financial reporting earnings, future reversals of existing taxable temporary differences, projected future taxable income, as well as any tax planning strategies.</w:t>
      </w:r>
    </w:p>
    <w:p>
      <w:pPr>
        <w:spacing w:after="0" w:line="13"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As of March 31, 2025 and 2024, the Company had available federal, state, and foreign net operating loss (“NOL carryforwards”) of $10 million and $9 million, respectively, that may be applied against future taxable income. The federal net operating loss of $1 million is attributable to an acquisition and will begin to expire in fiscal 2037. The state net operating loss of $4 million is primarily attributable to losses in jurisdictions in which the Company does not file a consolidated return. The foreign net operating loss of $5 million is primarily attributable to operations in jurisdictions where the Company has not historically been profitable. The Company recorded a partial valuation allowance against those federal, state and foreign net operating losses it believes will expire prior to utilization.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84" w:name="page85"/>
    <w:bookmarkEnd w:id="84"/>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Tax Positions</w:t>
      </w:r>
    </w:p>
    <w:p>
      <w:pPr>
        <w:spacing w:after="0" w:line="53" w:lineRule="exact"/>
        <w:rPr>
          <w:sz w:val="20"/>
          <w:szCs w:val="20"/>
          <w:color w:val="auto"/>
        </w:rPr>
      </w:pPr>
    </w:p>
    <w:p>
      <w:pPr>
        <w:ind w:right="60" w:firstLine="318"/>
        <w:spacing w:after="0" w:line="261" w:lineRule="auto"/>
        <w:rPr>
          <w:sz w:val="20"/>
          <w:szCs w:val="20"/>
          <w:color w:val="auto"/>
        </w:rPr>
      </w:pPr>
      <w:r>
        <w:rPr>
          <w:rFonts w:ascii="Times New Roman" w:cs="Times New Roman" w:eastAsia="Times New Roman" w:hAnsi="Times New Roman"/>
          <w:sz w:val="14"/>
          <w:szCs w:val="14"/>
          <w:color w:val="auto"/>
        </w:rPr>
        <w:t>The Company maintains reserves for uncertain tax positions related to unrecognized income tax benefits. These reserves involve considerable judgment and estimation and are evaluated by management based on the best information available including changes in tax laws and other information. As of March 31, 2025, 2024, and 2023, the Company has recorded $142 million, $115 million, and $552 million, respectively, of reserves for uncertain tax positions which include potential tax benefits of $125 million, $104 million, and $91 million, respectively, that, when recognized, impact the effective tax rate. As of March 31, 2025 and 2024, $3 million and $1 million, respectively, of the reserve is reflected as a reduction to deferred taxes and the remaining balance is recorded as a component of other long-term liabilities in the consolidated balance sheet.</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 reconciliation of the beginning and ending amount of potential tax benefits for the periods presented is as follows:</w:t>
      </w:r>
    </w:p>
    <w:p>
      <w:pPr>
        <w:spacing w:after="0" w:line="39"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71"/>
        </w:trPr>
        <w:tc>
          <w:tcPr>
            <w:tcW w:w="53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year</w:t>
            </w:r>
          </w:p>
        </w:tc>
        <w:tc>
          <w:tcPr>
            <w:tcW w:w="102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Increases in prior year position</w:t>
            </w:r>
          </w:p>
        </w:tc>
        <w:tc>
          <w:tcPr>
            <w:tcW w:w="10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Increases in current year position</w:t>
            </w: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w:t>
            </w:r>
          </w:p>
        </w:tc>
      </w:tr>
      <w:tr>
        <w:trPr>
          <w:trHeight w:val="18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Decreases in prior year position</w:t>
            </w:r>
          </w:p>
        </w:tc>
        <w:tc>
          <w:tcPr>
            <w:tcW w:w="10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5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Settlements with taxing authorities</w:t>
            </w:r>
          </w:p>
        </w:tc>
        <w:tc>
          <w:tcPr>
            <w:tcW w:w="10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Lapse of statute of limitations</w:t>
            </w:r>
          </w:p>
        </w:tc>
        <w:tc>
          <w:tcPr>
            <w:tcW w:w="102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38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End of year</w:t>
            </w:r>
          </w:p>
        </w:tc>
        <w:tc>
          <w:tcPr>
            <w:tcW w:w="1020" w:type="dxa"/>
            <w:vAlign w:val="bottom"/>
            <w:tcBorders>
              <w:top w:val="single" w:sz="8" w:color="auto"/>
              <w:bottom w:val="single" w:sz="8" w:color="auto"/>
            </w:tcBorders>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 recognized accrued interest and penalties of $7 million, $7 million and $3 million for fiscal 2025, 2024, and 2023, respectively, related to the reserves for uncertain tax positions in the income tax provision. The total reserve for uncertain tax positions includes accrued penalties and interest of approximately $20 million, $13 million and $6 million at March 31, 2025, 2024, and 2023, respectively. The Company is subject to taxation in the United States and various state and foreign jurisdictions. As of March 31, 2025, the Company's tax years ended March 31, 2016 and forward are open and subject to examination by the federal tax authorities. The Company is currently under federal audit by the Internal Revenue Service (“IRS”) for fiscal years 2016, 2017 and 2019-2021. The other jurisdictions currently open or under examination are not considered to be material.</w:t>
      </w:r>
    </w:p>
    <w:p>
      <w:pPr>
        <w:spacing w:after="0" w:line="1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It is difficult to predict the ultimate outcome or the timing of resolution for uncertain tax positions. It is reasonably possible that the amount of unrecognized tax benefits could significantly change within the next twelve months. However, an estimate of the range of reasonably possible outcomes cannot be made. Items that may cause changes to unrecognized tax benefits include the amount of research and development tax credits available in the United States and various state jurisdictions. These changes could result from the completion of the ongoing IRS examination, the expiration of the statutes of limitations, additional regulatory guidance or other unforeseen circumstances.</w:t>
      </w:r>
    </w:p>
    <w:p>
      <w:pPr>
        <w:spacing w:after="0" w:line="1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During fiscal 2023, 2024, and 2025, the Company recognized an increase in reserves for uncertain tax positions related to an increase in research and development tax credits available. In addition, during fiscal 2023, the Company recognized an increase in reserves for uncertain tax positions related to the required capitalization of research and development expenditures, which was reversed in fiscal 2024 as a result of additional guidance provided by the IRS. Furthermore, during fiscal 2024, the Company received an unfavorable ruling from the District of Columbia Court of Appeals related to contested tax assessments from the District of Columbia Office of Tax and Revenue (“DC OTR”) for fiscal years 2013 through 2015.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Employee Benefit Plans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Plan</w:t>
      </w:r>
    </w:p>
    <w:p>
      <w:pPr>
        <w:spacing w:after="0" w:line="53" w:lineRule="exact"/>
        <w:rPr>
          <w:sz w:val="20"/>
          <w:szCs w:val="20"/>
          <w:color w:val="auto"/>
        </w:rPr>
      </w:pPr>
    </w:p>
    <w:p>
      <w:pPr>
        <w:ind w:right="180" w:firstLine="318"/>
        <w:spacing w:after="0" w:line="264" w:lineRule="auto"/>
        <w:rPr>
          <w:sz w:val="20"/>
          <w:szCs w:val="20"/>
          <w:color w:val="auto"/>
        </w:rPr>
      </w:pPr>
      <w:r>
        <w:rPr>
          <w:rFonts w:ascii="Times New Roman" w:cs="Times New Roman" w:eastAsia="Times New Roman" w:hAnsi="Times New Roman"/>
          <w:sz w:val="14"/>
          <w:szCs w:val="14"/>
          <w:color w:val="auto"/>
        </w:rPr>
        <w:t>The Company sponsors the Employees’ Capital Accumulation Plan (the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 recognized under ECAP for fiscal 2025, 2024, and 2023 was $249 million, $218 million, and $191 million, respectively, and the Company-paid contributions were $240 million, $213 million, and $186 million, respectively.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85" w:name="page86"/>
    <w:bookmarkEnd w:id="85"/>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Post Retirement Benefits</w:t>
      </w:r>
    </w:p>
    <w:p>
      <w:pPr>
        <w:spacing w:after="0" w:line="53"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4"/>
          <w:szCs w:val="14"/>
          <w:color w:val="auto"/>
        </w:rPr>
        <w:t>The Company provides postretirement healthcare benefits to former officers under a medical indemnity insurance plan, with premiums paid by the Company. This plan is referred to as the Officer Medical Plan. 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 See Note 15, “Accumulated Other Comprehensive Income (Loss),” to the consolidated financial statements.</w:t>
      </w:r>
    </w:p>
    <w:p>
      <w:pPr>
        <w:spacing w:after="0" w:line="13" w:lineRule="exact"/>
        <w:rPr>
          <w:sz w:val="20"/>
          <w:szCs w:val="20"/>
          <w:color w:val="auto"/>
        </w:rPr>
      </w:pPr>
    </w:p>
    <w:p>
      <w:pPr>
        <w:ind w:right="180" w:firstLine="318"/>
        <w:spacing w:after="0" w:line="284" w:lineRule="auto"/>
        <w:rPr>
          <w:sz w:val="20"/>
          <w:szCs w:val="20"/>
          <w:color w:val="auto"/>
        </w:rPr>
      </w:pPr>
      <w:r>
        <w:rPr>
          <w:rFonts w:ascii="Times New Roman" w:cs="Times New Roman" w:eastAsia="Times New Roman" w:hAnsi="Times New Roman"/>
          <w:sz w:val="14"/>
          <w:szCs w:val="14"/>
          <w:color w:val="auto"/>
        </w:rPr>
        <w:t>The service cost component of net periodic benefit cost is included in cost of revenue and general and administrative expenses, and the non-service cost components of net periodic benefit cost (interest cost and net actuarial loss) are included as part of other income (expense), net in the accompanying consolidated statements of operations.</w:t>
      </w:r>
    </w:p>
    <w:p>
      <w:pPr>
        <w:spacing w:after="0" w:line="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weighted-average discount rate used to determine the year-end benefit obligation for the Officer Medical Plan were 5.55%, 5.20% and 4.90% for fiscal 2025, 2024, and 2023, respectively.</w:t>
      </w:r>
    </w:p>
    <w:p>
      <w:pPr>
        <w:spacing w:after="0" w:line="5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Assumed healthcare cost trend rates for the Officer Medical Plan at March 31 were as follows: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Pre-65 initial rate</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2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cost trend rate assumed for next year</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8.25 %</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to which the cost trend rate is assumed to decline (the ultimate trend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that the rate reaches the ultimate trend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Post-65 initial rate</w:t>
            </w:r>
          </w:p>
        </w:tc>
        <w:tc>
          <w:tcPr>
            <w:tcW w:w="152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280" w:type="dxa"/>
            <w:vAlign w:val="bottom"/>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1"/>
        </w:trPr>
        <w:tc>
          <w:tcPr>
            <w:tcW w:w="8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Healthcare cost trend rate assumed for next year</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8.95 %</w:t>
            </w: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Rate to which the cost trend rate is assumed to decline (the ultimate trend rate)</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Year that the rate reaches the ultimate trend rate</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The changes in the benefit obligation of the unfunded Officer Medical Plan were as follows:</w:t>
            </w:r>
          </w:p>
        </w:tc>
        <w:tc>
          <w:tcPr>
            <w:tcW w:w="1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2"/>
        </w:trPr>
        <w:tc>
          <w:tcPr>
            <w:tcW w:w="60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71"/>
        </w:trPr>
        <w:tc>
          <w:tcPr>
            <w:tcW w:w="60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0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Benefit obligation, beginning of the year </w:t>
            </w:r>
            <w:r>
              <w:rPr>
                <w:rFonts w:ascii="Times New Roman" w:cs="Times New Roman" w:eastAsia="Times New Roman" w:hAnsi="Times New Roman"/>
                <w:sz w:val="18"/>
                <w:szCs w:val="18"/>
                <w:color w:val="auto"/>
                <w:vertAlign w:val="superscript"/>
              </w:rPr>
              <w:t>(1)</w:t>
            </w:r>
          </w:p>
        </w:tc>
        <w:tc>
          <w:tcPr>
            <w:tcW w:w="1180" w:type="dxa"/>
            <w:vAlign w:val="bottom"/>
            <w:shd w:val="clear" w:color="auto" w:fill="CCEEFF"/>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6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Service cost</w:t>
            </w:r>
          </w:p>
        </w:tc>
        <w:tc>
          <w:tcPr>
            <w:tcW w:w="1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 cost</w:t>
            </w:r>
          </w:p>
        </w:tc>
        <w:tc>
          <w:tcPr>
            <w:tcW w:w="11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60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actuarial loss (gain)</w:t>
            </w:r>
          </w:p>
        </w:tc>
        <w:tc>
          <w:tcPr>
            <w:tcW w:w="1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60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Benefits paid</w:t>
            </w:r>
          </w:p>
        </w:tc>
        <w:tc>
          <w:tcPr>
            <w:tcW w:w="11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71"/>
        </w:trPr>
        <w:tc>
          <w:tcPr>
            <w:tcW w:w="6040" w:type="dxa"/>
            <w:vAlign w:val="bottom"/>
          </w:tcPr>
          <w:p>
            <w:pPr>
              <w:ind w:left="520"/>
              <w:spacing w:after="0" w:line="171" w:lineRule="exact"/>
              <w:rPr>
                <w:sz w:val="20"/>
                <w:szCs w:val="20"/>
                <w:color w:val="auto"/>
              </w:rPr>
            </w:pPr>
            <w:r>
              <w:rPr>
                <w:rFonts w:ascii="Times New Roman" w:cs="Times New Roman" w:eastAsia="Times New Roman" w:hAnsi="Times New Roman"/>
                <w:sz w:val="14"/>
                <w:szCs w:val="14"/>
                <w:color w:val="auto"/>
              </w:rPr>
              <w:t xml:space="preserve">Benefit obligation, end of the year </w:t>
            </w:r>
            <w:r>
              <w:rPr>
                <w:rFonts w:ascii="Times New Roman" w:cs="Times New Roman" w:eastAsia="Times New Roman" w:hAnsi="Times New Roman"/>
                <w:sz w:val="18"/>
                <w:szCs w:val="18"/>
                <w:color w:val="auto"/>
                <w:vertAlign w:val="superscript"/>
              </w:rPr>
              <w:t>(1)</w:t>
            </w:r>
          </w:p>
        </w:tc>
        <w:tc>
          <w:tcPr>
            <w:tcW w:w="118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0"/>
        </w:trPr>
        <w:tc>
          <w:tcPr>
            <w:tcW w:w="60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ind w:left="520" w:right="220" w:hanging="133"/>
        <w:spacing w:after="0" w:line="254" w:lineRule="auto"/>
        <w:tabs>
          <w:tab w:leader="none" w:pos="523" w:val="left"/>
        </w:tabs>
        <w:numPr>
          <w:ilvl w:val="0"/>
          <w:numId w:val="6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short term and long term portion of the Officer Medical Plan’s benefit obligation is included in accrued compensation and other long-term liabilities, respectively, in the accompanying consolidated balance sheets.</w:t>
      </w:r>
    </w:p>
    <w:p>
      <w:pPr>
        <w:spacing w:after="0" w:line="17" w:lineRule="exact"/>
        <w:rPr>
          <w:sz w:val="20"/>
          <w:szCs w:val="20"/>
          <w:color w:val="auto"/>
        </w:rPr>
      </w:pPr>
    </w:p>
    <w:p>
      <w:pPr>
        <w:ind w:right="100" w:firstLine="318"/>
        <w:spacing w:after="0" w:line="264" w:lineRule="auto"/>
        <w:rPr>
          <w:sz w:val="20"/>
          <w:szCs w:val="20"/>
          <w:color w:val="auto"/>
        </w:rPr>
      </w:pPr>
      <w:r>
        <w:rPr>
          <w:rFonts w:ascii="Times New Roman" w:cs="Times New Roman" w:eastAsia="Times New Roman" w:hAnsi="Times New Roman"/>
          <w:sz w:val="14"/>
          <w:szCs w:val="14"/>
          <w:color w:val="auto"/>
        </w:rPr>
        <w:t>The net actuarial loss related to the benefit obligation in fiscal 2025 was primarily due to unfavorable updates in estimated medical claims and medical inflation, partially offset by an increase in the discount rate. The net actuarial loss related to the benefit obligation in fiscal 2024 was primarily due to unfavorable updates in estimated medical claims, medical inflation, and demographic assumptions, partially offset by increases in discount rates. The net actuarial gain related to the benefit obligation in fiscal 2023 was primarily due to a favorable change from using an amounts-weighted to a headcount-weighted mortality table and increases in discount rates, partially offset by updates to estimated medical costs and the outlook of higher future medical inflation.</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expected future medical benefit payments and related contributions are as follows:</w:t>
      </w:r>
    </w:p>
    <w:p>
      <w:pPr>
        <w:spacing w:after="0" w:line="3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For the Fiscal Year Ending March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1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4100" w:type="dxa"/>
            <w:vAlign w:val="bottom"/>
            <w:tcBorders>
              <w:top w:val="single" w:sz="8" w:color="auto"/>
            </w:tcBorders>
            <w:gridSpan w:val="2"/>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0" w:type="dxa"/>
            <w:vAlign w:val="bottom"/>
          </w:tcPr>
          <w:p>
            <w:pPr>
              <w:spacing w:after="0"/>
              <w:rPr>
                <w:sz w:val="14"/>
                <w:szCs w:val="14"/>
                <w:color w:val="auto"/>
              </w:rPr>
            </w:pPr>
          </w:p>
        </w:tc>
      </w:tr>
      <w:tr>
        <w:trPr>
          <w:trHeight w:val="180"/>
        </w:trPr>
        <w:tc>
          <w:tcPr>
            <w:tcW w:w="2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00" w:type="dxa"/>
            <w:vAlign w:val="bottom"/>
          </w:tcPr>
          <w:p>
            <w:pPr>
              <w:spacing w:after="0"/>
              <w:rPr>
                <w:sz w:val="15"/>
                <w:szCs w:val="15"/>
                <w:color w:val="auto"/>
              </w:rPr>
            </w:pPr>
          </w:p>
        </w:tc>
      </w:tr>
      <w:tr>
        <w:trPr>
          <w:trHeight w:val="180"/>
        </w:trPr>
        <w:tc>
          <w:tcPr>
            <w:tcW w:w="2380" w:type="dxa"/>
            <w:vAlign w:val="bottom"/>
          </w:tcPr>
          <w:p>
            <w:pPr>
              <w:spacing w:after="0"/>
              <w:rPr>
                <w:sz w:val="15"/>
                <w:szCs w:val="15"/>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3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000" w:type="dxa"/>
            <w:vAlign w:val="bottom"/>
          </w:tcPr>
          <w:p>
            <w:pPr>
              <w:spacing w:after="0"/>
              <w:rPr>
                <w:sz w:val="15"/>
                <w:szCs w:val="15"/>
                <w:color w:val="auto"/>
              </w:rPr>
            </w:pPr>
          </w:p>
        </w:tc>
      </w:tr>
      <w:tr>
        <w:trPr>
          <w:trHeight w:val="180"/>
        </w:trPr>
        <w:tc>
          <w:tcPr>
            <w:tcW w:w="2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00" w:type="dxa"/>
            <w:vAlign w:val="bottom"/>
          </w:tcPr>
          <w:p>
            <w:pPr>
              <w:spacing w:after="0"/>
              <w:rPr>
                <w:sz w:val="15"/>
                <w:szCs w:val="15"/>
                <w:color w:val="auto"/>
              </w:rPr>
            </w:pPr>
          </w:p>
        </w:tc>
      </w:tr>
      <w:tr>
        <w:trPr>
          <w:trHeight w:val="180"/>
        </w:trPr>
        <w:tc>
          <w:tcPr>
            <w:tcW w:w="2380" w:type="dxa"/>
            <w:vAlign w:val="bottom"/>
          </w:tcPr>
          <w:p>
            <w:pPr>
              <w:spacing w:after="0"/>
              <w:rPr>
                <w:sz w:val="15"/>
                <w:szCs w:val="15"/>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2030</w:t>
            </w:r>
          </w:p>
        </w:tc>
        <w:tc>
          <w:tcPr>
            <w:tcW w:w="3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0" w:type="dxa"/>
            <w:vAlign w:val="bottom"/>
          </w:tcPr>
          <w:p>
            <w:pPr>
              <w:spacing w:after="0"/>
              <w:rPr>
                <w:sz w:val="15"/>
                <w:szCs w:val="15"/>
                <w:color w:val="auto"/>
              </w:rPr>
            </w:pPr>
          </w:p>
        </w:tc>
      </w:tr>
      <w:tr>
        <w:trPr>
          <w:trHeight w:val="180"/>
        </w:trPr>
        <w:tc>
          <w:tcPr>
            <w:tcW w:w="2380" w:type="dxa"/>
            <w:vAlign w:val="bottom"/>
          </w:tcPr>
          <w:p>
            <w:pPr>
              <w:spacing w:after="0"/>
              <w:rPr>
                <w:sz w:val="15"/>
                <w:szCs w:val="15"/>
                <w:color w:val="auto"/>
              </w:rPr>
            </w:pPr>
          </w:p>
        </w:tc>
        <w:tc>
          <w:tcPr>
            <w:tcW w:w="1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2031 - 2035</w:t>
            </w:r>
          </w:p>
        </w:tc>
        <w:tc>
          <w:tcPr>
            <w:tcW w:w="34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000" w:type="dxa"/>
            <w:vAlign w:val="bottom"/>
          </w:tcPr>
          <w:p>
            <w:pPr>
              <w:spacing w:after="0"/>
              <w:rPr>
                <w:sz w:val="15"/>
                <w:szCs w:val="15"/>
                <w:color w:val="auto"/>
              </w:rPr>
            </w:pPr>
          </w:p>
        </w:tc>
      </w:tr>
      <w:tr>
        <w:trPr>
          <w:trHeight w:val="196"/>
        </w:trPr>
        <w:tc>
          <w:tcPr>
            <w:tcW w:w="2380" w:type="dxa"/>
            <w:vAlign w:val="bottom"/>
          </w:tcPr>
          <w:p>
            <w:pPr>
              <w:spacing w:after="0"/>
              <w:rPr>
                <w:sz w:val="16"/>
                <w:szCs w:val="16"/>
                <w:color w:val="auto"/>
              </w:rPr>
            </w:pPr>
          </w:p>
        </w:tc>
        <w:tc>
          <w:tcPr>
            <w:tcW w:w="19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34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54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000" w:type="dxa"/>
            <w:vAlign w:val="bottom"/>
          </w:tcPr>
          <w:p>
            <w:pPr>
              <w:spacing w:after="0"/>
              <w:rPr>
                <w:sz w:val="16"/>
                <w:szCs w:val="16"/>
                <w:color w:val="auto"/>
              </w:rPr>
            </w:pPr>
          </w:p>
        </w:tc>
      </w:tr>
      <w:tr>
        <w:trPr>
          <w:trHeight w:val="20"/>
        </w:trPr>
        <w:tc>
          <w:tcPr>
            <w:tcW w:w="2380" w:type="dxa"/>
            <w:vAlign w:val="bottom"/>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673"/>
        </w:trPr>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100" w:type="dxa"/>
            <w:vAlign w:val="bottom"/>
            <w:gridSpan w:val="2"/>
          </w:tcPr>
          <w:p>
            <w:pPr>
              <w:jc w:val="right"/>
              <w:ind w:right="2529"/>
              <w:spacing w:after="0"/>
              <w:rPr>
                <w:sz w:val="20"/>
                <w:szCs w:val="20"/>
                <w:color w:val="auto"/>
              </w:rPr>
            </w:pPr>
            <w:r>
              <w:rPr>
                <w:rFonts w:ascii="Times New Roman" w:cs="Times New Roman" w:eastAsia="Times New Roman" w:hAnsi="Times New Roman"/>
                <w:sz w:val="14"/>
                <w:szCs w:val="14"/>
                <w:color w:val="auto"/>
              </w:rPr>
              <w:t>F-28</w:t>
            </w:r>
          </w:p>
        </w:tc>
        <w:tc>
          <w:tcPr>
            <w:tcW w:w="9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87"/>
        </w:trPr>
        <w:tc>
          <w:tcPr>
            <w:tcW w:w="2380" w:type="dxa"/>
            <w:vAlign w:val="bottom"/>
            <w:tcBorders>
              <w:bottom w:val="single" w:sz="8" w:color="9A9A9A"/>
            </w:tcBorders>
          </w:tcPr>
          <w:p>
            <w:pPr>
              <w:spacing w:after="0"/>
              <w:rPr>
                <w:sz w:val="7"/>
                <w:szCs w:val="7"/>
                <w:color w:val="auto"/>
              </w:rPr>
            </w:pPr>
          </w:p>
        </w:tc>
        <w:tc>
          <w:tcPr>
            <w:tcW w:w="1900" w:type="dxa"/>
            <w:vAlign w:val="bottom"/>
            <w:tcBorders>
              <w:bottom w:val="single" w:sz="8" w:color="9A9A9A"/>
            </w:tcBorders>
          </w:tcPr>
          <w:p>
            <w:pPr>
              <w:spacing w:after="0"/>
              <w:rPr>
                <w:sz w:val="7"/>
                <w:szCs w:val="7"/>
                <w:color w:val="auto"/>
              </w:rPr>
            </w:pPr>
          </w:p>
        </w:tc>
        <w:tc>
          <w:tcPr>
            <w:tcW w:w="34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163" w:right="239" w:bottom="1440" w:gutter="0" w:footer="0" w:header="0"/>
        </w:sectPr>
      </w:pPr>
    </w:p>
    <w:bookmarkStart w:id="86" w:name="page87"/>
    <w:bookmarkEnd w:id="86"/>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Accumulated Other Comprehensive Income (Loss)</w:t>
      </w:r>
    </w:p>
    <w:p>
      <w:pPr>
        <w:spacing w:after="0" w:line="96" w:lineRule="exact"/>
        <w:rPr>
          <w:sz w:val="20"/>
          <w:szCs w:val="20"/>
          <w:color w:val="auto"/>
        </w:rPr>
      </w:pPr>
    </w:p>
    <w:p>
      <w:pPr>
        <w:ind w:right="180" w:firstLine="318"/>
        <w:spacing w:after="0" w:line="287" w:lineRule="auto"/>
        <w:rPr>
          <w:sz w:val="20"/>
          <w:szCs w:val="20"/>
          <w:color w:val="auto"/>
        </w:rPr>
      </w:pPr>
      <w:r>
        <w:rPr>
          <w:rFonts w:ascii="Times New Roman" w:cs="Times New Roman" w:eastAsia="Times New Roman" w:hAnsi="Times New Roman"/>
          <w:sz w:val="14"/>
          <w:szCs w:val="14"/>
          <w:color w:val="auto"/>
        </w:rPr>
        <w:t>All amounts recorded in other comprehensive income (loss) (“OCI”) are related to the Company's post-retirement plans and interest rate swaps designated as cash flow hedges. The following table presents the changes in Accumulated OCI:</w:t>
      </w:r>
    </w:p>
    <w:p>
      <w:pPr>
        <w:spacing w:after="0" w:line="1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100" w:type="dxa"/>
            <w:vAlign w:val="bottom"/>
          </w:tcPr>
          <w:p>
            <w:pPr>
              <w:spacing w:after="0"/>
              <w:rPr>
                <w:sz w:val="13"/>
                <w:szCs w:val="13"/>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w:t>
            </w:r>
          </w:p>
        </w:tc>
        <w:tc>
          <w:tcPr>
            <w:tcW w:w="340" w:type="dxa"/>
            <w:vAlign w:val="bottom"/>
          </w:tcPr>
          <w:p>
            <w:pPr>
              <w:spacing w:after="0"/>
              <w:rPr>
                <w:sz w:val="13"/>
                <w:szCs w:val="13"/>
                <w:color w:val="auto"/>
              </w:rPr>
            </w:pPr>
          </w:p>
        </w:tc>
        <w:tc>
          <w:tcPr>
            <w:tcW w:w="1120" w:type="dxa"/>
            <w:vAlign w:val="bottom"/>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64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4"/>
                <w:szCs w:val="14"/>
                <w:b w:val="1"/>
                <w:bCs w:val="1"/>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80"/>
        </w:trPr>
        <w:tc>
          <w:tcPr>
            <w:tcW w:w="64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OCI, before reclassifications to earnings and income taxes</w:t>
            </w:r>
          </w:p>
        </w:tc>
        <w:tc>
          <w:tcPr>
            <w:tcW w:w="6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66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w w:val="97"/>
              </w:rPr>
              <w:t>(4)</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OCI before reclassifications to earnings, net of income taxes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color w:val="auto"/>
              </w:rPr>
              <w:t>11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Amounts reclassified from AOCI to earnings, before income taxes</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4"/>
                <w:szCs w:val="14"/>
                <w:color w:val="auto"/>
              </w:rPr>
              <w:t>Amounts reclassified from AOCI to earnings, net of income taxes</w:t>
            </w:r>
            <w:r>
              <w:rPr>
                <w:rFonts w:ascii="Times New Roman" w:cs="Times New Roman" w:eastAsia="Times New Roman" w:hAnsi="Times New Roman"/>
                <w:sz w:val="18"/>
                <w:szCs w:val="18"/>
                <w:color w:val="auto"/>
                <w:vertAlign w:val="superscript"/>
              </w:rPr>
              <w:t>(1)</w:t>
            </w:r>
          </w:p>
        </w:tc>
        <w:tc>
          <w:tcPr>
            <w:tcW w:w="6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Current-period OCI, net of income taxes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shd w:val="clear" w:color="auto" w:fill="CCEEFF"/>
          </w:tcPr>
          <w:p>
            <w:pPr>
              <w:ind w:left="1460"/>
              <w:spacing w:after="0"/>
              <w:rPr>
                <w:sz w:val="20"/>
                <w:szCs w:val="20"/>
                <w:color w:val="auto"/>
              </w:rPr>
            </w:pPr>
            <w:r>
              <w:rPr>
                <w:rFonts w:ascii="Times New Roman" w:cs="Times New Roman" w:eastAsia="Times New Roman" w:hAnsi="Times New Roman"/>
                <w:sz w:val="14"/>
                <w:szCs w:val="14"/>
                <w:b w:val="1"/>
                <w:bCs w:val="1"/>
                <w:color w:val="auto"/>
              </w:rPr>
              <w:t>10</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OCI, before reclassifications to earnings and income taxes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660" w:type="dxa"/>
            <w:vAlign w:val="bottom"/>
          </w:tcPr>
          <w:p>
            <w:pPr>
              <w:ind w:left="1460"/>
              <w:spacing w:after="0" w:line="143"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w w:val="97"/>
              </w:rPr>
              <w:t>(3)</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OCI before reclassifications to earnings, net of income taxes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Amounts reclassified from AOCI to earnings, before income taxes</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(15)</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0"/>
              <w:spacing w:after="0" w:line="171" w:lineRule="exact"/>
              <w:rPr>
                <w:sz w:val="20"/>
                <w:szCs w:val="20"/>
                <w:color w:val="auto"/>
              </w:rPr>
            </w:pPr>
            <w:r>
              <w:rPr>
                <w:rFonts w:ascii="Times New Roman" w:cs="Times New Roman" w:eastAsia="Times New Roman" w:hAnsi="Times New Roman"/>
                <w:sz w:val="14"/>
                <w:szCs w:val="14"/>
                <w:color w:val="auto"/>
              </w:rPr>
              <w:t>Amounts reclassified from AOCI to earnings, net of income taxes</w:t>
            </w:r>
            <w:r>
              <w:rPr>
                <w:rFonts w:ascii="Times New Roman" w:cs="Times New Roman" w:eastAsia="Times New Roman" w:hAnsi="Times New Roman"/>
                <w:sz w:val="18"/>
                <w:szCs w:val="18"/>
                <w:color w:val="auto"/>
                <w:vertAlign w:val="superscript"/>
              </w:rPr>
              <w:t>(1)</w:t>
            </w:r>
          </w:p>
        </w:tc>
        <w:tc>
          <w:tcPr>
            <w:tcW w:w="6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4"/>
                <w:szCs w:val="14"/>
                <w:color w:val="auto"/>
                <w:w w:val="94"/>
              </w:rPr>
              <w:t>(11)</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Current-period OCI, net of income taxes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color w:val="auto"/>
                <w:w w:val="97"/>
              </w:rPr>
              <w:t>(2)</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b w:val="1"/>
                <w:bCs w:val="1"/>
                <w:color w:val="auto"/>
              </w:rPr>
              <w:t>8</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OCI, before reclassifications to earnings and income taxes</w:t>
            </w: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40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1660" w:type="dxa"/>
            <w:vAlign w:val="bottom"/>
          </w:tcPr>
          <w:p>
            <w:pPr>
              <w:ind w:left="1480"/>
              <w:spacing w:after="0" w:line="143" w:lineRule="exact"/>
              <w:rPr>
                <w:sz w:val="20"/>
                <w:szCs w:val="20"/>
                <w:color w:val="auto"/>
              </w:rPr>
            </w:pPr>
            <w:r>
              <w:rPr>
                <w:rFonts w:ascii="Times New Roman" w:cs="Times New Roman" w:eastAsia="Times New Roman" w:hAnsi="Times New Roman"/>
                <w:sz w:val="14"/>
                <w:szCs w:val="14"/>
                <w:color w:val="auto"/>
                <w:w w:val="97"/>
              </w:rPr>
              <w:t>(2)</w:t>
            </w:r>
          </w:p>
        </w:tc>
        <w:tc>
          <w:tcPr>
            <w:tcW w:w="340" w:type="dxa"/>
            <w:vAlign w:val="bottom"/>
          </w:tcPr>
          <w:p>
            <w:pPr>
              <w:spacing w:after="0"/>
              <w:rPr>
                <w:sz w:val="12"/>
                <w:szCs w:val="12"/>
                <w:color w:val="auto"/>
              </w:rPr>
            </w:pPr>
          </w:p>
        </w:tc>
        <w:tc>
          <w:tcPr>
            <w:tcW w:w="112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ind w:left="1540"/>
              <w:spacing w:after="0"/>
              <w:rPr>
                <w:sz w:val="20"/>
                <w:szCs w:val="20"/>
                <w:color w:val="auto"/>
              </w:rPr>
            </w:pPr>
            <w:r>
              <w:rPr>
                <w:rFonts w:ascii="Times New Roman" w:cs="Times New Roman" w:eastAsia="Times New Roman" w:hAnsi="Times New Roman"/>
                <w:sz w:val="14"/>
                <w:szCs w:val="14"/>
                <w:color w:val="auto"/>
              </w:rPr>
              <w:t>1</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OCI before reclassifications to earnings, net of income taxes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color w:val="auto"/>
                <w:w w:val="97"/>
              </w:rPr>
              <w:t>(1)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4"/>
                <w:szCs w:val="14"/>
                <w:color w:val="auto"/>
              </w:rPr>
              <w:t xml:space="preserve">Amounts reclassified from AOCI to earnings, before income taxes </w:t>
            </w:r>
            <w:r>
              <w:rPr>
                <w:rFonts w:ascii="Times New Roman" w:cs="Times New Roman" w:eastAsia="Times New Roman" w:hAnsi="Times New Roman"/>
                <w:sz w:val="18"/>
                <w:szCs w:val="18"/>
                <w:color w:val="auto"/>
                <w:vertAlign w:val="superscript"/>
              </w:rPr>
              <w:t>(1)</w:t>
            </w:r>
          </w:p>
        </w:tc>
        <w:tc>
          <w:tcPr>
            <w:tcW w:w="6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(10)</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Income taxes</w:t>
            </w:r>
          </w:p>
        </w:tc>
        <w:tc>
          <w:tcPr>
            <w:tcW w:w="6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4"/>
                <w:szCs w:val="14"/>
                <w:color w:val="auto"/>
              </w:rPr>
              <w:t>2</w:t>
            </w: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6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Amounts reclassified from AOCI to earnings, net of income taxes</w:t>
            </w:r>
          </w:p>
        </w:tc>
        <w:tc>
          <w:tcPr>
            <w:tcW w:w="6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4"/>
                <w:szCs w:val="14"/>
                <w:color w:val="auto"/>
                <w:w w:val="97"/>
              </w:rPr>
              <w:t>(8)</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Current-period OCI, net of income taxes</w:t>
            </w: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4"/>
                <w:szCs w:val="14"/>
                <w:color w:val="auto"/>
                <w:w w:val="97"/>
              </w:rPr>
              <w:t>(9)</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6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The reclassifications from accumulated OCI to net income are included in interest expense, net in the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Stockholders’ Equity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53"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4"/>
          <w:szCs w:val="14"/>
          <w:color w:val="auto"/>
        </w:rPr>
        <w:t>Holders of Class A Common Stock are entitled to one vote for each share. Each share of Class A Common is entitled to participate equally in all dividends and other distributions declared on and payable with respect to the Class A Common Stock, subject to the preferences and rights of any preferred stock and the General Corporation Law of the State of Delaware. The Company’s ability to pay dividends to stockholders is limited as a practical matter by restrictions in the agreements governing the Company's indebtedness.</w:t>
      </w:r>
    </w:p>
    <w:p>
      <w:pPr>
        <w:spacing w:after="0" w:line="8" w:lineRule="exact"/>
        <w:rPr>
          <w:sz w:val="20"/>
          <w:szCs w:val="20"/>
          <w:color w:val="auto"/>
        </w:rPr>
      </w:pPr>
    </w:p>
    <w:p>
      <w:pPr>
        <w:ind w:right="140" w:firstLine="318"/>
        <w:spacing w:after="0" w:line="287" w:lineRule="auto"/>
        <w:rPr>
          <w:sz w:val="20"/>
          <w:szCs w:val="20"/>
          <w:color w:val="auto"/>
        </w:rPr>
      </w:pPr>
      <w:r>
        <w:rPr>
          <w:rFonts w:ascii="Times New Roman" w:cs="Times New Roman" w:eastAsia="Times New Roman" w:hAnsi="Times New Roman"/>
          <w:sz w:val="14"/>
          <w:szCs w:val="14"/>
          <w:color w:val="auto"/>
        </w:rPr>
        <w:t>The authorized and unissued shares of Class A Common Stock are available for future issuance upon stock option exercises and vesting of restricted stock units without additional stockholder approval.</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63" w:right="339" w:bottom="1440" w:gutter="0" w:footer="0" w:header="0"/>
        </w:sectPr>
      </w:pPr>
    </w:p>
    <w:bookmarkStart w:id="87" w:name="page88"/>
    <w:bookmarkEnd w:id="87"/>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53"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4"/>
          <w:szCs w:val="14"/>
          <w:color w:val="auto"/>
        </w:rPr>
        <w:t>On December 12, 2011, the Board of Directors initially approved a share repurchase program, which was most recently increased by $500 million to $3,585 million on January 28, 2025. A special committee of the Board evaluates market conditions and other relevant factors and initiates repurchases under the program from time to time. The share repurchase program may be suspended, modified or discontinued at any time at the Company’s discretion without prior notice. During fiscal 2025, the Company purchased 5.6 million shares of Class A Common Stock in a series of open market transactions for $764 million. During fiscal 2024, the Company purchased 3.2 million shares of Class A Common Stock in a series of open market transactions for $373 million. As of March 31, 2025, the Company had $745 million remaining under the share repurchase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cash distributions recognized in the consolidated statement of cash flows: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80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Recurring dividends </w:t>
            </w:r>
            <w:r>
              <w:rPr>
                <w:rFonts w:ascii="Times New Roman" w:cs="Times New Roman" w:eastAsia="Times New Roman" w:hAnsi="Times New Roman"/>
                <w:sz w:val="18"/>
                <w:szCs w:val="18"/>
                <w:color w:val="auto"/>
                <w:vertAlign w:val="superscript"/>
              </w:rPr>
              <w:t>(1)</w:t>
            </w: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bl>
    <w:p>
      <w:pPr>
        <w:spacing w:after="0" w:line="48" w:lineRule="exact"/>
        <w:rPr>
          <w:sz w:val="20"/>
          <w:szCs w:val="20"/>
          <w:color w:val="auto"/>
        </w:rPr>
      </w:pPr>
    </w:p>
    <w:p>
      <w:pPr>
        <w:ind w:left="140" w:hanging="135"/>
        <w:spacing w:after="0"/>
        <w:tabs>
          <w:tab w:leader="none" w:pos="140" w:val="left"/>
        </w:tabs>
        <w:numPr>
          <w:ilvl w:val="0"/>
          <w:numId w:val="6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Amounts represent recurring quarterly dividends that were declared and paid for during each quarter of fiscal 2025, 2024, and 2023.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Stock-based Compensation</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stock-based compensation expense recognized in the consolidated statements of operations: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Fiscal Year Ended March 31,</w:t>
            </w:r>
          </w:p>
        </w:tc>
        <w:tc>
          <w:tcPr>
            <w:tcW w:w="1100" w:type="dxa"/>
            <w:vAlign w:val="bottom"/>
            <w:tcBorders>
              <w:bottom w:val="single" w:sz="8" w:color="auto"/>
            </w:tcBorders>
          </w:tcPr>
          <w:p>
            <w:pPr>
              <w:spacing w:after="0"/>
              <w:rPr>
                <w:sz w:val="16"/>
                <w:szCs w:val="16"/>
                <w:color w:val="auto"/>
              </w:rPr>
            </w:pPr>
          </w:p>
        </w:tc>
      </w:tr>
      <w:tr>
        <w:trPr>
          <w:trHeight w:val="171"/>
        </w:trPr>
        <w:tc>
          <w:tcPr>
            <w:tcW w:w="68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040" w:type="dxa"/>
            <w:vAlign w:val="bottom"/>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6"/>
        </w:trPr>
        <w:tc>
          <w:tcPr>
            <w:tcW w:w="6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889"/>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02" w:lineRule="exact"/>
        <w:rPr>
          <w:sz w:val="20"/>
          <w:szCs w:val="20"/>
          <w:color w:val="auto"/>
        </w:rPr>
      </w:pPr>
    </w:p>
    <w:p>
      <w:pPr>
        <w:ind w:right="160" w:firstLine="318"/>
        <w:spacing w:after="0" w:line="261" w:lineRule="auto"/>
        <w:rPr>
          <w:sz w:val="20"/>
          <w:szCs w:val="20"/>
          <w:color w:val="auto"/>
        </w:rPr>
      </w:pPr>
      <w:r>
        <w:rPr>
          <w:rFonts w:ascii="Times New Roman" w:cs="Times New Roman" w:eastAsia="Times New Roman" w:hAnsi="Times New Roman"/>
          <w:sz w:val="14"/>
          <w:szCs w:val="14"/>
          <w:color w:val="auto"/>
        </w:rPr>
        <w:t>Our stock-based compensation expense, primarily related to stock options, time-based and performance-based restricted stock awards, is measured at the grant date fair value and recognized ratably over the vesting period. The Company uses the Black-Scholes option-pricing model to determine the estimated fair value for stock option awards. The fair value of the Company’s restricted stock awards are generally based on the closing price of its common stock on the New York Stock Exchange on the date of grant. The fair value of performance-based awards that also have market conditions is measured using a Monte Carlo model. Compensation expense for performance-based awards is estimated at each reporting date using management's expectation of the probable achievement of the specified performance criteria of each tranche during the respective performance periods.</w:t>
      </w:r>
    </w:p>
    <w:p>
      <w:pPr>
        <w:spacing w:after="0" w:line="16"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As of March 31, 2025 and 2024, there was $68 million and $62 million, respectively, of total unrecognized compensation cost related to unvested stock-based compensation agreements. The unrecognized compensation cost as of March 31, 2025 is expected to be fully amortized over the next five years. As of March 31, 2025 and 2024, absent the effect of forfeiture or acceleration of stock compensation cost for departures of employees, the weighted average period over which the cost is expected to be amortized (excluding any future awards) is 1.7 years.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w:t>
      </w:r>
    </w:p>
    <w:p>
      <w:pPr>
        <w:spacing w:after="0" w:line="53" w:lineRule="exact"/>
        <w:rPr>
          <w:sz w:val="20"/>
          <w:szCs w:val="20"/>
          <w:color w:val="auto"/>
        </w:rPr>
      </w:pPr>
    </w:p>
    <w:p>
      <w:pPr>
        <w:ind w:right="100" w:firstLine="191"/>
        <w:spacing w:after="0" w:line="270" w:lineRule="auto"/>
        <w:rPr>
          <w:sz w:val="20"/>
          <w:szCs w:val="20"/>
          <w:color w:val="auto"/>
        </w:rPr>
      </w:pPr>
      <w:r>
        <w:rPr>
          <w:rFonts w:ascii="Times New Roman" w:cs="Times New Roman" w:eastAsia="Times New Roman" w:hAnsi="Times New Roman"/>
          <w:sz w:val="14"/>
          <w:szCs w:val="14"/>
          <w:color w:val="auto"/>
        </w:rPr>
        <w:t>Awards under the Company's Equity Incentive Plan (the “EIP”) may be made in the form of stock options; stock purchase rights; restricted stock; restricted stock units; performance shares; performance units; stock appreciation rights; deferred share units; dividend equivalents; and other stock-based awards. As of March 31, 2025 and 2024, there were 5.1 million and 6.0 million shares, respectively, available for future grants under the EIP.</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Options</w:t>
      </w:r>
    </w:p>
    <w:p>
      <w:pPr>
        <w:spacing w:after="0" w:line="53" w:lineRule="exact"/>
        <w:rPr>
          <w:sz w:val="20"/>
          <w:szCs w:val="20"/>
          <w:color w:val="auto"/>
        </w:rPr>
      </w:pPr>
    </w:p>
    <w:p>
      <w:pPr>
        <w:ind w:right="180" w:firstLine="318"/>
        <w:spacing w:after="0" w:line="270" w:lineRule="auto"/>
        <w:rPr>
          <w:sz w:val="20"/>
          <w:szCs w:val="20"/>
          <w:color w:val="auto"/>
        </w:rPr>
      </w:pPr>
      <w:r>
        <w:rPr>
          <w:rFonts w:ascii="Times New Roman" w:cs="Times New Roman" w:eastAsia="Times New Roman" w:hAnsi="Times New Roman"/>
          <w:sz w:val="14"/>
          <w:szCs w:val="14"/>
          <w:color w:val="auto"/>
        </w:rPr>
        <w:t>Stock options under the EIP are granted at the discretion of the Board of Directors or its Compensation, Culture and People Committee and expire ten years from the grant date. Stock options generally vest in equal installments over a five-year period subject to the grantee’s continued service on each applicable vesting date. All options under the EIP are exercisable, upon vesting, for shares of Class A Common Stock of the Company.</w:t>
      </w:r>
    </w:p>
    <w:p>
      <w:pPr>
        <w:spacing w:after="0" w:line="8" w:lineRule="exact"/>
        <w:rPr>
          <w:sz w:val="20"/>
          <w:szCs w:val="20"/>
          <w:color w:val="auto"/>
        </w:rPr>
      </w:pPr>
    </w:p>
    <w:p>
      <w:pPr>
        <w:ind w:right="160" w:firstLine="318"/>
        <w:spacing w:after="0" w:line="287" w:lineRule="auto"/>
        <w:rPr>
          <w:sz w:val="20"/>
          <w:szCs w:val="20"/>
          <w:color w:val="auto"/>
        </w:rPr>
      </w:pPr>
      <w:r>
        <w:rPr>
          <w:rFonts w:ascii="Times New Roman" w:cs="Times New Roman" w:eastAsia="Times New Roman" w:hAnsi="Times New Roman"/>
          <w:sz w:val="14"/>
          <w:szCs w:val="14"/>
          <w:color w:val="auto"/>
        </w:rPr>
        <w:t>As of March 31, 2025 and 2024, 0.1 million and 0.2 million options were unvested under the EIP, with a weighted average grant date fair value of $20.60 and $18.45, respectively. There were 0.7 million and 0.8 million EIP options outstanding as of March 31, 2025 and 2024, with a weighted average exercise price of $69.88 and $67.98,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88" w:name="page89"/>
    <w:bookmarkEnd w:id="88"/>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Annual Incentive Plans</w:t>
      </w:r>
    </w:p>
    <w:p>
      <w:pPr>
        <w:spacing w:after="0" w:line="53" w:lineRule="exact"/>
        <w:rPr>
          <w:sz w:val="20"/>
          <w:szCs w:val="20"/>
          <w:color w:val="auto"/>
        </w:rPr>
      </w:pPr>
    </w:p>
    <w:p>
      <w:pPr>
        <w:jc w:val="both"/>
        <w:ind w:right="240" w:firstLine="318"/>
        <w:spacing w:after="0" w:line="270" w:lineRule="auto"/>
        <w:rPr>
          <w:sz w:val="20"/>
          <w:szCs w:val="20"/>
          <w:color w:val="auto"/>
        </w:rPr>
      </w:pPr>
      <w:r>
        <w:rPr>
          <w:rFonts w:ascii="Times New Roman" w:cs="Times New Roman" w:eastAsia="Times New Roman" w:hAnsi="Times New Roman"/>
          <w:sz w:val="14"/>
          <w:szCs w:val="14"/>
          <w:color w:val="auto"/>
        </w:rPr>
        <w:t>On October 1, 2010, the Board of Directors adopted an Annual Incentive Plan, or AIP, in connection with the initial public offering to more appropriately align the Company’s compensation programs with those of similarly situated companies. The amount of the annual incentive payment is determined based on performance targets established by the Board and a portion of the bonus may be paid in the form of equity (including stock and other awards under the EIP).</w:t>
      </w:r>
    </w:p>
    <w:p>
      <w:pPr>
        <w:spacing w:after="0" w:line="8" w:lineRule="exact"/>
        <w:rPr>
          <w:sz w:val="20"/>
          <w:szCs w:val="20"/>
          <w:color w:val="auto"/>
        </w:rPr>
      </w:pPr>
    </w:p>
    <w:p>
      <w:pPr>
        <w:ind w:right="40" w:firstLine="318"/>
        <w:spacing w:after="0" w:line="261" w:lineRule="auto"/>
        <w:rPr>
          <w:sz w:val="20"/>
          <w:szCs w:val="20"/>
          <w:color w:val="auto"/>
        </w:rPr>
      </w:pPr>
      <w:r>
        <w:rPr>
          <w:rFonts w:ascii="Times New Roman" w:cs="Times New Roman" w:eastAsia="Times New Roman" w:hAnsi="Times New Roman"/>
          <w:sz w:val="14"/>
          <w:szCs w:val="14"/>
          <w:color w:val="auto"/>
        </w:rPr>
        <w:t>The Company maintains annual incentive programs for officers and key employees. The equity compensation would be issued in the form of restricted stock units of which a portion would vest based on the passage of time, and the other portion would vest based on specified performance conditions to be achieved over a specified time period. A restricted stock unit represents a contingent right to receive one share of Class A Common Stock upon vesting. Service-based restricted stock units vest in equal installments over a three-year period subject to the grantee's continued service on each applicable vesting date and are settled for shares of Class A Common Stock. Dividend equivalents are paid in respect of the service-based restricted stock units when dividends are paid on the Company's Class A Common Stock. The related expense is recognized in the accompanying consolidated statements of operations based on the grant date fair value over the vesting period.</w:t>
      </w:r>
    </w:p>
    <w:p>
      <w:pPr>
        <w:spacing w:after="0" w:line="16" w:lineRule="exact"/>
        <w:rPr>
          <w:sz w:val="20"/>
          <w:szCs w:val="20"/>
          <w:color w:val="auto"/>
        </w:rPr>
      </w:pPr>
    </w:p>
    <w:p>
      <w:pPr>
        <w:ind w:firstLine="318"/>
        <w:spacing w:after="0" w:line="260" w:lineRule="auto"/>
        <w:rPr>
          <w:sz w:val="20"/>
          <w:szCs w:val="20"/>
          <w:color w:val="auto"/>
        </w:rPr>
      </w:pPr>
      <w:r>
        <w:rPr>
          <w:rFonts w:ascii="Times New Roman" w:cs="Times New Roman" w:eastAsia="Times New Roman" w:hAnsi="Times New Roman"/>
          <w:sz w:val="14"/>
          <w:szCs w:val="14"/>
          <w:color w:val="auto"/>
        </w:rPr>
        <w:t>Performance-based awards vest at the end of a three-year period, subject to certain specified financial performance criteria, the grantee's continued service through the period, and certification of final performance by the Compensation, Culture and People Committee of the Board of Directors. The performance-based awards granted during fiscal 2025 included additional market conditions related to the Company’s total stockholder return relative to its peer group over the three-year performance period. The Company recognizes compensation expense for these performance-based awards with market conditions based on the grant-date fair value calculated using a Monte Carlo model. These awards are settled for Class A Common Stock and dividend equivalents. Compensation expense for performance-based awards during the performance period is estimated at each reporting date using management's expectation of the probable achievement of the specified performance criteria.</w:t>
      </w:r>
    </w:p>
    <w:p>
      <w:pPr>
        <w:spacing w:after="0" w:line="189" w:lineRule="exact"/>
        <w:rPr>
          <w:sz w:val="20"/>
          <w:szCs w:val="20"/>
          <w:color w:val="auto"/>
        </w:rPr>
      </w:pPr>
    </w:p>
    <w:p>
      <w:pPr>
        <w:ind w:right="120" w:firstLine="318"/>
        <w:spacing w:after="0" w:line="287" w:lineRule="auto"/>
        <w:rPr>
          <w:sz w:val="20"/>
          <w:szCs w:val="20"/>
          <w:color w:val="auto"/>
        </w:rPr>
      </w:pPr>
      <w:r>
        <w:rPr>
          <w:rFonts w:ascii="Times New Roman" w:cs="Times New Roman" w:eastAsia="Times New Roman" w:hAnsi="Times New Roman"/>
          <w:sz w:val="14"/>
          <w:szCs w:val="14"/>
          <w:color w:val="auto"/>
        </w:rPr>
        <w:t>The Company also issues equity awards under other programs in the form of restricted stock units that would vest immediately after issuance or over an applicable vesting period subject to the employee's continued service for the Company. The associated expenses are recognized in the accompanying consolidated statements of operations based on the grant date fair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Grants of Class A Restricted Common Stock and Restricted Stock Units</w:t>
      </w:r>
    </w:p>
    <w:p>
      <w:pPr>
        <w:spacing w:after="0" w:line="53" w:lineRule="exact"/>
        <w:rPr>
          <w:sz w:val="20"/>
          <w:szCs w:val="20"/>
          <w:color w:val="auto"/>
        </w:rPr>
      </w:pPr>
    </w:p>
    <w:p>
      <w:pPr>
        <w:ind w:right="40" w:firstLine="318"/>
        <w:spacing w:after="0" w:line="270" w:lineRule="auto"/>
        <w:rPr>
          <w:sz w:val="20"/>
          <w:szCs w:val="20"/>
          <w:color w:val="auto"/>
        </w:rPr>
      </w:pPr>
      <w:r>
        <w:rPr>
          <w:rFonts w:ascii="Times New Roman" w:cs="Times New Roman" w:eastAsia="Times New Roman" w:hAnsi="Times New Roman"/>
          <w:sz w:val="14"/>
          <w:szCs w:val="14"/>
          <w:color w:val="auto"/>
        </w:rPr>
        <w:t>During fiscal 2025, the Board of Directors granted an aggregate of 0.7 million Restricted Stock Units with service-based and performance-based vesting conditions to officers, vice presidents, and other employees and non-employees of the Company. The awards will vest based on the applicable vesting period for the specific award subject to the employees' continued employment with the Company. The Board also granted Class A Restricted Common Stock to members of the Board during fiscal 2025. These awards generally vest over one year.</w:t>
      </w:r>
    </w:p>
    <w:p>
      <w:pPr>
        <w:spacing w:after="0" w:line="8" w:lineRule="exact"/>
        <w:rPr>
          <w:sz w:val="20"/>
          <w:szCs w:val="20"/>
          <w:color w:val="auto"/>
        </w:rPr>
      </w:pPr>
    </w:p>
    <w:p>
      <w:pPr>
        <w:ind w:right="100" w:firstLine="318"/>
        <w:spacing w:after="0" w:line="284" w:lineRule="auto"/>
        <w:rPr>
          <w:sz w:val="20"/>
          <w:szCs w:val="20"/>
          <w:color w:val="auto"/>
        </w:rPr>
      </w:pPr>
      <w:r>
        <w:rPr>
          <w:rFonts w:ascii="Times New Roman" w:cs="Times New Roman" w:eastAsia="Times New Roman" w:hAnsi="Times New Roman"/>
          <w:sz w:val="14"/>
          <w:szCs w:val="14"/>
          <w:color w:val="auto"/>
        </w:rPr>
        <w:t>The aggregate fair value of all awards issued during fiscal 2025 was $104 million and will be recognized in the accompanying consolidated statements of operations over the applicable vesting period of the awards. The total fair value of restricted stock shares vested during fiscal 2025 and 2024 was $81 million and $86 million, respectively.</w:t>
      </w:r>
    </w:p>
    <w:p>
      <w:pPr>
        <w:spacing w:after="0" w:line="1" w:lineRule="exact"/>
        <w:rPr>
          <w:sz w:val="20"/>
          <w:szCs w:val="20"/>
          <w:color w:val="auto"/>
        </w:rPr>
      </w:pPr>
    </w:p>
    <w:p>
      <w:pPr>
        <w:jc w:val="both"/>
        <w:ind w:right="220" w:firstLine="318"/>
        <w:spacing w:after="0" w:line="270" w:lineRule="auto"/>
        <w:rPr>
          <w:sz w:val="20"/>
          <w:szCs w:val="20"/>
          <w:color w:val="auto"/>
        </w:rPr>
      </w:pPr>
      <w:r>
        <w:rPr>
          <w:rFonts w:ascii="Times New Roman" w:cs="Times New Roman" w:eastAsia="Times New Roman" w:hAnsi="Times New Roman"/>
          <w:sz w:val="14"/>
          <w:szCs w:val="14"/>
          <w:color w:val="auto"/>
        </w:rPr>
        <w:t>As permitted under the terms of the EIP, the Compensation, Culture and People Committee, as Administrator of the Plan, authorized the withholding of taxes not in excess of such amount as may be necessary to avoid liability award accounting, through the surrender of shares of Class A Common Stock issuable upon the vesting or accelerated vesting of Restricted Stock. As a result of these transactions, the Company repurchased 0.3 million shares and recorded them as treasury shares at a total cost of $33.4 million in fiscal 2025.</w:t>
      </w:r>
    </w:p>
    <w:p>
      <w:pPr>
        <w:spacing w:after="0" w:line="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63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unvested restricted stock activity for the periods presented:</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6380" w:type="dxa"/>
            <w:vAlign w:val="bottom"/>
          </w:tcPr>
          <w:p>
            <w:pPr>
              <w:spacing w:after="0"/>
              <w:rPr>
                <w:sz w:val="14"/>
                <w:szCs w:val="14"/>
                <w:color w:val="auto"/>
              </w:rPr>
            </w:pPr>
          </w:p>
        </w:tc>
        <w:tc>
          <w:tcPr>
            <w:tcW w:w="1560" w:type="dxa"/>
            <w:vAlign w:val="bottom"/>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jc w:val="center"/>
              <w:ind w:right="189"/>
              <w:spacing w:after="0" w:line="144" w:lineRule="exact"/>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8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Unvested Restricted Stock Awards</w:t>
            </w:r>
          </w:p>
        </w:tc>
        <w:tc>
          <w:tcPr>
            <w:tcW w:w="156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160"/>
        </w:trPr>
        <w:tc>
          <w:tcPr>
            <w:tcW w:w="6380" w:type="dxa"/>
            <w:vAlign w:val="bottom"/>
            <w:vMerge w:val="continue"/>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Unvested at March 31, 2024</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1,110,663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93.46</w:t>
            </w:r>
          </w:p>
        </w:tc>
        <w:tc>
          <w:tcPr>
            <w:tcW w:w="0" w:type="dxa"/>
            <w:vAlign w:val="bottom"/>
          </w:tcPr>
          <w:p>
            <w:pPr>
              <w:spacing w:after="0"/>
              <w:rPr>
                <w:sz w:val="1"/>
                <w:szCs w:val="1"/>
                <w:color w:val="auto"/>
              </w:rPr>
            </w:pPr>
          </w:p>
        </w:tc>
      </w:tr>
      <w:tr>
        <w:trPr>
          <w:trHeight w:val="180"/>
        </w:trPr>
        <w:tc>
          <w:tcPr>
            <w:tcW w:w="6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684,649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151.85</w:t>
            </w:r>
          </w:p>
        </w:tc>
        <w:tc>
          <w:tcPr>
            <w:tcW w:w="0" w:type="dxa"/>
            <w:vAlign w:val="bottom"/>
          </w:tcPr>
          <w:p>
            <w:pPr>
              <w:spacing w:after="0"/>
              <w:rPr>
                <w:sz w:val="1"/>
                <w:szCs w:val="1"/>
                <w:color w:val="auto"/>
              </w:rPr>
            </w:pPr>
          </w:p>
        </w:tc>
      </w:tr>
      <w:tr>
        <w:trPr>
          <w:trHeight w:val="18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108.33</w:t>
            </w:r>
          </w:p>
        </w:tc>
        <w:tc>
          <w:tcPr>
            <w:tcW w:w="0" w:type="dxa"/>
            <w:vAlign w:val="bottom"/>
          </w:tcPr>
          <w:p>
            <w:pPr>
              <w:spacing w:after="0"/>
              <w:rPr>
                <w:sz w:val="1"/>
                <w:szCs w:val="1"/>
                <w:color w:val="auto"/>
              </w:rPr>
            </w:pPr>
          </w:p>
        </w:tc>
      </w:tr>
      <w:tr>
        <w:trPr>
          <w:trHeight w:val="180"/>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124.59</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Unvested at March 31, 2025 </w:t>
            </w:r>
            <w:r>
              <w:rPr>
                <w:rFonts w:ascii="Times New Roman" w:cs="Times New Roman" w:eastAsia="Times New Roman" w:hAnsi="Times New Roman"/>
                <w:sz w:val="18"/>
                <w:szCs w:val="18"/>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1,003,794</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520" w:right="60" w:hanging="165"/>
        <w:spacing w:after="0" w:line="254" w:lineRule="auto"/>
        <w:tabs>
          <w:tab w:leader="none" w:pos="491" w:val="left"/>
        </w:tabs>
        <w:numPr>
          <w:ilvl w:val="0"/>
          <w:numId w:val="6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Unvested restricted stock includes 0.2 million shares of performance-based awards that completed the three-year performance period but remained unsettled at March 31, 2025, subject to the certification of final performance by the Compensation, Culture and People Committee of the Board of Directors.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89" w:name="page90"/>
    <w:bookmarkEnd w:id="89"/>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53" w:lineRule="exact"/>
        <w:rPr>
          <w:sz w:val="20"/>
          <w:szCs w:val="20"/>
          <w:color w:val="auto"/>
        </w:rPr>
      </w:pPr>
    </w:p>
    <w:p>
      <w:pPr>
        <w:ind w:right="80" w:firstLine="318"/>
        <w:spacing w:after="0" w:line="270" w:lineRule="auto"/>
        <w:rPr>
          <w:sz w:val="20"/>
          <w:szCs w:val="20"/>
          <w:color w:val="auto"/>
        </w:rPr>
      </w:pPr>
      <w:r>
        <w:rPr>
          <w:rFonts w:ascii="Times New Roman" w:cs="Times New Roman" w:eastAsia="Times New Roman" w:hAnsi="Times New Roman"/>
          <w:sz w:val="14"/>
          <w:szCs w:val="14"/>
          <w:color w:val="auto"/>
        </w:rPr>
        <w:t>The Company offers a tax qualified Employee Stock Purchase Plan (the “ESPP”) which is designed to enable eligible employees to periodically purchase shares of the Class A Common Stock at a five percent discount from the fair market value of the Class A Common Stock. The ESPP provides for quarterly offering periods. For the year ended March 31, 2025, 0.3 million shares of Class A Common Stock were purchased by employees under the ESPP. Since the program's inception, 4.0 million shares of the total 10.0 million shares available have been purchased by employees.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18.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financial instruments measured at fair value on a recurring basis in the accompanying consolidated balance sheets consist of the following:</w:t>
      </w:r>
    </w:p>
    <w:p>
      <w:pPr>
        <w:spacing w:after="0" w:line="26"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940" w:type="dxa"/>
            <w:vAlign w:val="bottom"/>
            <w:gridSpan w:val="7"/>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w w:val="99"/>
              </w:rPr>
              <w:t>Recurring Fair Value Measurements</w:t>
            </w:r>
          </w:p>
        </w:tc>
        <w:tc>
          <w:tcPr>
            <w:tcW w:w="740" w:type="dxa"/>
            <w:vAlign w:val="bottom"/>
          </w:tcPr>
          <w:p>
            <w:pPr>
              <w:spacing w:after="0"/>
              <w:rPr>
                <w:sz w:val="13"/>
                <w:szCs w:val="13"/>
                <w:color w:val="auto"/>
              </w:rPr>
            </w:pPr>
          </w:p>
        </w:tc>
      </w:tr>
      <w:tr>
        <w:trPr>
          <w:trHeight w:val="186"/>
        </w:trPr>
        <w:tc>
          <w:tcPr>
            <w:tcW w:w="6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March 31, 2025</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1"/>
        </w:trPr>
        <w:tc>
          <w:tcPr>
            <w:tcW w:w="6320" w:type="dxa"/>
            <w:vAlign w:val="bottom"/>
          </w:tcPr>
          <w:p>
            <w:pPr>
              <w:spacing w:after="0"/>
              <w:rPr>
                <w:sz w:val="14"/>
                <w:szCs w:val="14"/>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4"/>
                <w:szCs w:val="14"/>
                <w:color w:val="auto"/>
              </w:rPr>
            </w:pPr>
          </w:p>
        </w:tc>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80"/>
        </w:trPr>
        <w:tc>
          <w:tcPr>
            <w:tcW w:w="63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instruments </w:t>
            </w:r>
            <w:r>
              <w:rPr>
                <w:rFonts w:ascii="Times New Roman" w:cs="Times New Roman" w:eastAsia="Times New Roman" w:hAnsi="Times New Roman"/>
                <w:sz w:val="18"/>
                <w:szCs w:val="18"/>
                <w:color w:val="auto"/>
                <w:vertAlign w:val="superscript"/>
              </w:rPr>
              <w:t>(1)</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3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asset </w:t>
            </w:r>
            <w:r>
              <w:rPr>
                <w:rFonts w:ascii="Times New Roman" w:cs="Times New Roman" w:eastAsia="Times New Roman" w:hAnsi="Times New Roman"/>
                <w:sz w:val="18"/>
                <w:szCs w:val="18"/>
                <w:color w:val="auto"/>
                <w:vertAlign w:val="superscript"/>
              </w:rPr>
              <w:t>(2)</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80"/>
        </w:trPr>
        <w:tc>
          <w:tcPr>
            <w:tcW w:w="63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instruments </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3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derivative instruments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63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liability </w:t>
            </w:r>
            <w:r>
              <w:rPr>
                <w:rFonts w:ascii="Times New Roman" w:cs="Times New Roman" w:eastAsia="Times New Roman" w:hAnsi="Times New Roman"/>
                <w:sz w:val="18"/>
                <w:szCs w:val="18"/>
                <w:color w:val="auto"/>
                <w:vertAlign w:val="superscript"/>
              </w:rPr>
              <w:t>(2)</w:t>
            </w:r>
          </w:p>
        </w:tc>
        <w:tc>
          <w:tcPr>
            <w:tcW w:w="880" w:type="dxa"/>
            <w:vAlign w:val="bottom"/>
          </w:tcPr>
          <w:p>
            <w:pPr>
              <w:spacing w:after="0"/>
              <w:rPr>
                <w:sz w:val="15"/>
                <w:szCs w:val="15"/>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bl>
    <w:p>
      <w:pPr>
        <w:spacing w:after="0" w:line="11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940" w:type="dxa"/>
            <w:vAlign w:val="bottom"/>
            <w:gridSpan w:val="7"/>
          </w:tcPr>
          <w:p>
            <w:pPr>
              <w:jc w:val="center"/>
              <w:ind w:left="669"/>
              <w:spacing w:after="0"/>
              <w:rPr>
                <w:sz w:val="20"/>
                <w:szCs w:val="20"/>
                <w:color w:val="auto"/>
              </w:rPr>
            </w:pPr>
            <w:r>
              <w:rPr>
                <w:rFonts w:ascii="Times New Roman" w:cs="Times New Roman" w:eastAsia="Times New Roman" w:hAnsi="Times New Roman"/>
                <w:sz w:val="14"/>
                <w:szCs w:val="14"/>
                <w:b w:val="1"/>
                <w:bCs w:val="1"/>
                <w:color w:val="auto"/>
                <w:w w:val="99"/>
              </w:rPr>
              <w:t>Recurring Fair Value Measurements</w:t>
            </w:r>
          </w:p>
        </w:tc>
        <w:tc>
          <w:tcPr>
            <w:tcW w:w="740" w:type="dxa"/>
            <w:vAlign w:val="bottom"/>
          </w:tcPr>
          <w:p>
            <w:pPr>
              <w:spacing w:after="0"/>
              <w:rPr>
                <w:sz w:val="13"/>
                <w:szCs w:val="13"/>
                <w:color w:val="auto"/>
              </w:rPr>
            </w:pPr>
          </w:p>
        </w:tc>
      </w:tr>
      <w:tr>
        <w:trPr>
          <w:trHeight w:val="188"/>
        </w:trPr>
        <w:tc>
          <w:tcPr>
            <w:tcW w:w="63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of March 31, 2024</w:t>
            </w: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73"/>
        </w:trPr>
        <w:tc>
          <w:tcPr>
            <w:tcW w:w="6320" w:type="dxa"/>
            <w:vAlign w:val="bottom"/>
          </w:tcPr>
          <w:p>
            <w:pPr>
              <w:spacing w:after="0"/>
              <w:rPr>
                <w:sz w:val="15"/>
                <w:szCs w:val="15"/>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5"/>
                <w:szCs w:val="15"/>
                <w:color w:val="auto"/>
              </w:rPr>
            </w:pPr>
          </w:p>
        </w:tc>
        <w:tc>
          <w:tcPr>
            <w:tcW w:w="74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80"/>
        </w:trPr>
        <w:tc>
          <w:tcPr>
            <w:tcW w:w="63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Current derivative instruments </w:t>
            </w:r>
            <w:r>
              <w:rPr>
                <w:rFonts w:ascii="Times New Roman" w:cs="Times New Roman" w:eastAsia="Times New Roman" w:hAnsi="Times New Roman"/>
                <w:sz w:val="18"/>
                <w:szCs w:val="18"/>
                <w:color w:val="auto"/>
                <w:vertAlign w:val="superscript"/>
              </w:rPr>
              <w:t>(1)</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80"/>
        </w:trPr>
        <w:tc>
          <w:tcPr>
            <w:tcW w:w="63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derivative instruments </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632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asset </w:t>
            </w:r>
            <w:r>
              <w:rPr>
                <w:rFonts w:ascii="Times New Roman" w:cs="Times New Roman" w:eastAsia="Times New Roman" w:hAnsi="Times New Roman"/>
                <w:sz w:val="18"/>
                <w:szCs w:val="18"/>
                <w:color w:val="auto"/>
                <w:vertAlign w:val="superscript"/>
              </w:rPr>
              <w:t>(2)</w:t>
            </w:r>
          </w:p>
        </w:tc>
        <w:tc>
          <w:tcPr>
            <w:tcW w:w="880" w:type="dxa"/>
            <w:vAlign w:val="bottom"/>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29</w:t>
            </w:r>
          </w:p>
        </w:tc>
        <w:tc>
          <w:tcPr>
            <w:tcW w:w="320" w:type="dxa"/>
            <w:vAlign w:val="bottom"/>
            <w:gridSpan w:val="2"/>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0"/>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0"/>
        </w:trPr>
        <w:tc>
          <w:tcPr>
            <w:tcW w:w="63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 term deferred compensation plan liability </w:t>
            </w:r>
            <w:r>
              <w:rPr>
                <w:rFonts w:ascii="Times New Roman" w:cs="Times New Roman" w:eastAsia="Times New Roman" w:hAnsi="Times New Roman"/>
                <w:sz w:val="18"/>
                <w:szCs w:val="18"/>
                <w:color w:val="auto"/>
                <w:vertAlign w:val="superscript"/>
              </w:rPr>
              <w:t>(2)</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top w:val="single" w:sz="8" w:color="auto"/>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r>
    </w:tbl>
    <w:p>
      <w:pPr>
        <w:spacing w:after="0" w:line="144" w:lineRule="exact"/>
        <w:rPr>
          <w:sz w:val="20"/>
          <w:szCs w:val="20"/>
          <w:color w:val="auto"/>
        </w:rPr>
      </w:pPr>
    </w:p>
    <w:p>
      <w:pPr>
        <w:ind w:left="520" w:hanging="133"/>
        <w:spacing w:after="0" w:line="237" w:lineRule="auto"/>
        <w:tabs>
          <w:tab w:leader="none" w:pos="535" w:val="left"/>
        </w:tabs>
        <w:numPr>
          <w:ilvl w:val="0"/>
          <w:numId w:val="6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Company’s interest rate swaps are considered over-the-counter derivatives which are recorded in the consolidated balance sheet on a gross basis at estimated fair value. Fair value is estimated based on the present value of future cash flows using a model-derived valuation that uses Level 2 observable inputs such as interest rate yield curves. See Note 11, “Derivatives,” to the consolidated financial statements for further information on the Company’s derivative instruments designated as cash flow hedges.</w:t>
      </w:r>
    </w:p>
    <w:p>
      <w:pPr>
        <w:spacing w:after="0" w:line="29" w:lineRule="exact"/>
        <w:rPr>
          <w:rFonts w:ascii="Times New Roman" w:cs="Times New Roman" w:eastAsia="Times New Roman" w:hAnsi="Times New Roman"/>
          <w:sz w:val="18"/>
          <w:szCs w:val="18"/>
          <w:color w:val="auto"/>
          <w:vertAlign w:val="superscript"/>
        </w:rPr>
      </w:pPr>
    </w:p>
    <w:p>
      <w:pPr>
        <w:ind w:left="520" w:right="60" w:hanging="133"/>
        <w:spacing w:after="0" w:line="260" w:lineRule="auto"/>
        <w:tabs>
          <w:tab w:leader="none" w:pos="523" w:val="left"/>
        </w:tabs>
        <w:numPr>
          <w:ilvl w:val="0"/>
          <w:numId w:val="6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are recorded in other long-term assets and represent investments held in a consolidated trust to fund the Company's non-qualified deferred compensation plan, which is recorded in other long-term liabilities on our consolidated balance sheets.</w:t>
      </w:r>
    </w:p>
    <w:p>
      <w:pPr>
        <w:spacing w:after="0" w:line="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did not have any Level 3 assets or liabilities as of March 31, 2025 or March 31, 2024.</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0" w:name="page91"/>
    <w:bookmarkEnd w:id="90"/>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Marketable Securities</w:t>
      </w:r>
    </w:p>
    <w:p>
      <w:pPr>
        <w:spacing w:after="0" w:line="53" w:lineRule="exact"/>
        <w:rPr>
          <w:sz w:val="20"/>
          <w:szCs w:val="20"/>
          <w:color w:val="auto"/>
        </w:rPr>
      </w:pPr>
    </w:p>
    <w:p>
      <w:pPr>
        <w:ind w:right="220" w:firstLine="318"/>
        <w:spacing w:after="0" w:line="270" w:lineRule="auto"/>
        <w:rPr>
          <w:sz w:val="20"/>
          <w:szCs w:val="20"/>
          <w:color w:val="auto"/>
        </w:rPr>
      </w:pPr>
      <w:r>
        <w:rPr>
          <w:rFonts w:ascii="Times New Roman" w:cs="Times New Roman" w:eastAsia="Times New Roman" w:hAnsi="Times New Roman"/>
          <w:sz w:val="14"/>
          <w:szCs w:val="14"/>
          <w:color w:val="auto"/>
        </w:rPr>
        <w:t>The fair value of the Company's cash and cash equivalents, which are Level 1 inputs, approximated its carrying values at March 31, 2025 and 2024. The Company’s cash and cash equivalent balances presented on the accompanying consolidated balance sheets include $802 million and $193 million of marketable securities in money market funds as of March 31, 2025 and 2024,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Debt</w:t>
      </w:r>
    </w:p>
    <w:p>
      <w:pPr>
        <w:spacing w:after="0" w:line="53"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4"/>
          <w:szCs w:val="14"/>
          <w:color w:val="auto"/>
        </w:rPr>
        <w:t>The Company's long-term debt is carried at amortized cost and is measured at fair value quarterly for disclosure purposes. The estimated fair values of debt are determined using quoted prices or other market information obtained from recent trading activity of the debt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are determined using quoted prices or other market information obtained from recent trading activity in the high-yield bond market (Level 2 inputs). The carrying amount and estimated fair value of debt consists of the following:</w:t>
      </w:r>
    </w:p>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4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640" w:type="dxa"/>
            <w:vAlign w:val="bottom"/>
            <w:tcBorders>
              <w:bottom w:val="single" w:sz="8" w:color="auto"/>
            </w:tcBorders>
          </w:tcPr>
          <w:p>
            <w:pPr>
              <w:spacing w:after="0"/>
              <w:rPr>
                <w:sz w:val="16"/>
                <w:szCs w:val="16"/>
                <w:color w:val="auto"/>
              </w:rPr>
            </w:pP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17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 Loan 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1,582</w:t>
            </w: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3.875% Senior Notes due 2028</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 Senior Notes due 2029</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80"/>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5.950% Senior Notes due 2033</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r>
      <w:tr>
        <w:trPr>
          <w:trHeight w:val="18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5.950% Senior Notes due 2035</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Nonrecurring Fair Value Measurements</w:t>
      </w:r>
    </w:p>
    <w:p>
      <w:pPr>
        <w:spacing w:after="0" w:line="5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As of March 31, 2025 and March 31, 2024, the total of our investments that are accounted for at fair value on a non-recurring basis under the measurement alternative were $85 million and $37 million, respectively. While these assets are not measured at fair value on an ongoing basis, they are subject to fair value adjustments in certain circumstances (e.g., observable price changes or impairment). We did not have any material measurement adjustments during the year ended March 31, 2025, with the exception of the assets and liabilities acquired through our acquisitions (see Note 5, “Acquisitions and Divestitures,” to the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Commitments and Contingencies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Letters of Credit and Third-Party Guarantees</w:t>
      </w:r>
    </w:p>
    <w:p>
      <w:pPr>
        <w:spacing w:after="0" w:line="5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4"/>
          <w:szCs w:val="14"/>
          <w:color w:val="auto"/>
        </w:rPr>
        <w:t>As of both March 31, 2025 and 2024, the Company was contingently liable under open standby letters of credit and bank guarantees issued by our banks in favor of third parties that totaled $4 million. These letters of credit and bank guarantees primarily support insurance and bid and performance obligations. At both March 31, 2025 and 2024, approximately $1 million of these instruments reduce the available borrowings under the Revolving Credit Facility. The remainder is guaranteed under a separate $3 million facility, formerly $8 million, of which less than a million and $4 million were available to the Company at March 31, 2025 and March 31, 2024,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Contracting Matters - Provision for Claimed Costs</w:t>
      </w:r>
    </w:p>
    <w:p>
      <w:pPr>
        <w:spacing w:after="0" w:line="53" w:lineRule="exact"/>
        <w:rPr>
          <w:sz w:val="20"/>
          <w:szCs w:val="20"/>
          <w:color w:val="auto"/>
        </w:rPr>
      </w:pPr>
    </w:p>
    <w:p>
      <w:pPr>
        <w:jc w:val="both"/>
        <w:ind w:right="620" w:firstLine="318"/>
        <w:spacing w:after="0" w:line="270" w:lineRule="auto"/>
        <w:rPr>
          <w:sz w:val="20"/>
          <w:szCs w:val="20"/>
          <w:color w:val="auto"/>
        </w:rPr>
      </w:pPr>
      <w:r>
        <w:rPr>
          <w:rFonts w:ascii="Times New Roman" w:cs="Times New Roman" w:eastAsia="Times New Roman" w:hAnsi="Times New Roman"/>
          <w:sz w:val="14"/>
          <w:szCs w:val="14"/>
          <w:color w:val="auto"/>
        </w:rPr>
        <w:t>U.S. government contracts and subcontracts are subject to extensive legal and regulatory requirements. From time to time and in the ordinary course of business, agencies of the U.S. government, including the Defense Contract Audit Agency (“DCAA”), audit the Company’s claimed costs and conduct inquiries and investigations of our business practices with respect to government contracts to determine whether the Company's operations are conducted in accordance with these requirements and the terms of the relevant contracts.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2" w:right="319" w:bottom="1440" w:gutter="0" w:footer="0" w:header="0"/>
        </w:sectPr>
      </w:pPr>
    </w:p>
    <w:bookmarkStart w:id="91" w:name="page92"/>
    <w:bookmarkEnd w:id="91"/>
    <w:p>
      <w:pPr>
        <w:ind w:left="200"/>
        <w:spacing w:after="0"/>
        <w:rPr>
          <w:sz w:val="20"/>
          <w:szCs w:val="20"/>
          <w:color w:val="auto"/>
        </w:rPr>
      </w:pPr>
      <w:r>
        <w:rPr>
          <w:rFonts w:ascii="Times New Roman" w:cs="Times New Roman" w:eastAsia="Times New Roman" w:hAnsi="Times New Roman"/>
          <w:sz w:val="11"/>
          <w:szCs w:val="11"/>
          <w:b w:val="1"/>
          <w:bCs w:val="1"/>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BOOZ ALLEN HAMILTON HOLDING CORPORATION</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(Amounts in tables in millions, except share and per share data or unless otherwise noted)</w:t>
      </w:r>
    </w:p>
    <w:p>
      <w:pPr>
        <w:spacing w:after="0" w:line="355"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Based upon information obtained from DCAA’s audit findings over four historical rate years, the Company changed its estimate and reduced a portion of its provision for claimed costs during the second quarters of fiscal 2025 and fiscal 2024, which resulted in increases to revenue of $122 million and $18 million, respectively, to reflect our best estimate of the final cost rates for the outstanding audit years. Operating income for the fiscal years ended March 31, 2025 and 2024 was accordingly increased by $122 million and $18 million, respectively, and net income was increased by $90 million and $14 million, respectively, (or $0.70 and $0.10, respectively, of basic and diluted earnings per common share for the fiscal years ended March 31, 2025 and 2024). Our final cost rates for the recently audited years remain subject to negotiation with the Defense Contract Management Agency (“DCMA”) Administrative Contracting Officer. Management believes it has recorded the appropriate provision for claimed costs for any audit, inquiry, or investigation of which it is aware that may be subject to any reductions and/or penalties. As of March 31, 2025 and 2024, the Company had recorded liabilities (included in accounts payable and other accrued expenses) of approximately $245 million and $364 million, respectively, for estimated adjustments to claimed costs based on its historical DCAA audit results, including the final resolution of such audits with the DCMA, for claimed costs incurred subsequent to fiscal 2011.</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Litigation</w:t>
      </w:r>
    </w:p>
    <w:p>
      <w:pPr>
        <w:spacing w:after="0" w:line="53" w:lineRule="exact"/>
        <w:rPr>
          <w:sz w:val="20"/>
          <w:szCs w:val="20"/>
          <w:color w:val="auto"/>
        </w:rPr>
      </w:pPr>
    </w:p>
    <w:p>
      <w:pPr>
        <w:ind w:firstLine="318"/>
        <w:spacing w:after="0" w:line="257" w:lineRule="auto"/>
        <w:rPr>
          <w:sz w:val="20"/>
          <w:szCs w:val="20"/>
          <w:color w:val="auto"/>
        </w:rPr>
      </w:pPr>
      <w:r>
        <w:rPr>
          <w:rFonts w:ascii="Times New Roman" w:cs="Times New Roman" w:eastAsia="Times New Roman" w:hAnsi="Times New Roman"/>
          <w:sz w:val="14"/>
          <w:szCs w:val="14"/>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customers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both March 31, 2025 and 2024, there were no material amounts accrued in the consolidated financial statements related to these proceedings.</w:t>
      </w:r>
    </w:p>
    <w:p>
      <w:pPr>
        <w:spacing w:after="0" w:line="19" w:lineRule="exact"/>
        <w:rPr>
          <w:sz w:val="20"/>
          <w:szCs w:val="20"/>
          <w:color w:val="auto"/>
        </w:rPr>
      </w:pPr>
    </w:p>
    <w:p>
      <w:pPr>
        <w:jc w:val="both"/>
        <w:ind w:right="100" w:firstLine="318"/>
        <w:spacing w:after="0" w:line="270" w:lineRule="auto"/>
        <w:rPr>
          <w:sz w:val="20"/>
          <w:szCs w:val="20"/>
          <w:color w:val="auto"/>
        </w:rPr>
      </w:pPr>
      <w:r>
        <w:rPr>
          <w:rFonts w:ascii="Times New Roman" w:cs="Times New Roman" w:eastAsia="Times New Roman" w:hAnsi="Times New Roman"/>
          <w:sz w:val="14"/>
          <w:szCs w:val="14"/>
          <w:color w:val="auto"/>
        </w:rPr>
        <w:t>During the second quarter of fiscal 2025, the Company secured insurance recoveries of $115 million from claims related to the Company’s settlement described in Note 20, “Commitments and Contingencies,” to the consolidated financial statements contained within our Annual Report on Form 10-K for the fiscal year ended March 31, 2024. The insurance recoveries offset our general and administrative expenses in our Consolidated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Business Segment Information</w:t>
      </w:r>
    </w:p>
    <w:p>
      <w:pPr>
        <w:spacing w:after="0" w:line="53" w:lineRule="exact"/>
        <w:rPr>
          <w:sz w:val="20"/>
          <w:szCs w:val="20"/>
          <w:color w:val="auto"/>
        </w:rPr>
      </w:pPr>
    </w:p>
    <w:p>
      <w:pPr>
        <w:ind w:right="40" w:firstLine="350"/>
        <w:spacing w:after="0" w:line="284" w:lineRule="auto"/>
        <w:rPr>
          <w:sz w:val="20"/>
          <w:szCs w:val="20"/>
          <w:color w:val="auto"/>
        </w:rPr>
      </w:pPr>
      <w:r>
        <w:rPr>
          <w:rFonts w:ascii="Times New Roman" w:cs="Times New Roman" w:eastAsia="Times New Roman" w:hAnsi="Times New Roman"/>
          <w:sz w:val="14"/>
          <w:szCs w:val="14"/>
          <w:color w:val="auto"/>
        </w:rPr>
        <w:t>The Company reports operating results and financial data in one operating and reportable segment. The Company manages its business and allocates resources as a single profit center in order to promote collaboration, provide comprehensive functional service offerings across its entire customer base, and provide incentives to employees based on the success of the organization as a whole.</w:t>
      </w:r>
    </w:p>
    <w:p>
      <w:pPr>
        <w:spacing w:after="0" w:line="1" w:lineRule="exact"/>
        <w:rPr>
          <w:sz w:val="20"/>
          <w:szCs w:val="20"/>
          <w:color w:val="auto"/>
        </w:rPr>
      </w:pPr>
    </w:p>
    <w:p>
      <w:pPr>
        <w:ind w:right="40" w:firstLine="350"/>
        <w:spacing w:after="0" w:line="270" w:lineRule="auto"/>
        <w:rPr>
          <w:sz w:val="20"/>
          <w:szCs w:val="20"/>
          <w:color w:val="auto"/>
        </w:rPr>
      </w:pPr>
      <w:r>
        <w:rPr>
          <w:rFonts w:ascii="Times New Roman" w:cs="Times New Roman" w:eastAsia="Times New Roman" w:hAnsi="Times New Roman"/>
          <w:sz w:val="14"/>
          <w:szCs w:val="14"/>
          <w:color w:val="auto"/>
        </w:rPr>
        <w:t>The Company’s chief operating decision maker (“CODM”) is its Chairman and Chief Executive Officer. Consolidated net income is the primary measure of profit used by the CODM to allocate resources and assess performance of the Company. Significant expense categories regularly provided to the CODM to manage operations are those disclosed in the consolidated statements of operations.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3" w:right="319" w:bottom="1440" w:gutter="0" w:footer="0" w:header="0"/>
        </w:sectPr>
      </w:pPr>
    </w:p>
    <w:bookmarkStart w:id="92" w:name="page93"/>
    <w:bookmarkEnd w:id="92"/>
    <w:p>
      <w:pPr>
        <w:spacing w:after="0"/>
        <w:tabs>
          <w:tab w:leader="none" w:pos="560" w:val="left"/>
        </w:tabs>
        <w:rPr>
          <w:sz w:val="20"/>
          <w:szCs w:val="20"/>
          <w:color w:val="auto"/>
        </w:rPr>
      </w:pPr>
      <w:r>
        <w:rPr>
          <w:rFonts w:ascii="Times New Roman" w:cs="Times New Roman" w:eastAsia="Times New Roman" w:hAnsi="Times New Roman"/>
          <w:sz w:val="14"/>
          <w:szCs w:val="14"/>
          <w:b w:val="1"/>
          <w:bCs w:val="1"/>
          <w:color w:val="auto"/>
        </w:rPr>
        <w:t>Item 9</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Changes in and Disagreements With Accountants on Accounting and Financial Disclosure</w:t>
      </w:r>
      <w:r>
        <w:rPr>
          <w:rFonts w:ascii="Times New Roman" w:cs="Times New Roman" w:eastAsia="Times New Roman" w:hAnsi="Times New Roman"/>
          <w:sz w:val="14"/>
          <w:szCs w:val="14"/>
          <w:b w:val="1"/>
          <w:bCs w:val="1"/>
          <w:i w:val="1"/>
          <w:iCs w:val="1"/>
          <w:color w:val="auto"/>
        </w:rPr>
        <w:t>.</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3"/>
          <w:szCs w:val="13"/>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53" w:lineRule="exact"/>
        <w:rPr>
          <w:sz w:val="20"/>
          <w:szCs w:val="20"/>
          <w:color w:val="auto"/>
        </w:rPr>
      </w:pPr>
    </w:p>
    <w:p>
      <w:pPr>
        <w:ind w:firstLine="350"/>
        <w:spacing w:after="0" w:line="270" w:lineRule="auto"/>
        <w:rPr>
          <w:sz w:val="20"/>
          <w:szCs w:val="20"/>
          <w:color w:val="auto"/>
        </w:rPr>
      </w:pPr>
      <w:r>
        <w:rPr>
          <w:rFonts w:ascii="Times New Roman" w:cs="Times New Roman" w:eastAsia="Times New Roman" w:hAnsi="Times New Roman"/>
          <w:sz w:val="14"/>
          <w:szCs w:val="14"/>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2025.</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Annual Report on Internal Control over Financial Reporting and Attestation Report of the Registered Public Accounting Firm</w:t>
      </w:r>
    </w:p>
    <w:p>
      <w:pPr>
        <w:spacing w:after="0" w:line="53" w:lineRule="exact"/>
        <w:rPr>
          <w:sz w:val="20"/>
          <w:szCs w:val="20"/>
          <w:color w:val="auto"/>
        </w:rPr>
      </w:pPr>
    </w:p>
    <w:p>
      <w:pPr>
        <w:ind w:right="60" w:firstLine="350"/>
        <w:spacing w:after="0" w:line="28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Our internal control system was designed to provide reasonable assurance to our management and the Board regarding the reliability of financial reporting and the preparation of consolidated financial statements for external purposes.</w:t>
      </w:r>
    </w:p>
    <w:p>
      <w:pPr>
        <w:spacing w:after="0" w:line="1" w:lineRule="exact"/>
        <w:rPr>
          <w:sz w:val="20"/>
          <w:szCs w:val="20"/>
          <w:color w:val="auto"/>
        </w:rPr>
      </w:pPr>
    </w:p>
    <w:p>
      <w:pPr>
        <w:ind w:right="60" w:firstLine="350"/>
        <w:spacing w:after="0" w:line="270" w:lineRule="auto"/>
        <w:rPr>
          <w:sz w:val="20"/>
          <w:szCs w:val="20"/>
          <w:color w:val="auto"/>
        </w:rPr>
      </w:pPr>
      <w:r>
        <w:rPr>
          <w:rFonts w:ascii="Times New Roman" w:cs="Times New Roman" w:eastAsia="Times New Roman" w:hAnsi="Times New Roman"/>
          <w:sz w:val="14"/>
          <w:szCs w:val="14"/>
          <w:color w:val="auto"/>
        </w:rPr>
        <w:t xml:space="preserve">Our management conducted an assessment of the effectiveness of our internal control over financial reporting as of March 31, 2025. This assessment was based on the criteria set forth by the Committee of Sponsoring Organizations of the Treadway Commission in </w:t>
      </w:r>
      <w:r>
        <w:rPr>
          <w:rFonts w:ascii="Times New Roman" w:cs="Times New Roman" w:eastAsia="Times New Roman" w:hAnsi="Times New Roman"/>
          <w:sz w:val="14"/>
          <w:szCs w:val="14"/>
          <w:i w:val="1"/>
          <w:iCs w:val="1"/>
          <w:color w:val="auto"/>
        </w:rPr>
        <w:t>Internal Control — Integrated Framework (2013 framework)</w:t>
      </w:r>
      <w:r>
        <w:rPr>
          <w:rFonts w:ascii="Times New Roman" w:cs="Times New Roman" w:eastAsia="Times New Roman" w:hAnsi="Times New Roman"/>
          <w:sz w:val="14"/>
          <w:szCs w:val="14"/>
          <w:color w:val="auto"/>
        </w:rPr>
        <w:t>. Based on this assessment, management has concluded that, as of March 31, 2025, our internal control over financial reporting was effective.</w:t>
      </w:r>
    </w:p>
    <w:p>
      <w:pPr>
        <w:spacing w:after="0" w:line="8" w:lineRule="exact"/>
        <w:rPr>
          <w:sz w:val="20"/>
          <w:szCs w:val="20"/>
          <w:color w:val="auto"/>
        </w:rPr>
      </w:pPr>
    </w:p>
    <w:p>
      <w:pPr>
        <w:ind w:right="2260" w:firstLine="318"/>
        <w:spacing w:after="0" w:line="347" w:lineRule="auto"/>
        <w:rPr>
          <w:sz w:val="20"/>
          <w:szCs w:val="20"/>
          <w:color w:val="auto"/>
        </w:rPr>
      </w:pPr>
      <w:r>
        <w:rPr>
          <w:rFonts w:ascii="Times New Roman" w:cs="Times New Roman" w:eastAsia="Times New Roman" w:hAnsi="Times New Roman"/>
          <w:sz w:val="14"/>
          <w:szCs w:val="14"/>
          <w:color w:val="auto"/>
        </w:rPr>
        <w:t xml:space="preserve">Our independent registered public accounting firm has issued a report on the effectiveness of our internal control over financial reporting, which is below. </w:t>
      </w:r>
      <w:r>
        <w:rPr>
          <w:rFonts w:ascii="Times New Roman" w:cs="Times New Roman" w:eastAsia="Times New Roman" w:hAnsi="Times New Roman"/>
          <w:sz w:val="14"/>
          <w:szCs w:val="14"/>
          <w:b w:val="1"/>
          <w:bCs w:val="1"/>
          <w:color w:val="auto"/>
        </w:rPr>
        <w:t>Changes in Internal Control Over Financial Reporting</w:t>
      </w:r>
    </w:p>
    <w:p>
      <w:pPr>
        <w:spacing w:after="0" w:line="1"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08" w:right="31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Booz Allen Hamilton Holding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Internal Control Over Financial Reporting</w:t>
      </w:r>
    </w:p>
    <w:p>
      <w:pPr>
        <w:spacing w:after="0" w:line="19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4"/>
          <w:szCs w:val="14"/>
          <w:color w:val="auto"/>
        </w:rPr>
        <w:t>We have audited Booz Allen Hamilton Holding Corporation’s internal control over financial reporting as of March 31, 2025, based on criteria established in Internal Control—Integrated Framework issued by the Committee of Sponsoring Organizations of the Treadway Commission (2013 framework) (the COSO criteria). In our opinion, Booz Allen Hamilton Holding Corporation (the Company) maintained, in all material respects, effective internal control over financial reporting as of March 31, 2025, based on the COSO criteria.</w:t>
      </w:r>
    </w:p>
    <w:p>
      <w:pPr>
        <w:spacing w:after="0" w:line="1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4"/>
          <w:szCs w:val="14"/>
          <w:color w:val="auto"/>
        </w:rPr>
        <w:t>We also have audited, in accordance with the standards of the Public Company Accounting Oversight Board (United States) (PCAOB), the consolidated balance sheets of the Company as of March 31, 2025 and 2024, the related consolidated statements of operations, comprehensive income, stockholders’ equity, and cash flows for each of the three years in the period ended March 31, 2025, and the related notes and our report dated May 23, 2025 expressed an unqualified opinion thereon.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9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2"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91"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Tysons, Virginia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23, 2025</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70" w:right="339" w:bottom="1440" w:gutter="0" w:footer="0" w:header="0"/>
        </w:sectPr>
      </w:pPr>
    </w:p>
    <w:bookmarkStart w:id="94" w:name="page95"/>
    <w:bookmarkEnd w:id="94"/>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9B</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Other Information.</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9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4"/>
          <w:szCs w:val="14"/>
          <w:b w:val="1"/>
          <w:bCs w:val="1"/>
          <w:color w:val="auto"/>
        </w:rPr>
        <w:t>Item 9C</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Disclosure Regarding Foreign Jurisdictions that Prevent Inspections.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9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10</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Directors, Executive Officers and Corporate Governance.</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Information related to our directors is set forth under the caption “Proposal 1: Election of Directors” of our Proxy Statement for our Annual Meeting of Stockholders scheduled for July 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2025 (the “2025 Proxy Statement”). Such information is incorporated herein by reference.</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Information relating to our Executive Officers is included in Part I of this Annual Report under the caption “Information about our Executive Officers.”</w:t>
      </w:r>
    </w:p>
    <w:p>
      <w:pPr>
        <w:spacing w:after="0" w:line="51" w:lineRule="exact"/>
        <w:rPr>
          <w:sz w:val="20"/>
          <w:szCs w:val="20"/>
          <w:color w:val="auto"/>
        </w:rPr>
      </w:pPr>
    </w:p>
    <w:p>
      <w:pPr>
        <w:ind w:right="560" w:firstLine="350"/>
        <w:spacing w:after="0" w:line="284" w:lineRule="auto"/>
        <w:rPr>
          <w:sz w:val="20"/>
          <w:szCs w:val="20"/>
          <w:color w:val="auto"/>
        </w:rPr>
      </w:pPr>
      <w:r>
        <w:rPr>
          <w:rFonts w:ascii="Times New Roman" w:cs="Times New Roman" w:eastAsia="Times New Roman" w:hAnsi="Times New Roman"/>
          <w:sz w:val="14"/>
          <w:szCs w:val="14"/>
          <w:color w:val="auto"/>
        </w:rPr>
        <w:t>Information relating to compliance with Section 16(a) of the Exchange Act, to the extent required, is set forth in our 2025 Proxy Statement. Such information is incorporated herein by reference.</w:t>
      </w:r>
    </w:p>
    <w:p>
      <w:pPr>
        <w:spacing w:after="0" w:line="1" w:lineRule="exact"/>
        <w:rPr>
          <w:sz w:val="20"/>
          <w:szCs w:val="20"/>
          <w:color w:val="auto"/>
        </w:rPr>
      </w:pP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Information related to our code of ethics is set forth under the caption “Corporate Governance and General Information Concerning the Board of Directors and its Committees” of our 2025 Proxy Statement. Such information is incorporated herein by reference.</w:t>
      </w:r>
    </w:p>
    <w:p>
      <w:pPr>
        <w:spacing w:after="0" w:line="1" w:lineRule="exact"/>
        <w:rPr>
          <w:sz w:val="20"/>
          <w:szCs w:val="20"/>
          <w:color w:val="auto"/>
        </w:rPr>
      </w:pPr>
    </w:p>
    <w:p>
      <w:pPr>
        <w:ind w:right="300" w:firstLine="350"/>
        <w:spacing w:after="0" w:line="284" w:lineRule="auto"/>
        <w:rPr>
          <w:sz w:val="20"/>
          <w:szCs w:val="20"/>
          <w:color w:val="auto"/>
        </w:rPr>
      </w:pPr>
      <w:r>
        <w:rPr>
          <w:rFonts w:ascii="Times New Roman" w:cs="Times New Roman" w:eastAsia="Times New Roman" w:hAnsi="Times New Roman"/>
          <w:sz w:val="14"/>
          <w:szCs w:val="14"/>
          <w:color w:val="auto"/>
        </w:rPr>
        <w:t>Information related to our insider trading policy is set forth under the caption “Insider Trading Policy and Policy on Hedging, Short Sales, and Speculative Transactions” of our 2025 Proxy Statement. Such information is incorporated herein by reference.</w:t>
      </w:r>
    </w:p>
    <w:p>
      <w:pPr>
        <w:spacing w:after="0" w:line="1" w:lineRule="exact"/>
        <w:rPr>
          <w:sz w:val="20"/>
          <w:szCs w:val="20"/>
          <w:color w:val="auto"/>
        </w:rPr>
      </w:pPr>
    </w:p>
    <w:p>
      <w:pPr>
        <w:ind w:right="100" w:firstLine="350"/>
        <w:spacing w:after="0" w:line="270" w:lineRule="auto"/>
        <w:rPr>
          <w:sz w:val="20"/>
          <w:szCs w:val="20"/>
          <w:color w:val="auto"/>
        </w:rPr>
      </w:pPr>
      <w:r>
        <w:rPr>
          <w:rFonts w:ascii="Times New Roman" w:cs="Times New Roman" w:eastAsia="Times New Roman" w:hAnsi="Times New Roman"/>
          <w:sz w:val="14"/>
          <w:szCs w:val="14"/>
          <w:color w:val="auto"/>
        </w:rPr>
        <w:t>Information relating to the Audit Committee required by Item 407(d)(4) of Regulation S-K and relating to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2025 Proxy Statement. Such information is incorporated herein by reference.</w:t>
      </w:r>
    </w:p>
    <w:p>
      <w:pPr>
        <w:spacing w:after="0" w:line="4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11</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Executive Compensation.</w:t>
      </w:r>
    </w:p>
    <w:p>
      <w:pPr>
        <w:spacing w:after="0" w:line="53" w:lineRule="exact"/>
        <w:rPr>
          <w:sz w:val="20"/>
          <w:szCs w:val="20"/>
          <w:color w:val="auto"/>
        </w:rPr>
      </w:pPr>
    </w:p>
    <w:p>
      <w:pPr>
        <w:ind w:right="60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this item is set forth under the captions “Compensation Discussion and Analysis,” “Director Compensation,” “Compensation Committee Interlocks and Insider Participation” and “Compensation Committee Report” of our 2025 Proxy Statement. Such information is incorporated herein by reference.</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12</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Security Ownership of Certain Beneficial Owners and Management and Related Stockholder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Compensation Plans</w:t>
      </w:r>
    </w:p>
    <w:p>
      <w:pPr>
        <w:spacing w:after="0" w:line="5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information concerning the securities authorized for issuance pursuant to our equity compensation plans as of March 31, 2025: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4"/>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50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Outstanding Options, Warrants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2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Future Issuance Under Equity</w:t>
            </w:r>
          </w:p>
        </w:tc>
        <w:tc>
          <w:tcPr>
            <w:tcW w:w="0" w:type="dxa"/>
            <w:vAlign w:val="bottom"/>
          </w:tcPr>
          <w:p>
            <w:pPr>
              <w:spacing w:after="0"/>
              <w:rPr>
                <w:sz w:val="1"/>
                <w:szCs w:val="1"/>
                <w:color w:val="auto"/>
              </w:rPr>
            </w:pPr>
          </w:p>
        </w:tc>
      </w:tr>
      <w:tr>
        <w:trPr>
          <w:trHeight w:val="138"/>
        </w:trPr>
        <w:tc>
          <w:tcPr>
            <w:tcW w:w="4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98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and Rights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vMerge w:val="restart"/>
          </w:tcPr>
          <w:p>
            <w:pPr>
              <w:spacing w:after="0"/>
              <w:rPr>
                <w:sz w:val="11"/>
                <w:szCs w:val="11"/>
                <w:color w:val="auto"/>
              </w:rPr>
            </w:pPr>
          </w:p>
        </w:tc>
        <w:tc>
          <w:tcPr>
            <w:tcW w:w="19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80" w:type="dxa"/>
            <w:vAlign w:val="bottom"/>
            <w:gridSpan w:val="2"/>
          </w:tcPr>
          <w:p>
            <w:pPr>
              <w:jc w:val="center"/>
              <w:ind w:right="340"/>
              <w:spacing w:after="0" w:line="138"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50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Securities Reflected in Column (a))</w:t>
            </w:r>
          </w:p>
        </w:tc>
        <w:tc>
          <w:tcPr>
            <w:tcW w:w="0" w:type="dxa"/>
            <w:vAlign w:val="bottom"/>
          </w:tcPr>
          <w:p>
            <w:pPr>
              <w:spacing w:after="0"/>
              <w:rPr>
                <w:sz w:val="1"/>
                <w:szCs w:val="1"/>
                <w:color w:val="auto"/>
              </w:rPr>
            </w:pPr>
          </w:p>
        </w:tc>
      </w:tr>
      <w:tr>
        <w:trPr>
          <w:trHeight w:val="180"/>
        </w:trPr>
        <w:tc>
          <w:tcPr>
            <w:tcW w:w="40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80" w:type="dxa"/>
            <w:vAlign w:val="bottom"/>
            <w:tcBorders>
              <w:bottom w:val="single" w:sz="8" w:color="CCEEFF"/>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0"/>
        </w:trPr>
        <w:tc>
          <w:tcPr>
            <w:tcW w:w="4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 plans approved by securityholders</w:t>
            </w:r>
          </w:p>
        </w:tc>
        <w:tc>
          <w:tcPr>
            <w:tcW w:w="1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1,665,407</w:t>
            </w:r>
          </w:p>
        </w:tc>
        <w:tc>
          <w:tcPr>
            <w:tcW w:w="520" w:type="dxa"/>
            <w:vAlign w:val="bottom"/>
            <w:shd w:val="clear" w:color="auto" w:fill="CCEEFF"/>
          </w:tcPr>
          <w:p>
            <w:pPr>
              <w:jc w:val="right"/>
              <w:ind w:right="274"/>
              <w:spacing w:after="0" w:line="100"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80" w:type="dxa"/>
            <w:vAlign w:val="bottom"/>
            <w:shd w:val="clear" w:color="auto" w:fill="CCEEFF"/>
          </w:tcPr>
          <w:p>
            <w:pPr>
              <w:spacing w:after="0"/>
              <w:rPr>
                <w:sz w:val="8"/>
                <w:szCs w:val="8"/>
                <w:color w:val="auto"/>
              </w:rPr>
            </w:pPr>
          </w:p>
        </w:tc>
        <w:tc>
          <w:tcPr>
            <w:tcW w:w="2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5,131,836</w:t>
            </w:r>
          </w:p>
        </w:tc>
        <w:tc>
          <w:tcPr>
            <w:tcW w:w="0" w:type="dxa"/>
            <w:vAlign w:val="bottom"/>
          </w:tcPr>
          <w:p>
            <w:pPr>
              <w:spacing w:after="0"/>
              <w:rPr>
                <w:sz w:val="1"/>
                <w:szCs w:val="1"/>
                <w:color w:val="auto"/>
              </w:rPr>
            </w:pPr>
          </w:p>
        </w:tc>
      </w:tr>
      <w:tr>
        <w:trPr>
          <w:trHeight w:val="71"/>
        </w:trPr>
        <w:tc>
          <w:tcPr>
            <w:tcW w:w="4120" w:type="dxa"/>
            <w:vAlign w:val="bottom"/>
            <w:gridSpan w:val="2"/>
            <w:vMerge w:val="continue"/>
            <w:shd w:val="clear" w:color="auto" w:fill="CCEEFF"/>
          </w:tcPr>
          <w:p>
            <w:pPr>
              <w:spacing w:after="0"/>
              <w:rPr>
                <w:sz w:val="6"/>
                <w:szCs w:val="6"/>
                <w:color w:val="auto"/>
              </w:rPr>
            </w:pPr>
          </w:p>
        </w:tc>
        <w:tc>
          <w:tcPr>
            <w:tcW w:w="1980" w:type="dxa"/>
            <w:vAlign w:val="bottom"/>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8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compensation plans not approved by securityholders</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80" w:type="dxa"/>
            <w:vAlign w:val="bottom"/>
            <w:gridSpan w:val="2"/>
          </w:tcPr>
          <w:p>
            <w:pPr>
              <w:ind w:left="1540"/>
              <w:spacing w:after="0"/>
              <w:rPr>
                <w:sz w:val="20"/>
                <w:szCs w:val="20"/>
                <w:color w:val="auto"/>
              </w:rPr>
            </w:pPr>
            <w:r>
              <w:rPr>
                <w:rFonts w:ascii="Times New Roman" w:cs="Times New Roman" w:eastAsia="Times New Roman" w:hAnsi="Times New Roman"/>
                <w:sz w:val="14"/>
                <w:szCs w:val="14"/>
                <w:color w:val="auto"/>
              </w:rPr>
              <w:t>N/A</w:t>
            </w:r>
          </w:p>
        </w:tc>
        <w:tc>
          <w:tcPr>
            <w:tcW w:w="2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0"/>
        </w:trPr>
        <w:tc>
          <w:tcPr>
            <w:tcW w:w="41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1,665,407</w:t>
            </w:r>
          </w:p>
        </w:tc>
        <w:tc>
          <w:tcPr>
            <w:tcW w:w="520" w:type="dxa"/>
            <w:vAlign w:val="bottom"/>
            <w:tcBorders>
              <w:top w:val="single" w:sz="8" w:color="CCEEFF"/>
            </w:tcBorders>
            <w:shd w:val="clear" w:color="auto" w:fill="CCEEFF"/>
          </w:tcPr>
          <w:p>
            <w:pPr>
              <w:jc w:val="right"/>
              <w:ind w:right="274"/>
              <w:spacing w:after="0" w:line="100" w:lineRule="exact"/>
              <w:rPr>
                <w:sz w:val="20"/>
                <w:szCs w:val="20"/>
                <w:color w:val="auto"/>
              </w:rPr>
            </w:pPr>
            <w:r>
              <w:rPr>
                <w:rFonts w:ascii="Times New Roman" w:cs="Times New Roman" w:eastAsia="Times New Roman" w:hAnsi="Times New Roman"/>
                <w:sz w:val="9"/>
                <w:szCs w:val="9"/>
                <w:color w:val="auto"/>
              </w:rPr>
              <w:t>(1)</w:t>
            </w:r>
          </w:p>
        </w:tc>
        <w:tc>
          <w:tcPr>
            <w:tcW w:w="280" w:type="dxa"/>
            <w:vAlign w:val="bottom"/>
            <w:tcBorders>
              <w:top w:val="single" w:sz="8" w:color="auto"/>
            </w:tcBorders>
            <w:vMerge w:val="restart"/>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69.88</w:t>
            </w:r>
          </w:p>
        </w:tc>
        <w:tc>
          <w:tcPr>
            <w:tcW w:w="80" w:type="dxa"/>
            <w:vAlign w:val="bottom"/>
            <w:tcBorders>
              <w:top w:val="single" w:sz="8" w:color="CCEEFF"/>
            </w:tcBorders>
            <w:shd w:val="clear" w:color="auto" w:fill="CCEEFF"/>
          </w:tcPr>
          <w:p>
            <w:pPr>
              <w:spacing w:after="0"/>
              <w:rPr>
                <w:sz w:val="8"/>
                <w:szCs w:val="8"/>
                <w:color w:val="auto"/>
              </w:rPr>
            </w:pPr>
          </w:p>
        </w:tc>
        <w:tc>
          <w:tcPr>
            <w:tcW w:w="2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5,131,836</w:t>
            </w:r>
          </w:p>
        </w:tc>
        <w:tc>
          <w:tcPr>
            <w:tcW w:w="0" w:type="dxa"/>
            <w:vAlign w:val="bottom"/>
          </w:tcPr>
          <w:p>
            <w:pPr>
              <w:spacing w:after="0"/>
              <w:rPr>
                <w:sz w:val="1"/>
                <w:szCs w:val="1"/>
                <w:color w:val="auto"/>
              </w:rPr>
            </w:pPr>
          </w:p>
        </w:tc>
      </w:tr>
      <w:tr>
        <w:trPr>
          <w:trHeight w:val="91"/>
        </w:trPr>
        <w:tc>
          <w:tcPr>
            <w:tcW w:w="4120" w:type="dxa"/>
            <w:vAlign w:val="bottom"/>
            <w:tcBorders>
              <w:bottom w:val="single" w:sz="8" w:color="CCEEFF"/>
            </w:tcBorders>
            <w:gridSpan w:val="2"/>
            <w:vMerge w:val="continue"/>
            <w:shd w:val="clear" w:color="auto" w:fill="CCEEFF"/>
          </w:tcPr>
          <w:p>
            <w:pPr>
              <w:spacing w:after="0"/>
              <w:rPr>
                <w:sz w:val="7"/>
                <w:szCs w:val="7"/>
                <w:color w:val="auto"/>
              </w:rPr>
            </w:pPr>
          </w:p>
        </w:tc>
        <w:tc>
          <w:tcPr>
            <w:tcW w:w="1980" w:type="dxa"/>
            <w:vAlign w:val="bottom"/>
            <w:tcBorders>
              <w:bottom w:val="single" w:sz="8" w:color="auto"/>
            </w:tcBorders>
            <w:vMerge w:val="continue"/>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auto"/>
            </w:tcBorders>
            <w:vMerge w:val="continue"/>
            <w:shd w:val="clear" w:color="auto" w:fill="CCEEFF"/>
          </w:tcPr>
          <w:p>
            <w:pPr>
              <w:spacing w:after="0"/>
              <w:rPr>
                <w:sz w:val="7"/>
                <w:szCs w:val="7"/>
                <w:color w:val="auto"/>
              </w:rPr>
            </w:pPr>
          </w:p>
        </w:tc>
        <w:tc>
          <w:tcPr>
            <w:tcW w:w="1800" w:type="dxa"/>
            <w:vAlign w:val="bottom"/>
            <w:tcBorders>
              <w:bottom w:val="single" w:sz="8" w:color="auto"/>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5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460" w:right="480" w:hanging="264"/>
        <w:spacing w:after="0" w:line="230" w:lineRule="auto"/>
        <w:tabs>
          <w:tab w:leader="none" w:pos="450" w:val="left"/>
        </w:tabs>
        <w:numPr>
          <w:ilvl w:val="0"/>
          <w:numId w:val="6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Column (a) includes: 993,494 shares that have been granted as restricted stock units (RSUs) and 671,913 shares granted as options under our equity compensation plans. The weighted average price in column (b) does not take into account shares issued pursuant to RSUs.</w:t>
      </w:r>
    </w:p>
    <w:p>
      <w:pPr>
        <w:spacing w:after="0" w:line="29" w:lineRule="exact"/>
        <w:rPr>
          <w:sz w:val="20"/>
          <w:szCs w:val="20"/>
          <w:color w:val="auto"/>
        </w:rPr>
      </w:pPr>
    </w:p>
    <w:p>
      <w:pPr>
        <w:ind w:right="56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the security ownership of certain beneficial owners and management is included in our 2025 Proxy Statement under the caption “Security Ownership of Certain Beneficial Owners” and is incorporated herein by reference.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95" w:name="page96"/>
    <w:bookmarkEnd w:id="95"/>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13</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Certain Relationships and Related Transactions, and Director Independence.</w:t>
      </w:r>
    </w:p>
    <w:p>
      <w:pPr>
        <w:spacing w:after="0" w:line="53" w:lineRule="exact"/>
        <w:rPr>
          <w:sz w:val="20"/>
          <w:szCs w:val="20"/>
          <w:color w:val="auto"/>
        </w:rPr>
      </w:pPr>
    </w:p>
    <w:p>
      <w:pPr>
        <w:ind w:right="22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this item is set forth under the captions “Certain Relationships and Related Party Transactions” and “Corporate Governance and General Information Concerning the Board of Directors and its Committees” of our 2025 Proxy Statement. Such information is incorporated herein by reference.</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14</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Principal Accounting Fees and Services.</w:t>
      </w:r>
    </w:p>
    <w:p>
      <w:pPr>
        <w:spacing w:after="0" w:line="53" w:lineRule="exact"/>
        <w:rPr>
          <w:sz w:val="20"/>
          <w:szCs w:val="20"/>
          <w:color w:val="auto"/>
        </w:rPr>
      </w:pPr>
    </w:p>
    <w:p>
      <w:pPr>
        <w:ind w:right="40" w:firstLine="350"/>
        <w:spacing w:after="0" w:line="287" w:lineRule="auto"/>
        <w:rPr>
          <w:sz w:val="20"/>
          <w:szCs w:val="20"/>
          <w:color w:val="auto"/>
        </w:rPr>
      </w:pPr>
      <w:r>
        <w:rPr>
          <w:rFonts w:ascii="Times New Roman" w:cs="Times New Roman" w:eastAsia="Times New Roman" w:hAnsi="Times New Roman"/>
          <w:sz w:val="14"/>
          <w:szCs w:val="14"/>
          <w:color w:val="auto"/>
        </w:rPr>
        <w:t>Information relating to this item is set forth under the caption “Independent Registered Public Accounting Firm Fees” of our 2025 Proxy Statement. Such information is incorporated herein by reference.</w:t>
      </w:r>
    </w:p>
    <w:p>
      <w:pPr>
        <w:spacing w:after="0" w:line="3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15</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Exhibits, Financial Statement Schedules.</w:t>
      </w:r>
    </w:p>
    <w:p>
      <w:pPr>
        <w:spacing w:after="0" w:line="53" w:lineRule="exact"/>
        <w:rPr>
          <w:sz w:val="20"/>
          <w:szCs w:val="20"/>
          <w:color w:val="auto"/>
        </w:rPr>
      </w:pPr>
    </w:p>
    <w:p>
      <w:pPr>
        <w:ind w:left="340" w:hanging="194"/>
        <w:spacing w:after="0"/>
        <w:tabs>
          <w:tab w:leader="none" w:pos="3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Annual Report:</w:t>
      </w:r>
    </w:p>
    <w:p>
      <w:pPr>
        <w:spacing w:after="0" w:line="51" w:lineRule="exact"/>
        <w:rPr>
          <w:rFonts w:ascii="Times New Roman" w:cs="Times New Roman" w:eastAsia="Times New Roman" w:hAnsi="Times New Roman"/>
          <w:sz w:val="14"/>
          <w:szCs w:val="14"/>
          <w:color w:val="auto"/>
        </w:rPr>
      </w:pPr>
    </w:p>
    <w:p>
      <w:pPr>
        <w:ind w:left="1080" w:hanging="311"/>
        <w:spacing w:after="0"/>
        <w:tabs>
          <w:tab w:leader="none" w:pos="108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Our consolidated financial statements filed herewith are set forth in Item 8 of this Annual Report.</w:t>
      </w:r>
    </w:p>
    <w:p>
      <w:pPr>
        <w:spacing w:after="0" w:line="51" w:lineRule="exact"/>
        <w:rPr>
          <w:sz w:val="20"/>
          <w:szCs w:val="20"/>
          <w:color w:val="auto"/>
        </w:rPr>
      </w:pPr>
    </w:p>
    <w:p>
      <w:pPr>
        <w:ind w:left="760"/>
        <w:spacing w:after="0"/>
        <w:tabs>
          <w:tab w:leader="none" w:pos="1060" w:val="left"/>
        </w:tabs>
        <w:rPr>
          <w:sz w:val="20"/>
          <w:szCs w:val="20"/>
          <w:color w:val="auto"/>
        </w:rPr>
      </w:pPr>
      <w:r>
        <w:rPr>
          <w:rFonts w:ascii="Times New Roman" w:cs="Times New Roman" w:eastAsia="Times New Roman" w:hAnsi="Times New Roman"/>
          <w:sz w:val="14"/>
          <w:szCs w:val="14"/>
          <w:color w:val="auto"/>
        </w:rPr>
        <w:t>(2)</w:t>
        <w:tab/>
        <w:t>Financial Statement Schedules</w:t>
      </w:r>
    </w:p>
    <w:p>
      <w:pPr>
        <w:spacing w:after="0" w:line="51" w:lineRule="exact"/>
        <w:rPr>
          <w:sz w:val="20"/>
          <w:szCs w:val="20"/>
          <w:color w:val="auto"/>
        </w:rPr>
      </w:pPr>
    </w:p>
    <w:p>
      <w:pPr>
        <w:ind w:left="1160" w:hanging="240"/>
        <w:spacing w:after="0" w:line="284" w:lineRule="auto"/>
        <w:rPr>
          <w:sz w:val="20"/>
          <w:szCs w:val="20"/>
          <w:color w:val="auto"/>
        </w:rPr>
      </w:pPr>
      <w:r>
        <w:rPr>
          <w:rFonts w:ascii="Times New Roman" w:cs="Times New Roman" w:eastAsia="Times New Roman" w:hAnsi="Times New Roman"/>
          <w:sz w:val="14"/>
          <w:szCs w:val="14"/>
          <w:color w:val="auto"/>
        </w:rPr>
        <w:t>Consolidated financial statement schedules have been omitted because either they are not applicable or the required information is included in the consolidated financial statements or the notes thereto.</w:t>
      </w:r>
    </w:p>
    <w:p>
      <w:pPr>
        <w:spacing w:after="0" w:line="1" w:lineRule="exact"/>
        <w:rPr>
          <w:sz w:val="20"/>
          <w:szCs w:val="20"/>
          <w:color w:val="auto"/>
        </w:rPr>
      </w:pPr>
    </w:p>
    <w:p>
      <w:pPr>
        <w:ind w:left="760"/>
        <w:spacing w:after="0"/>
        <w:tabs>
          <w:tab w:leader="none" w:pos="1060" w:val="left"/>
        </w:tabs>
        <w:rPr>
          <w:sz w:val="20"/>
          <w:szCs w:val="20"/>
          <w:color w:val="auto"/>
        </w:rPr>
      </w:pPr>
      <w:r>
        <w:rPr>
          <w:rFonts w:ascii="Times New Roman" w:cs="Times New Roman" w:eastAsia="Times New Roman" w:hAnsi="Times New Roman"/>
          <w:sz w:val="14"/>
          <w:szCs w:val="14"/>
          <w:color w:val="auto"/>
        </w:rPr>
        <w:t>(3)</w:t>
      </w:r>
      <w:r>
        <w:rPr>
          <w:sz w:val="20"/>
          <w:szCs w:val="20"/>
          <w:color w:val="auto"/>
        </w:rPr>
        <w:tab/>
      </w:r>
      <w:r>
        <w:rPr>
          <w:rFonts w:ascii="Times New Roman" w:cs="Times New Roman" w:eastAsia="Times New Roman" w:hAnsi="Times New Roman"/>
          <w:sz w:val="13"/>
          <w:szCs w:val="13"/>
          <w:color w:val="auto"/>
        </w:rPr>
        <w:t>Exhibits</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65" w:right="37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580" w:type="dxa"/>
            <w:vAlign w:val="bottom"/>
            <w:gridSpan w:val="24"/>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34"/>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9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10300" w:type="dxa"/>
            <w:vAlign w:val="bottom"/>
            <w:gridSpan w:val="30"/>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71"/>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300" w:type="dxa"/>
            <w:vAlign w:val="bottom"/>
            <w:tcBorders>
              <w:top w:val="single" w:sz="8" w:color="auto"/>
            </w:tcBorders>
            <w:gridSpan w:val="30"/>
          </w:tcPr>
          <w:p>
            <w:pPr>
              <w:spacing w:after="0"/>
              <w:rPr>
                <w:rFonts w:ascii="Times New Roman" w:cs="Times New Roman" w:eastAsia="Times New Roman" w:hAnsi="Times New Roman"/>
                <w:sz w:val="14"/>
                <w:szCs w:val="14"/>
                <w:color w:val="0000FF"/>
              </w:rPr>
            </w:pPr>
            <w:hyperlink r:id="rId113">
              <w:r>
                <w:rPr>
                  <w:rFonts w:ascii="Times New Roman" w:cs="Times New Roman" w:eastAsia="Times New Roman" w:hAnsi="Times New Roman"/>
                  <w:sz w:val="14"/>
                  <w:szCs w:val="14"/>
                  <w:color w:val="0000FF"/>
                </w:rPr>
                <w:t>Membership Interest Purchase Agreement, dated May 3, 2021, among (i) Booz Allen Hamilton Inc., (ii) Liberty IT Solutions, LLC, (iii) William Greene, Christopher Bickell, and</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10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Jeff Denniston, and (iv) Southpaw Representative, LLC, in its capacity as Members' Representative (Incorporated by reference to Exhibit 2.1 to the Company's Form 8-K filed on</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13">
              <w:r>
                <w:rPr>
                  <w:rFonts w:ascii="Times New Roman" w:cs="Times New Roman" w:eastAsia="Times New Roman" w:hAnsi="Times New Roman"/>
                  <w:sz w:val="13"/>
                  <w:szCs w:val="13"/>
                  <w:color w:val="0000FF"/>
                </w:rPr>
                <w:t>May 4, 2021 (File No. 001-34972))</w:t>
              </w:r>
            </w:hyperlink>
          </w:p>
        </w:tc>
        <w:tc>
          <w:tcPr>
            <w:tcW w:w="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Seventh Amended and Restated Certificate of Incorporation of Booz Allen Hamilton Holding Corporation (Incorporated by reference to Exhibit 3.1 to the Company’s Current</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7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Report on Form 8-K filed on July 28, 2023 (File No. 001-34972))</w:t>
              </w:r>
            </w:hyperlink>
          </w:p>
        </w:tc>
        <w:tc>
          <w:tcPr>
            <w:tcW w:w="6140" w:type="dxa"/>
            <w:vAlign w:val="bottom"/>
            <w:tcBorders>
              <w:top w:val="single" w:sz="8" w:color="0000FF"/>
            </w:tcBorders>
            <w:gridSpan w:val="13"/>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Amended and Restated Bylaws of Booz Allen Hamilton Holding Corporation (Incorporated by reference to Exhibit 3.2 to the Company's Current Report on Form 8-K filed on July</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28, 2023 (File No. 001-34972))</w:t>
              </w:r>
            </w:hyperlink>
          </w:p>
        </w:tc>
        <w:tc>
          <w:tcPr>
            <w:tcW w:w="8380" w:type="dxa"/>
            <w:vAlign w:val="bottom"/>
            <w:tcBorders>
              <w:top w:val="single" w:sz="8" w:color="0000FF"/>
            </w:tcBorders>
            <w:gridSpan w:val="23"/>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Stock Certificate (Incorporated by reference to Exhibit 4.5 to the Company’s Registration Statement on Form S-1 (File No. 333-167645))</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Indenture, dated August 24, 2020, among Booz Allen Hamilton Inc., the Subsidiary Guarantors party thereto and Wilmington Trust, National Association (Incorporated by reference</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to Exhibit 4.1 to the Company’s Current Report on Form 8-K filed on August 24, 2020 (File No. 001-34972))</w:t>
              </w:r>
            </w:hyperlink>
          </w:p>
        </w:tc>
        <w:tc>
          <w:tcPr>
            <w:tcW w:w="40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First Supplemental Indenture, dated August 24, 2020, among Booz Allen Hamilton Inc., the Subsidiary Guarantors party thereto and Wilmington Trust, National Association</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74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18">
              <w:r>
                <w:rPr>
                  <w:rFonts w:ascii="Times New Roman" w:cs="Times New Roman" w:eastAsia="Times New Roman" w:hAnsi="Times New Roman"/>
                  <w:sz w:val="13"/>
                  <w:szCs w:val="13"/>
                  <w:color w:val="0000FF"/>
                </w:rPr>
                <w:t>(Incorporated by reference to Exhibit 4.2 to the Company’s Current Report on Form 8-K filed on August 24, 2020 (File No. 001-34972))</w:t>
              </w:r>
            </w:hyperlink>
          </w:p>
        </w:tc>
        <w:tc>
          <w:tcPr>
            <w:tcW w:w="206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Second Supplemental Indenture, dated as of November 5, 2021, among Booz Allen Hamilton Inc., the New Subsidiary Guarantors party thereto and Wilmington Trust, National</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19">
              <w:r>
                <w:rPr>
                  <w:rFonts w:ascii="Times New Roman" w:cs="Times New Roman" w:eastAsia="Times New Roman" w:hAnsi="Times New Roman"/>
                  <w:sz w:val="13"/>
                  <w:szCs w:val="13"/>
                  <w:color w:val="0000FF"/>
                </w:rPr>
                <w:t>Association (Incorporated by reference to Exhibit 4.1 to the Company’s Quarterly Report for the period ended December 31, 2021 on Form 10-Q (File No. 001-34972))</w:t>
              </w:r>
            </w:hyperlink>
          </w:p>
        </w:tc>
        <w:tc>
          <w:tcPr>
            <w:tcW w:w="8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Indenture, dated June 17, 2021, among Booz Allen Hamilton Inc., the Subsidiary Guarantors party thereto and Wilmington Trust, National Association (Incorporated by reference to</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2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Exhibit 4.1 to the Company’s Current Report on Form 8-K filed on June 17, 2021 (File No. 001-34972))</w:t>
              </w:r>
            </w:hyperlink>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1">
              <w:r>
                <w:rPr>
                  <w:rFonts w:ascii="Times New Roman" w:cs="Times New Roman" w:eastAsia="Times New Roman" w:hAnsi="Times New Roman"/>
                  <w:sz w:val="14"/>
                  <w:szCs w:val="14"/>
                  <w:color w:val="0000FF"/>
                </w:rPr>
                <w:t>First Supplemental Indenture, dated June 17, 2021, among Booz Allen Hamilton Inc., the Subsidiary Guarantors party thereto and Wilmington Trust, National Association</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21">
              <w:r>
                <w:rPr>
                  <w:rFonts w:ascii="Times New Roman" w:cs="Times New Roman" w:eastAsia="Times New Roman" w:hAnsi="Times New Roman"/>
                  <w:sz w:val="13"/>
                  <w:szCs w:val="13"/>
                  <w:color w:val="0000FF"/>
                </w:rPr>
                <w:t>(Incorporated by reference to Exhibit 4.2 to the Company’s Current Report on Form 8-K filed on June 17, 2021 (File No. 001-34972))</w:t>
              </w:r>
            </w:hyperlink>
          </w:p>
        </w:tc>
        <w:tc>
          <w:tcPr>
            <w:tcW w:w="2040" w:type="dxa"/>
            <w:vAlign w:val="bottom"/>
            <w:tcBorders>
              <w:top w:val="single" w:sz="8" w:color="0000FF"/>
            </w:tcBorders>
            <w:gridSpan w:val="5"/>
          </w:tcPr>
          <w:p>
            <w:pPr>
              <w:spacing w:after="0"/>
              <w:rPr>
                <w:sz w:val="10"/>
                <w:szCs w:val="10"/>
                <w:color w:val="auto"/>
              </w:rPr>
            </w:pPr>
          </w:p>
        </w:tc>
        <w:tc>
          <w:tcPr>
            <w:tcW w:w="180" w:type="dxa"/>
            <w:vAlign w:val="bottom"/>
            <w:gridSpan w:val="2"/>
          </w:tcPr>
          <w:p>
            <w:pPr>
              <w:spacing w:after="0"/>
              <w:rPr>
                <w:sz w:val="10"/>
                <w:szCs w:val="10"/>
                <w:color w:val="auto"/>
              </w:rPr>
            </w:pPr>
          </w:p>
        </w:tc>
        <w:tc>
          <w:tcPr>
            <w:tcW w:w="240" w:type="dxa"/>
            <w:vAlign w:val="bottom"/>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Second Supplemental Indenture, dated as of November 5, 2021, among Booz Allen Hamilton Inc., the New Subsidiary Guarantors party thereto and Wilmington Trust, National</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22">
              <w:r>
                <w:rPr>
                  <w:rFonts w:ascii="Times New Roman" w:cs="Times New Roman" w:eastAsia="Times New Roman" w:hAnsi="Times New Roman"/>
                  <w:sz w:val="13"/>
                  <w:szCs w:val="13"/>
                  <w:color w:val="0000FF"/>
                </w:rPr>
                <w:t>Association (Incorporated by reference to Exhibit 4.2 to the Company’s Quarterly Report for the period ended December 31, 2021 on Form 10-Q (File No. 001-34972))</w:t>
              </w:r>
            </w:hyperlink>
          </w:p>
        </w:tc>
        <w:tc>
          <w:tcPr>
            <w:tcW w:w="8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Indenture dated as of August 4, 2023, among Booz Allen Hamilton Inc., Booz Allen Hamilton Holding Corporation, as parent guarantor, and U.S. Bank Trust Company, National</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96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23">
              <w:r>
                <w:rPr>
                  <w:rFonts w:ascii="Times New Roman" w:cs="Times New Roman" w:eastAsia="Times New Roman" w:hAnsi="Times New Roman"/>
                  <w:sz w:val="13"/>
                  <w:szCs w:val="13"/>
                  <w:color w:val="0000FF"/>
                </w:rPr>
                <w:t>Association, as trustee (Incorporated by reference to Exhibit 4.1 to the Company's Current Report on Form 8-K filed on August 4, 2023 (File No. 001-34972))</w:t>
              </w:r>
            </w:hyperlink>
          </w:p>
        </w:tc>
        <w:tc>
          <w:tcPr>
            <w:tcW w:w="1100" w:type="dxa"/>
            <w:vAlign w:val="bottom"/>
            <w:tcBorders>
              <w:top w:val="single" w:sz="8" w:color="0000FF"/>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14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20" w:type="dxa"/>
            <w:vAlign w:val="bottom"/>
            <w:tcBorders>
              <w:bottom w:val="single" w:sz="8" w:color="0000FF"/>
            </w:tcBorders>
            <w:gridSpan w:val="24"/>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First Supplemental Indenture (including the form of 5.950% Senior Notes due 2033), dated as of August 4, 2023, among Booz Allen Hamilton Inc., Booz Allen Hamilton Holding</w:t>
              </w:r>
            </w:hyperlink>
          </w:p>
        </w:tc>
        <w:tc>
          <w:tcPr>
            <w:tcW w:w="180" w:type="dxa"/>
            <w:vAlign w:val="bottom"/>
            <w:gridSpan w:val="6"/>
          </w:tcPr>
          <w:p>
            <w:pPr>
              <w:spacing w:after="0"/>
              <w:rPr>
                <w:sz w:val="21"/>
                <w:szCs w:val="21"/>
                <w:color w:val="auto"/>
              </w:rPr>
            </w:pPr>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300" w:type="dxa"/>
            <w:vAlign w:val="bottom"/>
            <w:gridSpan w:val="30"/>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Corporation, as parent guarantor, and U.S. Bank Trust Company, National Association, as trustee (Incorporated by reference to Exhibit 4.2 to the Company's Current Report on Form</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24">
              <w:r>
                <w:rPr>
                  <w:rFonts w:ascii="Times New Roman" w:cs="Times New Roman" w:eastAsia="Times New Roman" w:hAnsi="Times New Roman"/>
                  <w:sz w:val="13"/>
                  <w:szCs w:val="13"/>
                  <w:color w:val="0000FF"/>
                </w:rPr>
                <w:t>8-K filed on August 4, 2023 (File No. 001-34972))</w:t>
              </w:r>
            </w:hyperlink>
          </w:p>
        </w:tc>
        <w:tc>
          <w:tcPr>
            <w:tcW w:w="740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Second Supplemental Indenture (including the form of 5.950% Senior Notes due 2035), dated as of March 14, 2025, among Booz Allen Hamilton Inc., Booz Allen Hamilton</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Holding Corporation, as parent guarantor, and U.S. Bank Trust Company, National Association, as trustee (Incorporated by reference to Exhibit 4.2 to the Company's Current</w:t>
              </w:r>
            </w:hyperlink>
          </w:p>
        </w:tc>
        <w:tc>
          <w:tcPr>
            <w:tcW w:w="480" w:type="dxa"/>
            <w:vAlign w:val="bottom"/>
            <w:gridSpan w:val="12"/>
          </w:tcPr>
          <w:p>
            <w:pPr>
              <w:ind w:left="40"/>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Report</w:t>
              </w:r>
            </w:hyperlink>
          </w:p>
        </w:tc>
      </w:tr>
      <w:tr>
        <w:trPr>
          <w:trHeight w:val="118"/>
        </w:trPr>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60" w:type="dxa"/>
            <w:vAlign w:val="bottom"/>
            <w:tcBorders>
              <w:top w:val="single" w:sz="8" w:color="0000FF"/>
            </w:tcBorders>
            <w:gridSpan w:val="28"/>
          </w:tcPr>
          <w:p>
            <w:pPr>
              <w:spacing w:after="0" w:line="118" w:lineRule="exact"/>
              <w:rPr>
                <w:rFonts w:ascii="Times New Roman" w:cs="Times New Roman" w:eastAsia="Times New Roman" w:hAnsi="Times New Roman"/>
                <w:sz w:val="13"/>
                <w:szCs w:val="13"/>
                <w:color w:val="0000FF"/>
              </w:rPr>
            </w:pPr>
            <w:hyperlink r:id="rId125">
              <w:r>
                <w:rPr>
                  <w:rFonts w:ascii="Times New Roman" w:cs="Times New Roman" w:eastAsia="Times New Roman" w:hAnsi="Times New Roman"/>
                  <w:sz w:val="13"/>
                  <w:szCs w:val="13"/>
                  <w:color w:val="0000FF"/>
                </w:rPr>
                <w:t>on Form 8-K filed on March 14, 2025 (File No. 001-34972))</w:t>
              </w:r>
            </w:hyperlink>
          </w:p>
        </w:tc>
        <w:tc>
          <w:tcPr>
            <w:tcW w:w="40" w:type="dxa"/>
            <w:vAlign w:val="bottom"/>
            <w:gridSpan w:val="2"/>
          </w:tcPr>
          <w:p>
            <w:pPr>
              <w:spacing w:after="0"/>
              <w:rPr>
                <w:sz w:val="10"/>
                <w:szCs w:val="10"/>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60" w:type="dxa"/>
            <w:vAlign w:val="bottom"/>
            <w:gridSpan w:val="22"/>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 xml:space="preserve">Form of 5.950% Senior Note due 2035 (included as Exhibit A to Exhibit </w:t>
              </w:r>
            </w:hyperlink>
            <w:r>
              <w:rPr>
                <w:rFonts w:ascii="Times New Roman" w:cs="Times New Roman" w:eastAsia="Times New Roman" w:hAnsi="Times New Roman"/>
                <w:sz w:val="14"/>
                <w:szCs w:val="14"/>
                <w:color w:val="0000FF"/>
              </w:rPr>
              <w:t xml:space="preserve">4.10 </w:t>
            </w:r>
            <w:hyperlink r:id="rId125">
              <w:r>
                <w:rPr>
                  <w:rFonts w:ascii="Times New Roman" w:cs="Times New Roman" w:eastAsia="Times New Roman" w:hAnsi="Times New Roman"/>
                  <w:sz w:val="14"/>
                  <w:szCs w:val="14"/>
                  <w:color w:val="0000FF"/>
                </w:rPr>
                <w:t>hereof)</w:t>
              </w:r>
            </w:hyperlink>
          </w:p>
        </w:tc>
        <w:tc>
          <w:tcPr>
            <w:tcW w:w="5460" w:type="dxa"/>
            <w:vAlign w:val="bottom"/>
            <w:gridSpan w:val="22"/>
          </w:tcPr>
          <w:p>
            <w:pPr>
              <w:spacing w:after="0"/>
              <w:rPr>
                <w:sz w:val="21"/>
                <w:szCs w:val="2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Form of 5.950% Senior Note due 2033 (included as Exhibit A to Exhibit 4.9 hereof)</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5540" w:type="dxa"/>
            <w:vAlign w:val="bottom"/>
            <w:gridSpan w:val="23"/>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Form of 4.000% Senior Note due 2029 (included as Exhibit A to Exhibit 4.5 hereof)</w:t>
              </w:r>
            </w:hyperlink>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5540" w:type="dxa"/>
            <w:vAlign w:val="bottom"/>
            <w:gridSpan w:val="23"/>
          </w:tcPr>
          <w:p>
            <w:pPr>
              <w:spacing w:after="0" w:line="20" w:lineRule="exact"/>
              <w:rPr>
                <w:sz w:val="1"/>
                <w:szCs w:val="1"/>
                <w:color w:val="auto"/>
              </w:rPr>
            </w:pPr>
          </w:p>
        </w:tc>
      </w:tr>
      <w:tr>
        <w:trPr>
          <w:trHeight w:val="235"/>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30"/>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Form of 3.875% Senior Note due 2028 (included as Exhibit A to Exhibit 4.2 hereof)</w:t>
              </w:r>
            </w:hyperlink>
          </w:p>
        </w:tc>
      </w:tr>
      <w:tr>
        <w:trPr>
          <w:trHeight w:val="203"/>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9"/>
              </w:rPr>
              <w:t>Description of Capital Stock*</w:t>
            </w:r>
          </w:p>
        </w:tc>
        <w:tc>
          <w:tcPr>
            <w:tcW w:w="3080" w:type="dxa"/>
            <w:vAlign w:val="bottom"/>
            <w:tcBorders>
              <w:top w:val="single" w:sz="8" w:color="0000FF"/>
            </w:tcBorders>
            <w:gridSpan w:val="6"/>
          </w:tcPr>
          <w:p>
            <w:pPr>
              <w:spacing w:after="0"/>
              <w:rPr>
                <w:sz w:val="17"/>
                <w:szCs w:val="17"/>
                <w:color w:val="auto"/>
              </w:rPr>
            </w:pPr>
          </w:p>
        </w:tc>
        <w:tc>
          <w:tcPr>
            <w:tcW w:w="5540" w:type="dxa"/>
            <w:vAlign w:val="bottom"/>
            <w:gridSpan w:val="23"/>
          </w:tcPr>
          <w:p>
            <w:pPr>
              <w:spacing w:after="0"/>
              <w:rPr>
                <w:sz w:val="17"/>
                <w:szCs w:val="17"/>
                <w:color w:val="auto"/>
              </w:rPr>
            </w:pPr>
          </w:p>
        </w:tc>
      </w:tr>
      <w:tr>
        <w:trPr>
          <w:trHeight w:val="733"/>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gridSpan w:val="8"/>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81" w:right="3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320" w:type="dxa"/>
            <w:vAlign w:val="bottom"/>
            <w:tcBorders>
              <w:bottom w:val="single" w:sz="8" w:color="0000FF"/>
            </w:tcBorders>
            <w:gridSpan w:val="32"/>
          </w:tcPr>
          <w:p>
            <w:pPr>
              <w:spacing w:after="0"/>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2023 Equity Incentive Plan of Booz Allen Hamilton Holding Corporation (Incorporated by reference to Appendix C to the Company's Definitive Proxy Statement on Schedule 14A,</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320" w:type="dxa"/>
            <w:vAlign w:val="bottom"/>
            <w:gridSpan w:val="32"/>
          </w:tcPr>
          <w:p>
            <w:pPr>
              <w:spacing w:after="0" w:line="118" w:lineRule="exact"/>
              <w:rPr>
                <w:rFonts w:ascii="Times New Roman" w:cs="Times New Roman" w:eastAsia="Times New Roman" w:hAnsi="Times New Roman"/>
                <w:sz w:val="13"/>
                <w:szCs w:val="13"/>
                <w:color w:val="0000FF"/>
              </w:rPr>
            </w:pPr>
            <w:hyperlink r:id="rId128">
              <w:r>
                <w:rPr>
                  <w:rFonts w:ascii="Times New Roman" w:cs="Times New Roman" w:eastAsia="Times New Roman" w:hAnsi="Times New Roman"/>
                  <w:sz w:val="13"/>
                  <w:szCs w:val="13"/>
                  <w:color w:val="0000FF"/>
                </w:rPr>
                <w:t>filed with the Commission on June 15, 2023 (File No. 001-34972))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Third Amended and Restated Equity Incentive Plan of Booz Allen Hamilton Holding Corporation (Incorporated by reference to Exhibit 10.2 to the Company’s Quarterly Report for</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24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29">
              <w:r>
                <w:rPr>
                  <w:rFonts w:ascii="Times New Roman" w:cs="Times New Roman" w:eastAsia="Times New Roman" w:hAnsi="Times New Roman"/>
                  <w:sz w:val="13"/>
                  <w:szCs w:val="13"/>
                  <w:color w:val="0000FF"/>
                </w:rPr>
                <w:t>the period ended December 31, 2019 on Form 10-Q (File No. 001-34972))</w:t>
              </w:r>
            </w:hyperlink>
          </w:p>
        </w:tc>
        <w:tc>
          <w:tcPr>
            <w:tcW w:w="602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Second Amended and Restated Booz Allen Hamilton Holding Corporation Annual Incentive Plan (Incorporated by reference to Exhibit 10.3 to the Company’s Quarterly Report for</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30">
              <w:r>
                <w:rPr>
                  <w:rFonts w:ascii="Times New Roman" w:cs="Times New Roman" w:eastAsia="Times New Roman" w:hAnsi="Times New Roman"/>
                  <w:sz w:val="13"/>
                  <w:szCs w:val="13"/>
                  <w:color w:val="0000FF"/>
                </w:rPr>
                <w:t>the period ended December 31, 2019 on Form 10-Q (File No. 001-34972))</w:t>
              </w:r>
            </w:hyperlink>
          </w:p>
        </w:tc>
        <w:tc>
          <w:tcPr>
            <w:tcW w:w="600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3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Booz Allen Hamilton Holding Corporation Officers’ Retirement Policy*</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Form of Booz Allen Hamilton Inc. Named Executive Officer Retirement Letter (Incorporated by reference to Exhibit 10.5 to the Company’s Annual Report for the year ended</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986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March 31, 2024 on Form 10-K (File No. 001-34972))</w:t>
              </w:r>
            </w:hyperlink>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4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Officer’s Comprehensive Medical and Dental Choice Plans (Incorporated by reference to Exhibit 10.7 to the Company’s Annual Report for the year ended March 31, 2018 on Form</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58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10-K (File No. 001-34972))</w:t>
              </w:r>
            </w:hyperlink>
          </w:p>
        </w:tc>
        <w:tc>
          <w:tcPr>
            <w:tcW w:w="8660" w:type="dxa"/>
            <w:vAlign w:val="bottom"/>
            <w:tcBorders>
              <w:top w:val="single" w:sz="8" w:color="0000FF"/>
            </w:tcBorders>
            <w:gridSpan w:val="2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10120" w:type="dxa"/>
            <w:vAlign w:val="bottom"/>
            <w:tcBorders>
              <w:bottom w:val="single" w:sz="8" w:color="0000FF"/>
            </w:tcBorders>
            <w:gridSpan w:val="22"/>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Retired Officer Medical Plan (Incorporated by reference to Exhibit 10.7 to the Company’s Annual Report for the year ended March 31, 2024 on Form 10-K (File No. 001-34972))</w:t>
              </w:r>
            </w:hyperlink>
          </w:p>
        </w:tc>
        <w:tc>
          <w:tcPr>
            <w:tcW w:w="200" w:type="dxa"/>
            <w:vAlign w:val="bottom"/>
            <w:gridSpan w:val="10"/>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10.8†</w:t>
            </w:r>
          </w:p>
        </w:tc>
        <w:tc>
          <w:tcPr>
            <w:tcW w:w="38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Retired Officer’s Comprehensive Medical and Dental Choice Plans*</w:t>
            </w:r>
          </w:p>
        </w:tc>
        <w:tc>
          <w:tcPr>
            <w:tcW w:w="6440" w:type="dxa"/>
            <w:vAlign w:val="bottom"/>
            <w:gridSpan w:val="22"/>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10.9†</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4">
              <w:r>
                <w:rPr>
                  <w:rFonts w:ascii="Times New Roman" w:cs="Times New Roman" w:eastAsia="Times New Roman" w:hAnsi="Times New Roman"/>
                  <w:sz w:val="14"/>
                  <w:szCs w:val="14"/>
                  <w:color w:val="0000FF"/>
                </w:rPr>
                <w:t>Group Variable Universal Life Insurance (Incorporated by reference to Exhibit 10.14 to the Company’s Annual Report for the year ended March 31, 2015 on Form 10-K (File No.</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34">
              <w:r>
                <w:rPr>
                  <w:rFonts w:ascii="Times New Roman" w:cs="Times New Roman" w:eastAsia="Times New Roman" w:hAnsi="Times New Roman"/>
                  <w:sz w:val="13"/>
                  <w:szCs w:val="13"/>
                  <w:color w:val="0000FF"/>
                </w:rPr>
                <w:t>001-34972))</w:t>
              </w:r>
            </w:hyperlink>
          </w:p>
        </w:tc>
        <w:tc>
          <w:tcPr>
            <w:tcW w:w="7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0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10.10†</w:t>
            </w:r>
          </w:p>
        </w:tc>
        <w:tc>
          <w:tcPr>
            <w:tcW w:w="10320" w:type="dxa"/>
            <w:vAlign w:val="bottom"/>
            <w:gridSpan w:val="32"/>
          </w:tcPr>
          <w:p>
            <w:pPr>
              <w:spacing w:after="0"/>
              <w:rPr>
                <w:sz w:val="20"/>
                <w:szCs w:val="20"/>
                <w:color w:val="auto"/>
              </w:rPr>
            </w:pPr>
            <w:r>
              <w:rPr>
                <w:rFonts w:ascii="Times New Roman" w:cs="Times New Roman" w:eastAsia="Times New Roman" w:hAnsi="Times New Roman"/>
                <w:sz w:val="14"/>
                <w:szCs w:val="14"/>
                <w:color w:val="0000FF"/>
              </w:rPr>
              <w:t>Group Personal Excess Liability Insurance*</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1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10.11†</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5">
              <w:r>
                <w:rPr>
                  <w:rFonts w:ascii="Times New Roman" w:cs="Times New Roman" w:eastAsia="Times New Roman" w:hAnsi="Times New Roman"/>
                  <w:sz w:val="14"/>
                  <w:szCs w:val="14"/>
                  <w:color w:val="0000FF"/>
                </w:rPr>
                <w:t>Officer Annual Performance Bonus Policy (Incorporated by reference to Exhibit 10.11 to the Company’s Annual Report for the year ended March 31, 2018 on Form 10-K (File No.</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70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35">
              <w:r>
                <w:rPr>
                  <w:rFonts w:ascii="Times New Roman" w:cs="Times New Roman" w:eastAsia="Times New Roman" w:hAnsi="Times New Roman"/>
                  <w:sz w:val="13"/>
                  <w:szCs w:val="13"/>
                  <w:color w:val="0000FF"/>
                </w:rPr>
                <w:t>001-34972))</w:t>
              </w:r>
            </w:hyperlink>
          </w:p>
        </w:tc>
        <w:tc>
          <w:tcPr>
            <w:tcW w:w="78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78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08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10.12†</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Form of Booz Allen Hamilton Holding Corporation Director and Officer Indemnification Agreement (Incorporated by reference to Exhibit 10.23 to the Company’s Registration</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99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36">
              <w:r>
                <w:rPr>
                  <w:rFonts w:ascii="Times New Roman" w:cs="Times New Roman" w:eastAsia="Times New Roman" w:hAnsi="Times New Roman"/>
                  <w:sz w:val="13"/>
                  <w:szCs w:val="13"/>
                  <w:color w:val="0000FF"/>
                </w:rPr>
                <w:t>Statement on Form S-1 (File No. 333-167645))</w:t>
              </w:r>
            </w:hyperlink>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10.13†</w:t>
            </w:r>
          </w:p>
        </w:tc>
        <w:tc>
          <w:tcPr>
            <w:tcW w:w="1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8"/>
              </w:rPr>
              <w:t>Officer Transition Policy*</w:t>
            </w:r>
          </w:p>
        </w:tc>
        <w:tc>
          <w:tcPr>
            <w:tcW w:w="1180" w:type="dxa"/>
            <w:vAlign w:val="bottom"/>
            <w:tcBorders>
              <w:top w:val="single" w:sz="8" w:color="0000FF"/>
            </w:tcBorders>
            <w:gridSpan w:val="4"/>
          </w:tcPr>
          <w:p>
            <w:pPr>
              <w:spacing w:after="0"/>
              <w:rPr>
                <w:sz w:val="18"/>
                <w:szCs w:val="18"/>
                <w:color w:val="auto"/>
              </w:rPr>
            </w:pPr>
          </w:p>
        </w:tc>
        <w:tc>
          <w:tcPr>
            <w:tcW w:w="7660" w:type="dxa"/>
            <w:vAlign w:val="bottom"/>
            <w:gridSpan w:val="26"/>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10.14</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Credit Agreement among Booz Allen Hamilton Inc., as the Borrower, the several lenders from time to time parties thereto, Bank of America, N.A., as Administrative Agent,</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9780" w:type="dxa"/>
            <w:vAlign w:val="bottom"/>
            <w:tcBorders>
              <w:top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Collateral Agent and Issuing Lender, Merrill Lynch, Pierce, Fenner &amp; Smith Incorporated and Credit Suisse Securities (USA) LLC, as Joint Lead Arrangers, Merrill Lynch,</w:t>
              </w:r>
            </w:hyperlink>
          </w:p>
        </w:tc>
        <w:tc>
          <w:tcPr>
            <w:tcW w:w="540" w:type="dxa"/>
            <w:vAlign w:val="bottom"/>
            <w:gridSpan w:val="16"/>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Pierce,</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160" w:type="dxa"/>
            <w:vAlign w:val="bottom"/>
            <w:tcBorders>
              <w:top w:val="single" w:sz="8" w:color="0000FF"/>
            </w:tcBorders>
            <w:gridSpan w:val="24"/>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Fenner &amp; Smith Incorporated, Credit Suisse Securities (USA) LLC, Barclays Bank PLC, Citigroup Global Markets Inc., HSBC Securities (USA) Inc., J.P. Morgan Securities LLC,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10140" w:type="dxa"/>
            <w:vAlign w:val="bottom"/>
            <w:tcBorders>
              <w:top w:val="single" w:sz="8" w:color="0000FF"/>
              <w:bottom w:val="single" w:sz="8" w:color="0000FF"/>
            </w:tcBorders>
            <w:gridSpan w:val="23"/>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Morgan Stanley Senior Funding, Inc. and Sumimoto Mitsui Banking Corporation, as Joint Bookrunners, Credit Suisse Securities (USA) LLC, as Syndication Agent, Barclays Bank</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200" w:type="dxa"/>
            <w:vAlign w:val="bottom"/>
            <w:gridSpan w:val="26"/>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PLC, Citigroup Global Markets Inc., HSBC Securities (USA) Inc., J.P. Morgan Securities LLC, Morgan Stanley Senior Funding, Inc., Sumimoto Mitsui Banking Corporation and</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10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37">
              <w:r>
                <w:rPr>
                  <w:rFonts w:ascii="Times New Roman" w:cs="Times New Roman" w:eastAsia="Times New Roman" w:hAnsi="Times New Roman"/>
                  <w:sz w:val="13"/>
                  <w:szCs w:val="13"/>
                  <w:color w:val="0000FF"/>
                </w:rPr>
                <w:t>The Bank of Tokyo-Mitsubishi UFJ, Ltd., as Co-Documentation Agents, dated as of July 31, 2012 (Incorporated by reference to Exhibit 10.1 to the Company’s Current Report on</w:t>
              </w:r>
            </w:hyperlink>
          </w:p>
        </w:tc>
        <w:tc>
          <w:tcPr>
            <w:tcW w:w="80" w:type="dxa"/>
            <w:vAlign w:val="bottom"/>
            <w:gridSpan w:val="4"/>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322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Form 8-K filed on August 1, 2012 (File No. 001-34972))</w:t>
              </w:r>
            </w:hyperlink>
          </w:p>
        </w:tc>
        <w:tc>
          <w:tcPr>
            <w:tcW w:w="6860" w:type="dxa"/>
            <w:vAlign w:val="bottom"/>
            <w:tcBorders>
              <w:top w:val="single" w:sz="8" w:color="0000FF"/>
            </w:tcBorders>
            <w:gridSpan w:val="12"/>
          </w:tcPr>
          <w:p>
            <w:pPr>
              <w:spacing w:after="0"/>
              <w:rPr>
                <w:sz w:val="11"/>
                <w:szCs w:val="11"/>
                <w:color w:val="auto"/>
              </w:rPr>
            </w:pPr>
          </w:p>
        </w:tc>
        <w:tc>
          <w:tcPr>
            <w:tcW w:w="100" w:type="dxa"/>
            <w:vAlign w:val="bottom"/>
            <w:gridSpan w:val="5"/>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10.15</w:t>
            </w:r>
          </w:p>
        </w:tc>
        <w:tc>
          <w:tcPr>
            <w:tcW w:w="10320" w:type="dxa"/>
            <w:vAlign w:val="bottom"/>
            <w:gridSpan w:val="32"/>
          </w:tcPr>
          <w:p>
            <w:pPr>
              <w:spacing w:after="0"/>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Guarantee and Collateral Agreement, among Booz Allen Hamilton Investor Corporation, Booz Allen Hamilton Inc., ASE, Inc. and Booz Allen Hamilton International, Inc., in favor</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300" w:type="dxa"/>
            <w:vAlign w:val="bottom"/>
            <w:tcBorders>
              <w:top w:val="single" w:sz="8" w:color="0000FF"/>
            </w:tcBorders>
            <w:gridSpan w:val="31"/>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of Bank of America, N.A., as Collateral Agent, dated as of July 31, 2012 (Incorporated by reference to Exhibit 10.2 to the Company’s Current Report on Form 8-K filed on August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1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38">
              <w:r>
                <w:rPr>
                  <w:rFonts w:ascii="Times New Roman" w:cs="Times New Roman" w:eastAsia="Times New Roman" w:hAnsi="Times New Roman"/>
                  <w:sz w:val="13"/>
                  <w:szCs w:val="13"/>
                  <w:color w:val="0000FF"/>
                </w:rPr>
                <w:t>1, 2012 (File No. 001-34972))</w:t>
              </w:r>
            </w:hyperlink>
          </w:p>
        </w:tc>
        <w:tc>
          <w:tcPr>
            <w:tcW w:w="100" w:type="dxa"/>
            <w:vAlign w:val="bottom"/>
            <w:gridSpan w:val="5"/>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10.16</w:t>
            </w:r>
          </w:p>
        </w:tc>
        <w:tc>
          <w:tcPr>
            <w:tcW w:w="7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980" w:type="dxa"/>
            <w:vAlign w:val="bottom"/>
            <w:vMerge w:val="continue"/>
          </w:tcPr>
          <w:p>
            <w:pPr>
              <w:spacing w:after="0"/>
              <w:rPr>
                <w:sz w:val="21"/>
                <w:szCs w:val="21"/>
                <w:color w:val="auto"/>
              </w:rPr>
            </w:pPr>
          </w:p>
        </w:tc>
        <w:tc>
          <w:tcPr>
            <w:tcW w:w="10320" w:type="dxa"/>
            <w:vAlign w:val="bottom"/>
            <w:gridSpan w:val="32"/>
            <w:vMerge w:val="restart"/>
          </w:tcPr>
          <w:p>
            <w:pPr>
              <w:spacing w:after="0"/>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First Amendment to Credit Agreement, dated as of August 16, 2013, among Booz Allen Hamilton Inc., as Borrower, Booz Allen Hamilton Investor Corporation, Booz Allen</w:t>
              </w:r>
            </w:hyperlink>
          </w:p>
        </w:tc>
        <w:tc>
          <w:tcPr>
            <w:tcW w:w="0" w:type="dxa"/>
            <w:vAlign w:val="bottom"/>
          </w:tcPr>
          <w:p>
            <w:pPr>
              <w:spacing w:after="0"/>
              <w:rPr>
                <w:sz w:val="1"/>
                <w:szCs w:val="1"/>
                <w:color w:val="auto"/>
              </w:rPr>
            </w:pPr>
          </w:p>
        </w:tc>
      </w:tr>
      <w:tr>
        <w:trPr>
          <w:trHeight w:val="32"/>
        </w:trPr>
        <w:tc>
          <w:tcPr>
            <w:tcW w:w="980" w:type="dxa"/>
            <w:vAlign w:val="bottom"/>
          </w:tcPr>
          <w:p>
            <w:pPr>
              <w:spacing w:after="0"/>
              <w:rPr>
                <w:sz w:val="2"/>
                <w:szCs w:val="2"/>
                <w:color w:val="auto"/>
              </w:rPr>
            </w:pPr>
          </w:p>
        </w:tc>
        <w:tc>
          <w:tcPr>
            <w:tcW w:w="10320" w:type="dxa"/>
            <w:vAlign w:val="bottom"/>
            <w:gridSpan w:val="3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9680" w:type="dxa"/>
            <w:vAlign w:val="bottom"/>
            <w:tcBorders>
              <w:top w:val="single" w:sz="8" w:color="0000FF"/>
              <w:bottom w:val="single" w:sz="8" w:color="0000FF"/>
            </w:tcBorders>
            <w:gridSpan w:val="15"/>
          </w:tcPr>
          <w:p>
            <w:pPr>
              <w:spacing w:after="0" w:line="129"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Hamilton Engineering Holding Co., LLC, Booz Allen Hamilton Engineering Services, LLC, SDI Technology Corporation, and Booz Allen Hamilton International, Inc., as</w:t>
              </w:r>
            </w:hyperlink>
          </w:p>
        </w:tc>
        <w:tc>
          <w:tcPr>
            <w:tcW w:w="120" w:type="dxa"/>
            <w:vAlign w:val="bottom"/>
            <w:tcBorders>
              <w:top w:val="single" w:sz="8" w:color="0000FF"/>
            </w:tcBorders>
            <w:gridSpan w:val="2"/>
          </w:tcPr>
          <w:p>
            <w:pPr>
              <w:spacing w:after="0"/>
              <w:rPr>
                <w:sz w:val="11"/>
                <w:szCs w:val="11"/>
                <w:color w:val="auto"/>
              </w:rPr>
            </w:pPr>
          </w:p>
        </w:tc>
        <w:tc>
          <w:tcPr>
            <w:tcW w:w="480" w:type="dxa"/>
            <w:vAlign w:val="bottom"/>
            <w:gridSpan w:val="13"/>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10320" w:type="dxa"/>
            <w:vAlign w:val="bottom"/>
            <w:gridSpan w:val="32"/>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Guarantors,, Bank of America, N.A., as Administrative Agent, Collateral Agent and New Refinancing Tranche B Term Lender, and the other Lenders and financial institutions from</w:t>
              </w:r>
            </w:hyperlink>
          </w:p>
        </w:tc>
        <w:tc>
          <w:tcPr>
            <w:tcW w:w="0" w:type="dxa"/>
            <w:vAlign w:val="bottom"/>
          </w:tcPr>
          <w:p>
            <w:pPr>
              <w:spacing w:after="0"/>
              <w:rPr>
                <w:sz w:val="1"/>
                <w:szCs w:val="1"/>
                <w:color w:val="auto"/>
              </w:rPr>
            </w:pPr>
          </w:p>
        </w:tc>
      </w:tr>
      <w:tr>
        <w:trPr>
          <w:trHeight w:val="118"/>
        </w:trPr>
        <w:tc>
          <w:tcPr>
            <w:tcW w:w="980" w:type="dxa"/>
            <w:vAlign w:val="bottom"/>
          </w:tcPr>
          <w:p>
            <w:pPr>
              <w:spacing w:after="0"/>
              <w:rPr>
                <w:sz w:val="10"/>
                <w:szCs w:val="10"/>
                <w:color w:val="auto"/>
              </w:rPr>
            </w:pPr>
          </w:p>
        </w:tc>
        <w:tc>
          <w:tcPr>
            <w:tcW w:w="9320" w:type="dxa"/>
            <w:vAlign w:val="bottom"/>
            <w:tcBorders>
              <w:top w:val="single" w:sz="8" w:color="0000FF"/>
              <w:bottom w:val="single" w:sz="8" w:color="0000FF"/>
            </w:tcBorders>
            <w:gridSpan w:val="14"/>
          </w:tcPr>
          <w:p>
            <w:pPr>
              <w:spacing w:after="0" w:line="118" w:lineRule="exact"/>
              <w:rPr>
                <w:rFonts w:ascii="Times New Roman" w:cs="Times New Roman" w:eastAsia="Times New Roman" w:hAnsi="Times New Roman"/>
                <w:sz w:val="13"/>
                <w:szCs w:val="13"/>
                <w:color w:val="0000FF"/>
              </w:rPr>
            </w:pPr>
            <w:hyperlink r:id="rId139">
              <w:r>
                <w:rPr>
                  <w:rFonts w:ascii="Times New Roman" w:cs="Times New Roman" w:eastAsia="Times New Roman" w:hAnsi="Times New Roman"/>
                  <w:sz w:val="13"/>
                  <w:szCs w:val="13"/>
                  <w:color w:val="0000FF"/>
                </w:rPr>
                <w:t>time to time party thereto. (Incorporated by reference to Exhibit 10.1 to the Company’s Current Report on Form 8-K filed on August 20, 2013 (File No. 001-34972))</w:t>
              </w:r>
            </w:hyperlink>
          </w:p>
        </w:tc>
        <w:tc>
          <w:tcPr>
            <w:tcW w:w="960" w:type="dxa"/>
            <w:vAlign w:val="bottom"/>
            <w:tcBorders>
              <w:top w:val="single" w:sz="8" w:color="0000FF"/>
            </w:tcBorders>
            <w:gridSpan w:val="16"/>
          </w:tcPr>
          <w:p>
            <w:pPr>
              <w:spacing w:after="0"/>
              <w:rPr>
                <w:sz w:val="10"/>
                <w:szCs w:val="10"/>
                <w:color w:val="auto"/>
              </w:rPr>
            </w:pP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89"/>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10.17</w:t>
            </w:r>
          </w:p>
        </w:tc>
        <w:tc>
          <w:tcPr>
            <w:tcW w:w="10320" w:type="dxa"/>
            <w:vAlign w:val="bottom"/>
            <w:gridSpan w:val="32"/>
          </w:tcPr>
          <w:p>
            <w:pPr>
              <w:spacing w:after="0"/>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Second Amendment to Credit Agreement, dated as of May 7, 2014, among Booz Allen Hamilton Inc., as Borrower, Booz Allen Hamilton Investor Corporation, Booz Allen</w:t>
              </w:r>
            </w:hyperlink>
          </w:p>
        </w:tc>
        <w:tc>
          <w:tcPr>
            <w:tcW w:w="0" w:type="dxa"/>
            <w:vAlign w:val="bottom"/>
          </w:tcPr>
          <w:p>
            <w:pPr>
              <w:spacing w:after="0"/>
              <w:rPr>
                <w:sz w:val="1"/>
                <w:szCs w:val="1"/>
                <w:color w:val="auto"/>
              </w:rPr>
            </w:pPr>
          </w:p>
        </w:tc>
      </w:tr>
    </w:tbl>
    <w:p>
      <w:pPr>
        <w:ind w:left="980"/>
        <w:spacing w:after="0" w:line="213" w:lineRule="auto"/>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Hamilton Engineering Holding Co., LLC, Booz Allen Hamilton Engineering Services, LLC, SDI Technology Corporation, ASE, Inc. and Booz Allen Hamilton International, Inc., as</w:t>
        </w:r>
      </w:hyperlink>
      <w:r>
        <w:rPr>
          <w:rFonts w:ascii="Times New Roman" w:cs="Times New Roman" w:eastAsia="Times New Roman" w:hAnsi="Times New Roman"/>
          <w:sz w:val="14"/>
          <w:szCs w:val="14"/>
          <w:u w:val="single" w:color="auto"/>
          <w:color w:val="0000FF"/>
        </w:rPr>
        <w:t xml:space="preserve"> </w:t>
      </w:r>
      <w:hyperlink r:id="rId140">
        <w:r>
          <w:rPr>
            <w:rFonts w:ascii="Times New Roman" w:cs="Times New Roman" w:eastAsia="Times New Roman" w:hAnsi="Times New Roman"/>
            <w:sz w:val="14"/>
            <w:szCs w:val="14"/>
            <w:u w:val="single" w:color="auto"/>
            <w:color w:val="0000FF"/>
          </w:rPr>
          <w:t>Guarantors, Bank of America, N.A., as Administrative Agent, Collateral Agent and Issuing Lender, and the other Lenders and financial institutions from time to time party thereto</w:t>
        </w:r>
      </w:hyperlink>
    </w:p>
    <w:p>
      <w:pPr>
        <w:spacing w:after="0" w:line="1" w:lineRule="exact"/>
        <w:rPr>
          <w:sz w:val="20"/>
          <w:szCs w:val="20"/>
          <w:color w:val="auto"/>
        </w:rPr>
      </w:pPr>
    </w:p>
    <w:p>
      <w:pPr>
        <w:ind w:left="980"/>
        <w:spacing w:after="0"/>
        <w:rPr>
          <w:rFonts w:ascii="Times New Roman" w:cs="Times New Roman" w:eastAsia="Times New Roman" w:hAnsi="Times New Roman"/>
          <w:sz w:val="14"/>
          <w:szCs w:val="14"/>
          <w:u w:val="single" w:color="auto"/>
          <w:color w:val="0000FF"/>
        </w:rPr>
      </w:pPr>
      <w:hyperlink r:id="rId140">
        <w:r>
          <w:rPr>
            <w:rFonts w:ascii="Times New Roman" w:cs="Times New Roman" w:eastAsia="Times New Roman" w:hAnsi="Times New Roman"/>
            <w:sz w:val="14"/>
            <w:szCs w:val="14"/>
            <w:u w:val="single" w:color="auto"/>
            <w:color w:val="0000FF"/>
          </w:rPr>
          <w:t>(Incorporated by reference to Exhibit 10.1 to the Company’s Current Report on Form 8-K filed on May 13, 2014 (File No. 001-34972))</w:t>
        </w:r>
      </w:hyperlink>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10.18</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Third Amendment to Credit Agreement, dated as of July 13, 2016, among Booz Allen Hamilton Inc., as Borrower, Booz Allen Hamilton Investor Corporation, Booz Allen Hamilton</w:t>
              </w:r>
            </w:hyperlink>
          </w:p>
        </w:tc>
      </w:tr>
      <w:tr>
        <w:trPr>
          <w:trHeight w:val="118"/>
        </w:trPr>
        <w:tc>
          <w:tcPr>
            <w:tcW w:w="1000" w:type="dxa"/>
            <w:vAlign w:val="bottom"/>
          </w:tcPr>
          <w:p>
            <w:pPr>
              <w:spacing w:after="0"/>
              <w:rPr>
                <w:sz w:val="10"/>
                <w:szCs w:val="10"/>
                <w:color w:val="auto"/>
              </w:rPr>
            </w:pPr>
          </w:p>
        </w:tc>
        <w:tc>
          <w:tcPr>
            <w:tcW w:w="970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Engineering Holding Co., LLC, Booz Allen Hamilton Engineering Services, LLC, SDI Technology Corporation, ASE, Inc. and Booz Allen Hamilton International, Inc., as</w:t>
              </w:r>
            </w:hyperlink>
          </w:p>
        </w:tc>
        <w:tc>
          <w:tcPr>
            <w:tcW w:w="62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10380" w:type="dxa"/>
            <w:vAlign w:val="bottom"/>
            <w:gridSpan w:val="37"/>
          </w:tcPr>
          <w:p>
            <w:pPr>
              <w:spacing w:after="0" w:line="118" w:lineRule="exact"/>
              <w:rPr>
                <w:rFonts w:ascii="Times New Roman" w:cs="Times New Roman" w:eastAsia="Times New Roman" w:hAnsi="Times New Roman"/>
                <w:sz w:val="13"/>
                <w:szCs w:val="13"/>
                <w:color w:val="0000FF"/>
              </w:rPr>
            </w:pPr>
            <w:hyperlink r:id="rId142">
              <w:r>
                <w:rPr>
                  <w:rFonts w:ascii="Times New Roman" w:cs="Times New Roman" w:eastAsia="Times New Roman" w:hAnsi="Times New Roman"/>
                  <w:sz w:val="13"/>
                  <w:szCs w:val="13"/>
                  <w:color w:val="0000FF"/>
                </w:rPr>
                <w:t>Guarantors, Bank of America, N.A., as Administrative Agent, Collateral Agent and New Refinancing Tranche B Term Lender, and the other Lenders and financial institutions from</w:t>
              </w:r>
            </w:hyperlink>
          </w:p>
        </w:tc>
      </w:tr>
      <w:tr>
        <w:trPr>
          <w:trHeight w:val="129"/>
        </w:trPr>
        <w:tc>
          <w:tcPr>
            <w:tcW w:w="1000" w:type="dxa"/>
            <w:vAlign w:val="bottom"/>
          </w:tcPr>
          <w:p>
            <w:pPr>
              <w:spacing w:after="0"/>
              <w:rPr>
                <w:sz w:val="11"/>
                <w:szCs w:val="11"/>
                <w:color w:val="auto"/>
              </w:rPr>
            </w:pPr>
          </w:p>
        </w:tc>
        <w:tc>
          <w:tcPr>
            <w:tcW w:w="9120" w:type="dxa"/>
            <w:vAlign w:val="bottom"/>
            <w:tcBorders>
              <w:top w:val="single" w:sz="8" w:color="0000FF"/>
              <w:bottom w:val="single" w:sz="8" w:color="0000FF"/>
            </w:tcBorders>
            <w:gridSpan w:val="10"/>
          </w:tcPr>
          <w:p>
            <w:pPr>
              <w:spacing w:after="0" w:line="129"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time to time party thereto (Incorporated by reference to Exhibit 10.1 to the Company’s Current Report on Form 8-K filed on July 18, 2016 (File No. 001-34972))</w:t>
              </w:r>
            </w:hyperlink>
          </w:p>
        </w:tc>
        <w:tc>
          <w:tcPr>
            <w:tcW w:w="1080" w:type="dxa"/>
            <w:vAlign w:val="bottom"/>
            <w:tcBorders>
              <w:top w:val="single" w:sz="8" w:color="0000FF"/>
            </w:tcBorders>
            <w:gridSpan w:val="1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10.19</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Fourth Amendment to Credit Agreement, dated as of February 6, 2017, among Booz Allen Hamilton Inc., as Borrower, Booz Allen Hamilton Investor Corporation, Booz Allen</w:t>
              </w:r>
            </w:hyperlink>
          </w:p>
        </w:tc>
      </w:tr>
      <w:tr>
        <w:trPr>
          <w:trHeight w:val="118"/>
        </w:trPr>
        <w:tc>
          <w:tcPr>
            <w:tcW w:w="1000" w:type="dxa"/>
            <w:vAlign w:val="bottom"/>
          </w:tcPr>
          <w:p>
            <w:pPr>
              <w:spacing w:after="0"/>
              <w:rPr>
                <w:sz w:val="10"/>
                <w:szCs w:val="10"/>
                <w:color w:val="auto"/>
              </w:rPr>
            </w:pPr>
          </w:p>
        </w:tc>
        <w:tc>
          <w:tcPr>
            <w:tcW w:w="9940" w:type="dxa"/>
            <w:vAlign w:val="bottom"/>
            <w:tcBorders>
              <w:top w:val="single" w:sz="8" w:color="0000FF"/>
            </w:tcBorders>
            <w:gridSpan w:val="18"/>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Hamilton Engineering Holding Co., LLC, Booz Allen Hamilton Engineering Services, LLC and SDI Technology Corporation, as Guarantors, Bank of America, N.A., as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9540" w:type="dxa"/>
            <w:vAlign w:val="bottom"/>
            <w:tcBorders>
              <w:top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Administrative Agent, Collateral Agent and New Refinancing Tranche B Term Lender, and the other Lenders and financial institutions from time to time party thereto</w:t>
              </w:r>
            </w:hyperlink>
          </w:p>
        </w:tc>
        <w:tc>
          <w:tcPr>
            <w:tcW w:w="840" w:type="dxa"/>
            <w:vAlign w:val="bottom"/>
            <w:gridSpan w:val="25"/>
          </w:tcPr>
          <w:p>
            <w:pPr>
              <w:spacing w:after="0" w:line="118" w:lineRule="exact"/>
              <w:rPr>
                <w:rFonts w:ascii="Times New Roman" w:cs="Times New Roman" w:eastAsia="Times New Roman" w:hAnsi="Times New Roman"/>
                <w:sz w:val="13"/>
                <w:szCs w:val="13"/>
                <w:color w:val="0000FF"/>
              </w:rPr>
            </w:pPr>
            <w:hyperlink r:id="rId143">
              <w:r>
                <w:rPr>
                  <w:rFonts w:ascii="Times New Roman" w:cs="Times New Roman" w:eastAsia="Times New Roman" w:hAnsi="Times New Roman"/>
                  <w:sz w:val="13"/>
                  <w:szCs w:val="13"/>
                  <w:color w:val="0000FF"/>
                </w:rPr>
                <w:t>(Incorporated</w:t>
              </w:r>
            </w:hyperlink>
          </w:p>
        </w:tc>
      </w:tr>
      <w:tr>
        <w:trPr>
          <w:trHeight w:val="129"/>
        </w:trPr>
        <w:tc>
          <w:tcPr>
            <w:tcW w:w="1000" w:type="dxa"/>
            <w:vAlign w:val="bottom"/>
          </w:tcPr>
          <w:p>
            <w:pPr>
              <w:spacing w:after="0"/>
              <w:rPr>
                <w:sz w:val="11"/>
                <w:szCs w:val="11"/>
                <w:color w:val="auto"/>
              </w:rPr>
            </w:pPr>
          </w:p>
        </w:tc>
        <w:tc>
          <w:tcPr>
            <w:tcW w:w="7040" w:type="dxa"/>
            <w:vAlign w:val="bottom"/>
            <w:tcBorders>
              <w:top w:val="single" w:sz="8" w:color="0000FF"/>
              <w:bottom w:val="single" w:sz="8" w:color="0000FF"/>
            </w:tcBorders>
            <w:gridSpan w:val="8"/>
          </w:tcPr>
          <w:p>
            <w:pPr>
              <w:spacing w:after="0" w:line="129"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by reference to Exhibit 10.1 to the Company’s Current Report on Form 8-K filed on February 7, 2017 (File No. 001-34972))</w:t>
              </w:r>
            </w:hyperlink>
          </w:p>
        </w:tc>
        <w:tc>
          <w:tcPr>
            <w:tcW w:w="3180" w:type="dxa"/>
            <w:vAlign w:val="bottom"/>
            <w:tcBorders>
              <w:top w:val="single" w:sz="8" w:color="0000FF"/>
            </w:tcBorders>
            <w:gridSpan w:val="2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10.20</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Fifth Amendment to Credit Agreement, dated as of March 7, 2018, among Booz Allen Hamilton Inc., as Borrower, Booz Allen Hamilton Investor Corporation, Booz Allen Hamilton</w:t>
              </w:r>
            </w:hyperlink>
          </w:p>
        </w:tc>
      </w:tr>
      <w:tr>
        <w:trPr>
          <w:trHeight w:val="118"/>
        </w:trPr>
        <w:tc>
          <w:tcPr>
            <w:tcW w:w="1000" w:type="dxa"/>
            <w:vAlign w:val="bottom"/>
          </w:tcPr>
          <w:p>
            <w:pPr>
              <w:spacing w:after="0"/>
              <w:rPr>
                <w:sz w:val="10"/>
                <w:szCs w:val="10"/>
                <w:color w:val="auto"/>
              </w:rPr>
            </w:pPr>
          </w:p>
        </w:tc>
        <w:tc>
          <w:tcPr>
            <w:tcW w:w="10000" w:type="dxa"/>
            <w:vAlign w:val="bottom"/>
            <w:tcBorders>
              <w:top w:val="single" w:sz="8" w:color="0000FF"/>
              <w:bottom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Engineering Holding Co., LLC, Booz Allen Hamilton Engineering Services, LLC, SDI Technology Corporation, eGov Holdings, Inc. and Aquilent, Inc., as Guarantors, Bank of</w:t>
              </w:r>
            </w:hyperlink>
          </w:p>
        </w:tc>
        <w:tc>
          <w:tcPr>
            <w:tcW w:w="360" w:type="dxa"/>
            <w:vAlign w:val="bottom"/>
            <w:tcBorders>
              <w:top w:val="single" w:sz="8" w:color="0000FF"/>
            </w:tcBorders>
            <w:gridSpan w:val="15"/>
          </w:tcPr>
          <w:p>
            <w:pPr>
              <w:spacing w:after="0"/>
              <w:rPr>
                <w:sz w:val="10"/>
                <w:szCs w:val="10"/>
                <w:color w:val="auto"/>
              </w:rPr>
            </w:pPr>
          </w:p>
        </w:tc>
        <w:tc>
          <w:tcPr>
            <w:tcW w:w="20" w:type="dxa"/>
            <w:vAlign w:val="bottom"/>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10380" w:type="dxa"/>
            <w:vAlign w:val="bottom"/>
            <w:gridSpan w:val="37"/>
          </w:tcPr>
          <w:p>
            <w:pPr>
              <w:spacing w:after="0" w:line="118" w:lineRule="exact"/>
              <w:rPr>
                <w:rFonts w:ascii="Times New Roman" w:cs="Times New Roman" w:eastAsia="Times New Roman" w:hAnsi="Times New Roman"/>
                <w:sz w:val="13"/>
                <w:szCs w:val="13"/>
                <w:color w:val="0000FF"/>
              </w:rPr>
            </w:pPr>
            <w:hyperlink r:id="rId144">
              <w:r>
                <w:rPr>
                  <w:rFonts w:ascii="Times New Roman" w:cs="Times New Roman" w:eastAsia="Times New Roman" w:hAnsi="Times New Roman"/>
                  <w:sz w:val="13"/>
                  <w:szCs w:val="13"/>
                  <w:color w:val="0000FF"/>
                </w:rPr>
                <w:t>America, N.A., as Administrative Agent, Collateral Agent, Exchanging Lender and New Refinancing Tranche B Term Lender, and the other Lenders and financial institutions from</w:t>
              </w:r>
            </w:hyperlink>
          </w:p>
        </w:tc>
      </w:tr>
      <w:tr>
        <w:trPr>
          <w:trHeight w:val="129"/>
        </w:trPr>
        <w:tc>
          <w:tcPr>
            <w:tcW w:w="1000" w:type="dxa"/>
            <w:vAlign w:val="bottom"/>
          </w:tcPr>
          <w:p>
            <w:pPr>
              <w:spacing w:after="0"/>
              <w:rPr>
                <w:sz w:val="11"/>
                <w:szCs w:val="11"/>
                <w:color w:val="auto"/>
              </w:rPr>
            </w:pPr>
          </w:p>
        </w:tc>
        <w:tc>
          <w:tcPr>
            <w:tcW w:w="9180" w:type="dxa"/>
            <w:vAlign w:val="bottom"/>
            <w:tcBorders>
              <w:top w:val="single" w:sz="8" w:color="0000FF"/>
              <w:bottom w:val="single" w:sz="8" w:color="0000FF"/>
            </w:tcBorders>
            <w:gridSpan w:val="11"/>
          </w:tcPr>
          <w:p>
            <w:pPr>
              <w:spacing w:after="0" w:line="129"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time to time party thereto (Incorporated by reference to Exhibit 10.1 to the Company’s Current Report on Form 8-K filed on March 7, 2018 (File No. 001-34972))</w:t>
              </w:r>
            </w:hyperlink>
          </w:p>
        </w:tc>
        <w:tc>
          <w:tcPr>
            <w:tcW w:w="98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10.21</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Sixth Amendment to Credit Agreement, dated as of July 23, 2018, among Booz Allen Hamilton Inc., as Borrower, Booz Allen Hamilton Investor Corporation, Booz Allen Hamilton</w:t>
              </w:r>
            </w:hyperlink>
          </w:p>
        </w:tc>
      </w:tr>
      <w:tr>
        <w:trPr>
          <w:trHeight w:val="118"/>
        </w:trPr>
        <w:tc>
          <w:tcPr>
            <w:tcW w:w="1000" w:type="dxa"/>
            <w:vAlign w:val="bottom"/>
          </w:tcPr>
          <w:p>
            <w:pPr>
              <w:spacing w:after="0"/>
              <w:rPr>
                <w:sz w:val="10"/>
                <w:szCs w:val="10"/>
                <w:color w:val="auto"/>
              </w:rPr>
            </w:pPr>
          </w:p>
        </w:tc>
        <w:tc>
          <w:tcPr>
            <w:tcW w:w="9960" w:type="dxa"/>
            <w:vAlign w:val="bottom"/>
            <w:tcBorders>
              <w:top w:val="single" w:sz="8" w:color="0000FF"/>
              <w:bottom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Engineering Holding Co., LLC, Booz Allen Hamilton Engineering Services, LLC, SDI Technology Corporation, eGov Holdings, Inc. and Aquilent, Inc. as Guarantors, Bank of</w:t>
              </w:r>
            </w:hyperlink>
          </w:p>
        </w:tc>
        <w:tc>
          <w:tcPr>
            <w:tcW w:w="32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10380" w:type="dxa"/>
            <w:vAlign w:val="bottom"/>
            <w:gridSpan w:val="37"/>
          </w:tcPr>
          <w:p>
            <w:pPr>
              <w:spacing w:after="0" w:line="118" w:lineRule="exact"/>
              <w:rPr>
                <w:rFonts w:ascii="Times New Roman" w:cs="Times New Roman" w:eastAsia="Times New Roman" w:hAnsi="Times New Roman"/>
                <w:sz w:val="13"/>
                <w:szCs w:val="13"/>
                <w:color w:val="0000FF"/>
              </w:rPr>
            </w:pPr>
            <w:hyperlink r:id="rId145">
              <w:r>
                <w:rPr>
                  <w:rFonts w:ascii="Times New Roman" w:cs="Times New Roman" w:eastAsia="Times New Roman" w:hAnsi="Times New Roman"/>
                  <w:sz w:val="13"/>
                  <w:szCs w:val="13"/>
                  <w:color w:val="0000FF"/>
                </w:rPr>
                <w:t>America, N.A., as Administrative Agent and Collateral Agent and the other Lenders and financial institutions from time to time party thereto (Incorporated by reference to Exhibit</w:t>
              </w:r>
            </w:hyperlink>
          </w:p>
        </w:tc>
      </w:tr>
      <w:tr>
        <w:trPr>
          <w:trHeight w:val="129"/>
        </w:trPr>
        <w:tc>
          <w:tcPr>
            <w:tcW w:w="1000" w:type="dxa"/>
            <w:vAlign w:val="bottom"/>
          </w:tcPr>
          <w:p>
            <w:pPr>
              <w:spacing w:after="0"/>
              <w:rPr>
                <w:sz w:val="11"/>
                <w:szCs w:val="11"/>
                <w:color w:val="auto"/>
              </w:rPr>
            </w:pPr>
          </w:p>
        </w:tc>
        <w:tc>
          <w:tcPr>
            <w:tcW w:w="10120" w:type="dxa"/>
            <w:vAlign w:val="bottom"/>
            <w:tcBorders>
              <w:top w:val="single" w:sz="8" w:color="0000FF"/>
            </w:tcBorders>
            <w:gridSpan w:val="24"/>
          </w:tcPr>
          <w:p>
            <w:pPr>
              <w:spacing w:after="0" w:line="129"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1</w:t>
              </w:r>
              <w:r>
                <w:rPr>
                  <w:rFonts w:ascii="Times New Roman" w:cs="Times New Roman" w:eastAsia="Times New Roman" w:hAnsi="Times New Roman"/>
                  <w:sz w:val="14"/>
                  <w:szCs w:val="14"/>
                  <w:color w:val="0000FF"/>
                </w:rPr>
                <w:t xml:space="preserve"> to the Company's Current Report on Form 8-K filed on July 24, 2018 (File No. 001-34972))</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10.22</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Seventh Amendment to the Credit Agreement, dated as of November 26, 2019, among Booz Allen Hamilton Inc., as Borrower, Booz Allen Hamilton Investor Corporation, Booz</w:t>
              </w:r>
            </w:hyperlink>
          </w:p>
        </w:tc>
      </w:tr>
      <w:tr>
        <w:trPr>
          <w:trHeight w:val="118"/>
        </w:trPr>
        <w:tc>
          <w:tcPr>
            <w:tcW w:w="1000" w:type="dxa"/>
            <w:vAlign w:val="bottom"/>
          </w:tcPr>
          <w:p>
            <w:pPr>
              <w:spacing w:after="0"/>
              <w:rPr>
                <w:sz w:val="10"/>
                <w:szCs w:val="10"/>
                <w:color w:val="auto"/>
              </w:rPr>
            </w:pPr>
          </w:p>
        </w:tc>
        <w:tc>
          <w:tcPr>
            <w:tcW w:w="10040" w:type="dxa"/>
            <w:vAlign w:val="bottom"/>
            <w:tcBorders>
              <w:top w:val="single" w:sz="8" w:color="0000FF"/>
            </w:tcBorders>
            <w:gridSpan w:val="22"/>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Allen Hamilton Engineering Holding Co., LLC, Booz Allen Hamilton Engineering Services, LLC, SDI Technology Corporation, eGov Holdings, Inc. and Aquilent, Inc., as</w:t>
              </w:r>
            </w:hyperlink>
          </w:p>
        </w:tc>
        <w:tc>
          <w:tcPr>
            <w:tcW w:w="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18"/>
        </w:trPr>
        <w:tc>
          <w:tcPr>
            <w:tcW w:w="1000" w:type="dxa"/>
            <w:vAlign w:val="bottom"/>
          </w:tcPr>
          <w:p>
            <w:pPr>
              <w:spacing w:after="0"/>
              <w:rPr>
                <w:sz w:val="10"/>
                <w:szCs w:val="10"/>
                <w:color w:val="auto"/>
              </w:rPr>
            </w:pPr>
          </w:p>
        </w:tc>
        <w:tc>
          <w:tcPr>
            <w:tcW w:w="10380" w:type="dxa"/>
            <w:vAlign w:val="bottom"/>
            <w:gridSpan w:val="37"/>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Guarantors, Bank of America, N.A., as Administrative Agent, Collateral Agent, Exchanging Lender and New Refinancing Tranche B Term Lender and the other Lenders and</w:t>
              </w:r>
            </w:hyperlink>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29"/>
        </w:trPr>
        <w:tc>
          <w:tcPr>
            <w:tcW w:w="1000" w:type="dxa"/>
            <w:vAlign w:val="bottom"/>
          </w:tcPr>
          <w:p>
            <w:pPr>
              <w:spacing w:after="0"/>
              <w:rPr>
                <w:sz w:val="11"/>
                <w:szCs w:val="11"/>
                <w:color w:val="auto"/>
              </w:rPr>
            </w:pPr>
          </w:p>
        </w:tc>
        <w:tc>
          <w:tcPr>
            <w:tcW w:w="10380" w:type="dxa"/>
            <w:vAlign w:val="bottom"/>
            <w:gridSpan w:val="37"/>
          </w:tcPr>
          <w:p>
            <w:pPr>
              <w:spacing w:after="0" w:line="129"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financial institutions from time to time party thereto (Incorporated by reference to Exhibit 10.1 to the Company’s Current Report on Form 8-K filed on November 26, 2019 (File No.</w:t>
              </w:r>
            </w:hyperlink>
          </w:p>
        </w:tc>
      </w:tr>
      <w:tr>
        <w:trPr>
          <w:trHeight w:val="118"/>
        </w:trPr>
        <w:tc>
          <w:tcPr>
            <w:tcW w:w="1000" w:type="dxa"/>
            <w:vAlign w:val="bottom"/>
          </w:tcPr>
          <w:p>
            <w:pPr>
              <w:spacing w:after="0"/>
              <w:rPr>
                <w:sz w:val="10"/>
                <w:szCs w:val="10"/>
                <w:color w:val="auto"/>
              </w:rPr>
            </w:pPr>
          </w:p>
        </w:tc>
        <w:tc>
          <w:tcPr>
            <w:tcW w:w="70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46">
              <w:r>
                <w:rPr>
                  <w:rFonts w:ascii="Times New Roman" w:cs="Times New Roman" w:eastAsia="Times New Roman" w:hAnsi="Times New Roman"/>
                  <w:sz w:val="13"/>
                  <w:szCs w:val="13"/>
                  <w:color w:val="0000FF"/>
                </w:rPr>
                <w:t>001-34972))</w:t>
              </w:r>
            </w:hyperlink>
          </w:p>
        </w:tc>
        <w:tc>
          <w:tcPr>
            <w:tcW w:w="240" w:type="dxa"/>
            <w:vAlign w:val="bottom"/>
            <w:tcBorders>
              <w:top w:val="single" w:sz="8" w:color="0000FF"/>
            </w:tcBorders>
          </w:tcPr>
          <w:p>
            <w:pPr>
              <w:spacing w:after="0"/>
              <w:rPr>
                <w:sz w:val="10"/>
                <w:szCs w:val="10"/>
                <w:color w:val="auto"/>
              </w:rPr>
            </w:pPr>
          </w:p>
        </w:tc>
        <w:tc>
          <w:tcPr>
            <w:tcW w:w="14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840" w:type="dxa"/>
            <w:vAlign w:val="bottom"/>
            <w:tcBorders>
              <w:top w:val="single" w:sz="8" w:color="0000FF"/>
            </w:tcBorders>
          </w:tcPr>
          <w:p>
            <w:pPr>
              <w:spacing w:after="0"/>
              <w:rPr>
                <w:sz w:val="10"/>
                <w:szCs w:val="10"/>
                <w:color w:val="auto"/>
              </w:rPr>
            </w:pPr>
          </w:p>
        </w:tc>
        <w:tc>
          <w:tcPr>
            <w:tcW w:w="1560" w:type="dxa"/>
            <w:vAlign w:val="bottom"/>
            <w:tcBorders>
              <w:top w:val="single" w:sz="8" w:color="0000FF"/>
            </w:tcBorders>
          </w:tcPr>
          <w:p>
            <w:pPr>
              <w:spacing w:after="0"/>
              <w:rPr>
                <w:sz w:val="10"/>
                <w:szCs w:val="10"/>
                <w:color w:val="auto"/>
              </w:rPr>
            </w:pPr>
          </w:p>
        </w:tc>
        <w:tc>
          <w:tcPr>
            <w:tcW w:w="1040" w:type="dxa"/>
            <w:vAlign w:val="bottom"/>
            <w:tcBorders>
              <w:top w:val="single" w:sz="8" w:color="0000FF"/>
            </w:tcBorders>
          </w:tcPr>
          <w:p>
            <w:pPr>
              <w:spacing w:after="0"/>
              <w:rPr>
                <w:sz w:val="10"/>
                <w:szCs w:val="10"/>
                <w:color w:val="auto"/>
              </w:rPr>
            </w:pPr>
          </w:p>
        </w:tc>
        <w:tc>
          <w:tcPr>
            <w:tcW w:w="10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360" w:type="dxa"/>
            <w:vAlign w:val="bottom"/>
            <w:tcBorders>
              <w:top w:val="single" w:sz="8" w:color="0000FF"/>
            </w:tcBorders>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10.23</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Eighth Amendment to Credit Agreement, dated as of June 24, 2021, among Booz Allen Hamilton Inc., as Borrower, Booz Allen Hamilton Investor Corporation, eGov Holdings, Inc.</w:t>
              </w:r>
            </w:hyperlink>
          </w:p>
        </w:tc>
      </w:tr>
      <w:tr>
        <w:trPr>
          <w:trHeight w:val="118"/>
        </w:trPr>
        <w:tc>
          <w:tcPr>
            <w:tcW w:w="1000" w:type="dxa"/>
            <w:vAlign w:val="bottom"/>
          </w:tcPr>
          <w:p>
            <w:pPr>
              <w:spacing w:after="0"/>
              <w:rPr>
                <w:sz w:val="10"/>
                <w:szCs w:val="10"/>
                <w:color w:val="auto"/>
              </w:rPr>
            </w:pPr>
          </w:p>
        </w:tc>
        <w:tc>
          <w:tcPr>
            <w:tcW w:w="10340" w:type="dxa"/>
            <w:vAlign w:val="bottom"/>
            <w:tcBorders>
              <w:top w:val="single" w:sz="8" w:color="0000FF"/>
            </w:tcBorders>
            <w:gridSpan w:val="35"/>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and Aquilent, Inc., as Guarantors, Bank of America, N.A., as Administrative Agent and Collateral Agent and the other Lenders and financial institutions from time to time party</w:t>
              </w:r>
            </w:hyperlink>
          </w:p>
        </w:tc>
        <w:tc>
          <w:tcPr>
            <w:tcW w:w="40" w:type="dxa"/>
            <w:vAlign w:val="bottom"/>
            <w:gridSpan w:val="2"/>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998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47">
              <w:r>
                <w:rPr>
                  <w:rFonts w:ascii="Times New Roman" w:cs="Times New Roman" w:eastAsia="Times New Roman" w:hAnsi="Times New Roman"/>
                  <w:sz w:val="13"/>
                  <w:szCs w:val="13"/>
                  <w:color w:val="0000FF"/>
                </w:rPr>
                <w:t>thereto (Incorporated by reference to Exhibit 10.1 to the Company’s Current Report on Form 8-K filed on June 25, 2021 (File No. 001-34972))</w:t>
              </w:r>
            </w:hyperlink>
          </w:p>
        </w:tc>
        <w:tc>
          <w:tcPr>
            <w:tcW w:w="100" w:type="dxa"/>
            <w:vAlign w:val="bottom"/>
            <w:gridSpan w:val="3"/>
          </w:tcPr>
          <w:p>
            <w:pPr>
              <w:spacing w:after="0"/>
              <w:rPr>
                <w:sz w:val="10"/>
                <w:szCs w:val="10"/>
                <w:color w:val="auto"/>
              </w:rPr>
            </w:pPr>
          </w:p>
        </w:tc>
        <w:tc>
          <w:tcPr>
            <w:tcW w:w="6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10.24</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Ninth Amendment to Credit Agreement, dated as of September 7, 2022, among Booz Allen Hamilton Inc., as Borrower, Booz Allen Hamilton Investor Corporation, eGov Holdings,</w:t>
              </w:r>
            </w:hyperlink>
          </w:p>
        </w:tc>
      </w:tr>
      <w:tr>
        <w:trPr>
          <w:trHeight w:val="118"/>
        </w:trPr>
        <w:tc>
          <w:tcPr>
            <w:tcW w:w="1000" w:type="dxa"/>
            <w:vAlign w:val="bottom"/>
          </w:tcPr>
          <w:p>
            <w:pPr>
              <w:spacing w:after="0"/>
              <w:rPr>
                <w:sz w:val="10"/>
                <w:szCs w:val="10"/>
                <w:color w:val="auto"/>
              </w:rPr>
            </w:pPr>
          </w:p>
        </w:tc>
        <w:tc>
          <w:tcPr>
            <w:tcW w:w="9820" w:type="dxa"/>
            <w:vAlign w:val="bottom"/>
            <w:tcBorders>
              <w:top w:val="single" w:sz="8" w:color="0000FF"/>
              <w:bottom w:val="single" w:sz="8" w:color="0000FF"/>
            </w:tcBorders>
            <w:gridSpan w:val="16"/>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Inc., Aquilent, Inc. and Liberty IT Solutions, LLC, as Guarantors, Bank of America, N.A., as Administrative Agent and Collateral Agent and the other Lenders and financial</w:t>
              </w:r>
            </w:hyperlink>
          </w:p>
        </w:tc>
        <w:tc>
          <w:tcPr>
            <w:tcW w:w="44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80" w:type="dxa"/>
            <w:vAlign w:val="bottom"/>
            <w:gridSpan w:val="4"/>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10380" w:type="dxa"/>
            <w:vAlign w:val="bottom"/>
            <w:gridSpan w:val="37"/>
          </w:tcPr>
          <w:p>
            <w:pPr>
              <w:spacing w:after="0" w:line="118" w:lineRule="exact"/>
              <w:rPr>
                <w:rFonts w:ascii="Times New Roman" w:cs="Times New Roman" w:eastAsia="Times New Roman" w:hAnsi="Times New Roman"/>
                <w:sz w:val="13"/>
                <w:szCs w:val="13"/>
                <w:color w:val="0000FF"/>
              </w:rPr>
            </w:pPr>
            <w:hyperlink r:id="rId148">
              <w:r>
                <w:rPr>
                  <w:rFonts w:ascii="Times New Roman" w:cs="Times New Roman" w:eastAsia="Times New Roman" w:hAnsi="Times New Roman"/>
                  <w:sz w:val="13"/>
                  <w:szCs w:val="13"/>
                  <w:color w:val="0000FF"/>
                </w:rPr>
                <w:t>institutions from time to time party thereto (Incorporated by reference to Exhibit 10.1 to the Company’s Current Report on Form 8-K filed on September 7, 2022 (File No. 001-</w:t>
              </w:r>
            </w:hyperlink>
          </w:p>
        </w:tc>
      </w:tr>
      <w:tr>
        <w:trPr>
          <w:trHeight w:val="129"/>
        </w:trPr>
        <w:tc>
          <w:tcPr>
            <w:tcW w:w="1000" w:type="dxa"/>
            <w:vAlign w:val="bottom"/>
          </w:tcPr>
          <w:p>
            <w:pPr>
              <w:spacing w:after="0"/>
              <w:rPr>
                <w:sz w:val="11"/>
                <w:szCs w:val="11"/>
                <w:color w:val="auto"/>
              </w:rPr>
            </w:pPr>
          </w:p>
        </w:tc>
        <w:tc>
          <w:tcPr>
            <w:tcW w:w="440" w:type="dxa"/>
            <w:vAlign w:val="bottom"/>
            <w:tcBorders>
              <w:top w:val="single" w:sz="8" w:color="0000FF"/>
              <w:bottom w:val="single" w:sz="8" w:color="0000FF"/>
            </w:tcBorders>
          </w:tcPr>
          <w:p>
            <w:pPr>
              <w:spacing w:after="0" w:line="129" w:lineRule="exact"/>
              <w:rPr>
                <w:rFonts w:ascii="Times New Roman" w:cs="Times New Roman" w:eastAsia="Times New Roman" w:hAnsi="Times New Roman"/>
                <w:sz w:val="14"/>
                <w:szCs w:val="14"/>
                <w:color w:val="0000FF"/>
                <w:w w:val="94"/>
              </w:rPr>
            </w:pPr>
            <w:hyperlink r:id="rId148">
              <w:r>
                <w:rPr>
                  <w:rFonts w:ascii="Times New Roman" w:cs="Times New Roman" w:eastAsia="Times New Roman" w:hAnsi="Times New Roman"/>
                  <w:sz w:val="14"/>
                  <w:szCs w:val="14"/>
                  <w:color w:val="0000FF"/>
                  <w:w w:val="94"/>
                </w:rPr>
                <w:t>34972)</w:t>
              </w:r>
              <w:r>
                <w:rPr>
                  <w:rFonts w:ascii="Times New Roman" w:cs="Times New Roman" w:eastAsia="Times New Roman" w:hAnsi="Times New Roman"/>
                  <w:sz w:val="14"/>
                  <w:szCs w:val="14"/>
                  <w:u w:val="single" w:color="auto"/>
                  <w:color w:val="0000FF"/>
                  <w:w w:val="94"/>
                </w:rPr>
                <w:t>)</w:t>
              </w:r>
            </w:hyperlink>
          </w:p>
        </w:tc>
        <w:tc>
          <w:tcPr>
            <w:tcW w:w="2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4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840" w:type="dxa"/>
            <w:vAlign w:val="bottom"/>
            <w:tcBorders>
              <w:top w:val="single" w:sz="8" w:color="0000FF"/>
            </w:tcBorders>
          </w:tcPr>
          <w:p>
            <w:pPr>
              <w:spacing w:after="0"/>
              <w:rPr>
                <w:sz w:val="11"/>
                <w:szCs w:val="11"/>
                <w:color w:val="auto"/>
              </w:rPr>
            </w:pPr>
          </w:p>
        </w:tc>
        <w:tc>
          <w:tcPr>
            <w:tcW w:w="156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10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10.25</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Tenth Amendment to Credit Agreement, dated as of July 27, 2023, among Booz Allen Hamilton Inc., as borrower, Bank of America, N.A., as administrative agent and the other</w:t>
              </w:r>
            </w:hyperlink>
          </w:p>
        </w:tc>
      </w:tr>
      <w:tr>
        <w:trPr>
          <w:trHeight w:val="118"/>
        </w:trPr>
        <w:tc>
          <w:tcPr>
            <w:tcW w:w="1000" w:type="dxa"/>
            <w:vAlign w:val="bottom"/>
          </w:tcPr>
          <w:p>
            <w:pPr>
              <w:spacing w:after="0"/>
              <w:rPr>
                <w:sz w:val="10"/>
                <w:szCs w:val="10"/>
                <w:color w:val="auto"/>
              </w:rPr>
            </w:pPr>
          </w:p>
        </w:tc>
        <w:tc>
          <w:tcPr>
            <w:tcW w:w="99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lenders and financial institutions party thereto. (Incorporated by reference to Exhibit 10.1 to the Company’s Quarterly Report for the period ended June 30, 2023 on Form 10-Q</w:t>
              </w:r>
            </w:hyperlink>
          </w:p>
        </w:tc>
        <w:tc>
          <w:tcPr>
            <w:tcW w:w="420" w:type="dxa"/>
            <w:vAlign w:val="bottom"/>
            <w:gridSpan w:val="18"/>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(File</w:t>
              </w:r>
            </w:hyperlink>
          </w:p>
        </w:tc>
      </w:tr>
      <w:tr>
        <w:trPr>
          <w:trHeight w:val="118"/>
        </w:trPr>
        <w:tc>
          <w:tcPr>
            <w:tcW w:w="1000" w:type="dxa"/>
            <w:vAlign w:val="bottom"/>
          </w:tcPr>
          <w:p>
            <w:pPr>
              <w:spacing w:after="0"/>
              <w:rPr>
                <w:sz w:val="10"/>
                <w:szCs w:val="10"/>
                <w:color w:val="auto"/>
              </w:rPr>
            </w:pPr>
          </w:p>
        </w:tc>
        <w:tc>
          <w:tcPr>
            <w:tcW w:w="10300" w:type="dxa"/>
            <w:vAlign w:val="bottom"/>
            <w:tcBorders>
              <w:top w:val="single" w:sz="8" w:color="0000FF"/>
            </w:tcBorders>
            <w:gridSpan w:val="33"/>
          </w:tcPr>
          <w:p>
            <w:pPr>
              <w:spacing w:after="0" w:line="118" w:lineRule="exact"/>
              <w:rPr>
                <w:rFonts w:ascii="Times New Roman" w:cs="Times New Roman" w:eastAsia="Times New Roman" w:hAnsi="Times New Roman"/>
                <w:sz w:val="13"/>
                <w:szCs w:val="13"/>
                <w:color w:val="0000FF"/>
              </w:rPr>
            </w:pPr>
            <w:hyperlink r:id="rId149">
              <w:r>
                <w:rPr>
                  <w:rFonts w:ascii="Times New Roman" w:cs="Times New Roman" w:eastAsia="Times New Roman" w:hAnsi="Times New Roman"/>
                  <w:sz w:val="13"/>
                  <w:szCs w:val="13"/>
                  <w:color w:val="0000FF"/>
                </w:rPr>
                <w:t>No. 001-34972))</w:t>
              </w:r>
            </w:hyperlink>
          </w:p>
        </w:tc>
        <w:tc>
          <w:tcPr>
            <w:tcW w:w="80" w:type="dxa"/>
            <w:vAlign w:val="bottom"/>
            <w:gridSpan w:val="4"/>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1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10.26</w:t>
            </w:r>
          </w:p>
        </w:tc>
        <w:tc>
          <w:tcPr>
            <w:tcW w:w="9760" w:type="dxa"/>
            <w:vAlign w:val="bottom"/>
            <w:tcBorders>
              <w:bottom w:val="single" w:sz="8" w:color="0000FF"/>
            </w:tcBorders>
            <w:gridSpan w:val="15"/>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Assumption Agreement, dated as of April 14, 2017, by eGov Holdings, Inc. and Aquilent, Inc. in favor of Bank of America, N.A., as collateral agent for the banks and other</w:t>
              </w:r>
            </w:hyperlink>
          </w:p>
        </w:tc>
        <w:tc>
          <w:tcPr>
            <w:tcW w:w="620" w:type="dxa"/>
            <w:vAlign w:val="bottom"/>
            <w:gridSpan w:val="22"/>
          </w:tcPr>
          <w:p>
            <w:pPr>
              <w:spacing w:after="0"/>
              <w:rPr>
                <w:sz w:val="21"/>
                <w:szCs w:val="21"/>
                <w:color w:val="auto"/>
              </w:rPr>
            </w:pPr>
          </w:p>
        </w:tc>
      </w:tr>
      <w:tr>
        <w:trPr>
          <w:trHeight w:val="118"/>
        </w:trPr>
        <w:tc>
          <w:tcPr>
            <w:tcW w:w="1000" w:type="dxa"/>
            <w:vAlign w:val="bottom"/>
          </w:tcPr>
          <w:p>
            <w:pPr>
              <w:spacing w:after="0"/>
              <w:rPr>
                <w:sz w:val="10"/>
                <w:szCs w:val="10"/>
                <w:color w:val="auto"/>
              </w:rPr>
            </w:pPr>
          </w:p>
        </w:tc>
        <w:tc>
          <w:tcPr>
            <w:tcW w:w="10380" w:type="dxa"/>
            <w:vAlign w:val="bottom"/>
            <w:gridSpan w:val="37"/>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financial institutions or entities party to the Credit Agreement, as amended (Incorporated by reference to Exhibit 10.10 to the Company’s Quarterly Report for the period ended June</w:t>
              </w:r>
            </w:hyperlink>
          </w:p>
        </w:tc>
      </w:tr>
      <w:tr>
        <w:trPr>
          <w:trHeight w:val="118"/>
        </w:trPr>
        <w:tc>
          <w:tcPr>
            <w:tcW w:w="100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50">
              <w:r>
                <w:rPr>
                  <w:rFonts w:ascii="Times New Roman" w:cs="Times New Roman" w:eastAsia="Times New Roman" w:hAnsi="Times New Roman"/>
                  <w:sz w:val="13"/>
                  <w:szCs w:val="13"/>
                  <w:color w:val="0000FF"/>
                </w:rPr>
                <w:t>30, 2017 on Form 10-Q (File No. 001-34972))</w:t>
              </w:r>
            </w:hyperlink>
          </w:p>
        </w:tc>
        <w:tc>
          <w:tcPr>
            <w:tcW w:w="7600" w:type="dxa"/>
            <w:vAlign w:val="bottom"/>
            <w:tcBorders>
              <w:top w:val="single" w:sz="8" w:color="0000FF"/>
            </w:tcBorders>
            <w:gridSpan w:val="24"/>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10.27</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Assumption Agreement, dated as of November 5, 2021, by Liberty IT Solutions, LLC, in favor of Bank of America, N.A., as collateral agent for the banks and other financial</w:t>
              </w:r>
            </w:hyperlink>
          </w:p>
        </w:tc>
      </w:tr>
      <w:tr>
        <w:trPr>
          <w:trHeight w:val="118"/>
        </w:trPr>
        <w:tc>
          <w:tcPr>
            <w:tcW w:w="1000" w:type="dxa"/>
            <w:vAlign w:val="bottom"/>
          </w:tcPr>
          <w:p>
            <w:pPr>
              <w:spacing w:after="0"/>
              <w:rPr>
                <w:sz w:val="10"/>
                <w:szCs w:val="10"/>
                <w:color w:val="auto"/>
              </w:rPr>
            </w:pPr>
          </w:p>
        </w:tc>
        <w:tc>
          <w:tcPr>
            <w:tcW w:w="9840" w:type="dxa"/>
            <w:vAlign w:val="bottom"/>
            <w:tcBorders>
              <w:top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institutions or entities party to the Credit Agreement, as amended (Incorporated by reference to Exhibit 10.1 to the Company’s Quarterly Report for the period ended December</w:t>
              </w:r>
            </w:hyperlink>
          </w:p>
        </w:tc>
        <w:tc>
          <w:tcPr>
            <w:tcW w:w="340" w:type="dxa"/>
            <w:vAlign w:val="bottom"/>
            <w:gridSpan w:val="10"/>
          </w:tcPr>
          <w:p>
            <w:pPr>
              <w:ind w:left="120"/>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31,</w:t>
              </w:r>
            </w:hyperlink>
          </w:p>
        </w:tc>
        <w:tc>
          <w:tcPr>
            <w:tcW w:w="200" w:type="dxa"/>
            <w:vAlign w:val="bottom"/>
            <w:gridSpan w:val="10"/>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24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51">
              <w:r>
                <w:rPr>
                  <w:rFonts w:ascii="Times New Roman" w:cs="Times New Roman" w:eastAsia="Times New Roman" w:hAnsi="Times New Roman"/>
                  <w:sz w:val="13"/>
                  <w:szCs w:val="13"/>
                  <w:color w:val="0000FF"/>
                </w:rPr>
                <w:t>2021 on Form 10-Q (File No. 001-34972))</w:t>
              </w:r>
            </w:hyperlink>
          </w:p>
        </w:tc>
        <w:tc>
          <w:tcPr>
            <w:tcW w:w="7720" w:type="dxa"/>
            <w:vAlign w:val="bottom"/>
            <w:tcBorders>
              <w:top w:val="single" w:sz="8" w:color="0000FF"/>
            </w:tcBorders>
            <w:gridSpan w:val="21"/>
          </w:tcPr>
          <w:p>
            <w:pPr>
              <w:spacing w:after="0"/>
              <w:rPr>
                <w:sz w:val="10"/>
                <w:szCs w:val="10"/>
                <w:color w:val="auto"/>
              </w:rPr>
            </w:pPr>
          </w:p>
        </w:tc>
        <w:tc>
          <w:tcPr>
            <w:tcW w:w="40" w:type="dxa"/>
            <w:vAlign w:val="bottom"/>
            <w:gridSpan w:val="2"/>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10.28†</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Booz Allen Hamilton Inc. Nonqualified Deferred Compensation Plan (Incorporated by reference to Exhibit 10.7 to the Company’s Quarterly Report for the period ended December</w:t>
              </w:r>
            </w:hyperlink>
          </w:p>
        </w:tc>
      </w:tr>
      <w:tr>
        <w:trPr>
          <w:trHeight w:val="118"/>
        </w:trPr>
        <w:tc>
          <w:tcPr>
            <w:tcW w:w="1000" w:type="dxa"/>
            <w:vAlign w:val="bottom"/>
          </w:tcPr>
          <w:p>
            <w:pPr>
              <w:spacing w:after="0"/>
              <w:rPr>
                <w:sz w:val="10"/>
                <w:szCs w:val="10"/>
                <w:color w:val="auto"/>
              </w:rPr>
            </w:pPr>
          </w:p>
        </w:tc>
        <w:tc>
          <w:tcPr>
            <w:tcW w:w="264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52">
              <w:r>
                <w:rPr>
                  <w:rFonts w:ascii="Times New Roman" w:cs="Times New Roman" w:eastAsia="Times New Roman" w:hAnsi="Times New Roman"/>
                  <w:sz w:val="13"/>
                  <w:szCs w:val="13"/>
                  <w:color w:val="0000FF"/>
                </w:rPr>
                <w:t>31, 2018 on Form 10-Q (File No. 001-34972))</w:t>
              </w:r>
            </w:hyperlink>
          </w:p>
        </w:tc>
        <w:tc>
          <w:tcPr>
            <w:tcW w:w="7540" w:type="dxa"/>
            <w:vAlign w:val="bottom"/>
            <w:tcBorders>
              <w:top w:val="single" w:sz="8" w:color="0000FF"/>
            </w:tcBorders>
            <w:gridSpan w:val="21"/>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10.29†</w:t>
            </w:r>
          </w:p>
        </w:tc>
        <w:tc>
          <w:tcPr>
            <w:tcW w:w="10380" w:type="dxa"/>
            <w:vAlign w:val="bottom"/>
            <w:gridSpan w:val="37"/>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First Amendment to the Nonqualified Deferred Compensation Plan (Incorporated by reference to Exhibit 10.1 to the Company’s Quarterly Report for the period ended September</w:t>
              </w:r>
            </w:hyperlink>
          </w:p>
        </w:tc>
      </w:tr>
      <w:tr>
        <w:trPr>
          <w:trHeight w:val="118"/>
        </w:trPr>
        <w:tc>
          <w:tcPr>
            <w:tcW w:w="1000" w:type="dxa"/>
            <w:vAlign w:val="bottom"/>
          </w:tcPr>
          <w:p>
            <w:pPr>
              <w:spacing w:after="0"/>
              <w:rPr>
                <w:sz w:val="10"/>
                <w:szCs w:val="10"/>
                <w:color w:val="auto"/>
              </w:rPr>
            </w:pPr>
          </w:p>
        </w:tc>
        <w:tc>
          <w:tcPr>
            <w:tcW w:w="1008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53">
              <w:r>
                <w:rPr>
                  <w:rFonts w:ascii="Times New Roman" w:cs="Times New Roman" w:eastAsia="Times New Roman" w:hAnsi="Times New Roman"/>
                  <w:sz w:val="13"/>
                  <w:szCs w:val="13"/>
                  <w:color w:val="0000FF"/>
                </w:rPr>
                <w:t>30, 2019 on Form 10-Q (File No. 001-34972))</w:t>
              </w:r>
            </w:hyperlink>
          </w:p>
        </w:tc>
        <w:tc>
          <w:tcPr>
            <w:tcW w:w="300" w:type="dxa"/>
            <w:vAlign w:val="bottom"/>
            <w:gridSpan w:val="14"/>
          </w:tcPr>
          <w:p>
            <w:pPr>
              <w:spacing w:after="0"/>
              <w:rPr>
                <w:sz w:val="10"/>
                <w:szCs w:val="10"/>
                <w:color w:val="auto"/>
              </w:rPr>
            </w:pPr>
          </w:p>
        </w:tc>
      </w:tr>
      <w:tr>
        <w:trPr>
          <w:trHeight w:val="743"/>
        </w:trPr>
        <w:tc>
          <w:tcPr>
            <w:tcW w:w="1000" w:type="dxa"/>
            <w:vAlign w:val="bottom"/>
          </w:tcPr>
          <w:p>
            <w:pPr>
              <w:spacing w:after="0"/>
              <w:rPr>
                <w:sz w:val="24"/>
                <w:szCs w:val="24"/>
                <w:color w:val="auto"/>
              </w:rPr>
            </w:pPr>
          </w:p>
        </w:tc>
        <w:tc>
          <w:tcPr>
            <w:tcW w:w="2620" w:type="dxa"/>
            <w:vAlign w:val="bottom"/>
            <w:tcBorders>
              <w:top w:val="single" w:sz="8" w:color="0000FF"/>
            </w:tcBorders>
            <w:gridSpan w:val="5"/>
          </w:tcPr>
          <w:p>
            <w:pPr>
              <w:spacing w:after="0"/>
              <w:rPr>
                <w:sz w:val="24"/>
                <w:szCs w:val="24"/>
                <w:color w:val="auto"/>
              </w:rPr>
            </w:pPr>
          </w:p>
        </w:tc>
        <w:tc>
          <w:tcPr>
            <w:tcW w:w="28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62</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10.30†</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Stock Option Agreement under the Second Amended and Restated Equity Incentive Plan of Booz Allen Hamilton Holding Corporation (Incorporated by reference to</w:t>
              </w:r>
            </w:hyperlink>
          </w:p>
        </w:tc>
      </w:tr>
      <w:tr>
        <w:trPr>
          <w:trHeight w:val="118"/>
        </w:trPr>
        <w:tc>
          <w:tcPr>
            <w:tcW w:w="1000" w:type="dxa"/>
            <w:vAlign w:val="bottom"/>
          </w:tcPr>
          <w:p>
            <w:pPr>
              <w:spacing w:after="0"/>
              <w:rPr>
                <w:sz w:val="10"/>
                <w:szCs w:val="10"/>
                <w:color w:val="auto"/>
              </w:rPr>
            </w:pPr>
          </w:p>
        </w:tc>
        <w:tc>
          <w:tcPr>
            <w:tcW w:w="68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6">
              <w:r>
                <w:rPr>
                  <w:rFonts w:ascii="Times New Roman" w:cs="Times New Roman" w:eastAsia="Times New Roman" w:hAnsi="Times New Roman"/>
                  <w:sz w:val="13"/>
                  <w:szCs w:val="13"/>
                  <w:color w:val="0000FF"/>
                </w:rPr>
                <w:t>Exhibit 10.36 to the Company’s Annual Report for the year ended March 31, 2017 on Form 10-K (File No. 001-34972))</w:t>
              </w:r>
            </w:hyperlink>
          </w:p>
        </w:tc>
        <w:tc>
          <w:tcPr>
            <w:tcW w:w="3040" w:type="dxa"/>
            <w:vAlign w:val="bottom"/>
            <w:tcBorders>
              <w:top w:val="single" w:sz="8" w:color="0000FF"/>
            </w:tcBorders>
            <w:gridSpan w:val="4"/>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10.31†</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Form of Stock Option Agreement under the Second Amended and Restated Equity Incentive Plan of Booz Allen Hamilton Holding Corporation (Incorporated by reference to</w:t>
              </w:r>
            </w:hyperlink>
          </w:p>
        </w:tc>
      </w:tr>
      <w:tr>
        <w:trPr>
          <w:trHeight w:val="118"/>
        </w:trPr>
        <w:tc>
          <w:tcPr>
            <w:tcW w:w="1000" w:type="dxa"/>
            <w:vAlign w:val="bottom"/>
          </w:tcPr>
          <w:p>
            <w:pPr>
              <w:spacing w:after="0"/>
              <w:rPr>
                <w:sz w:val="10"/>
                <w:szCs w:val="10"/>
                <w:color w:val="auto"/>
              </w:rPr>
            </w:pPr>
          </w:p>
        </w:tc>
        <w:tc>
          <w:tcPr>
            <w:tcW w:w="680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57">
              <w:r>
                <w:rPr>
                  <w:rFonts w:ascii="Times New Roman" w:cs="Times New Roman" w:eastAsia="Times New Roman" w:hAnsi="Times New Roman"/>
                  <w:sz w:val="13"/>
                  <w:szCs w:val="13"/>
                  <w:color w:val="0000FF"/>
                </w:rPr>
                <w:t>Exhibit 10.59 to the Company’s Annual Report for the year ended March 31, 2019 on Form 10-K (File No. 001-34972))</w:t>
              </w:r>
            </w:hyperlink>
          </w:p>
        </w:tc>
        <w:tc>
          <w:tcPr>
            <w:tcW w:w="3040" w:type="dxa"/>
            <w:vAlign w:val="bottom"/>
            <w:tcBorders>
              <w:top w:val="single" w:sz="8" w:color="0000FF"/>
            </w:tcBorders>
            <w:gridSpan w:val="4"/>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10.32†</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Form of Stock Option Agreement under the Third Amended and Restated Equity Incentive Plan of Booz Allen Hamilton Holding Corporation (Incorporated by reference to Exhibit</w:t>
              </w:r>
            </w:hyperlink>
          </w:p>
        </w:tc>
      </w:tr>
      <w:tr>
        <w:trPr>
          <w:trHeight w:val="118"/>
        </w:trPr>
        <w:tc>
          <w:tcPr>
            <w:tcW w:w="1000" w:type="dxa"/>
            <w:vAlign w:val="bottom"/>
          </w:tcPr>
          <w:p>
            <w:pPr>
              <w:spacing w:after="0"/>
              <w:rPr>
                <w:sz w:val="10"/>
                <w:szCs w:val="10"/>
                <w:color w:val="auto"/>
              </w:rPr>
            </w:pPr>
          </w:p>
        </w:tc>
        <w:tc>
          <w:tcPr>
            <w:tcW w:w="6260" w:type="dxa"/>
            <w:vAlign w:val="bottom"/>
            <w:tcBorders>
              <w:top w:val="single" w:sz="8" w:color="0000FF"/>
              <w:bottom w:val="single" w:sz="8" w:color="0000FF"/>
            </w:tcBorders>
            <w:gridSpan w:val="5"/>
          </w:tcPr>
          <w:p>
            <w:pPr>
              <w:spacing w:after="0" w:line="118" w:lineRule="exact"/>
              <w:rPr>
                <w:rFonts w:ascii="Times New Roman" w:cs="Times New Roman" w:eastAsia="Times New Roman" w:hAnsi="Times New Roman"/>
                <w:sz w:val="13"/>
                <w:szCs w:val="13"/>
                <w:color w:val="0000FF"/>
              </w:rPr>
            </w:pPr>
            <w:hyperlink r:id="rId15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61</w:t>
              </w:r>
              <w:r>
                <w:rPr>
                  <w:rFonts w:ascii="Times New Roman" w:cs="Times New Roman" w:eastAsia="Times New Roman" w:hAnsi="Times New Roman"/>
                  <w:sz w:val="13"/>
                  <w:szCs w:val="13"/>
                  <w:color w:val="0000FF"/>
                </w:rPr>
                <w:t xml:space="preserve"> to the Company's Annual Report for the year ended March 31, 2020 on Form 10-K (file No. 001-34972)</w:t>
              </w:r>
            </w:hyperlink>
          </w:p>
        </w:tc>
        <w:tc>
          <w:tcPr>
            <w:tcW w:w="3940" w:type="dxa"/>
            <w:vAlign w:val="bottom"/>
            <w:tcBorders>
              <w:top w:val="single" w:sz="8" w:color="0000FF"/>
            </w:tcBorders>
            <w:gridSpan w:val="1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10.33†</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Officer Perquisites Policy (Incorporated by reference to Exhibit 10.45 to the Company’s Annual Report for the year ended March 31, 2018 on Form 10-K (File No. 001-34972))</w:t>
              </w:r>
            </w:hyperlink>
          </w:p>
        </w:tc>
        <w:tc>
          <w:tcPr>
            <w:tcW w:w="300" w:type="dxa"/>
            <w:vAlign w:val="bottom"/>
            <w:gridSpan w:val="9"/>
          </w:tcPr>
          <w:p>
            <w:pPr>
              <w:spacing w:after="0"/>
              <w:rPr>
                <w:sz w:val="18"/>
                <w:szCs w:val="18"/>
                <w:color w:val="auto"/>
              </w:rPr>
            </w:pPr>
          </w:p>
        </w:tc>
      </w:tr>
      <w:tr>
        <w:trPr>
          <w:trHeight w:val="20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10.34†</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Form of Stock Option Agreement under the Third Amended and Restated Equity Incentive Plan of Booz Allen Hamilton Holding Corporation (Incorporated by reference to Exhibit</w:t>
              </w:r>
            </w:hyperlink>
          </w:p>
        </w:tc>
      </w:tr>
      <w:tr>
        <w:trPr>
          <w:trHeight w:val="118"/>
        </w:trPr>
        <w:tc>
          <w:tcPr>
            <w:tcW w:w="1000" w:type="dxa"/>
            <w:vAlign w:val="bottom"/>
          </w:tcPr>
          <w:p>
            <w:pPr>
              <w:spacing w:after="0"/>
              <w:rPr>
                <w:sz w:val="10"/>
                <w:szCs w:val="10"/>
                <w:color w:val="auto"/>
              </w:rPr>
            </w:pPr>
          </w:p>
        </w:tc>
        <w:tc>
          <w:tcPr>
            <w:tcW w:w="64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0">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65</w:t>
              </w:r>
              <w:r>
                <w:rPr>
                  <w:rFonts w:ascii="Times New Roman" w:cs="Times New Roman" w:eastAsia="Times New Roman" w:hAnsi="Times New Roman"/>
                  <w:sz w:val="13"/>
                  <w:szCs w:val="13"/>
                  <w:color w:val="0000FF"/>
                </w:rPr>
                <w:t xml:space="preserve"> to the Company’s Annual Report for the period ended March 31, 2022 on Form 10-K (File No. 001-34972))</w:t>
              </w:r>
            </w:hyperlink>
          </w:p>
        </w:tc>
        <w:tc>
          <w:tcPr>
            <w:tcW w:w="372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10.35†</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Form of Restricted Stock Unit Agreement under the Third Amended and Restated Equity Incentive Plan of Booz Allen Hamilton Holding Corporation (Incorporated by reference to</w:t>
              </w:r>
            </w:hyperlink>
          </w:p>
        </w:tc>
      </w:tr>
      <w:tr>
        <w:trPr>
          <w:trHeight w:val="118"/>
        </w:trPr>
        <w:tc>
          <w:tcPr>
            <w:tcW w:w="1000" w:type="dxa"/>
            <w:vAlign w:val="bottom"/>
          </w:tcPr>
          <w:p>
            <w:pPr>
              <w:spacing w:after="0"/>
              <w:rPr>
                <w:sz w:val="10"/>
                <w:szCs w:val="10"/>
                <w:color w:val="auto"/>
              </w:rPr>
            </w:pPr>
          </w:p>
        </w:tc>
        <w:tc>
          <w:tcPr>
            <w:tcW w:w="694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61">
              <w:r>
                <w:rPr>
                  <w:rFonts w:ascii="Times New Roman" w:cs="Times New Roman" w:eastAsia="Times New Roman" w:hAnsi="Times New Roman"/>
                  <w:sz w:val="13"/>
                  <w:szCs w:val="13"/>
                  <w:color w:val="0000FF"/>
                </w:rPr>
                <w:t>Exhibit 10.66 to the Company’s Annual Report for the period ended March 31, 2022 on Form 10-K (File No. 001-34972))</w:t>
              </w:r>
            </w:hyperlink>
          </w:p>
        </w:tc>
        <w:tc>
          <w:tcPr>
            <w:tcW w:w="330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10.36†</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Form of Performance Restricted Stock Unit Agreement under the Third Amended and Restated Equity Incentive Plan of Booz Allen Hamilton Holding Corporation (Incorporated by</w:t>
              </w:r>
            </w:hyperlink>
          </w:p>
        </w:tc>
      </w:tr>
      <w:tr>
        <w:trPr>
          <w:trHeight w:val="118"/>
        </w:trPr>
        <w:tc>
          <w:tcPr>
            <w:tcW w:w="1000" w:type="dxa"/>
            <w:vAlign w:val="bottom"/>
          </w:tcPr>
          <w:p>
            <w:pPr>
              <w:spacing w:after="0"/>
              <w:rPr>
                <w:sz w:val="10"/>
                <w:szCs w:val="10"/>
                <w:color w:val="auto"/>
              </w:rPr>
            </w:pPr>
          </w:p>
        </w:tc>
        <w:tc>
          <w:tcPr>
            <w:tcW w:w="102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62">
              <w:r>
                <w:rPr>
                  <w:rFonts w:ascii="Times New Roman" w:cs="Times New Roman" w:eastAsia="Times New Roman" w:hAnsi="Times New Roman"/>
                  <w:sz w:val="13"/>
                  <w:szCs w:val="13"/>
                  <w:color w:val="0000FF"/>
                </w:rPr>
                <w:t>reference to Exhibit 10.67 to the Company’s Annual Report for the period ended March 31, 2022 on Form 10-K (File No. 001-34972))</w:t>
              </w:r>
            </w:hyperlink>
          </w:p>
        </w:tc>
        <w:tc>
          <w:tcPr>
            <w:tcW w:w="2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10.37†</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Form of Stock Option Agreement under the Third Amended and Restated Equity Incentive Plan of Booz Allen Hamilton Holding Corporation (Incorporated by reference to Exhibit</w:t>
              </w:r>
            </w:hyperlink>
          </w:p>
        </w:tc>
      </w:tr>
      <w:tr>
        <w:trPr>
          <w:trHeight w:val="118"/>
        </w:trPr>
        <w:tc>
          <w:tcPr>
            <w:tcW w:w="1000" w:type="dxa"/>
            <w:vAlign w:val="bottom"/>
          </w:tcPr>
          <w:p>
            <w:pPr>
              <w:spacing w:after="0"/>
              <w:rPr>
                <w:sz w:val="10"/>
                <w:szCs w:val="10"/>
                <w:color w:val="auto"/>
              </w:rPr>
            </w:pPr>
          </w:p>
        </w:tc>
        <w:tc>
          <w:tcPr>
            <w:tcW w:w="6480" w:type="dxa"/>
            <w:vAlign w:val="bottom"/>
            <w:tcBorders>
              <w:top w:val="single" w:sz="8" w:color="0000FF"/>
              <w:bottom w:val="single" w:sz="8" w:color="0000FF"/>
            </w:tcBorders>
            <w:gridSpan w:val="8"/>
          </w:tcPr>
          <w:p>
            <w:pPr>
              <w:spacing w:after="0" w:line="118"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39</w:t>
              </w:r>
              <w:r>
                <w:rPr>
                  <w:rFonts w:ascii="Times New Roman" w:cs="Times New Roman" w:eastAsia="Times New Roman" w:hAnsi="Times New Roman"/>
                  <w:sz w:val="13"/>
                  <w:szCs w:val="13"/>
                  <w:color w:val="0000FF"/>
                </w:rPr>
                <w:t xml:space="preserve"> to the Company’s Annual Report for the period ended March 31, 2023 on Form 10-K (File No. 001-34972))</w:t>
              </w:r>
            </w:hyperlink>
          </w:p>
        </w:tc>
        <w:tc>
          <w:tcPr>
            <w:tcW w:w="3720" w:type="dxa"/>
            <w:vAlign w:val="bottom"/>
            <w:tcBorders>
              <w:top w:val="single" w:sz="8" w:color="0000FF"/>
            </w:tcBorders>
            <w:gridSpan w:val="1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10.38†</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Form of Restricted Stock Unit Agreement under the Third Amended and Restated Equity Incentive Plan of Booz Allen Hamilton Holding Corporation (Incorporated by reference to</w:t>
              </w:r>
            </w:hyperlink>
          </w:p>
        </w:tc>
      </w:tr>
      <w:tr>
        <w:trPr>
          <w:trHeight w:val="118"/>
        </w:trPr>
        <w:tc>
          <w:tcPr>
            <w:tcW w:w="1000" w:type="dxa"/>
            <w:vAlign w:val="bottom"/>
          </w:tcPr>
          <w:p>
            <w:pPr>
              <w:spacing w:after="0"/>
              <w:rPr>
                <w:sz w:val="10"/>
                <w:szCs w:val="10"/>
                <w:color w:val="auto"/>
              </w:rPr>
            </w:pPr>
          </w:p>
        </w:tc>
        <w:tc>
          <w:tcPr>
            <w:tcW w:w="6940" w:type="dxa"/>
            <w:vAlign w:val="bottom"/>
            <w:tcBorders>
              <w:top w:val="single" w:sz="8" w:color="0000FF"/>
              <w:bottom w:val="single" w:sz="8" w:color="0000FF"/>
            </w:tcBorders>
            <w:gridSpan w:val="13"/>
          </w:tcPr>
          <w:p>
            <w:pPr>
              <w:spacing w:after="0" w:line="118"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Exhibit 10.38 to the Company’s Annual Report for the period ended March 31, 2023 on Form 10-K (File No. 001-34972))</w:t>
              </w:r>
            </w:hyperlink>
          </w:p>
        </w:tc>
        <w:tc>
          <w:tcPr>
            <w:tcW w:w="330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10.39†</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Form of Performance Restricted Stock Unit Agreement under the Third Amended and Restated Equity Incentive Plan of Booz Allen Hamilton Holding Corporation (Incorporated by</w:t>
              </w:r>
            </w:hyperlink>
          </w:p>
        </w:tc>
      </w:tr>
      <w:tr>
        <w:trPr>
          <w:trHeight w:val="118"/>
        </w:trPr>
        <w:tc>
          <w:tcPr>
            <w:tcW w:w="1000" w:type="dxa"/>
            <w:vAlign w:val="bottom"/>
          </w:tcPr>
          <w:p>
            <w:pPr>
              <w:spacing w:after="0"/>
              <w:rPr>
                <w:sz w:val="10"/>
                <w:szCs w:val="10"/>
                <w:color w:val="auto"/>
              </w:rPr>
            </w:pPr>
          </w:p>
        </w:tc>
        <w:tc>
          <w:tcPr>
            <w:tcW w:w="1026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65">
              <w:r>
                <w:rPr>
                  <w:rFonts w:ascii="Times New Roman" w:cs="Times New Roman" w:eastAsia="Times New Roman" w:hAnsi="Times New Roman"/>
                  <w:sz w:val="13"/>
                  <w:szCs w:val="13"/>
                  <w:color w:val="0000FF"/>
                </w:rPr>
                <w:t>reference to Exhibit 10.40 to the Company’s Annual Report for the period ended March 31, 2023 on Form 10-K (File No. 001-34972))</w:t>
              </w:r>
            </w:hyperlink>
          </w:p>
        </w:tc>
        <w:tc>
          <w:tcPr>
            <w:tcW w:w="20" w:type="dxa"/>
            <w:vAlign w:val="bottom"/>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50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3"/>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10.40†</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Form of Stock Option Agreement under the 2023 Equity Incentive Plan of Booz Allen Hamilton Holding Corporation (Incorporated by reference to Exhibit 10.8 to the Company’s</w:t>
              </w:r>
            </w:hyperlink>
          </w:p>
        </w:tc>
      </w:tr>
      <w:tr>
        <w:trPr>
          <w:trHeight w:val="118"/>
        </w:trPr>
        <w:tc>
          <w:tcPr>
            <w:tcW w:w="1000" w:type="dxa"/>
            <w:vAlign w:val="bottom"/>
          </w:tcPr>
          <w:p>
            <w:pPr>
              <w:spacing w:after="0"/>
              <w:rPr>
                <w:sz w:val="10"/>
                <w:szCs w:val="10"/>
                <w:color w:val="auto"/>
              </w:rPr>
            </w:pPr>
          </w:p>
        </w:tc>
        <w:tc>
          <w:tcPr>
            <w:tcW w:w="5440" w:type="dxa"/>
            <w:vAlign w:val="bottom"/>
            <w:tcBorders>
              <w:top w:val="single" w:sz="8" w:color="0000FF"/>
              <w:bottom w:val="single" w:sz="8" w:color="0000FF"/>
            </w:tcBorders>
            <w:gridSpan w:val="2"/>
          </w:tcPr>
          <w:p>
            <w:pPr>
              <w:spacing w:after="0" w:line="118"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Quarterly Report for the period ended September 30, 2023 on Form 10-Q (File No. 001-34972))</w:t>
              </w:r>
            </w:hyperlink>
          </w:p>
        </w:tc>
        <w:tc>
          <w:tcPr>
            <w:tcW w:w="4680" w:type="dxa"/>
            <w:vAlign w:val="bottom"/>
            <w:tcBorders>
              <w:top w:val="single" w:sz="8" w:color="0000FF"/>
            </w:tcBorders>
            <w:gridSpan w:val="18"/>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10.41†</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Form of Restricted Stock Unit Agreement under the 2023 Equity Incentive Plan of Booz Allen Hamilton Holding Corporation (Incorporated by reference to Exhibit 10.5 to the</w:t>
              </w:r>
            </w:hyperlink>
          </w:p>
        </w:tc>
      </w:tr>
      <w:tr>
        <w:trPr>
          <w:trHeight w:val="118"/>
        </w:trPr>
        <w:tc>
          <w:tcPr>
            <w:tcW w:w="1000" w:type="dxa"/>
            <w:vAlign w:val="bottom"/>
          </w:tcPr>
          <w:p>
            <w:pPr>
              <w:spacing w:after="0"/>
              <w:rPr>
                <w:sz w:val="10"/>
                <w:szCs w:val="10"/>
                <w:color w:val="auto"/>
              </w:rPr>
            </w:pPr>
          </w:p>
        </w:tc>
        <w:tc>
          <w:tcPr>
            <w:tcW w:w="612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67">
              <w:r>
                <w:rPr>
                  <w:rFonts w:ascii="Times New Roman" w:cs="Times New Roman" w:eastAsia="Times New Roman" w:hAnsi="Times New Roman"/>
                  <w:sz w:val="13"/>
                  <w:szCs w:val="13"/>
                  <w:color w:val="0000FF"/>
                </w:rPr>
                <w:t>Company’s Quarterly Report for the period ended September 30, 2023 on Form 10-Q (File No. 001-34972))</w:t>
              </w:r>
            </w:hyperlink>
          </w:p>
        </w:tc>
        <w:tc>
          <w:tcPr>
            <w:tcW w:w="3800" w:type="dxa"/>
            <w:vAlign w:val="bottom"/>
            <w:tcBorders>
              <w:top w:val="single" w:sz="8" w:color="0000FF"/>
            </w:tcBorders>
            <w:gridSpan w:val="12"/>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10.42†</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Form of Performance Restricted Stock Unit Agreement under the 2023 Equity Incentive Plan of Booz Allen Hamilton Holding Corporation (Incorporated by reference to Exhibit</w:t>
              </w:r>
            </w:hyperlink>
          </w:p>
        </w:tc>
      </w:tr>
      <w:tr>
        <w:trPr>
          <w:trHeight w:val="118"/>
        </w:trPr>
        <w:tc>
          <w:tcPr>
            <w:tcW w:w="1000" w:type="dxa"/>
            <w:vAlign w:val="bottom"/>
          </w:tcPr>
          <w:p>
            <w:pPr>
              <w:spacing w:after="0"/>
              <w:rPr>
                <w:sz w:val="10"/>
                <w:szCs w:val="10"/>
                <w:color w:val="auto"/>
              </w:rPr>
            </w:pPr>
          </w:p>
        </w:tc>
        <w:tc>
          <w:tcPr>
            <w:tcW w:w="676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7</w:t>
              </w:r>
              <w:r>
                <w:rPr>
                  <w:rFonts w:ascii="Times New Roman" w:cs="Times New Roman" w:eastAsia="Times New Roman" w:hAnsi="Times New Roman"/>
                  <w:sz w:val="13"/>
                  <w:szCs w:val="13"/>
                  <w:color w:val="0000FF"/>
                </w:rPr>
                <w:t xml:space="preserve"> to the Company’s Quarterly Report for the period ended September 30, 2023 on Form 10-Q (File No. 001-34972))</w:t>
              </w:r>
            </w:hyperlink>
          </w:p>
        </w:tc>
        <w:tc>
          <w:tcPr>
            <w:tcW w:w="3300" w:type="dxa"/>
            <w:vAlign w:val="bottom"/>
            <w:tcBorders>
              <w:top w:val="single" w:sz="8" w:color="0000FF"/>
            </w:tcBorders>
            <w:gridSpan w:val="9"/>
          </w:tcPr>
          <w:p>
            <w:pPr>
              <w:spacing w:after="0"/>
              <w:rPr>
                <w:sz w:val="10"/>
                <w:szCs w:val="10"/>
                <w:color w:val="auto"/>
              </w:rPr>
            </w:pPr>
          </w:p>
        </w:tc>
        <w:tc>
          <w:tcPr>
            <w:tcW w:w="12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10.43†</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Form of Restricted Stock Agreement for Directors under the 2023 Equity Incentive Plan of Booz Allen Hamilton Holding Corporation (Incorporated by reference to Exhibit 10.6 to</w:t>
              </w:r>
            </w:hyperlink>
          </w:p>
        </w:tc>
      </w:tr>
      <w:tr>
        <w:trPr>
          <w:trHeight w:val="118"/>
        </w:trPr>
        <w:tc>
          <w:tcPr>
            <w:tcW w:w="1000" w:type="dxa"/>
            <w:vAlign w:val="bottom"/>
          </w:tcPr>
          <w:p>
            <w:pPr>
              <w:spacing w:after="0"/>
              <w:rPr>
                <w:sz w:val="10"/>
                <w:szCs w:val="10"/>
                <w:color w:val="auto"/>
              </w:rPr>
            </w:pPr>
          </w:p>
        </w:tc>
        <w:tc>
          <w:tcPr>
            <w:tcW w:w="632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the Company's Quarterly Report for the period ended September 30, 2023 on Form 10-Q (File No. 001-34972))</w:t>
              </w:r>
            </w:hyperlink>
          </w:p>
        </w:tc>
        <w:tc>
          <w:tcPr>
            <w:tcW w:w="386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10.44†</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Form of Stock Option Agreement under the 2023 Equity Incentive Plan of Booz Allen Hamilton Holding Corporation (Incorporated by reference to Exhibit 10.44 to the Company’s</w:t>
              </w:r>
            </w:hyperlink>
          </w:p>
        </w:tc>
      </w:tr>
      <w:tr>
        <w:trPr>
          <w:trHeight w:val="118"/>
        </w:trPr>
        <w:tc>
          <w:tcPr>
            <w:tcW w:w="1000" w:type="dxa"/>
            <w:vAlign w:val="bottom"/>
          </w:tcPr>
          <w:p>
            <w:pPr>
              <w:spacing w:after="0"/>
              <w:rPr>
                <w:sz w:val="10"/>
                <w:szCs w:val="10"/>
                <w:color w:val="auto"/>
              </w:rPr>
            </w:pPr>
          </w:p>
        </w:tc>
        <w:tc>
          <w:tcPr>
            <w:tcW w:w="50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70">
              <w:r>
                <w:rPr>
                  <w:rFonts w:ascii="Times New Roman" w:cs="Times New Roman" w:eastAsia="Times New Roman" w:hAnsi="Times New Roman"/>
                  <w:sz w:val="13"/>
                  <w:szCs w:val="13"/>
                  <w:color w:val="0000FF"/>
                </w:rPr>
                <w:t>Annual Report for the period ended March 31, 2024 on Form 10-K (File No. 001-34972))</w:t>
              </w:r>
            </w:hyperlink>
          </w:p>
        </w:tc>
        <w:tc>
          <w:tcPr>
            <w:tcW w:w="5140" w:type="dxa"/>
            <w:vAlign w:val="bottom"/>
            <w:tcBorders>
              <w:top w:val="single" w:sz="8" w:color="0000FF"/>
            </w:tcBorders>
            <w:gridSpan w:val="2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5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10.45†</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Form of Restricted Stock Unit Agreement under the 2023 Equity Incentive Plan of Booz Allen Hamilton Holding Corporation (Incorporated by reference to Exhibit 10.45 to the</w:t>
              </w:r>
            </w:hyperlink>
          </w:p>
        </w:tc>
      </w:tr>
      <w:tr>
        <w:trPr>
          <w:trHeight w:val="118"/>
        </w:trPr>
        <w:tc>
          <w:tcPr>
            <w:tcW w:w="1000" w:type="dxa"/>
            <w:vAlign w:val="bottom"/>
          </w:tcPr>
          <w:p>
            <w:pPr>
              <w:spacing w:after="0"/>
              <w:rPr>
                <w:sz w:val="10"/>
                <w:szCs w:val="10"/>
                <w:color w:val="auto"/>
              </w:rPr>
            </w:pPr>
          </w:p>
        </w:tc>
        <w:tc>
          <w:tcPr>
            <w:tcW w:w="576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Company’s Annual Report for the period ended March 31, 2024 on Form 10-K (File No. 001-34972))</w:t>
              </w:r>
            </w:hyperlink>
          </w:p>
        </w:tc>
        <w:tc>
          <w:tcPr>
            <w:tcW w:w="1860" w:type="dxa"/>
            <w:vAlign w:val="bottom"/>
            <w:tcBorders>
              <w:top w:val="single" w:sz="8" w:color="0000FF"/>
            </w:tcBorders>
            <w:gridSpan w:val="11"/>
          </w:tcPr>
          <w:p>
            <w:pPr>
              <w:spacing w:after="0"/>
              <w:rPr>
                <w:sz w:val="10"/>
                <w:szCs w:val="10"/>
                <w:color w:val="auto"/>
              </w:rPr>
            </w:pPr>
          </w:p>
        </w:tc>
        <w:tc>
          <w:tcPr>
            <w:tcW w:w="2360" w:type="dxa"/>
            <w:vAlign w:val="bottom"/>
            <w:tcBorders>
              <w:top w:val="single" w:sz="8" w:color="0000FF"/>
            </w:tcBorders>
            <w:gridSpan w:val="3"/>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8"/>
          </w:tcPr>
          <w:p>
            <w:pPr>
              <w:spacing w:after="0"/>
              <w:rPr>
                <w:sz w:val="10"/>
                <w:szCs w:val="10"/>
                <w:color w:val="auto"/>
              </w:rPr>
            </w:pPr>
          </w:p>
        </w:tc>
      </w:tr>
      <w:tr>
        <w:trPr>
          <w:trHeight w:val="256"/>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10.46†</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Form of Performance Restricted Stock Unit Agreement under the 2023 Equity Incentive Plan of Booz Allen Hamilton Holding Corporation (Incorporated by reference to Exhibit</w:t>
              </w:r>
            </w:hyperlink>
          </w:p>
        </w:tc>
      </w:tr>
      <w:tr>
        <w:trPr>
          <w:trHeight w:val="118"/>
        </w:trPr>
        <w:tc>
          <w:tcPr>
            <w:tcW w:w="1000" w:type="dxa"/>
            <w:vAlign w:val="bottom"/>
          </w:tcPr>
          <w:p>
            <w:pPr>
              <w:spacing w:after="0"/>
              <w:rPr>
                <w:sz w:val="10"/>
                <w:szCs w:val="10"/>
                <w:color w:val="auto"/>
              </w:rPr>
            </w:pPr>
          </w:p>
        </w:tc>
        <w:tc>
          <w:tcPr>
            <w:tcW w:w="1006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10.</w:t>
              </w:r>
              <w:r>
                <w:rPr>
                  <w:rFonts w:ascii="Times New Roman" w:cs="Times New Roman" w:eastAsia="Times New Roman" w:hAnsi="Times New Roman"/>
                  <w:sz w:val="13"/>
                  <w:szCs w:val="13"/>
                  <w:u w:val="single" w:color="auto"/>
                  <w:color w:val="0000FF"/>
                </w:rPr>
                <w:t>46</w:t>
              </w:r>
              <w:r>
                <w:rPr>
                  <w:rFonts w:ascii="Times New Roman" w:cs="Times New Roman" w:eastAsia="Times New Roman" w:hAnsi="Times New Roman"/>
                  <w:sz w:val="13"/>
                  <w:szCs w:val="13"/>
                  <w:color w:val="0000FF"/>
                </w:rPr>
                <w:t xml:space="preserve"> to the Company’s Annual Report for the period ended March 31, 2024 on Form 10-K (File No. 001-34972))</w:t>
              </w:r>
            </w:hyperlink>
          </w:p>
        </w:tc>
        <w:tc>
          <w:tcPr>
            <w:tcW w:w="220" w:type="dxa"/>
            <w:vAlign w:val="bottom"/>
            <w:gridSpan w:val="7"/>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6460" w:type="dxa"/>
            <w:vAlign w:val="bottom"/>
            <w:gridSpan w:val="7"/>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10.47†</w:t>
            </w:r>
          </w:p>
        </w:tc>
        <w:tc>
          <w:tcPr>
            <w:tcW w:w="10280" w:type="dxa"/>
            <w:vAlign w:val="bottom"/>
            <w:gridSpan w:val="26"/>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Form of Special Performance Restricted Stock Unit Agreement under the 2023 Equity Incentive Plan of Booz Allen Hamilton Holding Corporation (Incorporated by reference to</w:t>
              </w:r>
            </w:hyperlink>
          </w:p>
        </w:tc>
      </w:tr>
      <w:tr>
        <w:trPr>
          <w:trHeight w:val="118"/>
        </w:trPr>
        <w:tc>
          <w:tcPr>
            <w:tcW w:w="1000" w:type="dxa"/>
            <w:vAlign w:val="bottom"/>
          </w:tcPr>
          <w:p>
            <w:pPr>
              <w:spacing w:after="0"/>
              <w:rPr>
                <w:sz w:val="10"/>
                <w:szCs w:val="10"/>
                <w:color w:val="auto"/>
              </w:rPr>
            </w:pPr>
          </w:p>
        </w:tc>
        <w:tc>
          <w:tcPr>
            <w:tcW w:w="6920" w:type="dxa"/>
            <w:vAlign w:val="bottom"/>
            <w:tcBorders>
              <w:top w:val="single" w:sz="8" w:color="0000FF"/>
              <w:bottom w:val="single" w:sz="8" w:color="0000FF"/>
            </w:tcBorders>
            <w:gridSpan w:val="12"/>
          </w:tcPr>
          <w:p>
            <w:pPr>
              <w:spacing w:after="0" w:line="118"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Exhibit 10.47 to the Company’s Annual Report for the period ended March 31, 2024 on Form 10-K (File No. 001-34972))</w:t>
              </w:r>
            </w:hyperlink>
          </w:p>
        </w:tc>
        <w:tc>
          <w:tcPr>
            <w:tcW w:w="3120" w:type="dxa"/>
            <w:vAlign w:val="bottom"/>
            <w:tcBorders>
              <w:top w:val="single" w:sz="8" w:color="0000FF"/>
            </w:tcBorders>
            <w:gridSpan w:val="6"/>
          </w:tcPr>
          <w:p>
            <w:pPr>
              <w:spacing w:after="0"/>
              <w:rPr>
                <w:sz w:val="10"/>
                <w:szCs w:val="10"/>
                <w:color w:val="auto"/>
              </w:rPr>
            </w:pPr>
          </w:p>
        </w:tc>
        <w:tc>
          <w:tcPr>
            <w:tcW w:w="240" w:type="dxa"/>
            <w:vAlign w:val="bottom"/>
            <w:gridSpan w:val="8"/>
          </w:tcPr>
          <w:p>
            <w:pPr>
              <w:spacing w:after="0"/>
              <w:rPr>
                <w:sz w:val="10"/>
                <w:szCs w:val="10"/>
                <w:color w:val="auto"/>
              </w:rPr>
            </w:pPr>
          </w:p>
        </w:tc>
      </w:tr>
      <w:tr>
        <w:trPr>
          <w:trHeight w:val="245"/>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10.48†</w:t>
            </w:r>
          </w:p>
        </w:tc>
        <w:tc>
          <w:tcPr>
            <w:tcW w:w="10280" w:type="dxa"/>
            <w:vAlign w:val="bottom"/>
            <w:gridSpan w:val="26"/>
          </w:tcPr>
          <w:p>
            <w:pPr>
              <w:spacing w:after="0"/>
              <w:rPr>
                <w:sz w:val="20"/>
                <w:szCs w:val="20"/>
                <w:color w:val="auto"/>
              </w:rPr>
            </w:pPr>
            <w:r>
              <w:rPr>
                <w:rFonts w:ascii="Times New Roman" w:cs="Times New Roman" w:eastAsia="Times New Roman" w:hAnsi="Times New Roman"/>
                <w:sz w:val="14"/>
                <w:szCs w:val="14"/>
                <w:color w:val="0000FF"/>
              </w:rPr>
              <w:t>Form of Stock Option Agreement under the 2023 Equity Incentive Plan of Booz Allen Hamilton Holding Corporation*</w:t>
            </w:r>
          </w:p>
        </w:tc>
      </w:tr>
      <w:tr>
        <w:trPr>
          <w:trHeight w:val="690"/>
        </w:trPr>
        <w:tc>
          <w:tcPr>
            <w:tcW w:w="1000" w:type="dxa"/>
            <w:vAlign w:val="bottom"/>
          </w:tcPr>
          <w:p>
            <w:pPr>
              <w:spacing w:after="0"/>
              <w:rPr>
                <w:sz w:val="24"/>
                <w:szCs w:val="24"/>
                <w:color w:val="auto"/>
              </w:rPr>
            </w:pPr>
          </w:p>
        </w:tc>
        <w:tc>
          <w:tcPr>
            <w:tcW w:w="5080" w:type="dxa"/>
            <w:vAlign w:val="bottom"/>
            <w:tcBorders>
              <w:top w:val="single" w:sz="8" w:color="0000FF"/>
            </w:tcBorders>
          </w:tcPr>
          <w:p>
            <w:pPr>
              <w:ind w:left="4580"/>
              <w:spacing w:after="0"/>
              <w:rPr>
                <w:sz w:val="20"/>
                <w:szCs w:val="20"/>
                <w:color w:val="auto"/>
              </w:rPr>
            </w:pPr>
            <w:r>
              <w:rPr>
                <w:rFonts w:ascii="Times New Roman" w:cs="Times New Roman" w:eastAsia="Times New Roman" w:hAnsi="Times New Roman"/>
                <w:sz w:val="14"/>
                <w:szCs w:val="14"/>
                <w:color w:val="auto"/>
              </w:rPr>
              <w:t>63</w:t>
            </w:r>
          </w:p>
        </w:tc>
        <w:tc>
          <w:tcPr>
            <w:tcW w:w="36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50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100" w:name="page101"/>
    <w:bookmarkEnd w:id="100"/>
    <w:p>
      <w:pPr>
        <w:ind w:left="20"/>
        <w:spacing w:after="0"/>
        <w:tabs>
          <w:tab w:leader="none" w:pos="980" w:val="left"/>
        </w:tabs>
        <w:rPr>
          <w:sz w:val="20"/>
          <w:szCs w:val="20"/>
          <w:color w:val="auto"/>
        </w:rPr>
      </w:pPr>
      <w:r>
        <w:rPr>
          <w:rFonts w:ascii="Times New Roman" w:cs="Times New Roman" w:eastAsia="Times New Roman" w:hAnsi="Times New Roman"/>
          <w:sz w:val="14"/>
          <w:szCs w:val="14"/>
          <w:color w:val="auto"/>
        </w:rPr>
        <w:t>10.49†</w:t>
      </w:r>
      <w:r>
        <w:rPr>
          <w:sz w:val="20"/>
          <w:szCs w:val="20"/>
          <w:color w:val="auto"/>
        </w:rPr>
        <w:tab/>
      </w:r>
      <w:r>
        <w:rPr>
          <w:rFonts w:ascii="Times New Roman" w:cs="Times New Roman" w:eastAsia="Times New Roman" w:hAnsi="Times New Roman"/>
          <w:sz w:val="14"/>
          <w:szCs w:val="14"/>
          <w:u w:val="single" w:color="auto"/>
          <w:color w:val="0000FF"/>
        </w:rPr>
        <w:t>Form of Restricted Stock Unit Agreement under the 2023 Equity Incentive Plan of Booz Allen Hamilton Holding Corporation*</w:t>
      </w:r>
    </w:p>
    <w:p>
      <w:pPr>
        <w:spacing w:after="0" w:line="62" w:lineRule="exact"/>
        <w:rPr>
          <w:sz w:val="20"/>
          <w:szCs w:val="20"/>
          <w:color w:val="auto"/>
        </w:rPr>
      </w:pPr>
    </w:p>
    <w:p>
      <w:pPr>
        <w:ind w:left="1000" w:hanging="981"/>
        <w:spacing w:after="0"/>
        <w:tabs>
          <w:tab w:leader="none" w:pos="10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Booz Allen Hamilton Holding Corporation Insider Trading Policy*</w:t>
      </w:r>
    </w:p>
    <w:p>
      <w:pPr>
        <w:spacing w:after="0" w:line="62" w:lineRule="exact"/>
        <w:rPr>
          <w:sz w:val="20"/>
          <w:szCs w:val="20"/>
          <w:color w:val="auto"/>
        </w:rPr>
      </w:pPr>
    </w:p>
    <w:p>
      <w:pPr>
        <w:ind w:left="1000" w:hanging="981"/>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Subsidiaries of the registrant*</w:t>
      </w:r>
    </w:p>
    <w:p>
      <w:pPr>
        <w:spacing w:after="0" w:line="61" w:lineRule="exact"/>
        <w:rPr>
          <w:rFonts w:ascii="Times New Roman" w:cs="Times New Roman" w:eastAsia="Times New Roman" w:hAnsi="Times New Roman"/>
          <w:sz w:val="14"/>
          <w:szCs w:val="14"/>
          <w:color w:val="auto"/>
        </w:rPr>
      </w:pPr>
    </w:p>
    <w:p>
      <w:pPr>
        <w:ind w:left="1000" w:hanging="981"/>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List of Guarantors and Subsidiary Issuers of Guaranteed Securities*</w:t>
      </w:r>
    </w:p>
    <w:p>
      <w:pPr>
        <w:spacing w:after="0" w:line="93" w:lineRule="exact"/>
        <w:rPr>
          <w:rFonts w:ascii="Times New Roman" w:cs="Times New Roman" w:eastAsia="Times New Roman" w:hAnsi="Times New Roman"/>
          <w:sz w:val="14"/>
          <w:szCs w:val="14"/>
          <w:color w:val="auto"/>
        </w:rPr>
      </w:pPr>
    </w:p>
    <w:p>
      <w:pPr>
        <w:ind w:left="1000" w:hanging="981"/>
        <w:spacing w:after="0"/>
        <w:tabs>
          <w:tab w:leader="none" w:pos="100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Consent of Independent Registered Public Accounting Firm*</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9"/>
              </w:rPr>
              <w:t>31.1</w:t>
            </w:r>
          </w:p>
        </w:tc>
        <w:tc>
          <w:tcPr>
            <w:tcW w:w="40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Chief Executive Officer*</w:t>
            </w:r>
          </w:p>
        </w:tc>
        <w:tc>
          <w:tcPr>
            <w:tcW w:w="6100" w:type="dxa"/>
            <w:vAlign w:val="bottom"/>
            <w:gridSpan w:val="2"/>
          </w:tcPr>
          <w:p>
            <w:pPr>
              <w:spacing w:after="0"/>
              <w:rPr>
                <w:sz w:val="13"/>
                <w:szCs w:val="13"/>
                <w:color w:val="auto"/>
              </w:rPr>
            </w:pPr>
          </w:p>
        </w:tc>
      </w:tr>
      <w:tr>
        <w:trPr>
          <w:trHeight w:val="203"/>
        </w:trPr>
        <w:tc>
          <w:tcPr>
            <w:tcW w:w="98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9"/>
              </w:rPr>
              <w:t>31.2</w:t>
            </w:r>
          </w:p>
        </w:tc>
        <w:tc>
          <w:tcPr>
            <w:tcW w:w="39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Rule 13a-14(a)/15d-14(a) Certification of the Chief Financial Officer*</w:t>
            </w:r>
          </w:p>
        </w:tc>
        <w:tc>
          <w:tcPr>
            <w:tcW w:w="6140" w:type="dxa"/>
            <w:vAlign w:val="bottom"/>
            <w:gridSpan w:val="3"/>
          </w:tcPr>
          <w:p>
            <w:pPr>
              <w:spacing w:after="0"/>
              <w:rPr>
                <w:sz w:val="17"/>
                <w:szCs w:val="17"/>
                <w:color w:val="auto"/>
              </w:rPr>
            </w:pPr>
          </w:p>
        </w:tc>
      </w:tr>
      <w:tr>
        <w:trPr>
          <w:trHeight w:val="203"/>
        </w:trPr>
        <w:tc>
          <w:tcPr>
            <w:tcW w:w="98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9"/>
              </w:rPr>
              <w:t>32.1</w:t>
            </w:r>
          </w:p>
        </w:tc>
        <w:tc>
          <w:tcPr>
            <w:tcW w:w="10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the Chief Executive Officer required by Rule 13a-14(b) or Rule 15d-14(b) and Section 1350 of Chapter 63 of Title 18 of the United States Code (18 U.S.C. 1350)*</w:t>
            </w:r>
          </w:p>
        </w:tc>
      </w:tr>
      <w:tr>
        <w:trPr>
          <w:trHeight w:val="203"/>
        </w:trPr>
        <w:tc>
          <w:tcPr>
            <w:tcW w:w="980" w:type="dxa"/>
            <w:vAlign w:val="bottom"/>
          </w:tcPr>
          <w:p>
            <w:pPr>
              <w:jc w:val="right"/>
              <w:ind w:right="669"/>
              <w:spacing w:after="0"/>
              <w:rPr>
                <w:sz w:val="20"/>
                <w:szCs w:val="20"/>
                <w:color w:val="auto"/>
              </w:rPr>
            </w:pPr>
            <w:r>
              <w:rPr>
                <w:rFonts w:ascii="Times New Roman" w:cs="Times New Roman" w:eastAsia="Times New Roman" w:hAnsi="Times New Roman"/>
                <w:sz w:val="14"/>
                <w:szCs w:val="14"/>
                <w:color w:val="auto"/>
                <w:w w:val="89"/>
              </w:rPr>
              <w:t>32.2</w:t>
            </w:r>
          </w:p>
        </w:tc>
        <w:tc>
          <w:tcPr>
            <w:tcW w:w="1012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Certification of the Chief Financial Officer required by Rule 13a-14(b) or Rule 15d-14(b) and Section 1350 of Chapter 63 of Title 18 of the United States Code (18 U.S.C. 1350)*</w:t>
            </w:r>
          </w:p>
        </w:tc>
      </w:tr>
      <w:tr>
        <w:trPr>
          <w:trHeight w:val="20"/>
        </w:trPr>
        <w:tc>
          <w:tcPr>
            <w:tcW w:w="980" w:type="dxa"/>
            <w:vAlign w:val="bottom"/>
          </w:tcPr>
          <w:p>
            <w:pPr>
              <w:spacing w:after="0" w:line="20" w:lineRule="exact"/>
              <w:rPr>
                <w:sz w:val="1"/>
                <w:szCs w:val="1"/>
                <w:color w:val="auto"/>
              </w:rPr>
            </w:pPr>
          </w:p>
        </w:tc>
        <w:tc>
          <w:tcPr>
            <w:tcW w:w="3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 w:lineRule="exact"/>
        <w:rPr>
          <w:sz w:val="20"/>
          <w:szCs w:val="20"/>
          <w:color w:val="auto"/>
        </w:rPr>
      </w:pPr>
    </w:p>
    <w:p>
      <w:pPr>
        <w:ind w:left="1000" w:right="100" w:hanging="981"/>
        <w:spacing w:after="0" w:line="239" w:lineRule="auto"/>
        <w:tabs>
          <w:tab w:leader="none" w:pos="1000" w:val="left"/>
        </w:tabs>
        <w:numPr>
          <w:ilvl w:val="0"/>
          <w:numId w:val="72"/>
        </w:numPr>
        <w:rPr>
          <w:rFonts w:ascii="Times New Roman" w:cs="Times New Roman" w:eastAsia="Times New Roman" w:hAnsi="Times New Roman"/>
          <w:sz w:val="14"/>
          <w:szCs w:val="14"/>
          <w:u w:val="single" w:color="auto"/>
          <w:color w:val="0000FF"/>
        </w:rPr>
      </w:pPr>
      <w:hyperlink r:id="rId176">
        <w:r>
          <w:rPr>
            <w:rFonts w:ascii="Times New Roman" w:cs="Times New Roman" w:eastAsia="Times New Roman" w:hAnsi="Times New Roman"/>
            <w:sz w:val="14"/>
            <w:szCs w:val="14"/>
            <w:u w:val="single" w:color="auto"/>
            <w:color w:val="0000FF"/>
          </w:rPr>
          <w:t>Booz Allen Hamilton Holding Corporation Rule 10D-1 Clawback Policy (Incorporated by reference to Exhibit 97 to the Company’s Annual Report for the period ended March 31,</w:t>
        </w:r>
      </w:hyperlink>
      <w:r>
        <w:rPr>
          <w:rFonts w:ascii="Times New Roman" w:cs="Times New Roman" w:eastAsia="Times New Roman" w:hAnsi="Times New Roman"/>
          <w:sz w:val="14"/>
          <w:szCs w:val="14"/>
          <w:u w:val="single" w:color="auto"/>
          <w:color w:val="0000FF"/>
        </w:rPr>
        <w:t xml:space="preserve"> </w:t>
      </w:r>
      <w:hyperlink r:id="rId176">
        <w:r>
          <w:rPr>
            <w:rFonts w:ascii="Times New Roman" w:cs="Times New Roman" w:eastAsia="Times New Roman" w:hAnsi="Times New Roman"/>
            <w:sz w:val="14"/>
            <w:szCs w:val="14"/>
            <w:u w:val="single" w:color="auto"/>
            <w:color w:val="0000FF"/>
          </w:rPr>
          <w:t>2024 on Form 10-K (File No. 001-34972))</w:t>
        </w:r>
      </w:hyperlink>
    </w:p>
    <w:p>
      <w:pPr>
        <w:spacing w:after="0" w:line="51" w:lineRule="exact"/>
        <w:rPr>
          <w:rFonts w:ascii="Times New Roman" w:cs="Times New Roman" w:eastAsia="Times New Roman" w:hAnsi="Times New Roman"/>
          <w:sz w:val="14"/>
          <w:szCs w:val="14"/>
          <w:color w:val="auto"/>
        </w:rPr>
      </w:pPr>
    </w:p>
    <w:p>
      <w:pPr>
        <w:ind w:left="1000" w:hanging="981"/>
        <w:spacing w:after="0" w:line="222" w:lineRule="auto"/>
        <w:tabs>
          <w:tab w:leader="none" w:pos="10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materials from Booz Allen Hamilton Holding Corporation’s Annual Report on Form 10-K for the fiscal year ended March 31, 2025, formatted in Inline XBRL (eXtensible Business Reporting Language): (i) Consolidated Balance Sheets as of March 31, 2025 and 2024; (ii) Consolidated Statements of Operations for the fiscal years ended March 31, 2025, 2024 and 2023; (iii) Consolidated Statements of Comprehensive Income for the fiscal years ended March 31, 2025, 2024 and 2023; (iv) Consolidated Statements of Cash Flows for the fiscal years ended March 31, 2025, 2024 and 2023; (v) Consolidated Statements of Stockholders' Equity for the fiscal years ended March 31, 2025, 2024 and 2023; and (vi) Notes to Consolidated Financial Statements.</w:t>
      </w:r>
    </w:p>
    <w:p>
      <w:pPr>
        <w:spacing w:after="0" w:line="51" w:lineRule="exact"/>
        <w:rPr>
          <w:rFonts w:ascii="Times New Roman" w:cs="Times New Roman" w:eastAsia="Times New Roman" w:hAnsi="Times New Roman"/>
          <w:sz w:val="14"/>
          <w:szCs w:val="14"/>
          <w:color w:val="auto"/>
        </w:rPr>
      </w:pPr>
    </w:p>
    <w:p>
      <w:pPr>
        <w:ind w:left="20"/>
        <w:spacing w:after="0"/>
        <w:tabs>
          <w:tab w:leader="none" w:pos="98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 and contained in Exhibit 101)</w:t>
      </w:r>
    </w:p>
    <w:p>
      <w:pPr>
        <w:spacing w:after="0" w:line="157" w:lineRule="exact"/>
        <w:rPr>
          <w:rFonts w:ascii="Times New Roman" w:cs="Times New Roman" w:eastAsia="Times New Roman" w:hAnsi="Times New Roman"/>
          <w:sz w:val="14"/>
          <w:szCs w:val="1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w:t>
      </w:r>
    </w:p>
    <w:p>
      <w:pPr>
        <w:spacing w:after="0" w:line="51" w:lineRule="exact"/>
        <w:rPr>
          <w:rFonts w:ascii="Times New Roman" w:cs="Times New Roman" w:eastAsia="Times New Roman" w:hAnsi="Times New Roman"/>
          <w:sz w:val="14"/>
          <w:szCs w:val="14"/>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electronically herewith.</w:t>
      </w:r>
    </w:p>
    <w:p>
      <w:pPr>
        <w:spacing w:after="0" w:line="51" w:lineRule="exact"/>
        <w:rPr>
          <w:rFonts w:ascii="Times New Roman" w:cs="Times New Roman" w:eastAsia="Times New Roman" w:hAnsi="Times New Roman"/>
          <w:sz w:val="14"/>
          <w:szCs w:val="14"/>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arrangement.</w:t>
      </w:r>
    </w:p>
    <w:p>
      <w:pPr>
        <w:spacing w:after="0" w:line="134" w:lineRule="exact"/>
        <w:rPr>
          <w:rFonts w:ascii="Times New Roman" w:cs="Times New Roman" w:eastAsia="Times New Roman" w:hAnsi="Times New Roman"/>
          <w:sz w:val="14"/>
          <w:szCs w:val="14"/>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b w:val="1"/>
          <w:bCs w:val="1"/>
          <w:color w:val="auto"/>
        </w:rPr>
        <w:t>Item 16</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ab/>
        <w:t>Form 10-K Summary.</w:t>
      </w:r>
    </w:p>
    <w:p>
      <w:pPr>
        <w:spacing w:after="0" w:line="53" w:lineRule="exact"/>
        <w:rPr>
          <w:rFonts w:ascii="Times New Roman" w:cs="Times New Roman" w:eastAsia="Times New Roman" w:hAnsi="Times New Roman"/>
          <w:sz w:val="14"/>
          <w:szCs w:val="14"/>
          <w:color w:val="auto"/>
        </w:rPr>
      </w:pPr>
    </w:p>
    <w:p>
      <w:pPr>
        <w:ind w:left="14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rFonts w:ascii="Times New Roman" w:cs="Times New Roman" w:eastAsia="Times New Roman" w:hAnsi="Times New Roman"/>
          <w:sz w:val="14"/>
          <w:szCs w:val="14"/>
          <w:color w:val="auto"/>
        </w:rPr>
      </w:pPr>
    </w:p>
    <w:p>
      <w:pPr>
        <w:spacing w:after="0" w:line="254" w:lineRule="exact"/>
        <w:rPr>
          <w:rFonts w:ascii="Times New Roman" w:cs="Times New Roman" w:eastAsia="Times New Roman" w:hAnsi="Times New Roman"/>
          <w:sz w:val="14"/>
          <w:szCs w:val="1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63" w:right="359" w:bottom="1440" w:gutter="0" w:footer="0" w:header="0"/>
        </w:sectPr>
      </w:pPr>
    </w:p>
    <w:bookmarkStart w:id="101" w:name="page102"/>
    <w:bookmarkEnd w:id="101"/>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96" w:lineRule="exact"/>
        <w:rPr>
          <w:sz w:val="20"/>
          <w:szCs w:val="20"/>
          <w:color w:val="auto"/>
        </w:rPr>
      </w:pPr>
    </w:p>
    <w:p>
      <w:pPr>
        <w:spacing w:after="0" w:line="366"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this 23th day of May, 2025.</w:t>
      </w:r>
    </w:p>
    <w:p>
      <w:pPr>
        <w:spacing w:after="0" w:line="1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BOOZ ALLEN HAMILTON HOLDING CORPORATION</w:t>
      </w:r>
    </w:p>
    <w:p>
      <w:pPr>
        <w:jc w:val="center"/>
        <w:ind w:right="160"/>
        <w:spacing w:after="0"/>
        <w:rPr>
          <w:sz w:val="20"/>
          <w:szCs w:val="20"/>
          <w:color w:val="auto"/>
        </w:rPr>
      </w:pPr>
      <w:r>
        <w:rPr>
          <w:rFonts w:ascii="Times New Roman" w:cs="Times New Roman" w:eastAsia="Times New Roman" w:hAnsi="Times New Roman"/>
          <w:sz w:val="14"/>
          <w:szCs w:val="14"/>
          <w:color w:val="auto"/>
        </w:rPr>
        <w:t>(Registrant)</w:t>
      </w:r>
    </w:p>
    <w:p>
      <w:pPr>
        <w:spacing w:after="0" w:line="131" w:lineRule="exact"/>
        <w:rPr>
          <w:sz w:val="20"/>
          <w:szCs w:val="20"/>
          <w:color w:val="auto"/>
        </w:rPr>
      </w:pPr>
    </w:p>
    <w:tbl>
      <w:tblPr>
        <w:tblLayout w:type="fixed"/>
        <w:tblInd w:w="3580" w:type="dxa"/>
        <w:tblCellMar>
          <w:top w:w="0" w:type="dxa"/>
          <w:left w:w="0" w:type="dxa"/>
          <w:bottom w:w="0" w:type="dxa"/>
          <w:right w:w="0" w:type="dxa"/>
        </w:tblCellMar>
      </w:tblPr>
      <w:tr>
        <w:trPr>
          <w:trHeight w:val="184"/>
        </w:trPr>
        <w:tc>
          <w:tcPr>
            <w:tcW w:w="7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Horacio D. Rozanski</w:t>
            </w:r>
          </w:p>
        </w:tc>
      </w:tr>
      <w:tr>
        <w:trPr>
          <w:trHeight w:val="167"/>
        </w:trPr>
        <w:tc>
          <w:tcPr>
            <w:tcW w:w="780" w:type="dxa"/>
            <w:vAlign w:val="bottom"/>
          </w:tcPr>
          <w:p>
            <w:pPr>
              <w:spacing w:after="0"/>
              <w:rPr>
                <w:sz w:val="14"/>
                <w:szCs w:val="14"/>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 Horacio D. Rozanski</w:t>
            </w:r>
          </w:p>
        </w:tc>
      </w:tr>
      <w:tr>
        <w:trPr>
          <w:trHeight w:val="184"/>
        </w:trPr>
        <w:tc>
          <w:tcPr>
            <w:tcW w:w="780" w:type="dxa"/>
            <w:vAlign w:val="bottom"/>
          </w:tcPr>
          <w:p>
            <w:pPr>
              <w:spacing w:after="0"/>
              <w:rPr>
                <w:sz w:val="16"/>
                <w:szCs w:val="16"/>
                <w:color w:val="auto"/>
              </w:rPr>
            </w:pPr>
          </w:p>
        </w:tc>
        <w:tc>
          <w:tcPr>
            <w:tcW w:w="2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Chief Executive Officer and President</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80" w:type="dxa"/>
            <w:vAlign w:val="bottom"/>
          </w:tcPr>
          <w:p>
            <w:pPr>
              <w:ind w:left="186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63"/>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Horacio D. Rozanski</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Chairman, Chief Executive Officer and President (Principal Executive</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42"/>
        </w:trPr>
        <w:tc>
          <w:tcPr>
            <w:tcW w:w="4180" w:type="dxa"/>
            <w:vAlign w:val="bottom"/>
            <w:tcBorders>
              <w:bottom w:val="single" w:sz="8" w:color="auto"/>
            </w:tcBorders>
          </w:tcPr>
          <w:p>
            <w:pPr>
              <w:spacing w:after="0"/>
              <w:rPr>
                <w:sz w:val="3"/>
                <w:szCs w:val="3"/>
                <w:color w:val="auto"/>
              </w:rPr>
            </w:pPr>
          </w:p>
        </w:tc>
        <w:tc>
          <w:tcPr>
            <w:tcW w:w="51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Officer)</w:t>
            </w: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Horacio D. Rozanski</w:t>
            </w:r>
          </w:p>
        </w:tc>
        <w:tc>
          <w:tcPr>
            <w:tcW w:w="51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4180" w:type="dxa"/>
            <w:vAlign w:val="bottom"/>
            <w:vMerge w:val="continue"/>
          </w:tcPr>
          <w:p>
            <w:pPr>
              <w:spacing w:after="0"/>
              <w:rPr>
                <w:sz w:val="4"/>
                <w:szCs w:val="4"/>
                <w:color w:val="auto"/>
              </w:rPr>
            </w:pPr>
          </w:p>
        </w:tc>
        <w:tc>
          <w:tcPr>
            <w:tcW w:w="51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Matthew A. Calderone</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52"/>
        </w:trPr>
        <w:tc>
          <w:tcPr>
            <w:tcW w:w="4180" w:type="dxa"/>
            <w:vAlign w:val="bottom"/>
            <w:tcBorders>
              <w:bottom w:val="single" w:sz="8" w:color="auto"/>
            </w:tcBorders>
          </w:tcPr>
          <w:p>
            <w:pPr>
              <w:spacing w:after="0"/>
              <w:rPr>
                <w:sz w:val="4"/>
                <w:szCs w:val="4"/>
                <w:color w:val="auto"/>
              </w:rPr>
            </w:pPr>
          </w:p>
        </w:tc>
        <w:tc>
          <w:tcPr>
            <w:tcW w:w="51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Officer)</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Matthew A. Calderone</w:t>
            </w:r>
          </w:p>
        </w:tc>
        <w:tc>
          <w:tcPr>
            <w:tcW w:w="51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18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Dennis Metzfield</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rPr>
              <w:t>Vice President, Controller and Chief Accounting Officer (Principal</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52"/>
        </w:trPr>
        <w:tc>
          <w:tcPr>
            <w:tcW w:w="4180" w:type="dxa"/>
            <w:vAlign w:val="bottom"/>
            <w:tcBorders>
              <w:bottom w:val="single" w:sz="8" w:color="auto"/>
            </w:tcBorders>
          </w:tcPr>
          <w:p>
            <w:pPr>
              <w:spacing w:after="0"/>
              <w:rPr>
                <w:sz w:val="4"/>
                <w:szCs w:val="4"/>
                <w:color w:val="auto"/>
              </w:rPr>
            </w:pPr>
          </w:p>
        </w:tc>
        <w:tc>
          <w:tcPr>
            <w:tcW w:w="51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color w:val="auto"/>
              </w:rPr>
              <w:t>Accounting Officer)</w:t>
            </w: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4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Dennis Metzfield</w:t>
            </w:r>
          </w:p>
        </w:tc>
        <w:tc>
          <w:tcPr>
            <w:tcW w:w="512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4180" w:type="dxa"/>
            <w:vAlign w:val="bottom"/>
            <w:vMerge w:val="continue"/>
          </w:tcPr>
          <w:p>
            <w:pPr>
              <w:spacing w:after="0"/>
              <w:rPr>
                <w:sz w:val="5"/>
                <w:szCs w:val="5"/>
                <w:color w:val="auto"/>
              </w:rPr>
            </w:pPr>
          </w:p>
        </w:tc>
        <w:tc>
          <w:tcPr>
            <w:tcW w:w="5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Joan Lordi C. Amble</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Joan Lordi C. Amble</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Melody C. Barnes</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Melody C. Barnes</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Debra L. Dial</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Debra L. Dial</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Michèle A. Flournoy</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Michèle A. Flournoy</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E. Gaumond</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 E. Gaumond</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Ellen Jewett</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Ellen Jewett</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Arthur E. Johnson</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Arthur E. Johnson</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Gretchen W. McClain</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Gretchen W. McClain</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Rory P. Read</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Rory P. Read</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Charles O. Rossotti</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Charles O. Rossotti</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William M. Thornberry</w:t>
            </w:r>
          </w:p>
        </w:tc>
        <w:tc>
          <w:tcPr>
            <w:tcW w:w="51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8"/>
              </w:rPr>
              <w:t>Director</w:t>
            </w:r>
          </w:p>
        </w:tc>
        <w:tc>
          <w:tcPr>
            <w:tcW w:w="1300" w:type="dxa"/>
            <w:vAlign w:val="bottom"/>
          </w:tcPr>
          <w:p>
            <w:pPr>
              <w:jc w:val="center"/>
              <w:ind w:left="450"/>
              <w:spacing w:after="0"/>
              <w:rPr>
                <w:sz w:val="20"/>
                <w:szCs w:val="20"/>
                <w:color w:val="auto"/>
              </w:rPr>
            </w:pPr>
            <w:r>
              <w:rPr>
                <w:rFonts w:ascii="Times New Roman" w:cs="Times New Roman" w:eastAsia="Times New Roman" w:hAnsi="Times New Roman"/>
                <w:sz w:val="14"/>
                <w:szCs w:val="14"/>
                <w:color w:val="auto"/>
                <w:w w:val="99"/>
              </w:rPr>
              <w:t>May 23, 2025</w:t>
            </w:r>
          </w:p>
        </w:tc>
        <w:tc>
          <w:tcPr>
            <w:tcW w:w="0" w:type="dxa"/>
            <w:vAlign w:val="bottom"/>
          </w:tcPr>
          <w:p>
            <w:pPr>
              <w:spacing w:after="0"/>
              <w:rPr>
                <w:sz w:val="1"/>
                <w:szCs w:val="1"/>
                <w:color w:val="auto"/>
              </w:rPr>
            </w:pPr>
          </w:p>
        </w:tc>
      </w:tr>
      <w:tr>
        <w:trPr>
          <w:trHeight w:val="175"/>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William M. Thornberry</w:t>
            </w:r>
          </w:p>
        </w:tc>
        <w:tc>
          <w:tcPr>
            <w:tcW w:w="5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4"/>
        </w:trPr>
        <w:tc>
          <w:tcPr>
            <w:tcW w:w="4180" w:type="dxa"/>
            <w:vAlign w:val="bottom"/>
          </w:tcPr>
          <w:p>
            <w:pPr>
              <w:spacing w:after="0"/>
              <w:rPr>
                <w:sz w:val="24"/>
                <w:szCs w:val="24"/>
                <w:color w:val="auto"/>
              </w:rPr>
            </w:pPr>
          </w:p>
        </w:tc>
        <w:tc>
          <w:tcPr>
            <w:tcW w:w="5120" w:type="dxa"/>
            <w:vAlign w:val="bottom"/>
          </w:tcPr>
          <w:p>
            <w:pPr>
              <w:jc w:val="right"/>
              <w:ind w:right="3510"/>
              <w:spacing w:after="0"/>
              <w:rPr>
                <w:sz w:val="20"/>
                <w:szCs w:val="20"/>
                <w:color w:val="auto"/>
              </w:rPr>
            </w:pPr>
            <w:r>
              <w:rPr>
                <w:rFonts w:ascii="Times New Roman" w:cs="Times New Roman" w:eastAsia="Times New Roman" w:hAnsi="Times New Roman"/>
                <w:sz w:val="14"/>
                <w:szCs w:val="14"/>
                <w:color w:val="auto"/>
              </w:rPr>
              <w:t>65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00" w:top="908" w:right="61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4"/>
          <w:szCs w:val="14"/>
          <w:b w:val="1"/>
          <w:bCs w:val="1"/>
          <w:color w:val="auto"/>
        </w:rPr>
        <w:t>Exhibit 4.15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5" w:lineRule="exact"/>
        <w:rPr>
          <w:sz w:val="20"/>
          <w:szCs w:val="20"/>
          <w:color w:val="auto"/>
        </w:rPr>
      </w:pPr>
    </w:p>
    <w:p>
      <w:pPr>
        <w:ind w:right="400"/>
        <w:spacing w:after="0" w:line="264" w:lineRule="auto"/>
        <w:rPr>
          <w:sz w:val="20"/>
          <w:szCs w:val="20"/>
          <w:color w:val="auto"/>
        </w:rPr>
      </w:pPr>
      <w:r>
        <w:rPr>
          <w:rFonts w:ascii="Times New Roman" w:cs="Times New Roman" w:eastAsia="Times New Roman" w:hAnsi="Times New Roman"/>
          <w:sz w:val="14"/>
          <w:szCs w:val="14"/>
          <w:color w:val="auto"/>
        </w:rPr>
        <w:t>The following descriptions of our capital stock and provisions of our seventh amended and restated certificate of incorporation, which we refer to as our amended and restated certificate of incorporation, and amended and restated bylaws, are summaries of their material terms and provisions. For a complete description of our capital stock, amended and restated certificate of incorporation and amended and restated bylaws, please refer to our amended and restated certificate of incorporation, amended and restated bylaws and the applicable provisions of the General Corporation Law of the State of Delaware (the “DGCL”).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references to “Company”, “we”, “us”, and “our” refer to Booz Allen Hamilton Holding Corporation.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202" w:lineRule="exact"/>
        <w:rPr>
          <w:sz w:val="20"/>
          <w:szCs w:val="20"/>
          <w:color w:val="auto"/>
        </w:rPr>
      </w:pPr>
    </w:p>
    <w:p>
      <w:pPr>
        <w:ind w:right="180"/>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the issuance of 600,000,000 shares of Class A common stock, par value $0.01 per share. The rights and privileges of holders of our Class A common stock are subject to any series of preferred stock that we may issue in the future.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registered on the New York Stock Exchange under the symbol “BAH”.</w:t>
      </w:r>
    </w:p>
    <w:p>
      <w:pPr>
        <w:spacing w:after="0" w:line="19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Voting Rights</w:t>
      </w:r>
      <w:r>
        <w:rPr>
          <w:rFonts w:ascii="Times New Roman" w:cs="Times New Roman" w:eastAsia="Times New Roman" w:hAnsi="Times New Roman"/>
          <w:sz w:val="14"/>
          <w:szCs w:val="14"/>
          <w:color w:val="auto"/>
        </w:rPr>
        <w:t>. Holders of Class A common stock are entitled to one vote for each share on all matters to be voted on by stockholders. Except as otherwise provided by the DGCL, the entire voting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power of the shares of the Company for the election of directors and for all other purposes is vested exclusively in the Class A common stock.</w:t>
      </w:r>
    </w:p>
    <w:p>
      <w:pPr>
        <w:spacing w:after="0" w:line="14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b w:val="1"/>
          <w:bCs w:val="1"/>
          <w:i w:val="1"/>
          <w:iCs w:val="1"/>
          <w:color w:val="auto"/>
        </w:rPr>
        <w:t>Election of Directors</w:t>
      </w:r>
      <w:r>
        <w:rPr>
          <w:rFonts w:ascii="Times New Roman" w:cs="Times New Roman" w:eastAsia="Times New Roman" w:hAnsi="Times New Roman"/>
          <w:sz w:val="14"/>
          <w:szCs w:val="14"/>
          <w:color w:val="auto"/>
        </w:rPr>
        <w:t>. Directors are elected by the vote of the majority of the votes cast (as defined in Section 2.02 of the amended and restated bylaws) with respect to such director’s election; unless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director has been duly nominated by a stockholder in accordance with the amended and restated bylaws. Where a director has been duly nominated by a stockholder in accordance with the amended and restated bylaws, such director shall be elected by the vote of a plurality of votes cast in connection with the election of directors at any meeting of stockholders. Any nominee who is an incumbent director and does not receive a majority of the votes cast in an election where the director was not duly nominated by a stockholder in accordance with the amended and restated bylaws must promptly tender his or her resignation contingent on the acceptance of that resignation by the Board of Directors (the “Board”) pursuant to the procedure established in the amended and restated bylaws.</w:t>
      </w:r>
    </w:p>
    <w:p>
      <w:pPr>
        <w:spacing w:after="0" w:line="33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Dividend Rights</w:t>
      </w:r>
      <w:r>
        <w:rPr>
          <w:rFonts w:ascii="Times New Roman" w:cs="Times New Roman" w:eastAsia="Times New Roman" w:hAnsi="Times New Roman"/>
          <w:sz w:val="14"/>
          <w:szCs w:val="14"/>
          <w:color w:val="auto"/>
        </w:rPr>
        <w:t>. Each share of Class A common stock is entitled to participate equally, when and if declared by the Board from time to time, in such dividends and other distributions in cash,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property from the Company’s assets or funds as may become legally available for such purposes subject to any dividend preferences that may be attributable to preferred stock that may be authorized and outstanding.</w:t>
      </w:r>
    </w:p>
    <w:p>
      <w:pPr>
        <w:spacing w:after="0" w:line="155" w:lineRule="exact"/>
        <w:rPr>
          <w:sz w:val="20"/>
          <w:szCs w:val="20"/>
          <w:color w:val="auto"/>
        </w:rPr>
      </w:pPr>
    </w:p>
    <w:p>
      <w:pPr>
        <w:jc w:val="both"/>
        <w:ind w:right="3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Right to Receive Liquidation Distributions</w:t>
      </w:r>
      <w:r>
        <w:rPr>
          <w:rFonts w:ascii="Times New Roman" w:cs="Times New Roman" w:eastAsia="Times New Roman" w:hAnsi="Times New Roman"/>
          <w:sz w:val="14"/>
          <w:szCs w:val="14"/>
          <w:color w:val="auto"/>
        </w:rPr>
        <w:t>. In the event of our liquidation, dissolution or winding up, holders of our Class A common stock will be entitled to receive proportionately any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remaining after the payment of liabilities and subject to the prior rights of any outstanding preferred stock. Because we are a holding company, our ability to pay dividends is subject to our subsidiaries’ ability to pay dividends to us, which is in turn subject to the restrictions set forth in our debt agreements.</w:t>
      </w:r>
    </w:p>
    <w:p>
      <w:pPr>
        <w:spacing w:after="0" w:line="1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Other Rights</w:t>
      </w:r>
      <w:r>
        <w:rPr>
          <w:rFonts w:ascii="Times New Roman" w:cs="Times New Roman" w:eastAsia="Times New Roman" w:hAnsi="Times New Roman"/>
          <w:sz w:val="14"/>
          <w:szCs w:val="14"/>
          <w:color w:val="auto"/>
        </w:rPr>
        <w:t>. Holders of Class A common stock have no preemptive, subscription, redemption, sinking fund, or conversion rights. All outstanding shares of Class A common stock are fully paid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non-assessable.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58" w:right="319" w:bottom="1440" w:gutter="0" w:footer="0" w:header="0"/>
        </w:sectPr>
      </w:pPr>
    </w:p>
    <w:bookmarkStart w:id="103" w:name="page104"/>
    <w:bookmarkEnd w:id="103"/>
    <w:p>
      <w:pPr>
        <w:jc w:val="both"/>
        <w:ind w:right="40"/>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the issuance of 54,000,000 shares of preferred stock, par value $0.01 per share, the terms and conditions of which are determined by the Board upon issuance. The rights, preferences and privileges of holders of common stock are subject to, and may be adversely affected by, the rights of holders of any shares of preferred stock that we may designate and issue in the future. As of May 16, 2025, there were no shares of preferred stock outstanding. We have no present plans to issue any shares of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of Control Related Provisions of Our Amended and Restated Certificate of Incorporation, Amended and Restated Bylaws and Delaware Law</w:t>
      </w:r>
    </w:p>
    <w:p>
      <w:pPr>
        <w:spacing w:after="0" w:line="202"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amended and restated bylaws, and in the DGCL, may make it difficult, expensive, and time-consuming for a third party to pursue a takeover attempt even if a change in control of the Company would be beneficial to the interests of our stockholders. 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 These provisions are intended to:</w:t>
      </w:r>
    </w:p>
    <w:p>
      <w:pPr>
        <w:spacing w:after="0" w:line="182" w:lineRule="exact"/>
        <w:rPr>
          <w:sz w:val="20"/>
          <w:szCs w:val="20"/>
          <w:color w:val="auto"/>
        </w:rPr>
      </w:pPr>
    </w:p>
    <w:p>
      <w:pPr>
        <w:ind w:left="500" w:hanging="240"/>
        <w:spacing w:after="0"/>
        <w:tabs>
          <w:tab w:leader="none" w:pos="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enhance the likelihood of continuity and stability in the composition of our Board;</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discourage some types of transactions that may involve an actual or threatened change in control of the Company;</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discourage certain tactics that may be used in proxy fights;</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ensure that our Board will have sufficient time to act in what our Board believes to be the best interests of us and our stockholders; and</w:t>
      </w:r>
    </w:p>
    <w:p>
      <w:pPr>
        <w:spacing w:after="0" w:line="8" w:lineRule="exact"/>
        <w:rPr>
          <w:rFonts w:ascii="Times New Roman" w:cs="Times New Roman" w:eastAsia="Times New Roman" w:hAnsi="Times New Roman"/>
          <w:sz w:val="17"/>
          <w:szCs w:val="17"/>
          <w:color w:val="auto"/>
        </w:rPr>
      </w:pPr>
    </w:p>
    <w:p>
      <w:pPr>
        <w:ind w:left="500" w:hanging="240"/>
        <w:spacing w:after="0" w:line="237" w:lineRule="auto"/>
        <w:tabs>
          <w:tab w:leader="none" w:pos="5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encourage persons seeking to acquire control of our company to first consult with our Board to negotiate the terms of any proposed business combination or offer.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Unissued Shares of Capital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May 16, 2025, 124,187,634 shares of our Class A common stock were issued and outstanding. The remaining shares of authorized and unissued Class A common stock are available for future</w:t>
      </w:r>
    </w:p>
    <w:p>
      <w:pPr>
        <w:spacing w:after="0" w:line="4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4"/>
          <w:szCs w:val="14"/>
          <w:color w:val="auto"/>
        </w:rPr>
        <w:t>issuance without additional stockholder approval, subject to the requirements of applicable law or regulation, including any listing requirement of the principal stock exchange on which our Class A common stock is then listed. While the additional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In addition, our amended and restated certificate of incorporation provides our Board with the authority, without any further vote or action by our stockholders, to designate and issue one or more series of preferred stock at their sole discretion and to fix the number of shares and the preferences, limitations and relative rights of the shares constituting any series. This provision makes it possible for our Board to issue preferred stock with super voting, special approval, dividend or other rights or preferences which could impede any attempt to acquire us. These and other provisions may have the effect of deferring, delaying or discouraging hostile takeovers or changes in control or management of our company, discouraging bids for the Class A common stock at a premium over the market price of the common stock and may adversely affect the market price of, and the voting and other rights of the holder of, Class A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Vacancies and Removal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260" w:right="319" w:bottom="1440" w:gutter="0" w:footer="0" w:header="0"/>
        </w:sectPr>
      </w:pPr>
    </w:p>
    <w:bookmarkStart w:id="104" w:name="page105"/>
    <w:bookmarkEnd w:id="104"/>
    <w:p>
      <w:pPr>
        <w:ind w:right="220"/>
        <w:spacing w:after="0" w:line="287" w:lineRule="auto"/>
        <w:rPr>
          <w:sz w:val="20"/>
          <w:szCs w:val="20"/>
          <w:color w:val="auto"/>
        </w:rPr>
      </w:pPr>
      <w:r>
        <w:rPr>
          <w:rFonts w:ascii="Times New Roman" w:cs="Times New Roman" w:eastAsia="Times New Roman" w:hAnsi="Times New Roman"/>
          <w:sz w:val="14"/>
          <w:szCs w:val="14"/>
          <w:color w:val="auto"/>
        </w:rPr>
        <w:t>Directors are elected for one-year terms expiring at the next succeeding annual meeting of stockholders. Each director shall hold office until his or her term expires and his or her successor is duly elected and qualified, or until such director’s earlier death, resignation, retirement, disqualification or removal.</w:t>
      </w:r>
    </w:p>
    <w:p>
      <w:pPr>
        <w:spacing w:after="0" w:line="14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a director may be removed from office at any time, either for or without cause, by the affirmative vote of holders of at least a majority of the votes to which all the stockholders of the Company would be entitled to cast in any election of directors. Our amended and restated certificate of incorporation and amended and restated bylaws also provide that vacancies in our Board may be filled only by our Board.</w:t>
      </w:r>
    </w:p>
    <w:p>
      <w:pPr>
        <w:spacing w:after="0" w:line="157" w:lineRule="exact"/>
        <w:rPr>
          <w:sz w:val="20"/>
          <w:szCs w:val="20"/>
          <w:color w:val="auto"/>
        </w:rPr>
      </w:pPr>
    </w:p>
    <w:p>
      <w:pPr>
        <w:ind w:right="480"/>
        <w:spacing w:after="0" w:line="287" w:lineRule="auto"/>
        <w:rPr>
          <w:sz w:val="20"/>
          <w:szCs w:val="20"/>
          <w:color w:val="auto"/>
        </w:rPr>
      </w:pPr>
      <w:r>
        <w:rPr>
          <w:rFonts w:ascii="Times New Roman" w:cs="Times New Roman" w:eastAsia="Times New Roman" w:hAnsi="Times New Roman"/>
          <w:sz w:val="14"/>
          <w:szCs w:val="14"/>
          <w:color w:val="auto"/>
        </w:rPr>
        <w:t>Any director elected to fill a vacancy will hold office until the next succeeding annual meeting of stockholders (including a vacancy created by increasing the size of the Board) and until such director’s successor shall have been duly elected and qualified.</w:t>
      </w:r>
    </w:p>
    <w:p>
      <w:pPr>
        <w:spacing w:after="0" w:line="145"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No decrease in the number of directors will shorten the term of any incumbent director. The number of directors shall be fixed and modified, but not reduced to less than three, from time to time by resolution of our Board.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Advance Notice Provisions for Stockholder Nominations of Directors and Stockholder Proposals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Our amended and restated bylaws establish an advance notice procedure for stockholders to make nominations of candidates for election as director or to bring other business before an annual meeting of our stockholders. This procedure provides that, except as otherwise required by applicable law, only persons who are nominated by the Board, a committee appointed by the Board, or by a stockholder who (i) is entitled to vote at the meeting, (ii) has given timely written notice to our secretary prior to the meeting and (iii) is a stockholder of record when the required notice is delivered and at the date of the meeting, will be eligible for election as directors, and only business that has been brought before an annual meeting by the Board, any committee appointed by the Board, or by a stockholder who has given timely written notice to our secretary prior to the meeting, may be conducted. Under the procedure, to be timely, notice must be received by the secretary at our principal executive offices not less than 90 days and not more than 120 days prior to the first anniversary date of the annual meeting of the preceding year. In addition, a stockholder’s notice proposing to nominate a person for election as director must, among other things, contain specific information about the nominating stockholder and the proposed nominee as well as the proposed nominee’s written consent to be named in the proxy statement as a nominee and to serving as a director if elected. A stockholder’s notice relating to the conduct of business other than the nomination of directors must contain, among other things, specific information about the proposing stockholder, the text of the proposal, the reasons for conducting such business at the meeting and any material interest in such business of such stockholder and beneficial owner, if any, on whose behalf the proposal is made.</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4"/>
          <w:szCs w:val="14"/>
          <w:color w:val="auto"/>
        </w:rPr>
        <w:t>Requiring advance notice of nominations by stockholders allows our Board an opportunity to consider the qualifications of the proposed nominees and also provides a more orderly procedure for conducting annual meetings of stockholders. It also provides the Board with the opportunity to inform stockholders of proposed business prior to the meeting, so that stockholders can better decide whether to attend the meeting or to grant a proxy regarding the disposition of the business. These provisions may also have the effect of precluding a contest for the election of directors or the consideration of stockholder proposals and of discouraging or deterring a third party from conducting a solicitation of proxies to elect its own slate of directors or to approve its own proposal without regard to whether consideration of the nominees or proposals might be harmful or beneficial to us or our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 of Liability of Directors and Officers; Indemnification of Directors and Officers</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Our amended and restated certificate of incorporation contains provisions permitted under the DGCL relating to the liability of directors. These provisions eliminate a director’s or officer’s personal liability for monetary damages resulting from a breach of fiduciary duty, except in circumstances involving or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260" w:right="339" w:bottom="1440" w:gutter="0" w:footer="0" w:header="0"/>
        </w:sectPr>
      </w:pPr>
    </w:p>
    <w:bookmarkStart w:id="105" w:name="page106"/>
    <w:bookmarkEnd w:id="105"/>
    <w:p>
      <w:pPr>
        <w:ind w:left="260" w:hanging="255"/>
        <w:spacing w:after="0"/>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any breach of the director’s or officer’s duty of loyalty;</w:t>
      </w:r>
    </w:p>
    <w:p>
      <w:pPr>
        <w:spacing w:after="0" w:line="8"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acts or omissions by a director or officer not in good faith or which involve intentional misconduct or a knowing violation of the law;</w:t>
      </w:r>
    </w:p>
    <w:p>
      <w:pPr>
        <w:spacing w:after="0" w:line="8"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any violation of a director of Section 174 of the DGCL (including, among other things, unlawful payment of dividends);</w:t>
      </w:r>
    </w:p>
    <w:p>
      <w:pPr>
        <w:spacing w:after="0" w:line="8"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any transaction from which the director or officer derives an improper personal benefit; or</w:t>
      </w:r>
    </w:p>
    <w:p>
      <w:pPr>
        <w:spacing w:after="0" w:line="8" w:lineRule="exact"/>
        <w:rPr>
          <w:rFonts w:ascii="Times New Roman" w:cs="Times New Roman" w:eastAsia="Times New Roman" w:hAnsi="Times New Roman"/>
          <w:sz w:val="17"/>
          <w:szCs w:val="17"/>
          <w:color w:val="auto"/>
        </w:rPr>
      </w:pPr>
    </w:p>
    <w:p>
      <w:pPr>
        <w:ind w:left="260" w:hanging="255"/>
        <w:spacing w:after="0" w:line="237" w:lineRule="auto"/>
        <w:tabs>
          <w:tab w:leader="none" w:pos="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liability of an officer in any action by or in right of the Company.</w:t>
      </w:r>
    </w:p>
    <w:p>
      <w:pPr>
        <w:spacing w:after="0" w:line="18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4"/>
          <w:szCs w:val="14"/>
          <w:color w:val="auto"/>
        </w:rPr>
        <w:t>The principal effect of the limitation on liability provision is that a stockholder will be unable to prosecute an action for monetary damages against a director or officer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a director’s or officer’s fiduciary duty. These provisions will not alter a director’s or officer’s liability under federal</w:t>
      </w:r>
    </w:p>
    <w:p>
      <w:pPr>
        <w:spacing w:after="0" w:line="2" w:lineRule="exact"/>
        <w:rPr>
          <w:sz w:val="20"/>
          <w:szCs w:val="20"/>
          <w:color w:val="auto"/>
        </w:rPr>
      </w:pPr>
    </w:p>
    <w:p>
      <w:pPr>
        <w:ind w:right="120"/>
        <w:spacing w:after="0" w:line="287" w:lineRule="auto"/>
        <w:rPr>
          <w:sz w:val="20"/>
          <w:szCs w:val="20"/>
          <w:color w:val="auto"/>
        </w:rPr>
      </w:pPr>
      <w:r>
        <w:rPr>
          <w:rFonts w:ascii="Times New Roman" w:cs="Times New Roman" w:eastAsia="Times New Roman" w:hAnsi="Times New Roman"/>
          <w:sz w:val="14"/>
          <w:szCs w:val="14"/>
          <w:color w:val="auto"/>
        </w:rPr>
        <w:t>securities laws. The inclusion of this provision in our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4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4"/>
          <w:szCs w:val="14"/>
          <w:color w:val="auto"/>
        </w:rPr>
        <w:t>Our amended and restated bylaws require us to indemnify and advance expenses to our directors and officers to the fullest extent not prohibited by the DGCL and other applicable law, except in the case of a proceeding instituted by the director without the approval of our Board. Our amended and restated bylaws also provide that we are required to indemnify our directors and officers, to the fullest extent permitted by law, for all judgments, fines, settlements, legal fees and other expenses incurred in 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6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We have entered into an indemnification agreement with each of our directors and certain of our officers. The indemnification agreements provide our directors and certain of our officers with contractual rights to the indemnification and expense advancement rights provided under our amended and restated bylaws, as well as contractual rights to additional indemnification as provided in the indemnification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Exclusive Forum Provision</w:t>
      </w:r>
    </w:p>
    <w:p>
      <w:pPr>
        <w:spacing w:after="0" w:line="2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the Court of Chancery of the State of Delaware shall be the sole and exclusive forum for (i) any derivative action or proceeding brought on behalf of the Company, (ii) any action asserting a claim of breach of a fiduciary duty owed by any director or officer of the Company to the Company or the Company’s stockholders, (iii) any action asserting a claim against the Company arising pursuant to any provision of the DGCL or our amended and restated certificate of incorporation or amended and restated bylaws, or (iv) any action asserting a claim against the Company governed by the internal affairs doctrine.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Computershare serves as transfer agent and registrar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40"/>
          </w:cols>
          <w:pgMar w:left="300" w:top="1280" w:right="35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5751830</wp:posOffset>
            </wp:positionH>
            <wp:positionV relativeFrom="page">
              <wp:posOffset>88900</wp:posOffset>
            </wp:positionV>
            <wp:extent cx="895985"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rPr>
          <w:sz w:val="20"/>
          <w:szCs w:val="20"/>
          <w:color w:val="auto"/>
        </w:rPr>
      </w:pPr>
      <w:r>
        <w:rPr>
          <w:rFonts w:ascii="Arial" w:cs="Arial" w:eastAsia="Arial" w:hAnsi="Arial"/>
          <w:sz w:val="25"/>
          <w:szCs w:val="25"/>
          <w:color w:val="0F6563"/>
        </w:rPr>
        <w:t>Officer Retirement</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SPONSORING ORGANIZATION: </w:t>
      </w:r>
      <w:r>
        <w:rPr>
          <w:rFonts w:ascii="Arial" w:cs="Arial" w:eastAsia="Arial" w:hAnsi="Arial"/>
          <w:sz w:val="15"/>
          <w:szCs w:val="15"/>
          <w:color w:val="0F6563"/>
        </w:rPr>
        <w:t>People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6153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PURPOSE</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This policy prepares an Officer for retirement and fosters close continuing relations between the retired Officer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SCOPE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This policy applies to all Officers (Senior Vice Presidents and above)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POLICY</w:t>
      </w:r>
    </w:p>
    <w:p>
      <w:pPr>
        <w:spacing w:after="0" w:line="87" w:lineRule="exact"/>
        <w:rPr>
          <w:sz w:val="20"/>
          <w:szCs w:val="20"/>
          <w:color w:val="auto"/>
        </w:rPr>
      </w:pPr>
    </w:p>
    <w:p>
      <w:pPr>
        <w:ind w:right="260"/>
        <w:spacing w:after="0" w:line="290" w:lineRule="auto"/>
        <w:rPr>
          <w:sz w:val="20"/>
          <w:szCs w:val="20"/>
          <w:color w:val="auto"/>
        </w:rPr>
      </w:pPr>
      <w:r>
        <w:rPr>
          <w:rFonts w:ascii="Arial" w:cs="Arial" w:eastAsia="Arial" w:hAnsi="Arial"/>
          <w:sz w:val="14"/>
          <w:szCs w:val="14"/>
          <w:color w:val="auto"/>
        </w:rPr>
        <w:t>Retirement for an Officer implies meaningful change in a relationship and a career milestone. To be most effective, the retirement process should be characterized by openness, honesty, clarity, and equitability.</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Eligibility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An Officer may be eligible to retire, with full retirement benefits, if such retirement occurs on or after either:</w:t>
      </w:r>
    </w:p>
    <w:p>
      <w:pPr>
        <w:spacing w:after="0" w:line="94" w:lineRule="exact"/>
        <w:rPr>
          <w:sz w:val="20"/>
          <w:szCs w:val="20"/>
          <w:color w:val="auto"/>
        </w:rPr>
      </w:pPr>
    </w:p>
    <w:p>
      <w:pPr>
        <w:ind w:left="520" w:hanging="260"/>
        <w:spacing w:after="0"/>
        <w:tabs>
          <w:tab w:leader="none" w:pos="520"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Seven (7) years of service as an Officer and upon reaching age 60; or</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6"/>
        </w:numPr>
        <w:rPr>
          <w:rFonts w:ascii="Times New Roman" w:cs="Times New Roman" w:eastAsia="Times New Roman" w:hAnsi="Times New Roman"/>
          <w:sz w:val="14"/>
          <w:szCs w:val="14"/>
          <w:color w:val="auto"/>
        </w:rPr>
      </w:pPr>
      <w:r>
        <w:rPr>
          <w:rFonts w:ascii="Arial" w:cs="Arial" w:eastAsia="Arial" w:hAnsi="Arial"/>
          <w:sz w:val="14"/>
          <w:szCs w:val="14"/>
          <w:color w:val="auto"/>
        </w:rPr>
        <w:t>Ten (10) years of service as an Officer and upon reaching age 55; or</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Special Eligibility Rules for existing active Officers as of January 1, 2024</w:t>
      </w:r>
    </w:p>
    <w:p>
      <w:pPr>
        <w:spacing w:after="0" w:line="96" w:lineRule="exact"/>
        <w:rPr>
          <w:sz w:val="20"/>
          <w:szCs w:val="20"/>
          <w:color w:val="auto"/>
        </w:rPr>
      </w:pPr>
    </w:p>
    <w:p>
      <w:pPr>
        <w:ind w:right="120"/>
        <w:spacing w:after="0" w:line="270" w:lineRule="auto"/>
        <w:rPr>
          <w:sz w:val="20"/>
          <w:szCs w:val="20"/>
          <w:color w:val="auto"/>
        </w:rPr>
      </w:pPr>
      <w:r>
        <w:rPr>
          <w:rFonts w:ascii="Arial" w:cs="Arial" w:eastAsia="Arial" w:hAnsi="Arial"/>
          <w:sz w:val="14"/>
          <w:szCs w:val="14"/>
          <w:i w:val="1"/>
          <w:iCs w:val="1"/>
          <w:color w:val="auto"/>
        </w:rPr>
        <w:t>Individuals who were hired or promoted to Officer prior to January 1, 2024 (the “Grandfathered Officers”) may continue to be eligible to retire, with retirement benefits as outlined in this policy, if such individual remains continuously employed with the company from the date the individual became an Officer through the date of retirement and such retirement occurs on or after either:</w:t>
      </w:r>
    </w:p>
    <w:p>
      <w:pPr>
        <w:spacing w:after="0" w:line="51" w:lineRule="exact"/>
        <w:rPr>
          <w:sz w:val="20"/>
          <w:szCs w:val="20"/>
          <w:color w:val="auto"/>
        </w:rPr>
      </w:pPr>
    </w:p>
    <w:p>
      <w:pPr>
        <w:ind w:left="520" w:hanging="260"/>
        <w:spacing w:after="0"/>
        <w:tabs>
          <w:tab w:leader="none" w:pos="520" w:val="left"/>
        </w:tabs>
        <w:numPr>
          <w:ilvl w:val="0"/>
          <w:numId w:val="7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Five (5) years of service as an Officer and upon reaching age 60; or</w:t>
      </w:r>
    </w:p>
    <w:p>
      <w:pPr>
        <w:spacing w:after="0" w:line="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7"/>
        </w:numPr>
        <w:rPr>
          <w:rFonts w:ascii="Times New Roman" w:cs="Times New Roman" w:eastAsia="Times New Roman" w:hAnsi="Times New Roman"/>
          <w:sz w:val="14"/>
          <w:szCs w:val="14"/>
          <w:color w:val="auto"/>
        </w:rPr>
      </w:pPr>
      <w:r>
        <w:rPr>
          <w:rFonts w:ascii="Arial" w:cs="Arial" w:eastAsia="Arial" w:hAnsi="Arial"/>
          <w:sz w:val="14"/>
          <w:szCs w:val="14"/>
          <w:i w:val="1"/>
          <w:iCs w:val="1"/>
          <w:color w:val="auto"/>
        </w:rPr>
        <w:t>Ten (10) years of service as an Officer and upon reaching age 50.</w:t>
      </w:r>
    </w:p>
    <w:p>
      <w:pPr>
        <w:spacing w:after="0" w:line="166" w:lineRule="exact"/>
        <w:rPr>
          <w:sz w:val="20"/>
          <w:szCs w:val="20"/>
          <w:color w:val="auto"/>
        </w:rPr>
      </w:pPr>
    </w:p>
    <w:p>
      <w:pPr>
        <w:ind w:right="60"/>
        <w:spacing w:after="0" w:line="287" w:lineRule="auto"/>
        <w:rPr>
          <w:sz w:val="20"/>
          <w:szCs w:val="20"/>
          <w:color w:val="auto"/>
        </w:rPr>
      </w:pPr>
      <w:r>
        <w:rPr>
          <w:rFonts w:ascii="Arial" w:cs="Arial" w:eastAsia="Arial" w:hAnsi="Arial"/>
          <w:sz w:val="14"/>
          <w:szCs w:val="14"/>
          <w:i w:val="1"/>
          <w:iCs w:val="1"/>
          <w:color w:val="auto"/>
        </w:rPr>
        <w:t>This special eligibility rule shall not apply to any Officers who are reemployed following a termination of employment with the company if such reemployment occurs after January 1, 2024.</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Former Booz Allen Employment</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an Officer terminates employment with the company but is rehired within five (5) years following the date of such termination, the Officer will be granted credit for any prior years of employment with the company in determining whether the seven or ten years of service requirement described above is satisfied. Officers re-hired more than five (5) years after the date of retirement will not be given credit for prior years of service.</w:t>
      </w:r>
    </w:p>
    <w:p>
      <w:pPr>
        <w:jc w:val="both"/>
        <w:ind w:right="80"/>
        <w:spacing w:after="0" w:line="261" w:lineRule="auto"/>
        <w:rPr>
          <w:sz w:val="20"/>
          <w:szCs w:val="20"/>
          <w:color w:val="auto"/>
        </w:rPr>
      </w:pPr>
      <w:r>
        <w:rPr>
          <w:rFonts w:ascii="Arial" w:cs="Arial" w:eastAsia="Arial" w:hAnsi="Arial"/>
          <w:sz w:val="14"/>
          <w:szCs w:val="14"/>
          <w:color w:val="auto"/>
        </w:rPr>
        <w:t>For retirement benefit eligibility, business continuity, and succession planning, an Officer is required to provide written notification of intention to retire at least three (3) months prior to the Officer’s anticipated retirement date to the Chief People Officer. For notice periods less than three (3) months, approval by the Chief People Officer is required for eligibility to the benefits described in this Policy. During this notification period, the Officer shall retain the Officer’s current benefits and compensation.</w:t>
      </w:r>
    </w:p>
    <w:p>
      <w:pPr>
        <w:spacing w:after="0" w:line="55" w:lineRule="exact"/>
        <w:rPr>
          <w:sz w:val="20"/>
          <w:szCs w:val="20"/>
          <w:color w:val="auto"/>
        </w:rPr>
      </w:pPr>
    </w:p>
    <w:p>
      <w:pPr>
        <w:ind w:right="40"/>
        <w:spacing w:after="0" w:line="271" w:lineRule="auto"/>
        <w:rPr>
          <w:sz w:val="20"/>
          <w:szCs w:val="20"/>
          <w:color w:val="auto"/>
        </w:rPr>
      </w:pPr>
      <w:r>
        <w:rPr>
          <w:rFonts w:ascii="Arial" w:cs="Arial" w:eastAsia="Arial" w:hAnsi="Arial"/>
          <w:sz w:val="14"/>
          <w:szCs w:val="14"/>
          <w:color w:val="auto"/>
        </w:rPr>
        <w:t>U.S. Officers departing the company who do not meet the eligibility criteria to retire as an Officer but have at least 25 years of service with the company, in either an Officer or staff position, may be offered continued health and dental coverage under a company group health plan following retirement in the company’s sole discretion. This offer must be made in writing and approved by the Chief People Officer.</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and Retirement Payments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Performance Bonus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3.1 | Effective Date:12.01.2024</w:t>
      </w:r>
    </w:p>
    <w:p>
      <w:pPr>
        <w:sectPr>
          <w:pgSz w:w="11900" w:h="16838" w:orient="portrait"/>
          <w:cols w:equalWidth="0" w:num="1">
            <w:col w:w="11280"/>
          </w:cols>
          <w:pgMar w:left="300" w:top="235" w:right="31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5751830</wp:posOffset>
            </wp:positionH>
            <wp:positionV relativeFrom="page">
              <wp:posOffset>88900</wp:posOffset>
            </wp:positionV>
            <wp:extent cx="895985" cy="134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When an Officer leaves Booz Allen employment for retirement reasons, they may be eligible for an annual performance bonus if they have worked at least three months of the fiscal year. Upon recommendation of management, and with the approval of the Compensation, Culture and People Committee of the Board of Directors in the case of retiring Section 16 Officers, a prorated annual bonus payment for the fiscal year in which retirement occurs may be awarded to a retiring Officer based on the Officer’s performance and time in level during the fiscal year in which the retirement occurred. Retiring Officers who qualify for bonuses during any fiscal year will receive any such bonus payment when that fiscal year's bonuses are paid to active Officers within two-and-one-half months from fiscal year end. If a Retiring Officer previously elected to defer a portion of such bonus under the Booz Allen Hamilton Inc. the Nonqualified Deferred Compensation Plan, payment will be made in accordance with the terms of such plan.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w:t>
      </w:r>
    </w:p>
    <w:p>
      <w:pPr>
        <w:spacing w:after="0" w:line="94"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Matters related to equity in Booz Allen Hamilton Holding Corporation shall be governed by the Equity Incentive Plan (EIP) as may be amended from time to time, and the applicable Award Agreement(s).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Retirement Payment</w:t>
      </w:r>
    </w:p>
    <w:p>
      <w:pPr>
        <w:spacing w:after="0" w:line="94" w:lineRule="exact"/>
        <w:rPr>
          <w:sz w:val="20"/>
          <w:szCs w:val="20"/>
          <w:color w:val="auto"/>
        </w:rPr>
      </w:pPr>
    </w:p>
    <w:p>
      <w:pPr>
        <w:ind w:right="300"/>
        <w:spacing w:after="0" w:line="271" w:lineRule="auto"/>
        <w:rPr>
          <w:sz w:val="20"/>
          <w:szCs w:val="20"/>
          <w:color w:val="auto"/>
        </w:rPr>
      </w:pPr>
      <w:r>
        <w:rPr>
          <w:rFonts w:ascii="Arial" w:cs="Arial" w:eastAsia="Arial" w:hAnsi="Arial"/>
          <w:sz w:val="14"/>
          <w:szCs w:val="14"/>
          <w:color w:val="auto"/>
        </w:rPr>
        <w:t>An Officer may be eligible to receive a gross lump sum cash retirement payment equal to $20,000 USD (or equivalent) for each year of service as an Officer (pro-rated as appropriate for partial years of service). This retirement payment is subject to applicable taxes and withholdings and will be paid within 90 days following the Officer’s last day of employment. This payment is based on current economics and subject to change.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An Officer’s eligibility to receive the retirement payment shall be determined on the following basis:</w:t>
      </w:r>
    </w:p>
    <w:p>
      <w:pPr>
        <w:spacing w:after="0" w:line="83" w:lineRule="exact"/>
        <w:rPr>
          <w:sz w:val="20"/>
          <w:szCs w:val="20"/>
          <w:color w:val="auto"/>
        </w:rPr>
      </w:pPr>
    </w:p>
    <w:p>
      <w:pPr>
        <w:ind w:left="520" w:right="420" w:hanging="260"/>
        <w:spacing w:after="0" w:line="241" w:lineRule="auto"/>
        <w:tabs>
          <w:tab w:leader="none" w:pos="516"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The Officer has retired on his/her own volition, his/her employment with the company has not been terminated by the company, and he/she has not received transition benefits to which an Officer who has been terminated would be entitled;</w:t>
      </w:r>
    </w:p>
    <w:p>
      <w:pPr>
        <w:spacing w:after="0" w:line="4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8"/>
        </w:numPr>
        <w:rPr>
          <w:rFonts w:ascii="Times New Roman" w:cs="Times New Roman" w:eastAsia="Times New Roman" w:hAnsi="Times New Roman"/>
          <w:sz w:val="14"/>
          <w:szCs w:val="14"/>
          <w:color w:val="auto"/>
        </w:rPr>
      </w:pPr>
      <w:r>
        <w:rPr>
          <w:rFonts w:ascii="Arial" w:cs="Arial" w:eastAsia="Arial" w:hAnsi="Arial"/>
          <w:sz w:val="14"/>
          <w:szCs w:val="14"/>
          <w:color w:val="auto"/>
        </w:rPr>
        <w:t>The Officer has met the retirement eligibility, as defined above.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 Insurance</w:t>
      </w:r>
    </w:p>
    <w:p>
      <w:pPr>
        <w:spacing w:after="0" w:line="94"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U.S.-based/U.S. Citizen Officers retiring Officers (and any dependents of the Officer who are covered under the Company’s medical plan for active employees on the date of retirement) are eligible for comprehensive health insurance coverage under the U.S. Retired Officer Medical and Dental Insurance Plan or a successor plan (the “Retired Officer Medical Plan”); premiums are paid by the company. Neither dependents who are not covered under the Company’s medical plan for active employees on the date of the Officer’s retirement nor dependents acquired by an Officer following the date of an Officer’s retirement are eligible for such coverage. If a retired Officer pre-deceases his/her spouse or domestic partner, the spouse/domestic partner may remain in the Retired Officer Medical Plan. Officers based outside the U. S. will be provided comparable coverage, as available. In the event of a conflict between the terms of the Retired Officer Medical Plan and this policy, the terms of the Retired Officer Medical Plan will govern.</w:t>
      </w:r>
    </w:p>
    <w:p>
      <w:pPr>
        <w:spacing w:after="0" w:line="57"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Should a retired Officer become employed by a new employer following retirement from Booz Allen, they must enroll in the medical/dental plan at their new employer at which point coverage under the Booz Allen Officer Medical Plan will be secondary to the new employer plan</w:t>
      </w:r>
      <w:r>
        <w:rPr>
          <w:rFonts w:ascii="Arial" w:cs="Arial" w:eastAsia="Arial" w:hAnsi="Arial"/>
          <w:sz w:val="15"/>
          <w:szCs w:val="15"/>
          <w:color w:val="auto"/>
        </w:rPr>
        <w:t>.</w:t>
      </w:r>
    </w:p>
    <w:p>
      <w:pPr>
        <w:spacing w:after="0" w:line="37" w:lineRule="exact"/>
        <w:rPr>
          <w:sz w:val="20"/>
          <w:szCs w:val="20"/>
          <w:color w:val="auto"/>
        </w:rPr>
      </w:pPr>
    </w:p>
    <w:p>
      <w:pPr>
        <w:spacing w:after="0" w:line="264" w:lineRule="auto"/>
        <w:rPr>
          <w:sz w:val="20"/>
          <w:szCs w:val="20"/>
          <w:color w:val="auto"/>
        </w:rPr>
      </w:pPr>
      <w:r>
        <w:rPr>
          <w:rFonts w:ascii="Arial" w:cs="Arial" w:eastAsia="Arial" w:hAnsi="Arial"/>
          <w:sz w:val="14"/>
          <w:szCs w:val="14"/>
          <w:color w:val="auto"/>
        </w:rPr>
        <w:t>If during the five-year period after a “change in control” (as defined in the Equity Incentive Plan, as may be amended from time to time) the Retired Officer Medical Plan is terminated or modified in a manner that is materially adverse to Officers who have met the requirements to receive retirement benefits under this policy on the date of the change in control or retired Officers who are covered by the Retired Officer Medical Plan, such Officers (and their eligible spouses/domestic partners) will be guaranteed continued benefits under the Retired Officer Medical Plan through the fifth anniversary of the change in control. In addition, each such Officer (or their eligible spouse/domestic partner) shall be paid, during the</w:t>
      </w:r>
    </w:p>
    <w:p>
      <w:pPr>
        <w:spacing w:after="0" w:line="2"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90-day period following the fifth anniversary of the change in control, an amount equal to the excess of the actuarial cost of such Officer’s (and their eligible spouse’s/domestic partner’s) benefits under the Retired Officer Medical Plan that would be accrued on the company’s financial statements on the fifth anniversary of the change in control in the absence of such termination or modification of the Retired Officer Medical Plan over the amount that is accrued on the company’s financial statements on the fifth anniversary of the change in control giving effect to the termination or modification (but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3.1 | Effective Date:12.01.2024</w:t>
      </w:r>
    </w:p>
    <w:p>
      <w:pPr>
        <w:sectPr>
          <w:pgSz w:w="11900" w:h="16838" w:orient="portrait"/>
          <w:cols w:equalWidth="0" w:num="1">
            <w:col w:w="11280"/>
          </w:cols>
          <w:pgMar w:left="300" w:top="235"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5751830</wp:posOffset>
            </wp:positionH>
            <wp:positionV relativeFrom="page">
              <wp:posOffset>88900</wp:posOffset>
            </wp:positionV>
            <wp:extent cx="895985" cy="134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20"/>
        <w:spacing w:after="0" w:line="271" w:lineRule="auto"/>
        <w:rPr>
          <w:sz w:val="20"/>
          <w:szCs w:val="20"/>
          <w:color w:val="auto"/>
        </w:rPr>
      </w:pPr>
      <w:r>
        <w:rPr>
          <w:rFonts w:ascii="Arial" w:cs="Arial" w:eastAsia="Arial" w:hAnsi="Arial"/>
          <w:sz w:val="14"/>
          <w:szCs w:val="14"/>
          <w:color w:val="auto"/>
        </w:rPr>
        <w:t>excluding any accrual for the payment itself). The actuarial and other assumptions used in calculating the accruals will be the same assumptions as those used to calculate the accrual immediately prior to the change in control, with such changes as are required under generally accepted accounting principles or as otherwise approved by a majority of the members of the company’s leadership team, as constituted immediately prior to the change in control (the “CIC Team”).</w:t>
      </w:r>
    </w:p>
    <w:p>
      <w:pPr>
        <w:spacing w:after="0" w:line="4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company will notify such Officers of any termination or modification that will result in a payment under this policy within 30 days after a decision to terminate or modify the Retired Officer Medical Plan is approved and, in any event, no later than 90 days prior to the fifth anniversary of the change in control. Within 30 days after the fifth anniversary of the change in control, the company will prepare and deliver to the CIC Team a statement setting forth the calculation of the aggregate payments to such Officers. The CIC Team, acting by majority vote, will have 30 days following receipt of the calculation to deliver a written notice that the CIC Team disputes the calculation of the payments, which notice will set forth in reasonable detail the basis for the dispute (e.g., mathematical errors or a change in assumptions other than as required by generally accepted accounting principles). If the CIC Team does not submit a notice of dispute before the end of the 30-day period, the calculation will be deemed final and binding. The company and the CIC Team will work in good faith to resolve any dispute as promptly as possible. Any portion of the accruals that are not in dispute (i.e., the payment as originally calculated by the company) will be paid to the Officers on or before the 90th day following the fifth anniversary of the change in control.</w:t>
      </w:r>
    </w:p>
    <w:p>
      <w:pPr>
        <w:spacing w:after="0" w:line="6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If the company and the CIC Team are unable to resolve a dispute on or before the 30th day following receipt by the company of the notice of dispute, the company will retain a nationally recognized independent public accounting company (the “Accounting Company”) selected by the CIC Team to resolve any remaining disputes contained in the notice of dispute. The Accounting Company will return a determination to the company and the CIC Team as soon as practicable and no later than 60 days after being engaged to resolve the disputes. The determination of the Accounting Company will be final and binding with respect to all disputes presented to it. The company will pay any remaining amount within 30 days of the dispute's resolution and no later than December 31 of the year in which the Accounting Company delivers its final determination.</w:t>
      </w:r>
    </w:p>
    <w:p>
      <w:pPr>
        <w:spacing w:after="0" w:line="62" w:lineRule="exact"/>
        <w:rPr>
          <w:sz w:val="20"/>
          <w:szCs w:val="20"/>
          <w:color w:val="auto"/>
        </w:rPr>
      </w:pPr>
    </w:p>
    <w:p>
      <w:pPr>
        <w:ind w:right="260"/>
        <w:spacing w:after="0" w:line="311" w:lineRule="auto"/>
        <w:rPr>
          <w:sz w:val="20"/>
          <w:szCs w:val="20"/>
          <w:color w:val="auto"/>
        </w:rPr>
      </w:pPr>
      <w:r>
        <w:rPr>
          <w:rFonts w:ascii="Arial" w:cs="Arial" w:eastAsia="Arial" w:hAnsi="Arial"/>
          <w:sz w:val="14"/>
          <w:szCs w:val="14"/>
          <w:color w:val="auto"/>
        </w:rPr>
        <w:t>For purposes of the benefits described in this Health Insurance section, including the change in control benefit but excluding for the avoidance of doubt, all the other benefits described in this policy (i.e., Performance Bonus, Equity and Retirement Payment), “Officer” shall include those Vice Presidents of the company who were Senior Directors as of 10/1/2009.</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Release of Claims</w:t>
      </w:r>
    </w:p>
    <w:p>
      <w:pPr>
        <w:spacing w:after="0" w:line="33" w:lineRule="exact"/>
        <w:rPr>
          <w:sz w:val="20"/>
          <w:szCs w:val="20"/>
          <w:color w:val="auto"/>
        </w:rPr>
      </w:pPr>
    </w:p>
    <w:p>
      <w:pPr>
        <w:ind w:right="40"/>
        <w:spacing w:after="0" w:line="296" w:lineRule="auto"/>
        <w:rPr>
          <w:sz w:val="20"/>
          <w:szCs w:val="20"/>
          <w:color w:val="auto"/>
        </w:rPr>
      </w:pPr>
      <w:r>
        <w:rPr>
          <w:rFonts w:ascii="Arial" w:cs="Arial" w:eastAsia="Arial" w:hAnsi="Arial"/>
          <w:sz w:val="14"/>
          <w:szCs w:val="14"/>
          <w:color w:val="auto"/>
        </w:rPr>
        <w:t>Retirement payments and benefits shall be contingent on the Officer’s execution and non-revocation of a release of claims in the form provided by the company, and any subsequent reaffirmation, as applicable. Any payment that would otherwise have been made during such execution and revocation period shall be paid in a lump sum on the first applicable payment date to occur after the release becomes irrevocable, provided that, if such execution and revocation period spans more than one calendar year, no such payments shall be made until the first payroll date in the second calendar year. Failure by an Officer to execute an irrevocable release of claims within the time frame established by the company will result in the Officer’s forfeiture of all payments and benefits otherwise due under this Policy.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Existing Agreements</w:t>
      </w:r>
    </w:p>
    <w:p>
      <w:pPr>
        <w:spacing w:after="0" w:line="115" w:lineRule="exact"/>
        <w:rPr>
          <w:sz w:val="20"/>
          <w:szCs w:val="20"/>
          <w:color w:val="auto"/>
        </w:rPr>
      </w:pPr>
    </w:p>
    <w:p>
      <w:pPr>
        <w:jc w:val="both"/>
        <w:ind w:right="340"/>
        <w:spacing w:after="0" w:line="319" w:lineRule="auto"/>
        <w:rPr>
          <w:sz w:val="20"/>
          <w:szCs w:val="20"/>
          <w:color w:val="auto"/>
        </w:rPr>
      </w:pPr>
      <w:r>
        <w:rPr>
          <w:rFonts w:ascii="Arial" w:cs="Arial" w:eastAsia="Arial" w:hAnsi="Arial"/>
          <w:sz w:val="14"/>
          <w:szCs w:val="14"/>
          <w:color w:val="auto"/>
        </w:rPr>
        <w:t>An Officer’s retirement does not waive obligations under the existing Agreement concerning Proprietary Information and Intellectual Property, Non-Solicit, Non-Recruitment and Non-Competition and the Equity Incentive Plan (EIP) as may be amended from time to time. These terms and conditions contain information relative to potential restrictions on future employment opportunities.</w:t>
      </w:r>
    </w:p>
    <w:p>
      <w:pPr>
        <w:spacing w:after="0" w:line="26" w:lineRule="exact"/>
        <w:rPr>
          <w:sz w:val="20"/>
          <w:szCs w:val="20"/>
          <w:color w:val="auto"/>
        </w:rPr>
      </w:pPr>
    </w:p>
    <w:p>
      <w:pPr>
        <w:ind w:right="640"/>
        <w:spacing w:after="0" w:line="290" w:lineRule="auto"/>
        <w:rPr>
          <w:sz w:val="20"/>
          <w:szCs w:val="20"/>
          <w:color w:val="auto"/>
        </w:rPr>
      </w:pPr>
      <w:r>
        <w:rPr>
          <w:rFonts w:ascii="Arial" w:cs="Arial" w:eastAsia="Arial" w:hAnsi="Arial"/>
          <w:sz w:val="14"/>
          <w:szCs w:val="14"/>
          <w:color w:val="auto"/>
        </w:rPr>
        <w:t>The Benefits Plan Committee (“BPC”), or its delegate, is responsible for administering the benefits described in this policy to the extent such benefits are subject to ERISA (Employee Retirement Income Security Act), including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3.1 | Effective Date:12.01.2024</w:t>
      </w:r>
    </w:p>
    <w:p>
      <w:pPr>
        <w:sectPr>
          <w:pgSz w:w="11900" w:h="16838" w:orient="portrait"/>
          <w:cols w:equalWidth="0" w:num="1">
            <w:col w:w="11280"/>
          </w:cols>
          <w:pgMar w:left="300" w:top="235" w:right="31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5751830</wp:posOffset>
            </wp:positionH>
            <wp:positionV relativeFrom="page">
              <wp:posOffset>88900</wp:posOffset>
            </wp:positionV>
            <wp:extent cx="895985"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lump sum retirement payment payable to each Officer. The lump sum retirement payment described in this policy is unfunded and provided by the company to provide deferred compensation for a select group of management or highly compensated employees. The lump sum retirement payment shall be made to an Officer only if the BPC or it’s delegate, decides that the Officer is entitled to it. Officers who are denied a lump sum retirement payment, in part or in full, to which they believe they are entitled may file a written request for such payment with the BPC, or its delegate, and such request will be reviewed in accordance with applicable law, including the claims procedures under ERISA.</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*Note: The firm, at its discretion, reserves the right to amend, suspend, or totally or partially discontinue any of its benefits and compensation plans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1615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POINTS OF CONTACT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General questions or exceptions regarding this policy can be directed to the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REPORTING CONCERNS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We expect Booz Allen people to comply with our policies and </w:t>
      </w:r>
      <w:r>
        <w:rPr>
          <w:rFonts w:ascii="Arial" w:cs="Arial" w:eastAsia="Arial" w:hAnsi="Arial"/>
          <w:sz w:val="14"/>
          <w:szCs w:val="14"/>
          <w:u w:val="single" w:color="auto"/>
          <w:color w:val="00A5B7"/>
        </w:rPr>
        <w:t>Code of Business Ethics and Conduct</w:t>
      </w:r>
      <w:r>
        <w:rPr>
          <w:rFonts w:ascii="Arial" w:cs="Arial" w:eastAsia="Arial" w:hAnsi="Arial"/>
          <w:sz w:val="14"/>
          <w:szCs w:val="14"/>
          <w:color w:val="54565A"/>
        </w:rPr>
        <w:t>.</w:t>
      </w:r>
      <w:r>
        <w:rPr>
          <w:rFonts w:ascii="Arial" w:cs="Arial" w:eastAsia="Arial" w:hAnsi="Arial"/>
          <w:sz w:val="14"/>
          <w:szCs w:val="14"/>
          <w:color w:val="auto"/>
        </w:rPr>
        <w:t xml:space="preserve"> As outlined in the </w:t>
      </w:r>
      <w:r>
        <w:rPr>
          <w:rFonts w:ascii="Arial" w:cs="Arial" w:eastAsia="Arial" w:hAnsi="Arial"/>
          <w:sz w:val="14"/>
          <w:szCs w:val="14"/>
          <w:u w:val="single" w:color="auto"/>
          <w:color w:val="00A5B7"/>
        </w:rPr>
        <w:t>Mandatory Reporting and Non-Retaliation Policy</w:t>
      </w:r>
      <w:r>
        <w:rPr>
          <w:rFonts w:ascii="Arial" w:cs="Arial" w:eastAsia="Arial" w:hAnsi="Arial"/>
          <w:sz w:val="14"/>
          <w:szCs w:val="14"/>
          <w:color w:val="54565A"/>
        </w:rPr>
        <w:t>,</w:t>
      </w:r>
      <w:r>
        <w:rPr>
          <w:rFonts w:ascii="Arial" w:cs="Arial" w:eastAsia="Arial" w:hAnsi="Arial"/>
          <w:sz w:val="14"/>
          <w:szCs w:val="14"/>
          <w:color w:val="auto"/>
        </w:rPr>
        <w:t xml:space="preserve"> if you observe or have reasonable suspicion that a Booz Allen policy or the Code has been violated, you have a responsibility as part of your employment to promptly report your concerns via one of our official company reporting channels:</w:t>
      </w:r>
    </w:p>
    <w:p>
      <w:pPr>
        <w:spacing w:after="0" w:line="155" w:lineRule="exact"/>
        <w:rPr>
          <w:sz w:val="20"/>
          <w:szCs w:val="20"/>
          <w:color w:val="auto"/>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54565A"/>
        </w:rPr>
      </w:pPr>
      <w:r>
        <w:rPr>
          <w:rFonts w:ascii="Arial" w:cs="Arial" w:eastAsia="Arial" w:hAnsi="Arial"/>
          <w:sz w:val="14"/>
          <w:szCs w:val="14"/>
          <w:color w:val="auto"/>
        </w:rPr>
        <w:t>Your Job Leader or Career Manager  </w:t>
      </w:r>
    </w:p>
    <w:p>
      <w:pPr>
        <w:spacing w:after="0" w:line="22"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An </w:t>
      </w:r>
      <w:r>
        <w:rPr>
          <w:rFonts w:ascii="Arial" w:cs="Arial" w:eastAsia="Arial" w:hAnsi="Arial"/>
          <w:sz w:val="14"/>
          <w:szCs w:val="14"/>
          <w:u w:val="single" w:color="auto"/>
          <w:color w:val="00A6B7"/>
        </w:rPr>
        <w:t>Ethics Advisor</w:t>
      </w:r>
      <w:r>
        <w:rPr>
          <w:rFonts w:ascii="Arial" w:cs="Arial" w:eastAsia="Arial" w:hAnsi="Arial"/>
          <w:sz w:val="14"/>
          <w:szCs w:val="14"/>
          <w:color w:val="00A6B7"/>
        </w:rPr>
        <w:t> </w:t>
      </w:r>
    </w:p>
    <w:p>
      <w:pPr>
        <w:spacing w:after="0" w:line="8"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54565A"/>
        </w:rPr>
      </w:pPr>
      <w:r>
        <w:rPr>
          <w:rFonts w:ascii="Arial" w:cs="Arial" w:eastAsia="Arial" w:hAnsi="Arial"/>
          <w:sz w:val="14"/>
          <w:szCs w:val="14"/>
          <w:u w:val="single" w:color="auto"/>
          <w:color w:val="00A6B7"/>
        </w:rPr>
        <w:t>Employee Relations</w:t>
      </w:r>
    </w:p>
    <w:p>
      <w:pPr>
        <w:spacing w:after="0" w:line="8"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79"/>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The company's </w:t>
      </w:r>
      <w:r>
        <w:rPr>
          <w:rFonts w:ascii="Arial" w:cs="Arial" w:eastAsia="Arial" w:hAnsi="Arial"/>
          <w:sz w:val="14"/>
          <w:szCs w:val="14"/>
          <w:u w:val="single" w:color="auto"/>
          <w:color w:val="00A5B7"/>
        </w:rPr>
        <w:t>Legal, Ethics &amp; Compliance Team</w:t>
      </w:r>
    </w:p>
    <w:p>
      <w:pPr>
        <w:spacing w:after="0" w:line="8" w:lineRule="exact"/>
        <w:rPr>
          <w:rFonts w:ascii="Times New Roman" w:cs="Times New Roman" w:eastAsia="Times New Roman" w:hAnsi="Times New Roman"/>
          <w:sz w:val="14"/>
          <w:szCs w:val="14"/>
          <w:color w:val="54565A"/>
        </w:rPr>
      </w:pPr>
    </w:p>
    <w:p>
      <w:pPr>
        <w:ind w:left="520" w:hanging="260"/>
        <w:spacing w:after="0" w:line="236" w:lineRule="auto"/>
        <w:tabs>
          <w:tab w:leader="none" w:pos="520" w:val="left"/>
        </w:tabs>
        <w:numPr>
          <w:ilvl w:val="0"/>
          <w:numId w:val="79"/>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The </w:t>
      </w:r>
      <w:r>
        <w:rPr>
          <w:rFonts w:ascii="Arial" w:cs="Arial" w:eastAsia="Arial" w:hAnsi="Arial"/>
          <w:sz w:val="14"/>
          <w:szCs w:val="14"/>
          <w:u w:val="single" w:color="auto"/>
          <w:color w:val="00A6B7"/>
        </w:rPr>
        <w:t>Chief Ethics and Compliance Officer</w:t>
      </w:r>
    </w:p>
    <w:p>
      <w:pPr>
        <w:ind w:left="520" w:hanging="260"/>
        <w:spacing w:after="0"/>
        <w:tabs>
          <w:tab w:leader="none" w:pos="520" w:val="left"/>
        </w:tabs>
        <w:numPr>
          <w:ilvl w:val="0"/>
          <w:numId w:val="79"/>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Our Ethics HelpLine at +1-800-501-8755 (US) or +1-888-475-0009 (International) or </w:t>
      </w:r>
      <w:r>
        <w:rPr>
          <w:rFonts w:ascii="Arial" w:cs="Arial" w:eastAsia="Arial" w:hAnsi="Arial"/>
          <w:sz w:val="14"/>
          <w:szCs w:val="14"/>
          <w:u w:val="single" w:color="auto"/>
          <w:color w:val="00A5B7"/>
        </w:rPr>
        <w:t>speakup.bah.com</w:t>
      </w:r>
      <w:r>
        <w:rPr>
          <w:rFonts w:ascii="Arial" w:cs="Arial" w:eastAsia="Arial" w:hAnsi="Arial"/>
          <w:sz w:val="14"/>
          <w:szCs w:val="14"/>
          <w:color w:val="0F6563"/>
        </w:rPr>
        <w:t>.</w:t>
      </w:r>
      <w:r>
        <w:rPr>
          <w:rFonts w:ascii="Arial" w:cs="Arial" w:eastAsia="Arial" w:hAnsi="Arial"/>
          <w:sz w:val="14"/>
          <w:szCs w:val="14"/>
          <w:color w:val="auto"/>
        </w:rPr>
        <w:t xml:space="preserve"> Concerns may be raised anonymously.</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We take all allegations of misconduct seriously, investigate them promptly, and strictly prohibit retaliation against any person who raises a good faith ethical or legal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71615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RELATED POLICIES</w:t>
      </w:r>
    </w:p>
    <w:p>
      <w:pPr>
        <w:spacing w:after="0" w:line="87" w:lineRule="exact"/>
        <w:rPr>
          <w:sz w:val="20"/>
          <w:szCs w:val="20"/>
          <w:color w:val="auto"/>
        </w:rPr>
      </w:pPr>
    </w:p>
    <w:p>
      <w:pPr>
        <w:ind w:left="520" w:hanging="260"/>
        <w:spacing w:after="0"/>
        <w:tabs>
          <w:tab w:leader="none" w:pos="520" w:val="left"/>
        </w:tabs>
        <w:numPr>
          <w:ilvl w:val="0"/>
          <w:numId w:val="80"/>
        </w:numPr>
        <w:rPr>
          <w:rFonts w:ascii="Times New Roman" w:cs="Times New Roman" w:eastAsia="Times New Roman" w:hAnsi="Times New Roman"/>
          <w:sz w:val="14"/>
          <w:szCs w:val="14"/>
          <w:color w:val="auto"/>
        </w:rPr>
      </w:pPr>
      <w:r>
        <w:rPr>
          <w:rFonts w:ascii="Arial" w:cs="Arial" w:eastAsia="Arial" w:hAnsi="Arial"/>
          <w:sz w:val="14"/>
          <w:szCs w:val="14"/>
          <w:u w:val="single" w:color="auto"/>
          <w:color w:val="00A6B7"/>
        </w:rPr>
        <w:t>Officer Transition Policy</w:t>
      </w:r>
    </w:p>
    <w:p>
      <w:pPr>
        <w:spacing w:after="0" w:line="2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0"/>
        </w:numPr>
        <w:rPr>
          <w:rFonts w:ascii="Times New Roman" w:cs="Times New Roman" w:eastAsia="Times New Roman" w:hAnsi="Times New Roman"/>
          <w:sz w:val="14"/>
          <w:szCs w:val="14"/>
          <w:color w:val="auto"/>
        </w:rPr>
      </w:pPr>
      <w:r>
        <w:rPr>
          <w:rFonts w:ascii="Arial" w:cs="Arial" w:eastAsia="Arial" w:hAnsi="Arial"/>
          <w:sz w:val="14"/>
          <w:szCs w:val="14"/>
          <w:u w:val="single" w:color="auto"/>
          <w:color w:val="00A6B7"/>
        </w:rPr>
        <w:t>Officer Annual Bonus Policy</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0"/>
        </w:numPr>
        <w:rPr>
          <w:rFonts w:ascii="Times New Roman" w:cs="Times New Roman" w:eastAsia="Times New Roman" w:hAnsi="Times New Roman"/>
          <w:sz w:val="14"/>
          <w:szCs w:val="14"/>
          <w:color w:val="auto"/>
        </w:rPr>
      </w:pPr>
      <w:r>
        <w:rPr>
          <w:rFonts w:ascii="Arial" w:cs="Arial" w:eastAsia="Arial" w:hAnsi="Arial"/>
          <w:sz w:val="14"/>
          <w:szCs w:val="14"/>
          <w:u w:val="single" w:color="auto"/>
          <w:color w:val="00A6B7"/>
        </w:rPr>
        <w:t>Officer Perquisites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3.1 | Effective Date:12.01.2024</w:t>
      </w:r>
    </w:p>
    <w:p>
      <w:pPr>
        <w:sectPr>
          <w:pgSz w:w="11900" w:h="16838" w:orient="portrait"/>
          <w:cols w:equalWidth="0" w:num="1">
            <w:col w:w="11280"/>
          </w:cols>
          <w:pgMar w:left="300" w:top="235" w:right="319" w:bottom="1440"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46" w:name="page247"/>
    <w:bookmarkEnd w:id="2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5697855</wp:posOffset>
            </wp:positionH>
            <wp:positionV relativeFrom="page">
              <wp:posOffset>452755</wp:posOffset>
            </wp:positionV>
            <wp:extent cx="895985" cy="134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10.13</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5"/>
          <w:szCs w:val="25"/>
          <w:color w:val="0F6563"/>
        </w:rPr>
        <w:t>Officer Transition</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SPONSORING ORGANIZATION: </w:t>
      </w:r>
      <w:r>
        <w:rPr>
          <w:rFonts w:ascii="Arial" w:cs="Arial" w:eastAsia="Arial" w:hAnsi="Arial"/>
          <w:sz w:val="15"/>
          <w:szCs w:val="15"/>
          <w:color w:val="0F6563"/>
        </w:rPr>
        <w:t>People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18"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PURPOSE</w:t>
      </w:r>
    </w:p>
    <w:p>
      <w:pPr>
        <w:spacing w:after="0" w:line="7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will support the transition efforts of departing Officers when business conditions, changes in the company’s strategy, Officer performance, and other factors (other than misconduct) cause the company to terminate an Officer's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16153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SCOPE</w:t>
      </w:r>
    </w:p>
    <w:p>
      <w:pPr>
        <w:spacing w:after="0" w:line="87"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This policy applies to all Senior Vice Presidents and above (“Officers”) of the company who are not otherwise subject to termination or separation provisions, such as agreed to in an employment agreement between the company and the Officer. Where such an agreement exists, it supersedes the terms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wp:posOffset>
            </wp:positionV>
            <wp:extent cx="716153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ind w:left="60"/>
        <w:spacing w:after="0"/>
        <w:rPr>
          <w:sz w:val="20"/>
          <w:szCs w:val="20"/>
          <w:color w:val="auto"/>
        </w:rPr>
      </w:pPr>
      <w:r>
        <w:rPr>
          <w:rFonts w:ascii="Arial" w:cs="Arial" w:eastAsia="Arial" w:hAnsi="Arial"/>
          <w:sz w:val="17"/>
          <w:szCs w:val="17"/>
          <w:color w:val="0F6563"/>
        </w:rPr>
        <w:t>POLICY</w:t>
      </w:r>
    </w:p>
    <w:p>
      <w:pPr>
        <w:spacing w:after="0" w:line="87"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Transition support may include a reasonable period of continued employment with reduced work requirements during which time the Officer can pursue other employment/business opportunities, as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Transition Period</w:t>
      </w:r>
    </w:p>
    <w:p>
      <w:pPr>
        <w:spacing w:after="0" w:line="94" w:lineRule="exact"/>
        <w:rPr>
          <w:sz w:val="20"/>
          <w:szCs w:val="20"/>
          <w:color w:val="auto"/>
        </w:rPr>
      </w:pPr>
    </w:p>
    <w:p>
      <w:pPr>
        <w:ind w:right="80"/>
        <w:spacing w:after="0" w:line="271" w:lineRule="auto"/>
        <w:rPr>
          <w:sz w:val="20"/>
          <w:szCs w:val="20"/>
          <w:color w:val="auto"/>
        </w:rPr>
      </w:pPr>
      <w:r>
        <w:rPr>
          <w:rFonts w:ascii="Arial" w:cs="Arial" w:eastAsia="Arial" w:hAnsi="Arial"/>
          <w:sz w:val="14"/>
          <w:szCs w:val="14"/>
          <w:color w:val="auto"/>
        </w:rPr>
        <w:t>Officers may receive up to three (3) months of continued employment following the transition effective date ("Transition Effective Date”) set forth in the notification letter of termination by the company (“Termination Notice”). During this time, the Officer is expected to transfer open receivables, client matters, and other organizational responsibilities. An Officer’s employment with the company will cease (the “Transition Separation Date”) upon the earlier of the:</w:t>
      </w:r>
    </w:p>
    <w:p>
      <w:pPr>
        <w:spacing w:after="0" w:line="49" w:lineRule="exact"/>
        <w:rPr>
          <w:sz w:val="20"/>
          <w:szCs w:val="20"/>
          <w:color w:val="auto"/>
        </w:rPr>
      </w:pPr>
    </w:p>
    <w:p>
      <w:pPr>
        <w:ind w:left="1040" w:hanging="492"/>
        <w:spacing w:after="0"/>
        <w:tabs>
          <w:tab w:leader="none" w:pos="10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3-month anniversary of the Transition Effective Date, or</w:t>
      </w:r>
    </w:p>
    <w:p>
      <w:pPr>
        <w:spacing w:after="0" w:line="22" w:lineRule="exact"/>
        <w:rPr>
          <w:rFonts w:ascii="Arial" w:cs="Arial" w:eastAsia="Arial" w:hAnsi="Arial"/>
          <w:sz w:val="14"/>
          <w:szCs w:val="14"/>
          <w:color w:val="auto"/>
        </w:rPr>
      </w:pPr>
    </w:p>
    <w:p>
      <w:pPr>
        <w:ind w:left="1040" w:hanging="492"/>
        <w:spacing w:after="0"/>
        <w:tabs>
          <w:tab w:leader="none" w:pos="10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date on which the Officer becomes an employee of another organization and/or engages in any business development activities in competition with the company, or</w:t>
      </w:r>
    </w:p>
    <w:p>
      <w:pPr>
        <w:spacing w:after="0" w:line="8" w:lineRule="exact"/>
        <w:rPr>
          <w:rFonts w:ascii="Arial" w:cs="Arial" w:eastAsia="Arial" w:hAnsi="Arial"/>
          <w:sz w:val="14"/>
          <w:szCs w:val="14"/>
          <w:color w:val="auto"/>
        </w:rPr>
      </w:pPr>
    </w:p>
    <w:p>
      <w:pPr>
        <w:ind w:left="1040" w:hanging="492"/>
        <w:spacing w:after="0"/>
        <w:tabs>
          <w:tab w:leader="none" w:pos="10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date on which the Officer resigns or is terminated for cause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period beginning on the Transition Effective Date set forth in the Termination Notice and ending on the Transition Separation Date is the “Transition Period.”</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Client and Administrative Obligations</w:t>
      </w:r>
    </w:p>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4"/>
          <w:szCs w:val="14"/>
          <w:color w:val="auto"/>
        </w:rPr>
        <w:t>During the Transition Period, the Officer is expected to complete/transfer all current and ongoing client responsibilities and/or administrative duties during such time frame as designated by a supervising Officer. The Officer is not required to initiate new client assignments/duties. Officers will be expected to be available to work as directed by a designated supervising Officer but should no longer participate in business/team/executive meetings unless specifically requested.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Payment(s) During Transition</w:t>
      </w:r>
    </w:p>
    <w:p>
      <w:pPr>
        <w:spacing w:after="0" w:line="9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During the Transition Period, the Officer's compensation will be equal to his/her base salary in effect on the Transition Effective Date. Compensation will continue to be paid on the regular payroll date during the Transition Period.</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Should the Officer choose to terminate their employment or become employed by another entity prior to the 3-month anniversary of the Transition Effective Date, they may be eligible to receive a lump sum payment equivalent to the amount of continued base salary for the remainder of the three-month period with the approval of the Chief People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2.1 | Effective Date: 12.01.2024</w:t>
      </w:r>
    </w:p>
    <w:p>
      <w:pPr>
        <w:sectPr>
          <w:pgSz w:w="11900" w:h="16838" w:orient="portrait"/>
          <w:cols w:equalWidth="0" w:num="1">
            <w:col w:w="11280"/>
          </w:cols>
          <w:pgMar w:left="300" w:top="808" w:right="31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5697855</wp:posOffset>
            </wp:positionH>
            <wp:positionV relativeFrom="page">
              <wp:posOffset>452755</wp:posOffset>
            </wp:positionV>
            <wp:extent cx="895985" cy="134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10.13</w:t>
      </w: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Benefits and Perquisites During Transition Period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During the Transition Period, the Officer will continue to be eligible for:</w:t>
      </w:r>
    </w:p>
    <w:p>
      <w:pPr>
        <w:spacing w:after="0" w:line="23" w:lineRule="exact"/>
        <w:rPr>
          <w:sz w:val="20"/>
          <w:szCs w:val="20"/>
          <w:color w:val="auto"/>
        </w:rPr>
      </w:pPr>
    </w:p>
    <w:p>
      <w:pPr>
        <w:ind w:left="520" w:hanging="260"/>
        <w:spacing w:after="0"/>
        <w:tabs>
          <w:tab w:leader="none" w:pos="52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Current medical and other insurance and benefit programs in which they are enrolled on the Transition Effective Date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Officer must be employed on the date that the annual Officer Supplemental Retirement Plan distribution is made in order to be eligible for receipt of this benefit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2"/>
        </w:numPr>
        <w:rPr>
          <w:rFonts w:ascii="Times New Roman" w:cs="Times New Roman" w:eastAsia="Times New Roman" w:hAnsi="Times New Roman"/>
          <w:sz w:val="14"/>
          <w:szCs w:val="14"/>
          <w:color w:val="auto"/>
        </w:rPr>
      </w:pPr>
      <w:r>
        <w:rPr>
          <w:rFonts w:ascii="Arial" w:cs="Arial" w:eastAsia="Arial" w:hAnsi="Arial"/>
          <w:sz w:val="14"/>
          <w:szCs w:val="14"/>
          <w:color w:val="auto"/>
        </w:rPr>
        <w:t>Reimbursement for existing Officer prerequisites approved before the Transition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Payment After Transition Separation Date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Following the Transition Separation Date, the Officer may be eligible to receive:</w:t>
      </w:r>
    </w:p>
    <w:p>
      <w:pPr>
        <w:ind w:left="560" w:hanging="258"/>
        <w:spacing w:after="0" w:line="222" w:lineRule="auto"/>
        <w:tabs>
          <w:tab w:leader="none" w:pos="560"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A lump sum payment equal to one-month’s base salary per completed year as an Officer with a minimum of two months and a maximum of nine months</w:t>
      </w:r>
    </w:p>
    <w:p>
      <w:pPr>
        <w:jc w:val="both"/>
        <w:ind w:left="560" w:right="480" w:hanging="258"/>
        <w:spacing w:after="0" w:line="210" w:lineRule="auto"/>
        <w:tabs>
          <w:tab w:leader="none" w:pos="556"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Three month’s COBRA premium paid to our COBRA administrator for current medical/dental coverage. If the Officer secures alternate employment that offers group medical/dental coverage, COBRA premium payments will be discontinued. An Officer is responsible for notifying the company as soon as possible of such alternate employment.</w:t>
      </w:r>
    </w:p>
    <w:p>
      <w:pPr>
        <w:spacing w:after="0" w:line="1" w:lineRule="exact"/>
        <w:rPr>
          <w:rFonts w:ascii="Times New Roman" w:cs="Times New Roman" w:eastAsia="Times New Roman" w:hAnsi="Times New Roman"/>
          <w:sz w:val="14"/>
          <w:szCs w:val="14"/>
          <w:color w:val="auto"/>
        </w:rPr>
      </w:pPr>
    </w:p>
    <w:p>
      <w:pPr>
        <w:ind w:left="560" w:hanging="258"/>
        <w:spacing w:after="0"/>
        <w:tabs>
          <w:tab w:leader="none" w:pos="560" w:val="left"/>
        </w:tabs>
        <w:numPr>
          <w:ilvl w:val="0"/>
          <w:numId w:val="83"/>
        </w:numPr>
        <w:rPr>
          <w:rFonts w:ascii="Times New Roman" w:cs="Times New Roman" w:eastAsia="Times New Roman" w:hAnsi="Times New Roman"/>
          <w:sz w:val="14"/>
          <w:szCs w:val="14"/>
          <w:color w:val="auto"/>
        </w:rPr>
      </w:pPr>
      <w:r>
        <w:rPr>
          <w:rFonts w:ascii="Arial" w:cs="Arial" w:eastAsia="Arial" w:hAnsi="Arial"/>
          <w:sz w:val="14"/>
          <w:szCs w:val="14"/>
          <w:color w:val="auto"/>
        </w:rPr>
        <w:t>These payments will be made within 90 days of the Transition Separation Date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Transition Services</w:t>
      </w:r>
    </w:p>
    <w:p>
      <w:pPr>
        <w:spacing w:after="0" w:line="94"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The Officer is eligible for reimbursement for transition assistance from a pre-approved provider up to a maximum of $30,000 for eligible services. Expenses must be incurred and submitted prior to the Transition Separation Date.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Performance Bonus Payment</w:t>
      </w:r>
    </w:p>
    <w:p>
      <w:pPr>
        <w:spacing w:after="0" w:line="94"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 xml:space="preserve">Bonus eligibility will end on the Transition Effective Date. At the sole discretion of the company, upon recommendation of management, and with the approval of the Compensation, Culture and People Committee of the Board of Directors in the case of Section 16 Officers, a bonus payment for the portion of the fiscal year prior to the Transition Effective Date may be made to a departing Officer based on performance and in consideration of successful discharge/transfer of Officer-related responsibilities (refer to the </w:t>
      </w:r>
      <w:r>
        <w:rPr>
          <w:rFonts w:ascii="Arial" w:cs="Arial" w:eastAsia="Arial" w:hAnsi="Arial"/>
          <w:sz w:val="14"/>
          <w:szCs w:val="14"/>
          <w:i w:val="1"/>
          <w:iCs w:val="1"/>
          <w:color w:val="auto"/>
        </w:rPr>
        <w:t>Officer Annual</w:t>
      </w:r>
      <w:r>
        <w:rPr>
          <w:rFonts w:ascii="Arial" w:cs="Arial" w:eastAsia="Arial" w:hAnsi="Arial"/>
          <w:sz w:val="14"/>
          <w:szCs w:val="14"/>
          <w:color w:val="auto"/>
        </w:rPr>
        <w:t xml:space="preserve"> </w:t>
      </w:r>
      <w:r>
        <w:rPr>
          <w:rFonts w:ascii="Arial" w:cs="Arial" w:eastAsia="Arial" w:hAnsi="Arial"/>
          <w:sz w:val="14"/>
          <w:szCs w:val="14"/>
          <w:i w:val="1"/>
          <w:iCs w:val="1"/>
          <w:color w:val="auto"/>
        </w:rPr>
        <w:t>Performance Bonus policy).</w:t>
      </w:r>
    </w:p>
    <w:p>
      <w:pPr>
        <w:spacing w:after="0" w:line="53"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To be eligible for a bonus payment, the Officer must have worked at least three (3) months of the fiscal year, prior to the start of the transition period. Departing Officers who are approved for bonuses during any fiscal year will receive bonus payments when that fiscal year's bonuses are paid to active Officers, which will occur within two-and-a-half months of fiscal year end; provided that a departing Officer who previously elected to defer a portion of such bonus under the Booz Allen Hamilton Inc. the Nonqualified Deferred Compensation Plan will receive payment in accordance with the terms of such plan.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w:t>
      </w:r>
    </w:p>
    <w:p>
      <w:pPr>
        <w:spacing w:after="0" w:line="94"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Matters related to equity in Booz Allen Hamilton Holding Corporation shall be governed by the Equity Incentive Plan (EIP), as may be amended from time to time, and the applicable Award Agreement(s).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Payments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Any payments and/or reimbursements in addition to those established by these guidelines must be approved by the Chief People Officer.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 Allocation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All costs associated with the continuation of work, fringe, and transition benefits are charged to the Officer's administrative charge number.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Release of Claims</w:t>
      </w:r>
    </w:p>
    <w:p>
      <w:pPr>
        <w:spacing w:after="0" w:line="94" w:lineRule="exact"/>
        <w:rPr>
          <w:sz w:val="20"/>
          <w:szCs w:val="20"/>
          <w:color w:val="auto"/>
        </w:rPr>
      </w:pPr>
    </w:p>
    <w:p>
      <w:pPr>
        <w:ind w:right="280"/>
        <w:spacing w:after="0" w:line="290" w:lineRule="auto"/>
        <w:rPr>
          <w:sz w:val="20"/>
          <w:szCs w:val="20"/>
          <w:color w:val="auto"/>
        </w:rPr>
      </w:pPr>
      <w:r>
        <w:rPr>
          <w:rFonts w:ascii="Arial" w:cs="Arial" w:eastAsia="Arial" w:hAnsi="Arial"/>
          <w:sz w:val="14"/>
          <w:szCs w:val="14"/>
          <w:color w:val="auto"/>
        </w:rPr>
        <w:t>To receive the transition payments and benefits described in this policy, an Officer must sign, and not revoke, a release agreement (and subsequent reaffirmation, as applicable) with the company. All transition payments and benefits will be paid and provided in accordance with applicable laws, subject to any required tax withholding and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2.1 | Effective Date: 12.01.2024</w:t>
      </w:r>
    </w:p>
    <w:p>
      <w:pPr>
        <w:sectPr>
          <w:pgSz w:w="11900" w:h="16838" w:orient="portrait"/>
          <w:cols w:equalWidth="0" w:num="1">
            <w:col w:w="11280"/>
          </w:cols>
          <w:pgMar w:left="300" w:top="808" w:right="319" w:bottom="1440" w:gutter="0" w:footer="0" w:header="0"/>
        </w:sectPr>
      </w:pPr>
    </w:p>
    <w:bookmarkStart w:id="267" w:name="page268"/>
    <w:bookmarkEnd w:id="267"/>
    <w:p>
      <w:pPr>
        <w:jc w:val="right"/>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5697855</wp:posOffset>
            </wp:positionH>
            <wp:positionV relativeFrom="page">
              <wp:posOffset>452755</wp:posOffset>
            </wp:positionV>
            <wp:extent cx="895985" cy="134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895985" cy="134620"/>
                    </a:xfrm>
                    <a:prstGeom prst="rect">
                      <a:avLst/>
                    </a:prstGeom>
                    <a:noFill/>
                  </pic:spPr>
                </pic:pic>
              </a:graphicData>
            </a:graphic>
          </wp:anchor>
        </w:drawing>
        <w:t>Exhibit 10.13</w:t>
      </w:r>
    </w:p>
    <w:p>
      <w:pPr>
        <w:spacing w:after="0" w:line="236" w:lineRule="exact"/>
        <w:rPr>
          <w:sz w:val="20"/>
          <w:szCs w:val="20"/>
          <w:color w:val="auto"/>
        </w:rPr>
      </w:pPr>
    </w:p>
    <w:p>
      <w:pPr>
        <w:ind w:right="100"/>
        <w:spacing w:after="0" w:line="270" w:lineRule="auto"/>
        <w:rPr>
          <w:sz w:val="20"/>
          <w:szCs w:val="20"/>
          <w:color w:val="auto"/>
        </w:rPr>
      </w:pPr>
      <w:r>
        <w:rPr>
          <w:rFonts w:ascii="Arial" w:cs="Arial" w:eastAsia="Arial" w:hAnsi="Arial"/>
          <w:sz w:val="14"/>
          <w:szCs w:val="14"/>
          <w:color w:val="auto"/>
        </w:rPr>
        <w:t>applicable deductions (e.g., garnishments, support orders, and levies; benefit premiums; and 401(k) deferrals and loan repayments) as in effect on the Transition Effective Date. Notwithstanding anything in this policy to the contrary, if the period during which you have discretion to execute or revoke the release agreement straddles two calendar years, any payment(s) and/or benefit(s) that would otherwise be payable in the first of such two calendar years shall not be paid or begin until the first day of the second calendar year to the extent required by Section 409A of the Code. Failure by an Officer to execute an irrevocable release agreement (and subsequent reaffirmation, as applicable) within the time frame established by the company will result in the Officer’s forfeiture of any right to any payments or benefits otherwise payable under this Policy.</w:t>
      </w:r>
    </w:p>
    <w:p>
      <w:pPr>
        <w:spacing w:after="0" w:line="155"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The Benefits Plans Committee (“BPC”), or its delegate, is responsible for administering the benefits described in this policy to the extent such benefits are subject to ERISA (Employee Retirement Income Security Act), including the lump sum transition payment payable to each Officer. The lump sum transition payment described in this policy is unfunded and provided by the company primarily to provide deferred compensation for a select group of management or highly compensated employees. The lump sum transition payment shall be made to an Officer only if the BPC, or its delegate, in their sole discretion, decides that the Officer is entitled to it. Officers who are denied a lump sum transition payment, in part or in full, to which they believe they are entitled may file a written request for such payment with the BPC, or its designee, and such request will be reviewed in accordance with applicable law, including the claims procedures under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16153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POINTS OF CONTACT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General questions or exceptions regarding this policy can be directed to the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REPORTING CONCERNS</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We expect Booz Allen people to comply with our policies and </w:t>
      </w:r>
      <w:r>
        <w:rPr>
          <w:rFonts w:ascii="Arial" w:cs="Arial" w:eastAsia="Arial" w:hAnsi="Arial"/>
          <w:sz w:val="14"/>
          <w:szCs w:val="14"/>
          <w:u w:val="single" w:color="auto"/>
          <w:color w:val="00A5B7"/>
        </w:rPr>
        <w:t>Code of Business Ethics and Conduct</w:t>
      </w:r>
      <w:r>
        <w:rPr>
          <w:rFonts w:ascii="Arial" w:cs="Arial" w:eastAsia="Arial" w:hAnsi="Arial"/>
          <w:sz w:val="14"/>
          <w:szCs w:val="14"/>
          <w:color w:val="54565A"/>
        </w:rPr>
        <w:t>.</w:t>
      </w:r>
      <w:r>
        <w:rPr>
          <w:rFonts w:ascii="Arial" w:cs="Arial" w:eastAsia="Arial" w:hAnsi="Arial"/>
          <w:sz w:val="14"/>
          <w:szCs w:val="14"/>
          <w:color w:val="auto"/>
        </w:rPr>
        <w:t xml:space="preserve"> As outlined in the </w:t>
      </w:r>
      <w:r>
        <w:rPr>
          <w:rFonts w:ascii="Arial" w:cs="Arial" w:eastAsia="Arial" w:hAnsi="Arial"/>
          <w:sz w:val="14"/>
          <w:szCs w:val="14"/>
          <w:u w:val="single" w:color="auto"/>
          <w:color w:val="00A5B7"/>
        </w:rPr>
        <w:t>Mandatory Reporting and Non-Retaliation Policy</w:t>
      </w:r>
      <w:r>
        <w:rPr>
          <w:rFonts w:ascii="Arial" w:cs="Arial" w:eastAsia="Arial" w:hAnsi="Arial"/>
          <w:sz w:val="14"/>
          <w:szCs w:val="14"/>
          <w:color w:val="54565A"/>
        </w:rPr>
        <w:t>,</w:t>
      </w:r>
      <w:r>
        <w:rPr>
          <w:rFonts w:ascii="Arial" w:cs="Arial" w:eastAsia="Arial" w:hAnsi="Arial"/>
          <w:sz w:val="14"/>
          <w:szCs w:val="14"/>
          <w:color w:val="auto"/>
        </w:rPr>
        <w:t xml:space="preserve"> if you observe or have reasonable suspicion that a Booz Allen policy or the Code has been violated, you have a responsibility as part of your employment to promptly report your concerns via one of our official company reporting channels:</w:t>
      </w:r>
    </w:p>
    <w:p>
      <w:pPr>
        <w:spacing w:after="0" w:line="155" w:lineRule="exact"/>
        <w:rPr>
          <w:sz w:val="20"/>
          <w:szCs w:val="20"/>
          <w:color w:val="auto"/>
        </w:rPr>
      </w:pPr>
    </w:p>
    <w:p>
      <w:pPr>
        <w:ind w:left="520" w:hanging="260"/>
        <w:spacing w:after="0"/>
        <w:tabs>
          <w:tab w:leader="none" w:pos="520" w:val="left"/>
        </w:tabs>
        <w:numPr>
          <w:ilvl w:val="0"/>
          <w:numId w:val="84"/>
        </w:numPr>
        <w:rPr>
          <w:rFonts w:ascii="Times New Roman" w:cs="Times New Roman" w:eastAsia="Times New Roman" w:hAnsi="Times New Roman"/>
          <w:sz w:val="14"/>
          <w:szCs w:val="14"/>
          <w:color w:val="54565A"/>
        </w:rPr>
      </w:pPr>
      <w:r>
        <w:rPr>
          <w:rFonts w:ascii="Arial" w:cs="Arial" w:eastAsia="Arial" w:hAnsi="Arial"/>
          <w:sz w:val="14"/>
          <w:szCs w:val="14"/>
          <w:color w:val="auto"/>
        </w:rPr>
        <w:t>Your Job Leader or Career Manager  </w:t>
      </w:r>
    </w:p>
    <w:p>
      <w:pPr>
        <w:spacing w:after="0" w:line="22"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84"/>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An </w:t>
      </w:r>
      <w:r>
        <w:rPr>
          <w:rFonts w:ascii="Arial" w:cs="Arial" w:eastAsia="Arial" w:hAnsi="Arial"/>
          <w:sz w:val="14"/>
          <w:szCs w:val="14"/>
          <w:u w:val="single" w:color="auto"/>
          <w:color w:val="00A6B7"/>
        </w:rPr>
        <w:t>Ethics Advisor</w:t>
      </w:r>
      <w:r>
        <w:rPr>
          <w:rFonts w:ascii="Arial" w:cs="Arial" w:eastAsia="Arial" w:hAnsi="Arial"/>
          <w:sz w:val="14"/>
          <w:szCs w:val="14"/>
          <w:color w:val="00A6B7"/>
        </w:rPr>
        <w:t> </w:t>
      </w:r>
    </w:p>
    <w:p>
      <w:pPr>
        <w:spacing w:after="0" w:line="8"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84"/>
        </w:numPr>
        <w:rPr>
          <w:rFonts w:ascii="Times New Roman" w:cs="Times New Roman" w:eastAsia="Times New Roman" w:hAnsi="Times New Roman"/>
          <w:sz w:val="14"/>
          <w:szCs w:val="14"/>
          <w:color w:val="54565A"/>
        </w:rPr>
      </w:pPr>
      <w:r>
        <w:rPr>
          <w:rFonts w:ascii="Arial" w:cs="Arial" w:eastAsia="Arial" w:hAnsi="Arial"/>
          <w:sz w:val="14"/>
          <w:szCs w:val="14"/>
          <w:u w:val="single" w:color="auto"/>
          <w:color w:val="00A6B7"/>
        </w:rPr>
        <w:t>Employee Relations</w:t>
      </w:r>
    </w:p>
    <w:p>
      <w:pPr>
        <w:spacing w:after="0" w:line="8" w:lineRule="exact"/>
        <w:rPr>
          <w:rFonts w:ascii="Times New Roman" w:cs="Times New Roman" w:eastAsia="Times New Roman" w:hAnsi="Times New Roman"/>
          <w:sz w:val="14"/>
          <w:szCs w:val="14"/>
          <w:color w:val="54565A"/>
        </w:rPr>
      </w:pPr>
    </w:p>
    <w:p>
      <w:pPr>
        <w:ind w:left="520" w:hanging="260"/>
        <w:spacing w:after="0"/>
        <w:tabs>
          <w:tab w:leader="none" w:pos="520" w:val="left"/>
        </w:tabs>
        <w:numPr>
          <w:ilvl w:val="0"/>
          <w:numId w:val="84"/>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The company's </w:t>
      </w:r>
      <w:r>
        <w:rPr>
          <w:rFonts w:ascii="Arial" w:cs="Arial" w:eastAsia="Arial" w:hAnsi="Arial"/>
          <w:sz w:val="14"/>
          <w:szCs w:val="14"/>
          <w:u w:val="single" w:color="auto"/>
          <w:color w:val="00A5B7"/>
        </w:rPr>
        <w:t>Legal, Ethics &amp; Compliance Team</w:t>
      </w:r>
    </w:p>
    <w:p>
      <w:pPr>
        <w:spacing w:after="0" w:line="8" w:lineRule="exact"/>
        <w:rPr>
          <w:rFonts w:ascii="Times New Roman" w:cs="Times New Roman" w:eastAsia="Times New Roman" w:hAnsi="Times New Roman"/>
          <w:sz w:val="14"/>
          <w:szCs w:val="14"/>
          <w:color w:val="54565A"/>
        </w:rPr>
      </w:pPr>
    </w:p>
    <w:p>
      <w:pPr>
        <w:ind w:left="520" w:hanging="260"/>
        <w:spacing w:after="0" w:line="236" w:lineRule="auto"/>
        <w:tabs>
          <w:tab w:leader="none" w:pos="520" w:val="left"/>
        </w:tabs>
        <w:numPr>
          <w:ilvl w:val="0"/>
          <w:numId w:val="84"/>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The </w:t>
      </w:r>
      <w:r>
        <w:rPr>
          <w:rFonts w:ascii="Arial" w:cs="Arial" w:eastAsia="Arial" w:hAnsi="Arial"/>
          <w:sz w:val="14"/>
          <w:szCs w:val="14"/>
          <w:u w:val="single" w:color="auto"/>
          <w:color w:val="00A6B7"/>
        </w:rPr>
        <w:t>Chief Ethics and Compliance Officer</w:t>
      </w:r>
    </w:p>
    <w:p>
      <w:pPr>
        <w:ind w:left="560" w:hanging="258"/>
        <w:spacing w:after="0"/>
        <w:tabs>
          <w:tab w:leader="none" w:pos="560" w:val="left"/>
        </w:tabs>
        <w:numPr>
          <w:ilvl w:val="1"/>
          <w:numId w:val="84"/>
        </w:numPr>
        <w:rPr>
          <w:rFonts w:ascii="Times New Roman" w:cs="Times New Roman" w:eastAsia="Times New Roman" w:hAnsi="Times New Roman"/>
          <w:sz w:val="14"/>
          <w:szCs w:val="14"/>
          <w:color w:val="54565A"/>
        </w:rPr>
      </w:pPr>
      <w:r>
        <w:rPr>
          <w:rFonts w:ascii="Arial" w:cs="Arial" w:eastAsia="Arial" w:hAnsi="Arial"/>
          <w:sz w:val="14"/>
          <w:szCs w:val="14"/>
          <w:color w:val="auto"/>
        </w:rPr>
        <w:t xml:space="preserve">Our Ethics HelpLine at +1-800-501-8755 (US) or +1-888-475-0009 (International) or </w:t>
      </w:r>
      <w:r>
        <w:rPr>
          <w:rFonts w:ascii="Arial" w:cs="Arial" w:eastAsia="Arial" w:hAnsi="Arial"/>
          <w:sz w:val="14"/>
          <w:szCs w:val="14"/>
          <w:u w:val="single" w:color="auto"/>
          <w:color w:val="00A6B7"/>
        </w:rPr>
        <w:t>speakup.bah.com</w:t>
      </w:r>
      <w:r>
        <w:rPr>
          <w:rFonts w:ascii="Arial" w:cs="Arial" w:eastAsia="Arial" w:hAnsi="Arial"/>
          <w:sz w:val="14"/>
          <w:szCs w:val="14"/>
          <w:color w:val="0F6563"/>
        </w:rPr>
        <w:t>.</w:t>
      </w:r>
      <w:r>
        <w:rPr>
          <w:rFonts w:ascii="Arial" w:cs="Arial" w:eastAsia="Arial" w:hAnsi="Arial"/>
          <w:sz w:val="14"/>
          <w:szCs w:val="14"/>
          <w:color w:val="auto"/>
        </w:rPr>
        <w:t xml:space="preserve"> Concerns may be raised anonymously.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take all allegations of misconduct seriously, investigate them promptly, and strictly prohibit retaliation against any person who raises a good faith ethical or legal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 w:lineRule="exact"/>
        <w:rPr>
          <w:sz w:val="20"/>
          <w:szCs w:val="20"/>
          <w:color w:val="auto"/>
        </w:rPr>
      </w:pPr>
    </w:p>
    <w:p>
      <w:pPr>
        <w:ind w:left="60"/>
        <w:spacing w:after="0"/>
        <w:rPr>
          <w:sz w:val="20"/>
          <w:szCs w:val="20"/>
          <w:color w:val="auto"/>
        </w:rPr>
      </w:pPr>
      <w:r>
        <w:rPr>
          <w:rFonts w:ascii="Arial" w:cs="Arial" w:eastAsia="Arial" w:hAnsi="Arial"/>
          <w:sz w:val="17"/>
          <w:szCs w:val="17"/>
          <w:color w:val="0F6563"/>
        </w:rPr>
        <w:t>RELATED POLICIES</w:t>
      </w:r>
    </w:p>
    <w:p>
      <w:pPr>
        <w:spacing w:after="0" w:line="87" w:lineRule="exact"/>
        <w:rPr>
          <w:sz w:val="20"/>
          <w:szCs w:val="20"/>
          <w:color w:val="auto"/>
        </w:rPr>
      </w:pPr>
    </w:p>
    <w:p>
      <w:pPr>
        <w:ind w:left="520" w:hanging="260"/>
        <w:spacing w:after="0"/>
        <w:tabs>
          <w:tab w:leader="none" w:pos="520" w:val="left"/>
        </w:tabs>
        <w:numPr>
          <w:ilvl w:val="0"/>
          <w:numId w:val="85"/>
        </w:numPr>
        <w:rPr>
          <w:rFonts w:ascii="Times New Roman" w:cs="Times New Roman" w:eastAsia="Times New Roman" w:hAnsi="Times New Roman"/>
          <w:sz w:val="14"/>
          <w:szCs w:val="14"/>
          <w:color w:val="auto"/>
        </w:rPr>
      </w:pPr>
      <w:r>
        <w:rPr>
          <w:rFonts w:ascii="Arial" w:cs="Arial" w:eastAsia="Arial" w:hAnsi="Arial"/>
          <w:sz w:val="14"/>
          <w:szCs w:val="14"/>
          <w:u w:val="single" w:color="auto"/>
          <w:color w:val="00A6B7"/>
        </w:rPr>
        <w:t>Officer Annual Performance Bonus Policy</w:t>
      </w:r>
    </w:p>
    <w:p>
      <w:pPr>
        <w:spacing w:after="0" w:line="2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5"/>
        </w:numPr>
        <w:rPr>
          <w:rFonts w:ascii="Times New Roman" w:cs="Times New Roman" w:eastAsia="Times New Roman" w:hAnsi="Times New Roman"/>
          <w:sz w:val="14"/>
          <w:szCs w:val="14"/>
          <w:color w:val="auto"/>
        </w:rPr>
      </w:pPr>
      <w:r>
        <w:rPr>
          <w:rFonts w:ascii="Arial" w:cs="Arial" w:eastAsia="Arial" w:hAnsi="Arial"/>
          <w:sz w:val="14"/>
          <w:szCs w:val="14"/>
          <w:u w:val="single" w:color="auto"/>
          <w:color w:val="00A6B7"/>
        </w:rPr>
        <w:t>Officer Perquisites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3"/>
          <w:szCs w:val="13"/>
          <w:color w:val="auto"/>
        </w:rPr>
        <w:t>Version No. 2.1 | Effective Date: 12.01.2024</w:t>
      </w:r>
    </w:p>
    <w:p>
      <w:pPr>
        <w:sectPr>
          <w:pgSz w:w="11900" w:h="16838" w:orient="portrait"/>
          <w:cols w:equalWidth="0" w:num="1">
            <w:col w:w="11280"/>
          </w:cols>
          <w:pgMar w:left="300" w:top="808" w:right="31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6"/>
          <w:szCs w:val="16"/>
          <w:b w:val="1"/>
          <w:bCs w:val="1"/>
          <w:color w:val="auto"/>
        </w:rPr>
        <w:t>Exhibit 10.48</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2023 EQUITY INCENTIVE PLAN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BOOZ ALLEN HAMILTON HOLDING CORPORATION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GRANT NOTICE</w:t>
      </w:r>
    </w:p>
    <w:p>
      <w:pPr>
        <w:spacing w:after="0" w:line="168"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6"/>
          <w:szCs w:val="16"/>
          <w:color w:val="auto"/>
        </w:rPr>
        <w:t>Unless otherwise defined herein, the terms defined in the 2023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of Booz Allen Hamilton Holding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shall have the same defined meanings in this Stock Option Agreement, which includes the terms in this Grant Notice,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Grant Notice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attached hereto, and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with respect to your country of employment and/or residence (collectively,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Capitalized terms used in this Grant Notice or in Appendix A without definition have the meanings given in the Plan.</w:t>
      </w:r>
    </w:p>
    <w:p>
      <w:pPr>
        <w:spacing w:after="0" w:line="155"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6"/>
          <w:szCs w:val="16"/>
          <w:color w:val="auto"/>
        </w:rPr>
        <w:t xml:space="preserve">You,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ParticipantName+C# (the “</w:t>
      </w:r>
      <w:r>
        <w:rPr>
          <w:rFonts w:ascii="Times New Roman" w:cs="Times New Roman" w:eastAsia="Times New Roman" w:hAnsi="Times New Roman"/>
          <w:sz w:val="16"/>
          <w:szCs w:val="16"/>
          <w:u w:val="single" w:color="auto"/>
          <w:color w:val="auto"/>
        </w:rPr>
        <w:t>Optionee</w:t>
      </w:r>
      <w:r>
        <w:rPr>
          <w:rFonts w:ascii="Times New Roman" w:cs="Times New Roman" w:eastAsia="Times New Roman" w:hAnsi="Times New Roman"/>
          <w:sz w:val="16"/>
          <w:szCs w:val="16"/>
          <w:color w:val="auto"/>
        </w:rPr>
        <w:t xml:space="preserve">”), have been granted an option to purchase #QuantityGranted# Shares of Company Common Stock, and with an Option Price of #Grant Price# and on #GrantDate# (the “Grant Date”), in each case as set forth on the Fidelity NetBenefits system at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u w:val="single" w:color="auto"/>
          <w:color w:val="auto"/>
        </w:rPr>
        <w:t>Option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 xml:space="preserve">subject to the terms and conditions of the Plan and this Agreement, including but not limited to the vesting schedule as set forth on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to this Agreement, which shall be deemed part of and incorporated by reference into this Grant Notice, and the following terms:</w:t>
      </w:r>
    </w:p>
    <w:p>
      <w:pPr>
        <w:sectPr>
          <w:pgSz w:w="11900" w:h="16838" w:orient="portrait"/>
          <w:cols w:equalWidth="0" w:num="1">
            <w:col w:w="11280"/>
          </w:cols>
          <w:pgMar w:left="300" w:top="500" w:right="319" w:bottom="1440" w:gutter="0" w:footer="0" w:header="0"/>
        </w:sectPr>
      </w:pP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Type of Option:</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Final Expiration Date: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Non-Qualified Stock Option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Ten (10) years from the Grant Date</w:t>
      </w:r>
    </w:p>
    <w:p>
      <w:pPr>
        <w:spacing w:after="0" w:line="200" w:lineRule="exact"/>
        <w:rPr>
          <w:sz w:val="20"/>
          <w:szCs w:val="20"/>
          <w:color w:val="auto"/>
        </w:rPr>
      </w:pPr>
    </w:p>
    <w:p>
      <w:pPr>
        <w:sectPr>
          <w:pgSz w:w="11900" w:h="16838" w:orient="portrait"/>
          <w:cols w:equalWidth="0" w:num="2">
            <w:col w:w="4460" w:space="720"/>
            <w:col w:w="6100"/>
          </w:cols>
          <w:pgMar w:left="300" w:top="500" w:right="31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acceptance of the Option indicates your agreement and understanding that the Option is subject to the terms and conditions contained in the Agreement and the Plan.</w:t>
      </w:r>
    </w:p>
    <w:p>
      <w:pPr>
        <w:spacing w:after="0" w:line="14"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b w:val="1"/>
          <w:bCs w:val="1"/>
          <w:color w:val="auto"/>
        </w:rPr>
        <w:t>ACCORDINGLY, PLEASE BE SURE TO READ THE PLAN AND THE AGREEMENT, EACH OF WHICH CONTAINS THE SPECIFIC TERMS AND CONDITIONS OF THIS OPTION. IN PARTICULAR, BY ACCEPTANCE OF THE OPTION, YOU AGREE TO THE TERMS AND CONDITIONS CONTAINED IN THE AGREEMENT RELATING TO ELECTRONIC DELIVERY OF ANY DOCUMENTS RELATED TO THE OPTION.</w:t>
      </w:r>
    </w:p>
    <w:p>
      <w:pPr>
        <w:sectPr>
          <w:pgSz w:w="11900" w:h="16838" w:orient="portrait"/>
          <w:cols w:equalWidth="0" w:num="1">
            <w:col w:w="11280"/>
          </w:cols>
          <w:pgMar w:left="300" w:top="500" w:right="319" w:bottom="1440" w:gutter="0" w:footer="0" w:header="0"/>
          <w:type w:val="continuous"/>
        </w:sectPr>
      </w:pPr>
    </w:p>
    <w:bookmarkStart w:id="269" w:name="page270"/>
    <w:bookmarkEnd w:id="26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APPENDIX A TO STOCK OPTION AGREEMENT</w:t>
      </w:r>
    </w:p>
    <w:p>
      <w:pPr>
        <w:spacing w:after="0" w:line="1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I.</w:t>
      </w:r>
    </w:p>
    <w:p>
      <w:pPr>
        <w:ind w:left="4900"/>
        <w:spacing w:after="0"/>
        <w:rPr>
          <w:sz w:val="20"/>
          <w:szCs w:val="20"/>
          <w:color w:val="auto"/>
        </w:rPr>
      </w:pPr>
      <w:r>
        <w:rPr>
          <w:rFonts w:ascii="Times New Roman" w:cs="Times New Roman" w:eastAsia="Times New Roman" w:hAnsi="Times New Roman"/>
          <w:sz w:val="16"/>
          <w:szCs w:val="16"/>
          <w:b w:val="1"/>
          <w:bCs w:val="1"/>
          <w:u w:val="single" w:color="auto"/>
          <w:color w:val="auto"/>
        </w:rPr>
        <w:t>GRANT OF OPTION</w:t>
      </w:r>
    </w:p>
    <w:p>
      <w:pPr>
        <w:spacing w:after="0" w:line="1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1.1</w:t>
      </w:r>
      <w:r>
        <w:rPr>
          <w:sz w:val="20"/>
          <w:szCs w:val="20"/>
          <w:color w:val="auto"/>
        </w:rPr>
        <w:tab/>
      </w:r>
      <w:r>
        <w:rPr>
          <w:rFonts w:ascii="Times New Roman" w:cs="Times New Roman" w:eastAsia="Times New Roman" w:hAnsi="Times New Roman"/>
          <w:sz w:val="14"/>
          <w:szCs w:val="14"/>
          <w:u w:val="single" w:color="auto"/>
          <w:color w:val="auto"/>
        </w:rPr>
        <w:t>Grant of Option</w:t>
      </w:r>
      <w:r>
        <w:rPr>
          <w:rFonts w:ascii="Times New Roman" w:cs="Times New Roman" w:eastAsia="Times New Roman" w:hAnsi="Times New Roman"/>
          <w:sz w:val="14"/>
          <w:szCs w:val="14"/>
          <w:color w:val="auto"/>
        </w:rPr>
        <w:t>. The Company hereby grants to the Optionee, effective as of the Grant Date, the Option specified in the Grant Notice upon the terms and conditions</w:t>
      </w:r>
    </w:p>
    <w:p>
      <w:pPr>
        <w:ind w:right="120"/>
        <w:spacing w:after="0" w:line="229" w:lineRule="auto"/>
        <w:rPr>
          <w:sz w:val="20"/>
          <w:szCs w:val="20"/>
          <w:color w:val="auto"/>
        </w:rPr>
      </w:pPr>
      <w:r>
        <w:rPr>
          <w:rFonts w:ascii="Times New Roman" w:cs="Times New Roman" w:eastAsia="Times New Roman" w:hAnsi="Times New Roman"/>
          <w:sz w:val="14"/>
          <w:szCs w:val="14"/>
          <w:color w:val="auto"/>
        </w:rPr>
        <w:t xml:space="preserve">set forth in the Plan and this Agreement (including the Grant Notice and any special terms and conditions applicable to the Optionee’s country set forth in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to this Agreement). The Optionee hereby agrees that, except as required or permitted by Applicable Law, he or she will not disclose to any Person other than the Optionee’s spouse and/or</w:t>
      </w:r>
    </w:p>
    <w:p>
      <w:pPr>
        <w:spacing w:after="0"/>
        <w:rPr>
          <w:sz w:val="20"/>
          <w:szCs w:val="20"/>
          <w:color w:val="auto"/>
        </w:rPr>
      </w:pPr>
      <w:r>
        <w:rPr>
          <w:rFonts w:ascii="Times New Roman" w:cs="Times New Roman" w:eastAsia="Times New Roman" w:hAnsi="Times New Roman"/>
          <w:sz w:val="16"/>
          <w:szCs w:val="16"/>
          <w:color w:val="auto"/>
        </w:rPr>
        <w:t>tax or financial advisor (if any) the grant of the Option or any of the terms or provisions hereof without prior approval from the Administrator.</w:t>
      </w:r>
    </w:p>
    <w:p>
      <w:pPr>
        <w:spacing w:after="0" w:line="127" w:lineRule="exact"/>
        <w:rPr>
          <w:sz w:val="20"/>
          <w:szCs w:val="20"/>
          <w:color w:val="auto"/>
        </w:rPr>
      </w:pPr>
    </w:p>
    <w:p>
      <w:pPr>
        <w:ind w:right="620"/>
        <w:spacing w:after="0" w:line="229" w:lineRule="auto"/>
        <w:rPr>
          <w:sz w:val="20"/>
          <w:szCs w:val="20"/>
          <w:color w:val="auto"/>
        </w:rPr>
      </w:pPr>
      <w:r>
        <w:rPr>
          <w:rFonts w:ascii="Times New Roman" w:cs="Times New Roman" w:eastAsia="Times New Roman" w:hAnsi="Times New Roman"/>
          <w:sz w:val="16"/>
          <w:szCs w:val="16"/>
          <w:u w:val="single" w:color="auto"/>
          <w:color w:val="auto"/>
        </w:rPr>
        <w:t>Section 1.2 Option Subject to Plan</w:t>
      </w:r>
      <w:r>
        <w:rPr>
          <w:rFonts w:ascii="Times New Roman" w:cs="Times New Roman" w:eastAsia="Times New Roman" w:hAnsi="Times New Roman"/>
          <w:sz w:val="16"/>
          <w:szCs w:val="16"/>
          <w:color w:val="auto"/>
        </w:rPr>
        <w:t>. The Option granted hereunder is subject to the terms and provisions of the Plan, including, but not limited to, Article V, Article XI, Article XII, Article XIII and Article XIV thereof.</w:t>
      </w:r>
    </w:p>
    <w:p>
      <w:pPr>
        <w:spacing w:after="0" w:line="1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1.3</w:t>
      </w:r>
      <w:r>
        <w:rPr>
          <w:sz w:val="20"/>
          <w:szCs w:val="20"/>
          <w:color w:val="auto"/>
        </w:rPr>
        <w:tab/>
      </w:r>
      <w:r>
        <w:rPr>
          <w:rFonts w:ascii="Times New Roman" w:cs="Times New Roman" w:eastAsia="Times New Roman" w:hAnsi="Times New Roman"/>
          <w:sz w:val="14"/>
          <w:szCs w:val="14"/>
          <w:u w:val="single" w:color="auto"/>
          <w:color w:val="auto"/>
        </w:rPr>
        <w:t>Option Price</w:t>
      </w:r>
      <w:r>
        <w:rPr>
          <w:rFonts w:ascii="Times New Roman" w:cs="Times New Roman" w:eastAsia="Times New Roman" w:hAnsi="Times New Roman"/>
          <w:sz w:val="14"/>
          <w:szCs w:val="14"/>
          <w:color w:val="auto"/>
        </w:rPr>
        <w:t>. The Option Price of the Shares subject to the Option is equal to the Fair Market Value of a Share on the Grant Date, as determined by the</w:t>
      </w:r>
    </w:p>
    <w:p>
      <w:pPr>
        <w:ind w:right="500"/>
        <w:spacing w:after="0" w:line="217" w:lineRule="auto"/>
        <w:rPr>
          <w:sz w:val="20"/>
          <w:szCs w:val="20"/>
          <w:color w:val="auto"/>
        </w:rPr>
      </w:pPr>
      <w:r>
        <w:rPr>
          <w:rFonts w:ascii="Times New Roman" w:cs="Times New Roman" w:eastAsia="Times New Roman" w:hAnsi="Times New Roman"/>
          <w:sz w:val="16"/>
          <w:szCs w:val="16"/>
          <w:color w:val="auto"/>
        </w:rPr>
        <w:t>Administrator in accordance with the provisions set forth in the Plan, and does not include any commission or other charges. The Option Price has been communicated to the Optionee in a communication accompanying the Grant Notice.</w:t>
      </w:r>
    </w:p>
    <w:p>
      <w:pPr>
        <w:spacing w:after="0" w:line="10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II.</w:t>
      </w:r>
    </w:p>
    <w:p>
      <w:pPr>
        <w:ind w:left="4120"/>
        <w:spacing w:after="0"/>
        <w:rPr>
          <w:sz w:val="20"/>
          <w:szCs w:val="20"/>
          <w:color w:val="auto"/>
        </w:rPr>
      </w:pPr>
      <w:r>
        <w:rPr>
          <w:rFonts w:ascii="Times New Roman" w:cs="Times New Roman" w:eastAsia="Times New Roman" w:hAnsi="Times New Roman"/>
          <w:sz w:val="16"/>
          <w:szCs w:val="16"/>
          <w:b w:val="1"/>
          <w:bCs w:val="1"/>
          <w:u w:val="single" w:color="auto"/>
          <w:color w:val="auto"/>
        </w:rPr>
        <w:t>VESTING SCHEDULE; EXERCISABILITY</w:t>
      </w:r>
    </w:p>
    <w:p>
      <w:pPr>
        <w:spacing w:after="0" w:line="1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2.1</w:t>
      </w:r>
      <w:r>
        <w:rPr>
          <w:sz w:val="20"/>
          <w:szCs w:val="20"/>
          <w:color w:val="auto"/>
        </w:rPr>
        <w:tab/>
      </w:r>
      <w:r>
        <w:rPr>
          <w:rFonts w:ascii="Times New Roman" w:cs="Times New Roman" w:eastAsia="Times New Roman" w:hAnsi="Times New Roman"/>
          <w:sz w:val="14"/>
          <w:szCs w:val="14"/>
          <w:u w:val="single" w:color="auto"/>
          <w:color w:val="auto"/>
        </w:rPr>
        <w:t>Vesting and Exercisability of the Option</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right="300" w:firstLine="514"/>
        <w:spacing w:after="0" w:line="230" w:lineRule="auto"/>
        <w:tabs>
          <w:tab w:leader="none" w:pos="1011"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Vesting</w:t>
      </w:r>
      <w:r>
        <w:rPr>
          <w:rFonts w:ascii="Times New Roman" w:cs="Times New Roman" w:eastAsia="Times New Roman" w:hAnsi="Times New Roman"/>
          <w:sz w:val="16"/>
          <w:szCs w:val="16"/>
          <w:color w:val="auto"/>
        </w:rPr>
        <w:t>. Except as provided in this Section 2.1, the Option shall become vested and exercisable in the amount(s) and on the vesting date(s) set forth in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(each, a “</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so long as the Optionee remains continuously in service as a Service Provider through such Vesting Date.</w:t>
      </w:r>
    </w:p>
    <w:p>
      <w:pPr>
        <w:spacing w:after="0" w:line="124"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Discretionary Vesting</w:t>
      </w:r>
      <w:r>
        <w:rPr>
          <w:rFonts w:ascii="Times New Roman" w:cs="Times New Roman" w:eastAsia="Times New Roman" w:hAnsi="Times New Roman"/>
          <w:sz w:val="14"/>
          <w:szCs w:val="14"/>
          <w:color w:val="auto"/>
        </w:rPr>
        <w:t>. The Administrator in its sole discretion may accelerate the vesting of any portion of the Option that does not otherwise vest pursuant to this</w:t>
      </w:r>
    </w:p>
    <w:p>
      <w:pPr>
        <w:spacing w:after="0" w:line="18"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Section 2.1.</w:t>
      </w:r>
    </w:p>
    <w:p>
      <w:pPr>
        <w:spacing w:after="0" w:line="1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2.2</w:t>
      </w:r>
      <w:r>
        <w:rPr>
          <w:sz w:val="20"/>
          <w:szCs w:val="20"/>
          <w:color w:val="auto"/>
        </w:rPr>
        <w:tab/>
      </w: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firstLine="514"/>
        <w:spacing w:after="0" w:line="205" w:lineRule="auto"/>
        <w:tabs>
          <w:tab w:leader="none" w:pos="101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Due to Death</w:t>
      </w:r>
      <w:r>
        <w:rPr>
          <w:rFonts w:ascii="Times New Roman" w:cs="Times New Roman" w:eastAsia="Times New Roman" w:hAnsi="Times New Roman"/>
          <w:sz w:val="16"/>
          <w:szCs w:val="16"/>
          <w:color w:val="auto"/>
        </w:rPr>
        <w:t>. If an Optionee’s employment or service terminates due to the Optionee’s death, any unvested portion of the Option shall immediately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vest and shall remain outstanding until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the date of the Optionee’s death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Option’s Final Expiration Date, whichever is earlier, after which any unexercised portion of the Option shall immediately terminate.</w:t>
      </w:r>
    </w:p>
    <w:p>
      <w:pPr>
        <w:spacing w:after="0" w:line="125" w:lineRule="exact"/>
        <w:rPr>
          <w:rFonts w:ascii="Times New Roman" w:cs="Times New Roman" w:eastAsia="Times New Roman" w:hAnsi="Times New Roman"/>
          <w:sz w:val="16"/>
          <w:szCs w:val="16"/>
          <w:color w:val="auto"/>
        </w:rPr>
      </w:pPr>
    </w:p>
    <w:p>
      <w:pPr>
        <w:jc w:val="both"/>
        <w:ind w:right="160" w:firstLine="514"/>
        <w:spacing w:after="0" w:line="206" w:lineRule="auto"/>
        <w:tabs>
          <w:tab w:leader="none" w:pos="1009"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Due to Disability</w:t>
      </w:r>
      <w:r>
        <w:rPr>
          <w:rFonts w:ascii="Times New Roman" w:cs="Times New Roman" w:eastAsia="Times New Roman" w:hAnsi="Times New Roman"/>
          <w:sz w:val="16"/>
          <w:szCs w:val="16"/>
          <w:color w:val="auto"/>
        </w:rPr>
        <w:t>. If an Optionee’s employment or service terminates due to the Optionee’s Disability, any unvested portion of the Option shall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forfeited and instead shall continue to vest in accordance with Section 2.1(a) of this Agreement. Any vested portion of the Option shall remain outstanding until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the later of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either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the date of termination due to Disability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the date of vesting or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the Option’s Final Expiration Date, whichever is earlier, after which any unexercised portion of the Option shall immediately terminate.</w:t>
      </w:r>
    </w:p>
    <w:p>
      <w:pPr>
        <w:spacing w:after="0" w:line="124" w:lineRule="exact"/>
        <w:rPr>
          <w:rFonts w:ascii="Times New Roman" w:cs="Times New Roman" w:eastAsia="Times New Roman" w:hAnsi="Times New Roman"/>
          <w:sz w:val="16"/>
          <w:szCs w:val="16"/>
          <w:color w:val="auto"/>
        </w:rPr>
      </w:pPr>
    </w:p>
    <w:p>
      <w:pPr>
        <w:ind w:right="100" w:firstLine="514"/>
        <w:spacing w:after="0" w:line="213" w:lineRule="auto"/>
        <w:tabs>
          <w:tab w:leader="none" w:pos="101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for Cause</w:t>
      </w:r>
      <w:r>
        <w:rPr>
          <w:rFonts w:ascii="Times New Roman" w:cs="Times New Roman" w:eastAsia="Times New Roman" w:hAnsi="Times New Roman"/>
          <w:sz w:val="16"/>
          <w:szCs w:val="16"/>
          <w:color w:val="auto"/>
        </w:rPr>
        <w:t>. If the Optionee’s employment or service terminates for Cause, the Option, whether vested or unvested, shall be immediately forfeited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canceled, effective as of the date of the Optionee’s termination of employment or service. Notwithstanding the foregoing, unless otherwise determined by the Administrator and set forth in writing, any portion of the Option that vested during the twenty-four (24) months prior to or any time after the Optionee engaged in the conduct that gave rise to the termination for Cause shall upon demand by the Administrator be immediately forfeited and disgorged or paid to the Company together with all gains earned or accrued due to the exercise of such Option or sale of Company Common Stock issued pursuant to such Option.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307" w:right="319" w:bottom="1440" w:gutter="0" w:footer="0" w:header="0"/>
        </w:sectPr>
      </w:pPr>
    </w:p>
    <w:bookmarkStart w:id="270" w:name="page271"/>
    <w:bookmarkEnd w:id="270"/>
    <w:p>
      <w:pPr>
        <w:ind w:right="40" w:firstLine="514"/>
        <w:spacing w:after="0" w:line="206" w:lineRule="auto"/>
        <w:tabs>
          <w:tab w:leader="none" w:pos="1009"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Termination for Any Other Reason</w:t>
      </w:r>
      <w:r>
        <w:rPr>
          <w:rFonts w:ascii="Times New Roman" w:cs="Times New Roman" w:eastAsia="Times New Roman" w:hAnsi="Times New Roman"/>
          <w:sz w:val="16"/>
          <w:szCs w:val="16"/>
          <w:color w:val="auto"/>
        </w:rPr>
        <w:t>. Unless otherwise determined by the Administrator and set forth in writing, if an Optionee’s employment or service terminates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any reason other than death, Disability or by the Company or Employer for Cause, any portion of the Option that is unvested shall be immediately forfeited and canceled, effective as of the date of the Optionee’s termination of employment or service, and any portion of the Option that is vested shall remain outstanding until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the ninetieth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day after the date of termination of Optionee’s employment or service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the Final Expiration Date, whichever is earlier, after which any unexercised portion of the Option shall immediately terminate.</w:t>
      </w:r>
    </w:p>
    <w:p>
      <w:pPr>
        <w:spacing w:after="0" w:line="117"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2.3 Additional Forfeiture Provisions</w:t>
      </w:r>
      <w:r>
        <w:rPr>
          <w:rFonts w:ascii="Times New Roman" w:cs="Times New Roman" w:eastAsia="Times New Roman" w:hAnsi="Times New Roman"/>
          <w:sz w:val="14"/>
          <w:szCs w:val="14"/>
          <w:color w:val="auto"/>
        </w:rPr>
        <w:t>. Subject to Section 11.4 of the Plan, the Optionee acknowledges and agrees that the Option shall be immediately forfeited and cease to be exercisable, and the Optionee shall be required to disgorge to the Company all gains earned or accrued due to the exercise of the Option or sale of any Shares issued</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4"/>
          <w:szCs w:val="14"/>
          <w:color w:val="auto"/>
        </w:rPr>
        <w:t>pursuant to such Option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if the Optionee engages in or fails to prevent, as applicable, any financial or other misconduct (including but not limited to engaging in Competitive Activity (but excluding, only if the Optionee is located in California, clause (a) of the definition of Competitive Activity contained in the Plan)),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as required by Applicable Law</w:t>
      </w:r>
    </w:p>
    <w:p>
      <w:pPr>
        <w:spacing w:after="0" w:line="224" w:lineRule="auto"/>
        <w:rPr>
          <w:sz w:val="20"/>
          <w:szCs w:val="20"/>
          <w:color w:val="auto"/>
        </w:rPr>
      </w:pPr>
      <w:r>
        <w:rPr>
          <w:rFonts w:ascii="Times New Roman" w:cs="Times New Roman" w:eastAsia="Times New Roman" w:hAnsi="Times New Roman"/>
          <w:sz w:val="16"/>
          <w:szCs w:val="16"/>
          <w:color w:val="auto"/>
        </w:rPr>
        <w:t>or regulations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16"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2.4 Exercisability of the Option</w:t>
      </w:r>
      <w:r>
        <w:rPr>
          <w:rFonts w:ascii="Times New Roman" w:cs="Times New Roman" w:eastAsia="Times New Roman" w:hAnsi="Times New Roman"/>
          <w:sz w:val="14"/>
          <w:szCs w:val="14"/>
          <w:color w:val="auto"/>
        </w:rPr>
        <w:t>. The Optionee (or the Optionee’s Eligible Representative) shall not have the right to exercise any portion of the Option until the date such portion of the Option becomes vested and exercisable pursuant to Section 2.1 or Section 2.2 of this Agreement. The date that the applicable portion of the Option becomes</w:t>
      </w:r>
    </w:p>
    <w:p>
      <w:pPr>
        <w:spacing w:after="0" w:line="1" w:lineRule="exact"/>
        <w:rPr>
          <w:sz w:val="20"/>
          <w:szCs w:val="20"/>
          <w:color w:val="auto"/>
        </w:rPr>
      </w:pPr>
    </w:p>
    <w:p>
      <w:pPr>
        <w:ind w:right="500"/>
        <w:spacing w:after="0" w:line="229" w:lineRule="auto"/>
        <w:rPr>
          <w:sz w:val="20"/>
          <w:szCs w:val="20"/>
          <w:color w:val="auto"/>
        </w:rPr>
      </w:pPr>
      <w:r>
        <w:rPr>
          <w:rFonts w:ascii="Times New Roman" w:cs="Times New Roman" w:eastAsia="Times New Roman" w:hAnsi="Times New Roman"/>
          <w:sz w:val="14"/>
          <w:szCs w:val="14"/>
          <w:color w:val="auto"/>
        </w:rPr>
        <w:t>vested and exercisable is referred to herein as the “Exercise Commencement Date.” Subject to Section 14.1 of the Plan, following the Exercise Commencement Date, such applicable portion of the Option shall remain exercisable by the Optionee (or the Optionee’s Eligible Representative) until it becomes unexercisable under Section 2.5 of this</w:t>
      </w:r>
    </w:p>
    <w:p>
      <w:pPr>
        <w:spacing w:after="0"/>
        <w:rPr>
          <w:sz w:val="20"/>
          <w:szCs w:val="20"/>
          <w:color w:val="auto"/>
        </w:rPr>
      </w:pPr>
      <w:r>
        <w:rPr>
          <w:rFonts w:ascii="Times New Roman" w:cs="Times New Roman" w:eastAsia="Times New Roman" w:hAnsi="Times New Roman"/>
          <w:sz w:val="16"/>
          <w:szCs w:val="16"/>
          <w:color w:val="auto"/>
        </w:rPr>
        <w:t>Agreement. Once the Option becomes unexercisable, it shall be forfeited immediately.</w:t>
      </w:r>
    </w:p>
    <w:p>
      <w:pPr>
        <w:spacing w:after="0" w:line="1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2.5</w:t>
      </w:r>
      <w:r>
        <w:rPr>
          <w:sz w:val="20"/>
          <w:szCs w:val="20"/>
          <w:color w:val="auto"/>
        </w:rPr>
        <w:tab/>
      </w:r>
      <w:r>
        <w:rPr>
          <w:rFonts w:ascii="Times New Roman" w:cs="Times New Roman" w:eastAsia="Times New Roman" w:hAnsi="Times New Roman"/>
          <w:sz w:val="14"/>
          <w:szCs w:val="14"/>
          <w:u w:val="single" w:color="auto"/>
          <w:color w:val="auto"/>
        </w:rPr>
        <w:t>Expiration of Option</w:t>
      </w:r>
      <w:r>
        <w:rPr>
          <w:rFonts w:ascii="Times New Roman" w:cs="Times New Roman" w:eastAsia="Times New Roman" w:hAnsi="Times New Roman"/>
          <w:sz w:val="14"/>
          <w:szCs w:val="14"/>
          <w:color w:val="auto"/>
        </w:rPr>
        <w:t>. The Option may not be exercised after the first to occur of the following events:</w:t>
      </w:r>
    </w:p>
    <w:p>
      <w:pPr>
        <w:spacing w:after="0" w:line="145" w:lineRule="exact"/>
        <w:rPr>
          <w:sz w:val="20"/>
          <w:szCs w:val="20"/>
          <w:color w:val="auto"/>
        </w:rPr>
      </w:pPr>
    </w:p>
    <w:p>
      <w:pPr>
        <w:ind w:left="1020" w:hanging="506"/>
        <w:spacing w:after="0"/>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Final Expiration Date;</w:t>
      </w:r>
    </w:p>
    <w:p>
      <w:pPr>
        <w:spacing w:after="0" w:line="176" w:lineRule="exact"/>
        <w:rPr>
          <w:rFonts w:ascii="Times New Roman" w:cs="Times New Roman" w:eastAsia="Times New Roman" w:hAnsi="Times New Roman"/>
          <w:sz w:val="16"/>
          <w:szCs w:val="16"/>
          <w:color w:val="auto"/>
        </w:rPr>
      </w:pPr>
    </w:p>
    <w:p>
      <w:pPr>
        <w:ind w:right="60" w:firstLine="514"/>
        <w:spacing w:after="0" w:line="259" w:lineRule="auto"/>
        <w:tabs>
          <w:tab w:leader="none" w:pos="100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longer period of time as the Administrator may otherwise approve, ninety (90) days following the date of the Optionee’s termination of employment or service as a Service Provider for any reason other than Cause, death, or Disability;</w:t>
      </w:r>
    </w:p>
    <w:p>
      <w:pPr>
        <w:spacing w:after="0" w:line="143" w:lineRule="exact"/>
        <w:rPr>
          <w:rFonts w:ascii="Times New Roman" w:cs="Times New Roman" w:eastAsia="Times New Roman" w:hAnsi="Times New Roman"/>
          <w:sz w:val="16"/>
          <w:szCs w:val="16"/>
          <w:color w:val="auto"/>
        </w:rPr>
      </w:pPr>
    </w:p>
    <w:p>
      <w:pPr>
        <w:ind w:right="420" w:firstLine="514"/>
        <w:spacing w:after="0" w:line="273" w:lineRule="auto"/>
        <w:tabs>
          <w:tab w:leader="none" w:pos="101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the Administrator may otherwise approve, the date that the Company or the Employer terminates the Optionee’s employment or service as a Service Provider for Cause;</w:t>
      </w:r>
    </w:p>
    <w:p>
      <w:pPr>
        <w:spacing w:after="0" w:line="122" w:lineRule="exact"/>
        <w:rPr>
          <w:rFonts w:ascii="Times New Roman" w:cs="Times New Roman" w:eastAsia="Times New Roman" w:hAnsi="Times New Roman"/>
          <w:sz w:val="16"/>
          <w:szCs w:val="16"/>
          <w:color w:val="auto"/>
        </w:rPr>
      </w:pPr>
    </w:p>
    <w:p>
      <w:pPr>
        <w:ind w:right="60" w:firstLine="514"/>
        <w:spacing w:after="0" w:line="228" w:lineRule="auto"/>
        <w:tabs>
          <w:tab w:leader="none" w:pos="1009"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longer period of time as the Administrator may otherwise approve,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the Optionee’s termination of employment or service as a Service Provider by reason of the Optionee’s death;</w:t>
      </w:r>
    </w:p>
    <w:p>
      <w:pPr>
        <w:spacing w:after="0" w:line="147" w:lineRule="exact"/>
        <w:rPr>
          <w:rFonts w:ascii="Times New Roman" w:cs="Times New Roman" w:eastAsia="Times New Roman" w:hAnsi="Times New Roman"/>
          <w:sz w:val="16"/>
          <w:szCs w:val="16"/>
          <w:color w:val="auto"/>
        </w:rPr>
      </w:pPr>
    </w:p>
    <w:p>
      <w:pPr>
        <w:jc w:val="both"/>
        <w:ind w:right="80" w:firstLine="514"/>
        <w:spacing w:after="0" w:line="234" w:lineRule="auto"/>
        <w:tabs>
          <w:tab w:leader="none" w:pos="1011"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for such longer period of time as the Administrator may otherwise approve, in the event of the Optionee’s termination of employment or service as a Service Provider by reason of the Optionee’s Disability, the first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6"/>
          <w:szCs w:val="16"/>
          <w:color w:val="auto"/>
        </w:rPr>
        <w:t>) anniversary of the later of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Optionee’s termination of employment or service due to the Optionee’s Disability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date of vesting of the applicable Option; or</w:t>
      </w:r>
    </w:p>
    <w:p>
      <w:pPr>
        <w:spacing w:after="0" w:line="149"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forfeiture of an Option as provided in Section 2.3 of this Agreement and Section 11.4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296" w:right="319" w:bottom="1440" w:gutter="0" w:footer="0" w:header="0"/>
        </w:sectPr>
      </w:pPr>
    </w:p>
    <w:bookmarkStart w:id="271" w:name="page272"/>
    <w:bookmarkEnd w:id="271"/>
    <w:p>
      <w:pPr>
        <w:ind w:right="80"/>
        <w:spacing w:after="0" w:line="235" w:lineRule="auto"/>
        <w:rPr>
          <w:sz w:val="20"/>
          <w:szCs w:val="20"/>
          <w:color w:val="auto"/>
        </w:rPr>
      </w:pPr>
      <w:r>
        <w:rPr>
          <w:rFonts w:ascii="Times New Roman" w:cs="Times New Roman" w:eastAsia="Times New Roman" w:hAnsi="Times New Roman"/>
          <w:sz w:val="16"/>
          <w:szCs w:val="16"/>
          <w:u w:val="single" w:color="auto"/>
          <w:color w:val="auto"/>
        </w:rPr>
        <w:t>Section 2.6 Partial Exercise</w:t>
      </w:r>
      <w:r>
        <w:rPr>
          <w:rFonts w:ascii="Times New Roman" w:cs="Times New Roman" w:eastAsia="Times New Roman" w:hAnsi="Times New Roman"/>
          <w:sz w:val="16"/>
          <w:szCs w:val="16"/>
          <w:color w:val="auto"/>
        </w:rPr>
        <w:t>. Any exercisable portion of the Option or the entire Option, if then wholly exercisable, may be exercised in whole or in part at any time prior to the date on which the Option or portion thereof becomes unexercisable under Section 2.5 of this Agreement.</w:t>
      </w:r>
    </w:p>
    <w:p>
      <w:pPr>
        <w:spacing w:after="0" w:line="117" w:lineRule="exact"/>
        <w:rPr>
          <w:sz w:val="20"/>
          <w:szCs w:val="20"/>
          <w:color w:val="auto"/>
        </w:rPr>
      </w:pPr>
    </w:p>
    <w:p>
      <w:pPr>
        <w:ind w:right="520"/>
        <w:spacing w:after="0" w:line="235" w:lineRule="auto"/>
        <w:rPr>
          <w:sz w:val="20"/>
          <w:szCs w:val="20"/>
          <w:color w:val="auto"/>
        </w:rPr>
      </w:pPr>
      <w:r>
        <w:rPr>
          <w:rFonts w:ascii="Times New Roman" w:cs="Times New Roman" w:eastAsia="Times New Roman" w:hAnsi="Times New Roman"/>
          <w:sz w:val="16"/>
          <w:szCs w:val="16"/>
          <w:u w:val="single" w:color="auto"/>
          <w:color w:val="auto"/>
        </w:rPr>
        <w:t>Section 2.7 Exercise of Option</w:t>
      </w:r>
      <w:r>
        <w:rPr>
          <w:rFonts w:ascii="Times New Roman" w:cs="Times New Roman" w:eastAsia="Times New Roman" w:hAnsi="Times New Roman"/>
          <w:sz w:val="16"/>
          <w:szCs w:val="16"/>
          <w:color w:val="auto"/>
        </w:rPr>
        <w:t>. The exercise of the Option shall be governed by the terms of this Agreement and the terms of the Plan, including, without limitation, the provisions of Article V of the Plan.</w:t>
      </w:r>
    </w:p>
    <w:p>
      <w:pPr>
        <w:spacing w:after="0" w:line="12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2.8</w:t>
      </w:r>
      <w:r>
        <w:rPr>
          <w:sz w:val="20"/>
          <w:szCs w:val="20"/>
          <w:color w:val="auto"/>
        </w:rPr>
        <w:tab/>
      </w:r>
      <w:r>
        <w:rPr>
          <w:rFonts w:ascii="Times New Roman" w:cs="Times New Roman" w:eastAsia="Times New Roman" w:hAnsi="Times New Roman"/>
          <w:sz w:val="14"/>
          <w:szCs w:val="14"/>
          <w:u w:val="single" w:color="auto"/>
          <w:color w:val="auto"/>
        </w:rPr>
        <w:t>Manner of Exercise</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right="160" w:firstLine="514"/>
        <w:spacing w:after="0" w:line="250" w:lineRule="auto"/>
        <w:tabs>
          <w:tab w:leader="none" w:pos="1011"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condition to the exercise of the Option or any portion thereof, the Optionee shall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notify the Company at least three (3) days prior to exercise and no earlier than ninety (90) days prior to exercise that the Optionee intends to exercise and specifically stating the number of Shares with respect to such Option is being exercised, and</w:t>
      </w:r>
    </w:p>
    <w:p>
      <w:pPr>
        <w:ind w:right="240"/>
        <w:spacing w:after="0" w:line="21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provide the Company with payment of the aggregate Option Price of the Shares with respect to which such Option is being exercised, together with any amounts necessary to satisfy all Tax-Related Items (as defined in Section 3.1 below), which shall be payable to the Company in full as set forth in this Section 2.8.</w:t>
      </w:r>
    </w:p>
    <w:p>
      <w:pPr>
        <w:spacing w:after="0" w:line="126" w:lineRule="exact"/>
        <w:rPr>
          <w:rFonts w:ascii="Times New Roman" w:cs="Times New Roman" w:eastAsia="Times New Roman" w:hAnsi="Times New Roman"/>
          <w:sz w:val="14"/>
          <w:szCs w:val="14"/>
          <w:color w:val="auto"/>
        </w:rPr>
      </w:pPr>
    </w:p>
    <w:p>
      <w:pPr>
        <w:ind w:right="40" w:firstLine="514"/>
        <w:spacing w:after="0" w:line="209" w:lineRule="auto"/>
        <w:tabs>
          <w:tab w:leader="none" w:pos="1009"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permitted by law or the applicable listing rules, if any, the Optionee may pay for the Shares with respect to which such Option or portion of such Option is exercised through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payment in cash;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with the consent of the Administrator, the delivery of Shares which are owned by the Optionee, duly endorsed for transfer to the Company with a Fair Market Value on the date of delivery equal to the aggregate Option Price of such Shares with respect to which the Option is being exercised;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with the consent of the Administrator, the surrender of Shares then-issuable upon exercise of the Option having a Fair Market Value on the date of the exercise of the Option equal to the aggregate Option Price of such Shares with respect to which the Option is being exercised;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with the consent of the Administrator, a broker-assisted cashless exercise program established by the Company;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xml:space="preserve">) with the consent of the Administrator, delivery of a notice that the Optionee has placed a market sell order with a broker with respect to Shares then-issuable upon exercise of the Option, and that the broker has been directed to pay a sufficient portion of the net proceeds of the sale to the Company in satisfaction of the aggregate Option Price;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that</w:t>
      </w:r>
      <w:r>
        <w:rPr>
          <w:rFonts w:ascii="Times New Roman" w:cs="Times New Roman" w:eastAsia="Times New Roman" w:hAnsi="Times New Roman"/>
          <w:sz w:val="16"/>
          <w:szCs w:val="16"/>
          <w:color w:val="auto"/>
        </w:rPr>
        <w:t xml:space="preserve"> payment of such proceeds is then made to the Company upon settlement of such sale. Notwithstanding the foregoing, the consent of the Administrator shall not be required with respect to clauses (iii) and (v) of this Section 2.8(b) if the Optionee exercises such Option on or after the date of the Optionee’s Retirement (as defined in the Company’s Retirement Policy).</w:t>
      </w:r>
    </w:p>
    <w:p>
      <w:pPr>
        <w:spacing w:after="0" w:line="116" w:lineRule="exact"/>
        <w:rPr>
          <w:rFonts w:ascii="Times New Roman" w:cs="Times New Roman" w:eastAsia="Times New Roman" w:hAnsi="Times New Roman"/>
          <w:sz w:val="16"/>
          <w:szCs w:val="16"/>
          <w:color w:val="auto"/>
        </w:rPr>
      </w:pPr>
    </w:p>
    <w:p>
      <w:pPr>
        <w:ind w:firstLine="514"/>
        <w:spacing w:after="0" w:line="216" w:lineRule="auto"/>
        <w:tabs>
          <w:tab w:leader="none" w:pos="1011" w:val="left"/>
        </w:tabs>
        <w:numPr>
          <w:ilvl w:val="0"/>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 of the Agreement to the contrary, if the Optionee resides and/or works outside of the United States, the Company may require that the Optionee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exercise the Option in a method other than specified above,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exercise the Option only by means of a “same day sale” transaction (either a sell-all transaction or a sell-to-cover transaction) as it determines in its sole discretion,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sell any Shares he or she acquires under the Plan immediately or within a specified period following the termination of the Optionee’s employment or service with the Company, the Employer or any Subsidiary (in which case, the Optionee hereby agrees that the Company shall have the authority to issue sale instructions in relation to such Shares on the Optionee’s behalf).</w:t>
      </w:r>
    </w:p>
    <w:p>
      <w:pPr>
        <w:spacing w:after="0" w:line="1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2.9</w:t>
      </w:r>
      <w:r>
        <w:rPr>
          <w:sz w:val="20"/>
          <w:szCs w:val="20"/>
          <w:color w:val="auto"/>
        </w:rPr>
        <w:tab/>
      </w:r>
      <w:r>
        <w:rPr>
          <w:rFonts w:ascii="Times New Roman" w:cs="Times New Roman" w:eastAsia="Times New Roman" w:hAnsi="Times New Roman"/>
          <w:sz w:val="14"/>
          <w:szCs w:val="14"/>
          <w:u w:val="single" w:color="auto"/>
          <w:color w:val="auto"/>
        </w:rPr>
        <w:t>Exercise by the Administrator</w:t>
      </w:r>
      <w:r>
        <w:rPr>
          <w:rFonts w:ascii="Times New Roman" w:cs="Times New Roman" w:eastAsia="Times New Roman" w:hAnsi="Times New Roman"/>
          <w:sz w:val="14"/>
          <w:szCs w:val="14"/>
          <w:color w:val="auto"/>
        </w:rPr>
        <w:t>. If the Optionee has not exercised the Option or any portion thereof immediately prior to the expiration of the Option under Section</w:t>
      </w:r>
    </w:p>
    <w:p>
      <w:pPr>
        <w:ind w:right="20"/>
        <w:spacing w:after="0" w:line="218" w:lineRule="auto"/>
        <w:rPr>
          <w:sz w:val="20"/>
          <w:szCs w:val="20"/>
          <w:color w:val="auto"/>
        </w:rPr>
      </w:pPr>
      <w:r>
        <w:rPr>
          <w:rFonts w:ascii="Times New Roman" w:cs="Times New Roman" w:eastAsia="Times New Roman" w:hAnsi="Times New Roman"/>
          <w:sz w:val="16"/>
          <w:szCs w:val="16"/>
          <w:color w:val="auto"/>
        </w:rPr>
        <w:t>2.5 of this Agreement, and the Fair Market Value on the date of expiration exceeds the Option Price of such Option, the Administrator may, in its sole discretion, exercise the Option on behalf of the Optionee by causing the Option Price to be paid through a broker-assisted cashless exercise program established by the Company. For the avoidance of doubt, the Administrator will not be required to obtain the Optionee’s consent prior to such exercise.</w:t>
      </w:r>
    </w:p>
    <w:p>
      <w:pPr>
        <w:spacing w:after="0" w:line="117"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2.10 Change in Control</w:t>
      </w:r>
      <w:r>
        <w:rPr>
          <w:rFonts w:ascii="Times New Roman" w:cs="Times New Roman" w:eastAsia="Times New Roman" w:hAnsi="Times New Roman"/>
          <w:sz w:val="14"/>
          <w:szCs w:val="14"/>
          <w:color w:val="auto"/>
        </w:rPr>
        <w:t>. In the event of a Change in Control prior to the Vesting Date, notwithstanding anything in Article XIII of the Plan to the contrary, any unvested Options shall remain outstanding and shall vest on the applicable Vesting Date, subject to the continued employment or service of the Optionee by the Company or any Subsidiary</w:t>
      </w:r>
    </w:p>
    <w:p>
      <w:pPr>
        <w:spacing w:after="0" w:line="1" w:lineRule="exact"/>
        <w:rPr>
          <w:sz w:val="20"/>
          <w:szCs w:val="20"/>
          <w:color w:val="auto"/>
        </w:rPr>
      </w:pPr>
    </w:p>
    <w:p>
      <w:pPr>
        <w:ind w:right="460"/>
        <w:spacing w:after="0" w:line="217" w:lineRule="auto"/>
        <w:rPr>
          <w:sz w:val="20"/>
          <w:szCs w:val="20"/>
          <w:color w:val="auto"/>
        </w:rPr>
      </w:pPr>
      <w:r>
        <w:rPr>
          <w:rFonts w:ascii="Times New Roman" w:cs="Times New Roman" w:eastAsia="Times New Roman" w:hAnsi="Times New Roman"/>
          <w:sz w:val="16"/>
          <w:szCs w:val="16"/>
          <w:color w:val="auto"/>
        </w:rPr>
        <w:t xml:space="preserve">thereof through such date;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if the Optionee’s employment or service is terminated by the Company or the Employer without Cause or by the Optionee for Good Reason (each, a “</w:t>
      </w:r>
      <w:r>
        <w:rPr>
          <w:rFonts w:ascii="Times New Roman" w:cs="Times New Roman" w:eastAsia="Times New Roman" w:hAnsi="Times New Roman"/>
          <w:sz w:val="16"/>
          <w:szCs w:val="16"/>
          <w:u w:val="single" w:color="auto"/>
          <w:color w:val="auto"/>
        </w:rPr>
        <w:t>Qualifying CIC Termination</w:t>
      </w:r>
      <w:r>
        <w:rPr>
          <w:rFonts w:ascii="Times New Roman" w:cs="Times New Roman" w:eastAsia="Times New Roman" w:hAnsi="Times New Roman"/>
          <w:sz w:val="16"/>
          <w:szCs w:val="16"/>
          <w:color w:val="auto"/>
        </w:rPr>
        <w:t>”) within two (2) years following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298" w:right="31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6"/>
          <w:szCs w:val="16"/>
          <w:color w:val="auto"/>
        </w:rPr>
        <w:t>effective date of the Change in Control, such outstanding Options shall vest as of the date of such Qualifying CIC Termination.</w:t>
      </w:r>
    </w:p>
    <w:p>
      <w:pPr>
        <w:spacing w:after="0" w:line="12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Article III.</w:t>
      </w:r>
    </w:p>
    <w:p>
      <w:pPr>
        <w:jc w:val="center"/>
        <w:ind w:right="-99"/>
        <w:spacing w:after="0"/>
        <w:rPr>
          <w:sz w:val="20"/>
          <w:szCs w:val="20"/>
          <w:color w:val="auto"/>
        </w:rPr>
      </w:pPr>
      <w:r>
        <w:rPr>
          <w:rFonts w:ascii="Times New Roman" w:cs="Times New Roman" w:eastAsia="Times New Roman" w:hAnsi="Times New Roman"/>
          <w:sz w:val="16"/>
          <w:szCs w:val="16"/>
          <w:b w:val="1"/>
          <w:bCs w:val="1"/>
          <w:u w:val="single" w:color="auto"/>
          <w:color w:val="auto"/>
        </w:rPr>
        <w:t>OTHER PROVISIONS</w:t>
      </w:r>
    </w:p>
    <w:p>
      <w:pPr>
        <w:spacing w:after="0" w:line="1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3.1</w:t>
      </w:r>
      <w:r>
        <w:rPr>
          <w:sz w:val="20"/>
          <w:szCs w:val="20"/>
          <w:color w:val="auto"/>
        </w:rPr>
        <w:tab/>
      </w:r>
      <w:r>
        <w:rPr>
          <w:rFonts w:ascii="Times New Roman" w:cs="Times New Roman" w:eastAsia="Times New Roman" w:hAnsi="Times New Roman"/>
          <w:sz w:val="14"/>
          <w:szCs w:val="14"/>
          <w:u w:val="single" w:color="auto"/>
          <w:color w:val="auto"/>
        </w:rPr>
        <w:t>Tax Withholding</w:t>
      </w:r>
      <w:r>
        <w:rPr>
          <w:rFonts w:ascii="Times New Roman" w:cs="Times New Roman" w:eastAsia="Times New Roman" w:hAnsi="Times New Roman"/>
          <w:sz w:val="14"/>
          <w:szCs w:val="14"/>
          <w:color w:val="auto"/>
        </w:rPr>
        <w:t>. The Optionee acknowledges that, regardless of any action taken by the Company or, if different, the Optionee’s employer (the “</w:t>
      </w:r>
      <w:r>
        <w:rPr>
          <w:rFonts w:ascii="Times New Roman" w:cs="Times New Roman" w:eastAsia="Times New Roman" w:hAnsi="Times New Roman"/>
          <w:sz w:val="14"/>
          <w:szCs w:val="14"/>
          <w:u w:val="single" w:color="auto"/>
          <w:color w:val="auto"/>
        </w:rPr>
        <w:t>Employer</w:t>
      </w:r>
      <w:r>
        <w:rPr>
          <w:rFonts w:ascii="Times New Roman" w:cs="Times New Roman" w:eastAsia="Times New Roman" w:hAnsi="Times New Roman"/>
          <w:sz w:val="14"/>
          <w:szCs w:val="14"/>
          <w:color w:val="auto"/>
        </w:rPr>
        <w:t>”) with</w:t>
      </w:r>
    </w:p>
    <w:p>
      <w:pPr>
        <w:ind w:right="120"/>
        <w:spacing w:after="0" w:line="229" w:lineRule="auto"/>
        <w:rPr>
          <w:sz w:val="20"/>
          <w:szCs w:val="20"/>
          <w:color w:val="auto"/>
        </w:rPr>
      </w:pPr>
      <w:r>
        <w:rPr>
          <w:rFonts w:ascii="Times New Roman" w:cs="Times New Roman" w:eastAsia="Times New Roman" w:hAnsi="Times New Roman"/>
          <w:sz w:val="14"/>
          <w:szCs w:val="14"/>
          <w:color w:val="auto"/>
        </w:rPr>
        <w:t>respect to any or all income tax (including U.S. federal, state and local taxes and/or non-U.S. taxes), social insurance, payroll tax, fringe benefits tax, payment on account or other tax-related items related to the Optionee’s participation in the Plan and legally applicable to the Optionee (“</w:t>
      </w:r>
      <w:r>
        <w:rPr>
          <w:rFonts w:ascii="Times New Roman" w:cs="Times New Roman" w:eastAsia="Times New Roman" w:hAnsi="Times New Roman"/>
          <w:sz w:val="14"/>
          <w:szCs w:val="14"/>
          <w:u w:val="single" w:color="auto"/>
          <w:color w:val="auto"/>
        </w:rPr>
        <w:t>Tax-Related Items</w:t>
      </w:r>
      <w:r>
        <w:rPr>
          <w:rFonts w:ascii="Times New Roman" w:cs="Times New Roman" w:eastAsia="Times New Roman" w:hAnsi="Times New Roman"/>
          <w:sz w:val="14"/>
          <w:szCs w:val="14"/>
          <w:color w:val="auto"/>
        </w:rPr>
        <w:t>”), the ultimate liability for all Tax-Related Items is</w:t>
      </w:r>
    </w:p>
    <w:p>
      <w:pPr>
        <w:spacing w:after="0" w:line="237" w:lineRule="auto"/>
        <w:rPr>
          <w:sz w:val="20"/>
          <w:szCs w:val="20"/>
          <w:color w:val="auto"/>
        </w:rPr>
      </w:pPr>
      <w:r>
        <w:rPr>
          <w:rFonts w:ascii="Times New Roman" w:cs="Times New Roman" w:eastAsia="Times New Roman" w:hAnsi="Times New Roman"/>
          <w:sz w:val="14"/>
          <w:szCs w:val="14"/>
          <w:color w:val="auto"/>
        </w:rPr>
        <w:t>and remains the Optionee’s personal responsibility and may exceed the amount, if any, actually withheld by the Company or the Employer. The Optionee further acknowledges that</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4"/>
          <w:szCs w:val="14"/>
          <w:color w:val="auto"/>
        </w:rPr>
        <w:t>the Company and/or the Employer (</w:t>
      </w:r>
      <w:r>
        <w:rPr>
          <w:rFonts w:ascii="Times New Roman" w:cs="Times New Roman" w:eastAsia="Times New Roman" w:hAnsi="Times New Roman"/>
          <w:sz w:val="14"/>
          <w:szCs w:val="14"/>
          <w:u w:val="single" w:color="auto"/>
          <w:color w:val="auto"/>
        </w:rPr>
        <w:t>a</w:t>
      </w:r>
      <w:r>
        <w:rPr>
          <w:rFonts w:ascii="Times New Roman" w:cs="Times New Roman" w:eastAsia="Times New Roman" w:hAnsi="Times New Roman"/>
          <w:sz w:val="14"/>
          <w:szCs w:val="14"/>
          <w:color w:val="auto"/>
        </w:rPr>
        <w:t>) make no representations or undertakings regarding the treatment of any Tax-Related Items in connection with any aspect of the Optionee’s participation in the Plan, including, but not limited to, the grant of the Option, the vesting of the Option, the exercise of the Option, the issuance or sale of Shares, or the receipt of</w:t>
      </w:r>
    </w:p>
    <w:p>
      <w:pPr>
        <w:spacing w:after="0" w:line="237" w:lineRule="auto"/>
        <w:rPr>
          <w:sz w:val="20"/>
          <w:szCs w:val="20"/>
          <w:color w:val="auto"/>
        </w:rPr>
      </w:pPr>
      <w:r>
        <w:rPr>
          <w:rFonts w:ascii="Times New Roman" w:cs="Times New Roman" w:eastAsia="Times New Roman" w:hAnsi="Times New Roman"/>
          <w:sz w:val="14"/>
          <w:szCs w:val="14"/>
          <w:color w:val="auto"/>
        </w:rPr>
        <w:t>any dividends;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do not commit to and are under no obligation to structure the terms of the Option or any aspect of the Plan to reduce or eliminate the Optionee’s liability for</w:t>
      </w:r>
    </w:p>
    <w:p>
      <w:pPr>
        <w:spacing w:after="0" w:line="1"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16"/>
          <w:szCs w:val="16"/>
          <w:color w:val="auto"/>
        </w:rPr>
        <w:t>Tax-Related Items or achieve any particular tax result. Further, if the Optionee is subject to Tax-Related Items in more than one jurisdiction, the Optionee acknowledges that the Company and/or the Employer (or former employer, as applicable) may be required to withhold or account for Tax-Related Items in more than one jurisdiction.</w:t>
      </w:r>
    </w:p>
    <w:p>
      <w:pPr>
        <w:spacing w:after="0" w:line="146" w:lineRule="exact"/>
        <w:rPr>
          <w:sz w:val="20"/>
          <w:szCs w:val="20"/>
          <w:color w:val="auto"/>
        </w:rPr>
      </w:pPr>
    </w:p>
    <w:p>
      <w:pPr>
        <w:ind w:right="100" w:firstLine="509"/>
        <w:spacing w:after="0" w:line="264"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5"/>
          <w:szCs w:val="15"/>
          <w:color w:val="auto"/>
        </w:rPr>
        <w:t>Prior to any relevant taxable or tax withholding event, as applicable, the Optionee agrees to make arrangements satisfactory to the Company and/or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Employer to satisfy all Tax-Related Items. In this regard, the Optionee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5"/>
          <w:szCs w:val="15"/>
          <w:u w:val="single" w:color="auto"/>
          <w:color w:val="auto"/>
        </w:rPr>
        <w:t>a</w:t>
      </w:r>
      <w:r>
        <w:rPr>
          <w:rFonts w:ascii="Times New Roman" w:cs="Times New Roman" w:eastAsia="Times New Roman" w:hAnsi="Times New Roman"/>
          <w:sz w:val="15"/>
          <w:szCs w:val="15"/>
          <w:color w:val="auto"/>
        </w:rPr>
        <w:t>) withholding from the Optionee’s wages or other cash compensation payable to the Optionee by the Company and/or the Employer, (</w:t>
      </w:r>
      <w:r>
        <w:rPr>
          <w:rFonts w:ascii="Times New Roman" w:cs="Times New Roman" w:eastAsia="Times New Roman" w:hAnsi="Times New Roman"/>
          <w:sz w:val="15"/>
          <w:szCs w:val="15"/>
          <w:u w:val="single" w:color="auto"/>
          <w:color w:val="auto"/>
        </w:rPr>
        <w:t>b</w:t>
      </w:r>
      <w:r>
        <w:rPr>
          <w:rFonts w:ascii="Times New Roman" w:cs="Times New Roman" w:eastAsia="Times New Roman" w:hAnsi="Times New Roman"/>
          <w:sz w:val="15"/>
          <w:szCs w:val="15"/>
          <w:color w:val="auto"/>
        </w:rPr>
        <w:t>) withholding from proceeds of the sale of Shares under the Plan, either through a voluntary sale or through a mandatory sale arranged by the Company (on the Optionee’s behalf pursuant to this authorization without further consent) to cover the Tax-Related Items required to be withheld, and (</w:t>
      </w:r>
      <w:r>
        <w:rPr>
          <w:rFonts w:ascii="Times New Roman" w:cs="Times New Roman" w:eastAsia="Times New Roman" w:hAnsi="Times New Roman"/>
          <w:sz w:val="15"/>
          <w:szCs w:val="15"/>
          <w:u w:val="single" w:color="auto"/>
          <w:color w:val="auto"/>
        </w:rPr>
        <w:t>c</w:t>
      </w:r>
      <w:r>
        <w:rPr>
          <w:rFonts w:ascii="Times New Roman" w:cs="Times New Roman" w:eastAsia="Times New Roman" w:hAnsi="Times New Roman"/>
          <w:sz w:val="15"/>
          <w:szCs w:val="15"/>
          <w:color w:val="auto"/>
        </w:rPr>
        <w:t>) withholding in Shares to be issued upon exercise of the Option.</w:t>
      </w:r>
    </w:p>
    <w:p>
      <w:pPr>
        <w:spacing w:after="0" w:line="141" w:lineRule="exact"/>
        <w:rPr>
          <w:sz w:val="20"/>
          <w:szCs w:val="20"/>
          <w:color w:val="auto"/>
        </w:rPr>
      </w:pPr>
    </w:p>
    <w:p>
      <w:pPr>
        <w:ind w:right="280" w:firstLine="509"/>
        <w:spacing w:after="0" w:line="293"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5"/>
          <w:szCs w:val="15"/>
          <w:color w:val="auto"/>
        </w:rPr>
        <w:t>If the obligation for Tax-Related Items is satisfied by withholding in Shares, for tax purposes, the Optionee will be deemed to have been issued the full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5"/>
          <w:szCs w:val="15"/>
          <w:color w:val="auto"/>
        </w:rPr>
        <w:t>number of Shares, notwithstanding that a number of the Shares are held back solely for the purpose of paying the Tax-Related Items.</w:t>
      </w:r>
    </w:p>
    <w:p>
      <w:pPr>
        <w:spacing w:after="0" w:line="10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3.4</w:t>
      </w:r>
      <w:r>
        <w:rPr>
          <w:sz w:val="20"/>
          <w:szCs w:val="20"/>
          <w:color w:val="auto"/>
        </w:rPr>
        <w:tab/>
      </w:r>
      <w:r>
        <w:rPr>
          <w:rFonts w:ascii="Times New Roman" w:cs="Times New Roman" w:eastAsia="Times New Roman" w:hAnsi="Times New Roman"/>
          <w:sz w:val="14"/>
          <w:szCs w:val="14"/>
          <w:u w:val="single" w:color="auto"/>
          <w:color w:val="auto"/>
        </w:rPr>
        <w:t>Nature of Grant</w:t>
      </w:r>
      <w:r>
        <w:rPr>
          <w:rFonts w:ascii="Times New Roman" w:cs="Times New Roman" w:eastAsia="Times New Roman" w:hAnsi="Times New Roman"/>
          <w:sz w:val="14"/>
          <w:szCs w:val="14"/>
          <w:color w:val="auto"/>
        </w:rPr>
        <w:t>. By accepting the Option, the Optionee acknowledges, understands and agrees that:</w:t>
      </w:r>
    </w:p>
    <w:p>
      <w:pPr>
        <w:spacing w:after="0" w:line="145" w:lineRule="exact"/>
        <w:rPr>
          <w:sz w:val="20"/>
          <w:szCs w:val="20"/>
          <w:color w:val="auto"/>
        </w:rPr>
      </w:pPr>
    </w:p>
    <w:p>
      <w:pPr>
        <w:ind w:right="80" w:firstLine="514"/>
        <w:spacing w:after="0" w:line="273" w:lineRule="auto"/>
        <w:tabs>
          <w:tab w:leader="none" w:pos="1011"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established voluntarily by the Company, it is discretionary in nature and it may be modified, terminated, suspended or amended by the Company at any time, to the extent permitted by the Plan;</w:t>
      </w:r>
    </w:p>
    <w:p>
      <w:pPr>
        <w:spacing w:after="0" w:line="122" w:lineRule="exact"/>
        <w:rPr>
          <w:rFonts w:ascii="Times New Roman" w:cs="Times New Roman" w:eastAsia="Times New Roman" w:hAnsi="Times New Roman"/>
          <w:sz w:val="16"/>
          <w:szCs w:val="16"/>
          <w:color w:val="auto"/>
        </w:rPr>
      </w:pPr>
    </w:p>
    <w:p>
      <w:pPr>
        <w:ind w:right="180" w:firstLine="514"/>
        <w:spacing w:after="0" w:line="273" w:lineRule="auto"/>
        <w:tabs>
          <w:tab w:leader="none" w:pos="1009"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is operated and the Options are granted solely by the Company and only the Company is a party to this Agreement; accordingly, any rights the Optionee may have under this Agreement may be raised only against the Company but not any Subsidiary (including, but not limited to, the Employer);</w:t>
      </w:r>
    </w:p>
    <w:p>
      <w:pPr>
        <w:spacing w:after="0" w:line="133"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Subsidiary (including, but not limited to, the Employer) has any obligation to make any payment of any kind to the Optionee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00"/>
          </w:cols>
          <w:pgMar w:left="300" w:top="1298" w:right="399" w:bottom="1440" w:gutter="0" w:footer="0" w:header="0"/>
        </w:sectPr>
      </w:pPr>
    </w:p>
    <w:bookmarkStart w:id="273" w:name="page274"/>
    <w:bookmarkEnd w:id="273"/>
    <w:p>
      <w:pPr>
        <w:ind w:right="260" w:firstLine="514"/>
        <w:spacing w:after="0" w:line="273" w:lineRule="auto"/>
        <w:tabs>
          <w:tab w:leader="none" w:pos="100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is exceptional, voluntary and occasional, and does not create any contractual or other right to receive future Options or benefits in lieu of Options, even if Options have been granted in the past;</w:t>
      </w:r>
    </w:p>
    <w:p>
      <w:pPr>
        <w:spacing w:after="0" w:line="122"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decisions with respect to future Options or other grants, if any, will be at the sole discretion of the Administrator;</w:t>
      </w:r>
    </w:p>
    <w:p>
      <w:pPr>
        <w:spacing w:after="0" w:line="176" w:lineRule="exact"/>
        <w:rPr>
          <w:rFonts w:ascii="Times New Roman" w:cs="Times New Roman" w:eastAsia="Times New Roman" w:hAnsi="Times New Roman"/>
          <w:sz w:val="16"/>
          <w:szCs w:val="16"/>
          <w:color w:val="auto"/>
        </w:rPr>
      </w:pPr>
    </w:p>
    <w:p>
      <w:pPr>
        <w:ind w:right="240" w:firstLine="514"/>
        <w:spacing w:after="0" w:line="254" w:lineRule="auto"/>
        <w:tabs>
          <w:tab w:leader="none" w:pos="101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grant of the Option and the Optionee’s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Optionee’s employment or service relationship (if any);</w:t>
      </w:r>
    </w:p>
    <w:p>
      <w:pPr>
        <w:spacing w:after="0" w:line="147"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is voluntarily participating in the Plan;</w:t>
      </w:r>
    </w:p>
    <w:p>
      <w:pPr>
        <w:spacing w:after="0" w:line="16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Shares acquired pursuant to such Option, and the income from and value of the same, are not intended to replace any pension rights or</w:t>
      </w:r>
    </w:p>
    <w:p>
      <w:pPr>
        <w:spacing w:after="0" w:line="18"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compensation;</w:t>
      </w:r>
    </w:p>
    <w:p>
      <w:pPr>
        <w:spacing w:after="0" w:line="154" w:lineRule="exact"/>
        <w:rPr>
          <w:rFonts w:ascii="Times New Roman" w:cs="Times New Roman" w:eastAsia="Times New Roman" w:hAnsi="Times New Roman"/>
          <w:sz w:val="16"/>
          <w:szCs w:val="16"/>
          <w:color w:val="auto"/>
        </w:rPr>
      </w:pPr>
    </w:p>
    <w:p>
      <w:pPr>
        <w:ind w:right="120" w:firstLine="514"/>
        <w:spacing w:after="0" w:line="261" w:lineRule="auto"/>
        <w:tabs>
          <w:tab w:leader="none" w:pos="101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Shares acquired pursuant to such Option, and the income from and value of the same, are extraordinary items that do not constitute compensation of any kind for services of any kind rendered to the Company, the Employer or any other Subsidiary, and which are outside the scope of the Optionee’s employment or service and the Optionee’s employment or service agreement, if any;</w:t>
      </w:r>
    </w:p>
    <w:p>
      <w:pPr>
        <w:spacing w:after="0" w:line="131" w:lineRule="exact"/>
        <w:rPr>
          <w:rFonts w:ascii="Times New Roman" w:cs="Times New Roman" w:eastAsia="Times New Roman" w:hAnsi="Times New Roman"/>
          <w:sz w:val="16"/>
          <w:szCs w:val="16"/>
          <w:color w:val="auto"/>
        </w:rPr>
      </w:pPr>
    </w:p>
    <w:p>
      <w:pPr>
        <w:ind w:right="40" w:firstLine="514"/>
        <w:spacing w:after="0" w:line="254" w:lineRule="auto"/>
        <w:tabs>
          <w:tab w:leader="none" w:pos="1017"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and any Shares acquired pursuant to such Option,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47" w:lineRule="exact"/>
        <w:rPr>
          <w:rFonts w:ascii="Times New Roman" w:cs="Times New Roman" w:eastAsia="Times New Roman" w:hAnsi="Times New Roman"/>
          <w:sz w:val="16"/>
          <w:szCs w:val="16"/>
          <w:color w:val="auto"/>
        </w:rPr>
      </w:pPr>
    </w:p>
    <w:p>
      <w:pPr>
        <w:ind w:right="140" w:firstLine="514"/>
        <w:spacing w:after="0" w:line="273" w:lineRule="auto"/>
        <w:tabs>
          <w:tab w:leader="none" w:pos="100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future value of the Shares underlying the Option is unknown, indeterminable and cannot be predicted with certainty and the value of such Shares may increase or decrease in the future;</w:t>
      </w:r>
    </w:p>
    <w:p>
      <w:pPr>
        <w:spacing w:after="0" w:line="122"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underlying Shares do not increase in value, the Option will have no value;</w:t>
      </w:r>
    </w:p>
    <w:p>
      <w:pPr>
        <w:spacing w:after="0" w:line="176" w:lineRule="exact"/>
        <w:rPr>
          <w:rFonts w:ascii="Times New Roman" w:cs="Times New Roman" w:eastAsia="Times New Roman" w:hAnsi="Times New Roman"/>
          <w:sz w:val="16"/>
          <w:szCs w:val="16"/>
          <w:color w:val="auto"/>
        </w:rPr>
      </w:pPr>
    </w:p>
    <w:p>
      <w:pPr>
        <w:ind w:left="1020" w:hanging="506"/>
        <w:spacing w:after="0"/>
        <w:tabs>
          <w:tab w:leader="none" w:pos="102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Optionee exercises the Option and acquires Shares, the value of such Shares may increase or decrease in value, even below the Option Price;</w:t>
      </w:r>
    </w:p>
    <w:p>
      <w:pPr>
        <w:spacing w:after="0" w:line="166" w:lineRule="exact"/>
        <w:rPr>
          <w:rFonts w:ascii="Times New Roman" w:cs="Times New Roman" w:eastAsia="Times New Roman" w:hAnsi="Times New Roman"/>
          <w:sz w:val="16"/>
          <w:szCs w:val="16"/>
          <w:color w:val="auto"/>
        </w:rPr>
      </w:pPr>
    </w:p>
    <w:p>
      <w:pPr>
        <w:ind w:firstLine="514"/>
        <w:spacing w:after="0" w:line="251" w:lineRule="auto"/>
        <w:tabs>
          <w:tab w:leader="none" w:pos="100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claim or entitlement to compensation or damages shall arise from forfeiture of the Option or recoupment of any gains earned or accrued due to the sale of Shares acquired upon exercise of the Option resulting from, but not limited to, the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termination of the Optionee’s employment or service (regardless of the reason for the termination and whether or not the termination is later found to be invalid or in breach of employment laws in the jurisdiction where the Optionee is employed or the terms of the Optionee’s employment or service agreement, if any) and/or (</w:t>
      </w:r>
      <w:r>
        <w:rPr>
          <w:rFonts w:ascii="Times New Roman" w:cs="Times New Roman" w:eastAsia="Times New Roman" w:hAnsi="Times New Roman"/>
          <w:sz w:val="16"/>
          <w:szCs w:val="16"/>
          <w:u w:val="single" w:color="auto"/>
          <w:color w:val="auto"/>
        </w:rPr>
        <w:t>2</w:t>
      </w:r>
      <w:r>
        <w:rPr>
          <w:rFonts w:ascii="Times New Roman" w:cs="Times New Roman" w:eastAsia="Times New Roman" w:hAnsi="Times New Roman"/>
          <w:sz w:val="16"/>
          <w:szCs w:val="16"/>
          <w:color w:val="auto"/>
        </w:rPr>
        <w:t>) the application of any Applicable Law or regulations, or any recoupment policy or any recovery or clawback policy maintained by the Company or otherwise required by Applicable Law; and</w:t>
      </w:r>
    </w:p>
    <w:p>
      <w:pPr>
        <w:spacing w:after="0" w:line="141" w:lineRule="exact"/>
        <w:rPr>
          <w:rFonts w:ascii="Times New Roman" w:cs="Times New Roman" w:eastAsia="Times New Roman" w:hAnsi="Times New Roman"/>
          <w:sz w:val="16"/>
          <w:szCs w:val="16"/>
          <w:color w:val="auto"/>
        </w:rPr>
      </w:pPr>
    </w:p>
    <w:p>
      <w:pPr>
        <w:jc w:val="both"/>
        <w:ind w:right="40" w:firstLine="514"/>
        <w:spacing w:after="0" w:line="254" w:lineRule="auto"/>
        <w:tabs>
          <w:tab w:leader="none" w:pos="100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neither the Company, the Employer nor any other Subsidiary shall be liable for any foreign exchange rate fluctuation between the Optionee’s local currency and the United States Dollar that may affect the value of the Shares or any amounts due pursuant to the issuance of the Shares, or the subsequent sale of any Shares acquired pursuant to the Option.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00" w:top="1309" w:right="359" w:bottom="1440" w:gutter="0" w:footer="0" w:header="0"/>
        </w:sectPr>
      </w:pPr>
    </w:p>
    <w:bookmarkStart w:id="274" w:name="page275"/>
    <w:bookmarkEnd w:id="274"/>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3.5</w:t>
      </w:r>
      <w:r>
        <w:rPr>
          <w:sz w:val="20"/>
          <w:szCs w:val="20"/>
          <w:color w:val="auto"/>
        </w:rPr>
        <w:tab/>
      </w:r>
      <w:r>
        <w:rPr>
          <w:rFonts w:ascii="Times New Roman" w:cs="Times New Roman" w:eastAsia="Times New Roman" w:hAnsi="Times New Roman"/>
          <w:sz w:val="14"/>
          <w:szCs w:val="14"/>
          <w:u w:val="single" w:color="auto"/>
          <w:color w:val="auto"/>
        </w:rPr>
        <w:t>Shares Subject to Plan; Restrictions on the Transfer of Option and Company Common Stock</w:t>
      </w:r>
      <w:r>
        <w:rPr>
          <w:rFonts w:ascii="Times New Roman" w:cs="Times New Roman" w:eastAsia="Times New Roman" w:hAnsi="Times New Roman"/>
          <w:sz w:val="14"/>
          <w:szCs w:val="14"/>
          <w:color w:val="auto"/>
        </w:rPr>
        <w:t>. The Optionee acknowledges that this Option and any Shares acquired</w:t>
      </w:r>
    </w:p>
    <w:p>
      <w:pPr>
        <w:spacing w:after="0"/>
        <w:rPr>
          <w:sz w:val="20"/>
          <w:szCs w:val="20"/>
          <w:color w:val="auto"/>
        </w:rPr>
      </w:pPr>
      <w:r>
        <w:rPr>
          <w:rFonts w:ascii="Times New Roman" w:cs="Times New Roman" w:eastAsia="Times New Roman" w:hAnsi="Times New Roman"/>
          <w:sz w:val="16"/>
          <w:szCs w:val="16"/>
          <w:color w:val="auto"/>
        </w:rPr>
        <w:t>upon exercise of the Option are subject to the terms of the Plan, including, without limitation, the restrictions set forth in Section 5.8 and Section 5.9 of the Plan.</w:t>
      </w:r>
    </w:p>
    <w:p>
      <w:pPr>
        <w:spacing w:after="0" w:line="11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3.6 Registration of Shares</w:t>
      </w:r>
      <w:r>
        <w:rPr>
          <w:rFonts w:ascii="Times New Roman" w:cs="Times New Roman" w:eastAsia="Times New Roman" w:hAnsi="Times New Roman"/>
          <w:sz w:val="14"/>
          <w:szCs w:val="14"/>
          <w:color w:val="auto"/>
        </w:rPr>
        <w:t>. The Company may postpone the issuance and delivery of Company Common Stock upon the exercise of the Option until such Shares may be issued in compliance with any applicable state or federal law, rule or regulation. Notwithstanding any other provision in this Agreement, the Optionee may not sell the Shares</w:t>
      </w:r>
    </w:p>
    <w:p>
      <w:pPr>
        <w:spacing w:after="0" w:line="1"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4"/>
          <w:szCs w:val="14"/>
          <w:color w:val="auto"/>
        </w:rPr>
        <w:t>acquired upon exercise of the Option unless such Shares are registered under the Securities Act, or, if such Shares are not then so registered, such sale would be exempt from the registration requirements of the Securities Act. The sale must also comply with other Applicable Law and regulations governing the Shares, and the Optionee shall not sell the</w:t>
      </w:r>
    </w:p>
    <w:p>
      <w:pPr>
        <w:spacing w:after="0"/>
        <w:rPr>
          <w:sz w:val="20"/>
          <w:szCs w:val="20"/>
          <w:color w:val="auto"/>
        </w:rPr>
      </w:pPr>
      <w:r>
        <w:rPr>
          <w:rFonts w:ascii="Times New Roman" w:cs="Times New Roman" w:eastAsia="Times New Roman" w:hAnsi="Times New Roman"/>
          <w:sz w:val="16"/>
          <w:szCs w:val="16"/>
          <w:color w:val="auto"/>
        </w:rPr>
        <w:t>Shares if the Administrator determines that such sale would not be in compliance with such laws and regulations.</w:t>
      </w:r>
    </w:p>
    <w:p>
      <w:pPr>
        <w:spacing w:after="0" w:line="1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3.7</w:t>
      </w:r>
      <w:r>
        <w:rPr>
          <w:sz w:val="20"/>
          <w:szCs w:val="20"/>
          <w:color w:val="auto"/>
        </w:rPr>
        <w:tab/>
      </w:r>
      <w:r>
        <w:rPr>
          <w:rFonts w:ascii="Times New Roman" w:cs="Times New Roman" w:eastAsia="Times New Roman" w:hAnsi="Times New Roman"/>
          <w:sz w:val="14"/>
          <w:szCs w:val="14"/>
          <w:u w:val="single" w:color="auto"/>
          <w:color w:val="auto"/>
        </w:rPr>
        <w:t>Construction</w:t>
      </w:r>
      <w:r>
        <w:rPr>
          <w:rFonts w:ascii="Times New Roman" w:cs="Times New Roman" w:eastAsia="Times New Roman" w:hAnsi="Times New Roman"/>
          <w:sz w:val="14"/>
          <w:szCs w:val="14"/>
          <w:color w:val="auto"/>
        </w:rPr>
        <w:t>. This Agreement shall be administered, interpreted and enforced under the laws of the State of Delaware.</w:t>
      </w:r>
    </w:p>
    <w:p>
      <w:pPr>
        <w:spacing w:after="0" w:line="134"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16"/>
          <w:szCs w:val="16"/>
          <w:u w:val="single" w:color="auto"/>
          <w:color w:val="auto"/>
        </w:rPr>
        <w:t>Section 3.8 Conformity to Securities Laws</w:t>
      </w:r>
      <w:r>
        <w:rPr>
          <w:rFonts w:ascii="Times New Roman" w:cs="Times New Roman" w:eastAsia="Times New Roman" w:hAnsi="Times New Roman"/>
          <w:sz w:val="16"/>
          <w:szCs w:val="16"/>
          <w:color w:val="auto"/>
        </w:rPr>
        <w:t>. The Optionee acknowledges that the Plan is intended to conform to the extent necessary with all provisions of the Securities Act and the Exchange Act and any and all regulations and rules promulgated thereunder by the Securities and Exchange Commission, including without limitation Rule 16b-3.</w:t>
      </w:r>
    </w:p>
    <w:p>
      <w:pPr>
        <w:spacing w:after="0" w:line="1" w:lineRule="exact"/>
        <w:rPr>
          <w:sz w:val="20"/>
          <w:szCs w:val="20"/>
          <w:color w:val="auto"/>
        </w:rPr>
      </w:pPr>
    </w:p>
    <w:p>
      <w:pPr>
        <w:spacing w:after="0" w:line="229" w:lineRule="auto"/>
        <w:rPr>
          <w:sz w:val="20"/>
          <w:szCs w:val="20"/>
          <w:color w:val="auto"/>
        </w:rPr>
      </w:pPr>
      <w:r>
        <w:rPr>
          <w:rFonts w:ascii="Times New Roman" w:cs="Times New Roman" w:eastAsia="Times New Roman" w:hAnsi="Times New Roman"/>
          <w:sz w:val="14"/>
          <w:szCs w:val="14"/>
          <w:color w:val="auto"/>
        </w:rPr>
        <w:t>Notwithstanding anything herein to the contrary, the Plan and this Agreement shall be administered, and the Option is granted and may be exercised, only in such a manner as to conform to such laws, rules and regulations. To the extent permitted by Applicable Law, the Plan and this Agreement shall be deemed amended to the extent necessary to conform to</w:t>
      </w:r>
    </w:p>
    <w:p>
      <w:pPr>
        <w:spacing w:after="0"/>
        <w:rPr>
          <w:sz w:val="20"/>
          <w:szCs w:val="20"/>
          <w:color w:val="auto"/>
        </w:rPr>
      </w:pPr>
      <w:r>
        <w:rPr>
          <w:rFonts w:ascii="Times New Roman" w:cs="Times New Roman" w:eastAsia="Times New Roman" w:hAnsi="Times New Roman"/>
          <w:sz w:val="16"/>
          <w:szCs w:val="16"/>
          <w:color w:val="auto"/>
        </w:rPr>
        <w:t>such laws, rules and regulations.</w:t>
      </w:r>
    </w:p>
    <w:p>
      <w:pPr>
        <w:spacing w:after="0" w:line="127"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4"/>
          <w:szCs w:val="14"/>
          <w:u w:val="single" w:color="auto"/>
          <w:color w:val="auto"/>
        </w:rPr>
        <w:t>Section 3.9 Amendment, Suspension and Termination</w:t>
      </w:r>
      <w:r>
        <w:rPr>
          <w:rFonts w:ascii="Times New Roman" w:cs="Times New Roman" w:eastAsia="Times New Roman" w:hAnsi="Times New Roman"/>
          <w:sz w:val="14"/>
          <w:szCs w:val="14"/>
          <w:color w:val="auto"/>
        </w:rPr>
        <w:t xml:space="preserve">. This Agreement may be wholly or partially amended or otherwise modified, suspended or terminated at any time or from time to time by the Administrator, </w:t>
      </w:r>
      <w:r>
        <w:rPr>
          <w:rFonts w:ascii="Times New Roman" w:cs="Times New Roman" w:eastAsia="Times New Roman" w:hAnsi="Times New Roman"/>
          <w:sz w:val="14"/>
          <w:szCs w:val="14"/>
          <w:u w:val="single" w:color="auto"/>
          <w:color w:val="auto"/>
        </w:rPr>
        <w:t>provided that</w:t>
      </w:r>
      <w:r>
        <w:rPr>
          <w:rFonts w:ascii="Times New Roman" w:cs="Times New Roman" w:eastAsia="Times New Roman" w:hAnsi="Times New Roman"/>
          <w:sz w:val="14"/>
          <w:szCs w:val="14"/>
          <w:color w:val="auto"/>
        </w:rPr>
        <w:t>, except as provided by Section 14.1 of the Plan, neither the amendment, modification, suspension nor termination of this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(including the Grant Notice) shall, without the consent of the Optionee, materially alter or impair any rights or obligations under this Agreement.</w:t>
      </w:r>
    </w:p>
    <w:p>
      <w:pPr>
        <w:spacing w:after="0" w:line="12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4"/>
          <w:szCs w:val="14"/>
          <w:u w:val="single" w:color="auto"/>
          <w:color w:val="auto"/>
        </w:rPr>
        <w:t>Section 3.10 Employee Data Privacy</w:t>
      </w:r>
      <w:r>
        <w:rPr>
          <w:rFonts w:ascii="Times New Roman" w:cs="Times New Roman" w:eastAsia="Times New Roman" w:hAnsi="Times New Roman"/>
          <w:sz w:val="14"/>
          <w:szCs w:val="14"/>
          <w:color w:val="auto"/>
        </w:rPr>
        <w:t>. The collection, use, disclosure and transfer, in electronic or other form, of personally identifiable information by and among, as applicable, the Company, the Employer and its Subsidiaries and Affiliates, or any agent of the Company administering or providing Plan services, for the purpose of implementing,</w:t>
      </w:r>
    </w:p>
    <w:p>
      <w:pPr>
        <w:spacing w:after="0" w:line="1" w:lineRule="exact"/>
        <w:rPr>
          <w:sz w:val="20"/>
          <w:szCs w:val="20"/>
          <w:color w:val="auto"/>
        </w:rPr>
      </w:pPr>
    </w:p>
    <w:p>
      <w:pPr>
        <w:ind w:right="40"/>
        <w:spacing w:after="0" w:line="229" w:lineRule="auto"/>
        <w:rPr>
          <w:sz w:val="20"/>
          <w:szCs w:val="20"/>
          <w:color w:val="auto"/>
        </w:rPr>
      </w:pPr>
      <w:r>
        <w:rPr>
          <w:rFonts w:ascii="Times New Roman" w:cs="Times New Roman" w:eastAsia="Times New Roman" w:hAnsi="Times New Roman"/>
          <w:sz w:val="14"/>
          <w:szCs w:val="14"/>
          <w:color w:val="auto"/>
        </w:rPr>
        <w:t>administering and managing the Optionee’s participation in the Plan is governed by the Employee Privacy Notice (the “</w:t>
      </w:r>
      <w:r>
        <w:rPr>
          <w:rFonts w:ascii="Times New Roman" w:cs="Times New Roman" w:eastAsia="Times New Roman" w:hAnsi="Times New Roman"/>
          <w:sz w:val="14"/>
          <w:szCs w:val="14"/>
          <w:u w:val="single" w:color="auto"/>
          <w:color w:val="auto"/>
        </w:rPr>
        <w:t>Privacy Notice</w:t>
      </w:r>
      <w:r>
        <w:rPr>
          <w:rFonts w:ascii="Times New Roman" w:cs="Times New Roman" w:eastAsia="Times New Roman" w:hAnsi="Times New Roman"/>
          <w:sz w:val="14"/>
          <w:szCs w:val="14"/>
          <w:color w:val="auto"/>
        </w:rPr>
        <w:t>”) that Optionee received in the course of his or her relationship with the Company. The Optionee understands that he or she may review the Privacy Notice or contact his or her local human resources representative to request a</w:t>
      </w:r>
    </w:p>
    <w:p>
      <w:pPr>
        <w:ind w:right="600"/>
        <w:spacing w:after="0" w:line="224" w:lineRule="auto"/>
        <w:rPr>
          <w:sz w:val="20"/>
          <w:szCs w:val="20"/>
          <w:color w:val="auto"/>
        </w:rPr>
      </w:pPr>
      <w:r>
        <w:rPr>
          <w:rFonts w:ascii="Times New Roman" w:cs="Times New Roman" w:eastAsia="Times New Roman" w:hAnsi="Times New Roman"/>
          <w:sz w:val="16"/>
          <w:szCs w:val="16"/>
          <w:color w:val="auto"/>
        </w:rPr>
        <w:t>copy of the Privacy Notice. Please contact ethics@bah.com if the Optionee has any questions or concerns about how the Company or its Subsidiaries and Affiliates process personally identifiable information.</w:t>
      </w:r>
    </w:p>
    <w:p>
      <w:pPr>
        <w:spacing w:after="0" w:line="116"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6"/>
          <w:szCs w:val="16"/>
          <w:u w:val="single" w:color="auto"/>
          <w:color w:val="auto"/>
        </w:rPr>
        <w:t>Section 3.11 No Advice Regarding Grant</w:t>
      </w:r>
      <w:r>
        <w:rPr>
          <w:rFonts w:ascii="Times New Roman" w:cs="Times New Roman" w:eastAsia="Times New Roman" w:hAnsi="Times New Roman"/>
          <w:sz w:val="16"/>
          <w:szCs w:val="16"/>
          <w:color w:val="auto"/>
        </w:rPr>
        <w:t>. The Optionee acknowledges that neither the Company nor the Employer are providing any tax, legal or financial advice, or making any recommendations regarding the Optionee’s participation in the Plan. The Optionee should consult his or her own personal tax, legal and financial advisors regarding the Optionee’s participation in the Plan before taking any action related to the Plan.</w:t>
      </w:r>
    </w:p>
    <w:p>
      <w:pPr>
        <w:spacing w:after="0" w:line="117"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4"/>
          <w:szCs w:val="14"/>
          <w:u w:val="single" w:color="auto"/>
          <w:color w:val="auto"/>
        </w:rPr>
        <w:t>Section 3.12 Country-Specific Provisions</w:t>
      </w:r>
      <w:r>
        <w:rPr>
          <w:rFonts w:ascii="Times New Roman" w:cs="Times New Roman" w:eastAsia="Times New Roman" w:hAnsi="Times New Roman"/>
          <w:sz w:val="14"/>
          <w:szCs w:val="14"/>
          <w:color w:val="auto"/>
        </w:rPr>
        <w:t xml:space="preserve">. The Optionee’s participation in the Plan shall be subject to any additional or different terms and conditions set forth in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xml:space="preserve"> attached hereto applicable to the Optionee’s country. Moreover, if the Optionee relocates to one of the countries included in </w:t>
      </w:r>
      <w:r>
        <w:rPr>
          <w:rFonts w:ascii="Times New Roman" w:cs="Times New Roman" w:eastAsia="Times New Roman" w:hAnsi="Times New Roman"/>
          <w:sz w:val="14"/>
          <w:szCs w:val="14"/>
          <w:u w:val="single" w:color="auto"/>
          <w:color w:val="auto"/>
        </w:rPr>
        <w:t>Appendix B</w:t>
      </w:r>
      <w:r>
        <w:rPr>
          <w:rFonts w:ascii="Times New Roman" w:cs="Times New Roman" w:eastAsia="Times New Roman" w:hAnsi="Times New Roman"/>
          <w:sz w:val="14"/>
          <w:szCs w:val="14"/>
          <w:color w:val="auto"/>
        </w:rPr>
        <w:t>, the additional or different terms and</w:t>
      </w:r>
    </w:p>
    <w:p>
      <w:pPr>
        <w:spacing w:after="0" w:line="1" w:lineRule="exact"/>
        <w:rPr>
          <w:sz w:val="20"/>
          <w:szCs w:val="20"/>
          <w:color w:val="auto"/>
        </w:rPr>
      </w:pPr>
    </w:p>
    <w:p>
      <w:pPr>
        <w:ind w:right="220"/>
        <w:spacing w:after="0" w:line="217" w:lineRule="auto"/>
        <w:rPr>
          <w:sz w:val="20"/>
          <w:szCs w:val="20"/>
          <w:color w:val="auto"/>
        </w:rPr>
      </w:pPr>
      <w:r>
        <w:rPr>
          <w:rFonts w:ascii="Times New Roman" w:cs="Times New Roman" w:eastAsia="Times New Roman" w:hAnsi="Times New Roman"/>
          <w:sz w:val="16"/>
          <w:szCs w:val="16"/>
          <w:color w:val="auto"/>
        </w:rPr>
        <w:t xml:space="preserve">conditions applicable to such country will apply to the Optionee, to the extent the Company determines that the application of such terms and conditions is necessary or advisable for legal or administrative reasons.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constitutes a part of this Agreement.</w:t>
      </w:r>
    </w:p>
    <w:p>
      <w:pPr>
        <w:spacing w:after="0" w:line="127" w:lineRule="exact"/>
        <w:rPr>
          <w:sz w:val="20"/>
          <w:szCs w:val="20"/>
          <w:color w:val="auto"/>
        </w:rPr>
      </w:pPr>
    </w:p>
    <w:p>
      <w:pPr>
        <w:ind w:right="320"/>
        <w:spacing w:after="0" w:line="235" w:lineRule="auto"/>
        <w:rPr>
          <w:sz w:val="20"/>
          <w:szCs w:val="20"/>
          <w:color w:val="auto"/>
        </w:rPr>
      </w:pPr>
      <w:r>
        <w:rPr>
          <w:rFonts w:ascii="Times New Roman" w:cs="Times New Roman" w:eastAsia="Times New Roman" w:hAnsi="Times New Roman"/>
          <w:sz w:val="16"/>
          <w:szCs w:val="16"/>
          <w:u w:val="single" w:color="auto"/>
          <w:color w:val="auto"/>
        </w:rPr>
        <w:t>Section 3.13 Other Requirements</w:t>
      </w:r>
      <w:r>
        <w:rPr>
          <w:rFonts w:ascii="Times New Roman" w:cs="Times New Roman" w:eastAsia="Times New Roman" w:hAnsi="Times New Roman"/>
          <w:sz w:val="16"/>
          <w:szCs w:val="16"/>
          <w:color w:val="auto"/>
        </w:rPr>
        <w:t>. The Company reserves the right to impose other requirements on the Optionee’s participation in the Plan and on any Shares acquired upon exercise of the Option granted hereunder, to the extent the Company determines it is necessary or advisable for legal or administrative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292" w:right="31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6"/>
          <w:szCs w:val="16"/>
          <w:color w:val="auto"/>
        </w:rPr>
        <w:t>reasons, and to require the Optionee to sign any additional agreements or undertakings that may be necessary to accomplish the foregoing.</w:t>
      </w:r>
    </w:p>
    <w:p>
      <w:pPr>
        <w:spacing w:after="0" w:line="145" w:lineRule="exact"/>
        <w:rPr>
          <w:sz w:val="20"/>
          <w:szCs w:val="20"/>
          <w:color w:val="auto"/>
        </w:rPr>
      </w:pPr>
    </w:p>
    <w:p>
      <w:pPr>
        <w:ind w:right="300"/>
        <w:spacing w:after="0" w:line="242" w:lineRule="auto"/>
        <w:rPr>
          <w:sz w:val="20"/>
          <w:szCs w:val="20"/>
          <w:color w:val="auto"/>
        </w:rPr>
      </w:pPr>
      <w:r>
        <w:rPr>
          <w:rFonts w:ascii="Times New Roman" w:cs="Times New Roman" w:eastAsia="Times New Roman" w:hAnsi="Times New Roman"/>
          <w:sz w:val="14"/>
          <w:szCs w:val="14"/>
          <w:u w:val="single" w:color="auto"/>
          <w:color w:val="auto"/>
        </w:rPr>
        <w:t>Section 3.14 Electronic Delivery</w:t>
      </w:r>
      <w:r>
        <w:rPr>
          <w:rFonts w:ascii="Times New Roman" w:cs="Times New Roman" w:eastAsia="Times New Roman" w:hAnsi="Times New Roman"/>
          <w:sz w:val="14"/>
          <w:szCs w:val="14"/>
          <w:color w:val="auto"/>
        </w:rPr>
        <w:t>. The Company may, in its sole discretion, decide to deliver any documents related to any Option granted under the Plan, including this Agreement, by electronic means or request the Optionee’s consent to participate in the Plan by electronic means. The Optionee hereby explicitly and unambiguously consents to</w:t>
      </w:r>
    </w:p>
    <w:p>
      <w:pPr>
        <w:spacing w:after="0" w:line="208" w:lineRule="auto"/>
        <w:rPr>
          <w:sz w:val="20"/>
          <w:szCs w:val="20"/>
          <w:color w:val="auto"/>
        </w:rPr>
      </w:pPr>
      <w:r>
        <w:rPr>
          <w:rFonts w:ascii="Times New Roman" w:cs="Times New Roman" w:eastAsia="Times New Roman" w:hAnsi="Times New Roman"/>
          <w:sz w:val="16"/>
          <w:szCs w:val="16"/>
          <w:color w:val="auto"/>
        </w:rPr>
        <w:t>receive such documents (including, without limitation, information required to be delivered to the Optionee pursuant to applicable securities laws) by electronic delivery and, if</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4"/>
          <w:szCs w:val="14"/>
          <w:color w:val="auto"/>
        </w:rPr>
        <w:t>requested, agrees to participate in the Plan through an on-line or electronic system established and maintained by the Company or another third-party designated by the Company, and such consent shall remain in effect throughout the Optionee’s term of employment or service with the Company and thereafter until withdrawn in writing by the Optionee. The</w:t>
      </w:r>
    </w:p>
    <w:p>
      <w:pPr>
        <w:spacing w:after="0" w:line="237" w:lineRule="auto"/>
        <w:rPr>
          <w:sz w:val="20"/>
          <w:szCs w:val="20"/>
          <w:color w:val="auto"/>
        </w:rPr>
      </w:pPr>
      <w:r>
        <w:rPr>
          <w:rFonts w:ascii="Times New Roman" w:cs="Times New Roman" w:eastAsia="Times New Roman" w:hAnsi="Times New Roman"/>
          <w:sz w:val="14"/>
          <w:szCs w:val="14"/>
          <w:color w:val="auto"/>
        </w:rPr>
        <w:t>Optionee acknowledges that he or she may receive from the Company a paper copy of any documents delivered electronically at no cost to the Optionee by contacting the Company</w:t>
      </w:r>
    </w:p>
    <w:p>
      <w:pPr>
        <w:spacing w:after="0" w:line="1"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4"/>
          <w:szCs w:val="14"/>
          <w:color w:val="auto"/>
        </w:rPr>
        <w:t>by telephone or in writing. The Optionee further acknowledges that the Optionee will be provided with a paper copy of any documents if the attempted electronic delivery of such documents fails. Similarly, the Optionee understands that the Optionee must provide the Company or any designated third-party administrator with a paper copy of any documents if</w:t>
      </w:r>
    </w:p>
    <w:p>
      <w:pPr>
        <w:spacing w:after="0"/>
        <w:rPr>
          <w:sz w:val="20"/>
          <w:szCs w:val="20"/>
          <w:color w:val="auto"/>
        </w:rPr>
      </w:pPr>
      <w:r>
        <w:rPr>
          <w:rFonts w:ascii="Times New Roman" w:cs="Times New Roman" w:eastAsia="Times New Roman" w:hAnsi="Times New Roman"/>
          <w:sz w:val="16"/>
          <w:szCs w:val="16"/>
          <w:color w:val="auto"/>
        </w:rPr>
        <w:t>the attempted electronic delivery of such documents fails.</w:t>
      </w:r>
    </w:p>
    <w:p>
      <w:pPr>
        <w:spacing w:after="0" w:line="1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6"/>
          <w:szCs w:val="16"/>
          <w:u w:val="single" w:color="auto"/>
          <w:color w:val="auto"/>
        </w:rPr>
        <w:t>Section 3.15</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right="20" w:firstLine="514"/>
        <w:spacing w:after="0" w:line="235" w:lineRule="auto"/>
        <w:tabs>
          <w:tab w:leader="none" w:pos="10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shall have no rights as a stockholder of the Company with respect to the Shares subject to the Option until such time as the Option Price has been paid and the other requirements of Section 2.8 above have been satisfied, and the Shares have been issued and delivered to the Optionee.</w:t>
      </w:r>
    </w:p>
    <w:p>
      <w:pPr>
        <w:spacing w:after="0" w:line="127" w:lineRule="exact"/>
        <w:rPr>
          <w:rFonts w:ascii="Times New Roman" w:cs="Times New Roman" w:eastAsia="Times New Roman" w:hAnsi="Times New Roman"/>
          <w:sz w:val="16"/>
          <w:szCs w:val="16"/>
          <w:color w:val="auto"/>
        </w:rPr>
      </w:pPr>
    </w:p>
    <w:p>
      <w:pPr>
        <w:ind w:right="440" w:firstLine="514"/>
        <w:spacing w:after="0" w:line="229" w:lineRule="auto"/>
        <w:tabs>
          <w:tab w:leader="none" w:pos="10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shall be subject to all applicable laws, rules, and regulations, and to such approvals by any governmental agencies or United States or foreign securities exchanges as may be required.</w:t>
      </w:r>
    </w:p>
    <w:p>
      <w:pPr>
        <w:spacing w:after="0" w:line="126" w:lineRule="exact"/>
        <w:rPr>
          <w:rFonts w:ascii="Times New Roman" w:cs="Times New Roman" w:eastAsia="Times New Roman" w:hAnsi="Times New Roman"/>
          <w:sz w:val="16"/>
          <w:szCs w:val="16"/>
          <w:color w:val="auto"/>
        </w:rPr>
      </w:pPr>
    </w:p>
    <w:p>
      <w:pPr>
        <w:ind w:right="20" w:firstLine="514"/>
        <w:spacing w:after="0" w:line="221" w:lineRule="auto"/>
        <w:tabs>
          <w:tab w:leader="none" w:pos="10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that the Company is organized under the laws of the State of Delaware. The Optionee and the Company agree that this Agreement shall be construed in accordance with and governed by the laws of the State of Delaware, without reference to principles of conflict of laws that would apply the laws of any other jurisdiction.</w:t>
      </w:r>
    </w:p>
    <w:p>
      <w:pPr>
        <w:spacing w:after="0" w:line="128" w:lineRule="exact"/>
        <w:rPr>
          <w:rFonts w:ascii="Times New Roman" w:cs="Times New Roman" w:eastAsia="Times New Roman" w:hAnsi="Times New Roman"/>
          <w:sz w:val="16"/>
          <w:szCs w:val="16"/>
          <w:color w:val="auto"/>
        </w:rPr>
      </w:pPr>
    </w:p>
    <w:p>
      <w:pPr>
        <w:ind w:right="100" w:firstLine="514"/>
        <w:spacing w:after="0" w:line="211" w:lineRule="auto"/>
        <w:tabs>
          <w:tab w:leader="none" w:pos="100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Optionee acknowledges that the Company’s principal place of business is in, and a substantial portion of the Company’s business is based out of, the Commonwealth of Virginia, U.S.A. The Optionee also acknowledges that, as such, during the course of the Optionee’s service with the Company and its Subsidiaries, the Optionee shall have substantial contacts with the Commonwealth of Virginia, U.S.A. Accordingly, the Optionee and the Company agree that the exclusive forum for any action, demand, claim or counterclaim relating to the terms and provisions of this Agreement, or to their breach, shall be in the appropriate state or federal court located in the Commonwealth of Virginia, U.S.A. The Optionee and the Company hereby consent to the personal jurisdiction of such courts over the parties to this Agreement. The Optionee expressly waives any defense that such courts lack personal jurisdiction or are inconvenient. The Optionee and the Company further agree that in any such action for breach or enforcement of this Agreement, no party will seek to challenge the validity or enforceability of any part of this Agreement.</w:t>
      </w:r>
    </w:p>
    <w:p>
      <w:pPr>
        <w:spacing w:after="0" w:line="119" w:lineRule="exact"/>
        <w:rPr>
          <w:rFonts w:ascii="Times New Roman" w:cs="Times New Roman" w:eastAsia="Times New Roman" w:hAnsi="Times New Roman"/>
          <w:sz w:val="16"/>
          <w:szCs w:val="16"/>
          <w:color w:val="auto"/>
        </w:rPr>
      </w:pPr>
    </w:p>
    <w:p>
      <w:pPr>
        <w:ind w:firstLine="514"/>
        <w:spacing w:after="0" w:line="226" w:lineRule="auto"/>
        <w:tabs>
          <w:tab w:leader="none" w:pos="1011"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Neither this Agreement nor any right, remedy, obligation or liability arising hereunder or by reason hereof shall be assignable by the Company or the Optionee without the prior written consent of the other party,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may assign all or any portion of its rights or obligations under this Agreement to one or more Persons or other entities designated by it.</w:t>
      </w:r>
    </w:p>
    <w:p>
      <w:pPr>
        <w:spacing w:after="0" w:line="116" w:lineRule="exact"/>
        <w:rPr>
          <w:rFonts w:ascii="Times New Roman" w:cs="Times New Roman" w:eastAsia="Times New Roman" w:hAnsi="Times New Roman"/>
          <w:sz w:val="16"/>
          <w:szCs w:val="16"/>
          <w:color w:val="auto"/>
        </w:rPr>
      </w:pPr>
    </w:p>
    <w:p>
      <w:pPr>
        <w:ind w:right="140" w:firstLine="514"/>
        <w:spacing w:after="0" w:line="299" w:lineRule="auto"/>
        <w:tabs>
          <w:tab w:leader="none" w:pos="1015"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the Company under this Agreement and the Plan, with respect to the Option,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298" w:right="319" w:bottom="1440" w:gutter="0" w:footer="0" w:header="0"/>
        </w:sectPr>
      </w:pPr>
    </w:p>
    <w:bookmarkStart w:id="276" w:name="page277"/>
    <w:bookmarkEnd w:id="276"/>
    <w:p>
      <w:pPr>
        <w:ind w:left="-100" w:firstLine="514"/>
        <w:spacing w:after="0" w:line="235" w:lineRule="auto"/>
        <w:tabs>
          <w:tab w:leader="none" w:pos="90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any provision of this Agreement shall be held illegal or invalid for any reason, the illegality or invalidity shall not affect the remaining parts of this Agreement, and this Agreement shall be construed and enforced as if the illegal or invalid provision had not been included.</w:t>
      </w:r>
    </w:p>
    <w:p>
      <w:pPr>
        <w:spacing w:after="0" w:line="117" w:lineRule="exact"/>
        <w:rPr>
          <w:rFonts w:ascii="Times New Roman" w:cs="Times New Roman" w:eastAsia="Times New Roman" w:hAnsi="Times New Roman"/>
          <w:sz w:val="16"/>
          <w:szCs w:val="16"/>
          <w:color w:val="auto"/>
        </w:rPr>
      </w:pPr>
    </w:p>
    <w:p>
      <w:pPr>
        <w:ind w:left="-100" w:right="20" w:firstLine="514"/>
        <w:spacing w:after="0" w:line="235" w:lineRule="auto"/>
        <w:tabs>
          <w:tab w:leader="none" w:pos="909"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may be executed in any number of counterparts, each of which shall be deemed to be an original and all of which together shall constitute one and the same instrument.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080"/>
          </w:cols>
          <w:pgMar w:left="400" w:top="1298" w:right="41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16"/>
          <w:szCs w:val="16"/>
          <w:b w:val="1"/>
          <w:bCs w:val="1"/>
          <w:color w:val="auto"/>
        </w:rPr>
        <w:t>Exhibit 10.49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2023 EQUITY INCENTIVE PLAN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BOOZ ALLEN HAMILTON HOLDING CORPORATION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GRANT NOTICE</w:t>
      </w:r>
    </w:p>
    <w:p>
      <w:pPr>
        <w:spacing w:after="0" w:line="17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6"/>
          <w:szCs w:val="16"/>
          <w:color w:val="auto"/>
        </w:rPr>
        <w:t>Unless otherwise defined herein, the terms defined in the 2023 Equity Incentive Plan (the “</w:t>
      </w:r>
      <w:r>
        <w:rPr>
          <w:rFonts w:ascii="Times New Roman" w:cs="Times New Roman" w:eastAsia="Times New Roman" w:hAnsi="Times New Roman"/>
          <w:sz w:val="16"/>
          <w:szCs w:val="16"/>
          <w:u w:val="single" w:color="auto"/>
          <w:color w:val="auto"/>
        </w:rPr>
        <w:t>Plan</w:t>
      </w:r>
      <w:r>
        <w:rPr>
          <w:rFonts w:ascii="Times New Roman" w:cs="Times New Roman" w:eastAsia="Times New Roman" w:hAnsi="Times New Roman"/>
          <w:sz w:val="16"/>
          <w:szCs w:val="16"/>
          <w:color w:val="auto"/>
        </w:rPr>
        <w:t>”) of Booz Allen Hamilton Holding Corporation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xml:space="preserve">”) shall have the same defined meanings in this Restricted Stock Unit Agreement, which includes the terms in this Grant Notice, including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attached hereto (the “</w:t>
      </w:r>
      <w:r>
        <w:rPr>
          <w:rFonts w:ascii="Times New Roman" w:cs="Times New Roman" w:eastAsia="Times New Roman" w:hAnsi="Times New Roman"/>
          <w:sz w:val="16"/>
          <w:szCs w:val="16"/>
          <w:u w:val="single" w:color="auto"/>
          <w:color w:val="auto"/>
        </w:rPr>
        <w:t>Grant Notice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Appendix A</w:t>
      </w:r>
      <w:r>
        <w:rPr>
          <w:rFonts w:ascii="Times New Roman" w:cs="Times New Roman" w:eastAsia="Times New Roman" w:hAnsi="Times New Roman"/>
          <w:sz w:val="16"/>
          <w:szCs w:val="16"/>
          <w:color w:val="auto"/>
        </w:rPr>
        <w:t xml:space="preserve"> attached hereto, and any special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with respect to your country of employment and/or residence (collectively, the “</w:t>
      </w:r>
      <w:r>
        <w:rPr>
          <w:rFonts w:ascii="Times New Roman" w:cs="Times New Roman" w:eastAsia="Times New Roman" w:hAnsi="Times New Roman"/>
          <w:sz w:val="16"/>
          <w:szCs w:val="16"/>
          <w:u w:val="single" w:color="auto"/>
          <w:color w:val="auto"/>
        </w:rPr>
        <w:t>Agreement</w:t>
      </w:r>
      <w:r>
        <w:rPr>
          <w:rFonts w:ascii="Times New Roman" w:cs="Times New Roman" w:eastAsia="Times New Roman" w:hAnsi="Times New Roman"/>
          <w:sz w:val="16"/>
          <w:szCs w:val="16"/>
          <w:color w:val="auto"/>
        </w:rPr>
        <w:t>”). Capitalized terms used in this Grant Notice or in Appendix A without definition have the meanings given in the Plan.</w:t>
      </w:r>
    </w:p>
    <w:p>
      <w:pPr>
        <w:spacing w:after="0" w:line="140" w:lineRule="exact"/>
        <w:rPr>
          <w:sz w:val="20"/>
          <w:szCs w:val="20"/>
          <w:color w:val="auto"/>
        </w:rPr>
      </w:pPr>
    </w:p>
    <w:p>
      <w:pPr>
        <w:jc w:val="both"/>
        <w:ind w:right="200" w:firstLine="509"/>
        <w:spacing w:after="0" w:line="315" w:lineRule="auto"/>
        <w:rPr>
          <w:sz w:val="20"/>
          <w:szCs w:val="20"/>
          <w:color w:val="auto"/>
        </w:rPr>
      </w:pPr>
      <w:r>
        <w:rPr>
          <w:rFonts w:ascii="Times New Roman" w:cs="Times New Roman" w:eastAsia="Times New Roman" w:hAnsi="Times New Roman"/>
          <w:sz w:val="14"/>
          <w:szCs w:val="14"/>
          <w:color w:val="auto"/>
        </w:rPr>
        <w:t>You, #ParticipantName+C# (the “</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have been granted #QuantityGranted+C# restricted stock units on #GrantDate+C# (the “</w:t>
      </w:r>
      <w:r>
        <w:rPr>
          <w:rFonts w:ascii="Times New Roman" w:cs="Times New Roman" w:eastAsia="Times New Roman" w:hAnsi="Times New Roman"/>
          <w:sz w:val="14"/>
          <w:szCs w:val="14"/>
          <w:u w:val="single" w:color="auto"/>
          <w:color w:val="auto"/>
        </w:rPr>
        <w:t>Grant Date</w:t>
      </w:r>
      <w:r>
        <w:rPr>
          <w:rFonts w:ascii="Times New Roman" w:cs="Times New Roman" w:eastAsia="Times New Roman" w:hAnsi="Times New Roman"/>
          <w:sz w:val="14"/>
          <w:szCs w:val="14"/>
          <w:color w:val="auto"/>
        </w:rPr>
        <w:t xml:space="preserve">”), in each case as set forth on the Fidelity NetBenefits system at </w:t>
      </w:r>
      <w:r>
        <w:rPr>
          <w:rFonts w:ascii="Times New Roman" w:cs="Times New Roman" w:eastAsia="Times New Roman" w:hAnsi="Times New Roman"/>
          <w:sz w:val="14"/>
          <w:szCs w:val="14"/>
          <w:u w:val="single" w:color="auto"/>
          <w:color w:val="0000FF"/>
        </w:rPr>
        <w:t>www.netbenefits.com</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u w:val="single" w:color="auto"/>
          <w:color w:val="auto"/>
        </w:rPr>
        <w:t>Restricted Stock Units</w:t>
      </w:r>
      <w:r>
        <w:rPr>
          <w:rFonts w:ascii="Times New Roman" w:cs="Times New Roman" w:eastAsia="Times New Roman" w:hAnsi="Times New Roman"/>
          <w:sz w:val="14"/>
          <w:szCs w:val="14"/>
          <w:color w:val="auto"/>
        </w:rPr>
        <w:t xml:space="preserve">”), subject to the terms and conditions of the Plan and this Agreement, including but not limited to the vesting schedule as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to this Agreement, which shall be deemed part of and incorporated by reference into this Grant Notice.</w:t>
      </w:r>
    </w:p>
    <w:p>
      <w:pPr>
        <w:spacing w:after="0" w:line="98" w:lineRule="exact"/>
        <w:rPr>
          <w:sz w:val="20"/>
          <w:szCs w:val="20"/>
          <w:color w:val="auto"/>
        </w:rPr>
      </w:pPr>
    </w:p>
    <w:p>
      <w:pPr>
        <w:ind w:right="60" w:firstLine="509"/>
        <w:spacing w:after="0" w:line="252" w:lineRule="auto"/>
        <w:rPr>
          <w:sz w:val="20"/>
          <w:szCs w:val="20"/>
          <w:color w:val="auto"/>
        </w:rPr>
      </w:pPr>
      <w:r>
        <w:rPr>
          <w:rFonts w:ascii="Times New Roman" w:cs="Times New Roman" w:eastAsia="Times New Roman" w:hAnsi="Times New Roman"/>
          <w:sz w:val="16"/>
          <w:szCs w:val="16"/>
          <w:color w:val="auto"/>
        </w:rPr>
        <w:t xml:space="preserve">Your acceptance of this grant indicates your agreement and understanding that the Restricted Stock Units granted herein are subject to the terms and conditions contained in the Agreement and the Plan. </w:t>
      </w:r>
      <w:r>
        <w:rPr>
          <w:rFonts w:ascii="Times New Roman" w:cs="Times New Roman" w:eastAsia="Times New Roman" w:hAnsi="Times New Roman"/>
          <w:sz w:val="16"/>
          <w:szCs w:val="16"/>
          <w:b w:val="1"/>
          <w:bCs w:val="1"/>
          <w:color w:val="auto"/>
        </w:rPr>
        <w:t>ACCORDINGLY, PLEASE BE SURE TO READ THE PLAN AND THE AGREEMENT, EACH OF WHICH CONTAINS THE SPECIFIC</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TERMS AND CONDITIONS OF THE RESTRICTED STOCK UNITS. </w:t>
      </w:r>
      <w:r>
        <w:rPr>
          <w:rFonts w:ascii="Times New Roman" w:cs="Times New Roman" w:eastAsia="Times New Roman" w:hAnsi="Times New Roman"/>
          <w:sz w:val="16"/>
          <w:szCs w:val="16"/>
          <w:color w:val="auto"/>
        </w:rPr>
        <w:t>In order to view the grant details and to accept this grant, please go to Fidelity NetBenefits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0000FF"/>
        </w:rPr>
        <w:t>www.netbenefits.com</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000000"/>
        </w:rPr>
        <w:t>and follow the instructions regarding this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80"/>
          </w:cols>
          <w:pgMar w:left="300" w:top="490" w:right="319" w:bottom="1440" w:gutter="0" w:footer="0" w:header="0"/>
        </w:sectPr>
      </w:pPr>
    </w:p>
    <w:bookmarkStart w:id="278" w:name="page279"/>
    <w:bookmarkEnd w:id="27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A TO RESTRICTED STOCK UNIT AGREEMENT</w:t>
      </w:r>
    </w:p>
    <w:p>
      <w:pPr>
        <w:spacing w:after="0" w:line="161" w:lineRule="exact"/>
        <w:rPr>
          <w:sz w:val="20"/>
          <w:szCs w:val="20"/>
          <w:color w:val="auto"/>
        </w:rPr>
      </w:pPr>
    </w:p>
    <w:p>
      <w:pPr>
        <w:ind w:right="60" w:firstLine="514"/>
        <w:spacing w:after="0" w:line="213" w:lineRule="auto"/>
        <w:tabs>
          <w:tab w:leader="none" w:pos="101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Grant of Restricted Stock Units</w:t>
      </w:r>
      <w:r>
        <w:rPr>
          <w:rFonts w:ascii="Times New Roman" w:cs="Times New Roman" w:eastAsia="Times New Roman" w:hAnsi="Times New Roman"/>
          <w:sz w:val="16"/>
          <w:szCs w:val="16"/>
          <w:color w:val="auto"/>
        </w:rPr>
        <w:t xml:space="preserve">. Subject to the terms, conditions, and restrictions set forth in the Plan and this Agreement (including the Grant Notice and any special terms and conditions applicable to the Participant’s country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to this Agreement), the Company hereby evidences and confirms its grant to the Participant, effective as of the Grant Date, of the number of Restricted Stock Units specified in the Grant Notice. The Participant hereby agrees that, except as required or permitted by Applicable Law, he or she will not disclose to any Person other than the Participant’s spouse and/or tax or financial advisor (if any) the grant of the Restricted Stock Units or any of the terms or provisions hereof without prior approval from the Administrator.</w:t>
      </w:r>
    </w:p>
    <w:p>
      <w:pPr>
        <w:spacing w:after="0" w:line="138" w:lineRule="exact"/>
        <w:rPr>
          <w:rFonts w:ascii="Times New Roman" w:cs="Times New Roman" w:eastAsia="Times New Roman" w:hAnsi="Times New Roman"/>
          <w:sz w:val="17"/>
          <w:szCs w:val="17"/>
          <w:color w:val="auto"/>
        </w:rPr>
      </w:pPr>
    </w:p>
    <w:p>
      <w:pPr>
        <w:ind w:firstLine="514"/>
        <w:spacing w:after="0" w:line="217" w:lineRule="auto"/>
        <w:tabs>
          <w:tab w:leader="none" w:pos="1019"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Restricted Stock Units Subject to Plan</w:t>
      </w:r>
      <w:r>
        <w:rPr>
          <w:rFonts w:ascii="Times New Roman" w:cs="Times New Roman" w:eastAsia="Times New Roman" w:hAnsi="Times New Roman"/>
          <w:sz w:val="16"/>
          <w:szCs w:val="16"/>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w:t>
      </w:r>
    </w:p>
    <w:p>
      <w:pPr>
        <w:spacing w:after="0" w:line="137"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Vesting of Restricted Stock Units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right="140" w:firstLine="514"/>
        <w:spacing w:after="0" w:line="221" w:lineRule="auto"/>
        <w:tabs>
          <w:tab w:leader="none" w:pos="1016"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xml:space="preserve">. Except as otherwise provided in this Section 3, the Restricted Stock Units shall become vested in the amount(s) and on the vesting date(s) as set forth in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subject to the continued employment or service of the Participant with the Company or any Subsidiary thereof through such applicable Vesting Date.</w:t>
      </w:r>
    </w:p>
    <w:p>
      <w:pPr>
        <w:spacing w:after="0" w:line="128"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of Employment or Service</w:t>
      </w:r>
      <w:r>
        <w:rPr>
          <w:rFonts w:ascii="Times New Roman" w:cs="Times New Roman" w:eastAsia="Times New Roman" w:hAnsi="Times New Roman"/>
          <w:sz w:val="16"/>
          <w:szCs w:val="16"/>
          <w:color w:val="auto"/>
        </w:rPr>
        <w:t>.</w:t>
      </w:r>
    </w:p>
    <w:p>
      <w:pPr>
        <w:spacing w:after="0" w:line="125"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Due to Death</w:t>
      </w:r>
      <w:r>
        <w:rPr>
          <w:rFonts w:ascii="Times New Roman" w:cs="Times New Roman" w:eastAsia="Times New Roman" w:hAnsi="Times New Roman"/>
          <w:sz w:val="16"/>
          <w:szCs w:val="16"/>
          <w:color w:val="auto"/>
        </w:rPr>
        <w:t>. If a Participant’s employment or service terminates due to the Participant’s death, all unvested Restricted Stock Units shall</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immediately vest.</w:t>
      </w:r>
    </w:p>
    <w:p>
      <w:pPr>
        <w:spacing w:after="0" w:line="137" w:lineRule="exact"/>
        <w:rPr>
          <w:rFonts w:ascii="Times New Roman" w:cs="Times New Roman" w:eastAsia="Times New Roman" w:hAnsi="Times New Roman"/>
          <w:sz w:val="17"/>
          <w:szCs w:val="17"/>
          <w:color w:val="auto"/>
        </w:rPr>
      </w:pPr>
    </w:p>
    <w:p>
      <w:pPr>
        <w:ind w:right="520" w:firstLine="1023"/>
        <w:spacing w:after="0" w:line="228" w:lineRule="auto"/>
        <w:tabs>
          <w:tab w:leader="none" w:pos="1523"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Due to Disability</w:t>
      </w:r>
      <w:r>
        <w:rPr>
          <w:rFonts w:ascii="Times New Roman" w:cs="Times New Roman" w:eastAsia="Times New Roman" w:hAnsi="Times New Roman"/>
          <w:sz w:val="16"/>
          <w:szCs w:val="16"/>
          <w:color w:val="auto"/>
        </w:rPr>
        <w:t>. If a Participant’s employment or service terminates due to Disability, all unvested Restricted Stock Units shall not be forfeited upon such termination and instead shall continue to vest in accordance with Section 3(a) of this Agreement.</w:t>
      </w:r>
    </w:p>
    <w:p>
      <w:pPr>
        <w:spacing w:after="0" w:line="138" w:lineRule="exact"/>
        <w:rPr>
          <w:rFonts w:ascii="Times New Roman" w:cs="Times New Roman" w:eastAsia="Times New Roman" w:hAnsi="Times New Roman"/>
          <w:sz w:val="17"/>
          <w:szCs w:val="17"/>
          <w:color w:val="auto"/>
        </w:rPr>
      </w:pPr>
    </w:p>
    <w:p>
      <w:pPr>
        <w:ind w:firstLine="1023"/>
        <w:spacing w:after="0" w:line="213" w:lineRule="auto"/>
        <w:tabs>
          <w:tab w:leader="none" w:pos="1528"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twenty-four (24)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Company Common Stock issued in settlement of any Restricted Stock Units.</w:t>
      </w:r>
    </w:p>
    <w:p>
      <w:pPr>
        <w:spacing w:after="0" w:line="128" w:lineRule="exact"/>
        <w:rPr>
          <w:rFonts w:ascii="Times New Roman" w:cs="Times New Roman" w:eastAsia="Times New Roman" w:hAnsi="Times New Roman"/>
          <w:sz w:val="17"/>
          <w:szCs w:val="17"/>
          <w:color w:val="auto"/>
        </w:rPr>
      </w:pPr>
    </w:p>
    <w:p>
      <w:pPr>
        <w:ind w:right="80" w:firstLine="1023"/>
        <w:spacing w:after="0" w:line="247" w:lineRule="auto"/>
        <w:tabs>
          <w:tab w:leader="none" w:pos="1518" w:val="left"/>
        </w:tabs>
        <w:numPr>
          <w:ilvl w:val="1"/>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Termination for Any Other Reason</w:t>
      </w:r>
      <w:r>
        <w:rPr>
          <w:rFonts w:ascii="Times New Roman" w:cs="Times New Roman" w:eastAsia="Times New Roman" w:hAnsi="Times New Roman"/>
          <w:sz w:val="15"/>
          <w:szCs w:val="15"/>
          <w:color w:val="auto"/>
        </w:rPr>
        <w:t>. If a Participant’s employment or service is terminated for any reason other than death, Disability or by the Company or Employer for Cause, all unvested Restricted Stock Units shall immediately be forfeited and canceled, effective as of the date of the Participant’s termination of service.</w:t>
      </w:r>
    </w:p>
    <w:p>
      <w:pPr>
        <w:spacing w:after="0" w:line="131" w:lineRule="exact"/>
        <w:rPr>
          <w:rFonts w:ascii="Times New Roman" w:cs="Times New Roman" w:eastAsia="Times New Roman" w:hAnsi="Times New Roman"/>
          <w:sz w:val="16"/>
          <w:szCs w:val="16"/>
          <w:color w:val="auto"/>
        </w:rPr>
      </w:pPr>
    </w:p>
    <w:p>
      <w:pPr>
        <w:ind w:firstLine="514"/>
        <w:spacing w:after="0" w:line="229" w:lineRule="auto"/>
        <w:tabs>
          <w:tab w:leader="none" w:pos="1016"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xml:space="preserve">. In the event of a Change in Control prior to the applicable Vesting Date, notwithstanding anything in Article XIII of the Plan to the contrary, any unvested Restricted Stock Units shall remain outstanding and shall vest on the applicable Vesting Date, subject to the continued employment or service of the Participant with the Company, the Employer or any other Subsidiary through such date; </w:t>
      </w:r>
      <w:r>
        <w:rPr>
          <w:rFonts w:ascii="Times New Roman" w:cs="Times New Roman" w:eastAsia="Times New Roman" w:hAnsi="Times New Roman"/>
          <w:sz w:val="15"/>
          <w:szCs w:val="15"/>
          <w:u w:val="single" w:color="auto"/>
          <w:color w:val="auto"/>
        </w:rPr>
        <w:t>provided, that</w:t>
      </w:r>
      <w:r>
        <w:rPr>
          <w:rFonts w:ascii="Times New Roman" w:cs="Times New Roman" w:eastAsia="Times New Roman" w:hAnsi="Times New Roman"/>
          <w:sz w:val="15"/>
          <w:szCs w:val="15"/>
          <w:color w:val="auto"/>
        </w:rPr>
        <w:t>, if the Participant’s employment or service is terminated by the Company or the Employer without Cause or by the Participant for Good Reason (each, a “</w:t>
      </w:r>
      <w:r>
        <w:rPr>
          <w:rFonts w:ascii="Times New Roman" w:cs="Times New Roman" w:eastAsia="Times New Roman" w:hAnsi="Times New Roman"/>
          <w:sz w:val="15"/>
          <w:szCs w:val="15"/>
          <w:u w:val="single" w:color="auto"/>
          <w:color w:val="auto"/>
        </w:rPr>
        <w:t>Qualifying CIC Termination</w:t>
      </w:r>
      <w:r>
        <w:rPr>
          <w:rFonts w:ascii="Times New Roman" w:cs="Times New Roman" w:eastAsia="Times New Roman" w:hAnsi="Times New Roman"/>
          <w:sz w:val="15"/>
          <w:szCs w:val="15"/>
          <w:color w:val="auto"/>
        </w:rPr>
        <w:t>”) within two (2) years following the effective date of the Change in Control, such</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60"/>
          </w:cols>
          <w:pgMar w:left="300" w:top="1292" w:right="339" w:bottom="1440" w:gutter="0" w:footer="0" w:header="0"/>
        </w:sectPr>
      </w:pPr>
    </w:p>
    <w:bookmarkStart w:id="279" w:name="page280"/>
    <w:bookmarkEnd w:id="279"/>
    <w:p>
      <w:pPr>
        <w:ind w:right="460"/>
        <w:spacing w:after="0" w:line="235" w:lineRule="auto"/>
        <w:rPr>
          <w:sz w:val="20"/>
          <w:szCs w:val="20"/>
          <w:color w:val="auto"/>
        </w:rPr>
      </w:pPr>
      <w:r>
        <w:rPr>
          <w:rFonts w:ascii="Times New Roman" w:cs="Times New Roman" w:eastAsia="Times New Roman" w:hAnsi="Times New Roman"/>
          <w:sz w:val="16"/>
          <w:szCs w:val="16"/>
          <w:color w:val="auto"/>
        </w:rPr>
        <w:t>outstanding Restricted Stock Units shall vest as of the date of such Qualifying CIC Termination. Vested Restricted Stock Units shall be settled as set forth in Section 4 of this Agreement.</w:t>
      </w:r>
    </w:p>
    <w:p>
      <w:pPr>
        <w:spacing w:after="0" w:line="128" w:lineRule="exact"/>
        <w:rPr>
          <w:sz w:val="20"/>
          <w:szCs w:val="20"/>
          <w:color w:val="auto"/>
        </w:rPr>
      </w:pPr>
    </w:p>
    <w:p>
      <w:pPr>
        <w:ind w:right="100" w:firstLine="514"/>
        <w:spacing w:after="0" w:line="211" w:lineRule="auto"/>
        <w:tabs>
          <w:tab w:leader="none" w:pos="101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Other Forfeiture Provisions</w:t>
      </w:r>
      <w:r>
        <w:rPr>
          <w:rFonts w:ascii="Times New Roman" w:cs="Times New Roman" w:eastAsia="Times New Roman" w:hAnsi="Times New Roman"/>
          <w:sz w:val="16"/>
          <w:szCs w:val="16"/>
          <w:color w:val="auto"/>
        </w:rPr>
        <w:t>. Subject to Section 11.4 of the Plan, the Restricted Stock Units (including any gains earned or accrued due to the sale of Company Common Stock issued in settlement of such Restricted Stock Units) shall also be forfeited and subject to disgorgement and/or repayment to the Company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in the event the Participant (</w:t>
      </w:r>
      <w:r>
        <w:rPr>
          <w:rFonts w:ascii="Times New Roman" w:cs="Times New Roman" w:eastAsia="Times New Roman" w:hAnsi="Times New Roman"/>
          <w:sz w:val="16"/>
          <w:szCs w:val="16"/>
          <w:u w:val="single" w:color="auto"/>
          <w:color w:val="auto"/>
        </w:rPr>
        <w:t>x</w:t>
      </w:r>
      <w:r>
        <w:rPr>
          <w:rFonts w:ascii="Times New Roman" w:cs="Times New Roman" w:eastAsia="Times New Roman" w:hAnsi="Times New Roman"/>
          <w:sz w:val="16"/>
          <w:szCs w:val="16"/>
          <w:color w:val="auto"/>
        </w:rPr>
        <w:t>) engages in or fails to prevent, as applicable, any financial or other misconduct (including but not limited to engaging in Competitive Activity (but excluding, only if the Participant is located in California, clause (a) of the definition of Competitive Activity contained in the Plan)) or (</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materially violates any restrictive covenant agreement (or any other agreement containing restrictive covenants) that the Participant has entered into with the Company,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as required by Applicable Law or regulations or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as otherwise provided in Section 11.4 of the Plan or generally applicable Company policies as to forfeiture, disgorgement and recoupment of Awards, including but not limited to any clawback policy adopted to comply with Section 303A.14 of the New York Stock Exchange Listed Company Manual.</w:t>
      </w:r>
    </w:p>
    <w:p>
      <w:pPr>
        <w:spacing w:after="0" w:line="130" w:lineRule="exact"/>
        <w:rPr>
          <w:rFonts w:ascii="Times New Roman" w:cs="Times New Roman" w:eastAsia="Times New Roman" w:hAnsi="Times New Roman"/>
          <w:sz w:val="17"/>
          <w:szCs w:val="17"/>
          <w:color w:val="auto"/>
        </w:rPr>
      </w:pPr>
    </w:p>
    <w:p>
      <w:pPr>
        <w:ind w:right="240" w:firstLine="514"/>
        <w:spacing w:after="0" w:line="218" w:lineRule="auto"/>
        <w:tabs>
          <w:tab w:leader="none" w:pos="1016"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Administrator Discretion</w:t>
      </w:r>
      <w:r>
        <w:rPr>
          <w:rFonts w:ascii="Times New Roman" w:cs="Times New Roman" w:eastAsia="Times New Roman" w:hAnsi="Times New Roman"/>
          <w:sz w:val="16"/>
          <w:szCs w:val="16"/>
          <w:color w:val="auto"/>
        </w:rPr>
        <w:t xml:space="preserve">. Notwithstanding anything contained in this Agreement to the contrary, subject to Article XII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such waiver or acceleration of vesting shall not change the settlement date of the Restricted Stock Units provided in Section 4 of this Agreement.</w:t>
      </w:r>
    </w:p>
    <w:p>
      <w:pPr>
        <w:spacing w:after="0" w:line="127" w:lineRule="exact"/>
        <w:rPr>
          <w:rFonts w:ascii="Times New Roman" w:cs="Times New Roman" w:eastAsia="Times New Roman" w:hAnsi="Times New Roman"/>
          <w:sz w:val="17"/>
          <w:szCs w:val="17"/>
          <w:color w:val="auto"/>
        </w:rPr>
      </w:pPr>
    </w:p>
    <w:p>
      <w:pPr>
        <w:ind w:firstLine="514"/>
        <w:spacing w:after="0" w:line="209" w:lineRule="auto"/>
        <w:tabs>
          <w:tab w:leader="none" w:pos="1018"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Post-Termination Informational Requirements</w:t>
      </w:r>
      <w:r>
        <w:rPr>
          <w:rFonts w:ascii="Times New Roman" w:cs="Times New Roman" w:eastAsia="Times New Roman" w:hAnsi="Times New Roman"/>
          <w:sz w:val="16"/>
          <w:szCs w:val="16"/>
          <w:color w:val="auto"/>
        </w:rPr>
        <w:t>. Before the settlement of any Restricted Stock Units following termination of employment or service, the Administrator may require the Participant (or the Participant’s Eligible Representative, if applicable) to make such representations and provide such documents as the Administrator deems necessary or advisable to effect compliance with Applicable Law and determine whether Section 3(b)(iii) or Section 3(d) of this Agreement apply. Such representations and documents may include tax returns and all other relevant information and records from which the Administrator can determine the current or former employment status of the Participant during the vesting period. Notwithstanding anything in this Agreement to the contrary, the settlement of the Restricted Stock Units may be withheld until information deemed sufficient by the Administrator is delivered to it, and any unvested Restricted Stock Units shall be forfeited if the requested information is not provided in sufficient detail to the Administrator before the earlier of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ninety (90) calendar days after the issuance of a request from the Administrator for such information 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December 31 of the calendar year in which the applicable Vesting Date occurs.</w:t>
      </w:r>
    </w:p>
    <w:p>
      <w:pPr>
        <w:spacing w:after="0" w:line="141" w:lineRule="exact"/>
        <w:rPr>
          <w:sz w:val="20"/>
          <w:szCs w:val="20"/>
          <w:color w:val="auto"/>
        </w:rPr>
      </w:pPr>
    </w:p>
    <w:p>
      <w:pPr>
        <w:ind w:right="60" w:firstLine="514"/>
        <w:spacing w:after="0" w:line="217" w:lineRule="auto"/>
        <w:tabs>
          <w:tab w:leader="none" w:pos="1019"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Settlement of Restricted Stock Units</w:t>
      </w:r>
      <w:r>
        <w:rPr>
          <w:rFonts w:ascii="Times New Roman" w:cs="Times New Roman" w:eastAsia="Times New Roman" w:hAnsi="Times New Roman"/>
          <w:sz w:val="15"/>
          <w:szCs w:val="15"/>
          <w:color w:val="auto"/>
        </w:rPr>
        <w:t>. Subject to Section 3(f) and Section 9 of this Agreement, the Company shall deliver to the Participant one (1) Share (or the value thereof) in settlement of each outstanding Restricted Stock Unit granted hereunder that has vested as provided in Section 3 on the first to occur of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the applicable Vesting Date (or within thirty (30) days thereafter),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in the event of a termination of employment or service due to death, as soon as practicable following the Participant’s termination of employment or service by reason of death or (</w:t>
      </w:r>
      <w:r>
        <w:rPr>
          <w:rFonts w:ascii="Times New Roman" w:cs="Times New Roman" w:eastAsia="Times New Roman" w:hAnsi="Times New Roman"/>
          <w:sz w:val="15"/>
          <w:szCs w:val="15"/>
          <w:u w:val="single" w:color="auto"/>
          <w:color w:val="auto"/>
        </w:rPr>
        <w:t>iii</w:t>
      </w:r>
      <w:r>
        <w:rPr>
          <w:rFonts w:ascii="Times New Roman" w:cs="Times New Roman" w:eastAsia="Times New Roman" w:hAnsi="Times New Roman"/>
          <w:sz w:val="15"/>
          <w:szCs w:val="15"/>
          <w:color w:val="auto"/>
        </w:rPr>
        <w:t>) in the event of a Qualifying CIC Termination, within thirty (30) days following the effective date of the Participant’s Qualifying CIC Termination, in each case (</w:t>
      </w:r>
      <w:r>
        <w:rPr>
          <w:rFonts w:ascii="Times New Roman" w:cs="Times New Roman" w:eastAsia="Times New Roman" w:hAnsi="Times New Roman"/>
          <w:sz w:val="15"/>
          <w:szCs w:val="15"/>
          <w:u w:val="single" w:color="auto"/>
          <w:color w:val="auto"/>
        </w:rPr>
        <w:t>A</w:t>
      </w:r>
      <w:r>
        <w:rPr>
          <w:rFonts w:ascii="Times New Roman" w:cs="Times New Roman" w:eastAsia="Times New Roman" w:hAnsi="Times New Roman"/>
          <w:sz w:val="15"/>
          <w:szCs w:val="15"/>
          <w:color w:val="auto"/>
        </w:rPr>
        <w:t>) in Company Common Stock by either, (</w:t>
      </w:r>
      <w:r>
        <w:rPr>
          <w:rFonts w:ascii="Times New Roman" w:cs="Times New Roman" w:eastAsia="Times New Roman" w:hAnsi="Times New Roman"/>
          <w:sz w:val="15"/>
          <w:szCs w:val="15"/>
          <w:u w:val="single" w:color="auto"/>
          <w:color w:val="auto"/>
        </w:rPr>
        <w:t>x</w:t>
      </w:r>
      <w:r>
        <w:rPr>
          <w:rFonts w:ascii="Times New Roman" w:cs="Times New Roman" w:eastAsia="Times New Roman" w:hAnsi="Times New Roman"/>
          <w:sz w:val="15"/>
          <w:szCs w:val="15"/>
          <w:color w:val="auto"/>
        </w:rPr>
        <w:t>) issuing one or more certificates evidencing the Company Common Stock to the Participant or</w:t>
      </w:r>
    </w:p>
    <w:p>
      <w:pPr>
        <w:spacing w:after="0" w:line="2" w:lineRule="exact"/>
        <w:rPr>
          <w:rFonts w:ascii="Times New Roman" w:cs="Times New Roman" w:eastAsia="Times New Roman" w:hAnsi="Times New Roman"/>
          <w:sz w:val="16"/>
          <w:szCs w:val="16"/>
          <w:color w:val="auto"/>
        </w:rPr>
      </w:pPr>
    </w:p>
    <w:p>
      <w:pPr>
        <w:spacing w:after="0" w:line="21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y</w:t>
      </w:r>
      <w:r>
        <w:rPr>
          <w:rFonts w:ascii="Times New Roman" w:cs="Times New Roman" w:eastAsia="Times New Roman" w:hAnsi="Times New Roman"/>
          <w:sz w:val="16"/>
          <w:szCs w:val="16"/>
          <w:color w:val="auto"/>
        </w:rPr>
        <w:t>) registering the issuance of the Company Common Stock in the name of the Participant through a book entry credit in the records of the Company’s transfer agent, or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xml:space="preserve">) in the event of settlement upon a Change in Control, a cash payment equal to the Change in Control Price, multiplied by the number of vested Restricted Stock Units. No fractional Shares shall be issued in settlement of the Restricted Stock Units. Fractional Shares shall be rounded up to the nearest whole share;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Participant may not vest in more than the number of Restricted Stock Units specified in the Grant Notice.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00" w:top="1298" w:right="359" w:bottom="1440" w:gutter="0" w:footer="0" w:header="0"/>
        </w:sectPr>
      </w:pPr>
    </w:p>
    <w:bookmarkStart w:id="280" w:name="page281"/>
    <w:bookmarkEnd w:id="280"/>
    <w:p>
      <w:pPr>
        <w:ind w:left="-5" w:right="320" w:firstLine="5"/>
        <w:spacing w:after="0" w:line="270" w:lineRule="auto"/>
        <w:tabs>
          <w:tab w:leader="none" w:pos="50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Notwithstanding the foregoing, the Administrator,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36" w:lineRule="exact"/>
        <w:rPr>
          <w:rFonts w:ascii="Times New Roman" w:cs="Times New Roman" w:eastAsia="Times New Roman" w:hAnsi="Times New Roman"/>
          <w:sz w:val="16"/>
          <w:szCs w:val="16"/>
          <w:color w:val="auto"/>
        </w:rPr>
      </w:pPr>
    </w:p>
    <w:p>
      <w:pPr>
        <w:jc w:val="both"/>
        <w:ind w:left="-5" w:right="20" w:firstLine="514"/>
        <w:spacing w:after="0" w:line="214" w:lineRule="auto"/>
        <w:tabs>
          <w:tab w:leader="none" w:pos="1014"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Securities Law Compliance</w:t>
      </w:r>
      <w:r>
        <w:rPr>
          <w:rFonts w:ascii="Times New Roman" w:cs="Times New Roman" w:eastAsia="Times New Roman" w:hAnsi="Times New Roman"/>
          <w:sz w:val="16"/>
          <w:szCs w:val="16"/>
          <w:color w:val="auto"/>
        </w:rPr>
        <w:t>. Notwithstanding any other provision of this Agreement, the Participant may not sell the Shares acquired upon vesting of the Restricted Stock Units unless such Shares are registered under the Securities Act, or, if such Shares are not then so registered, such sale would be exempt from the registration requirements of the Securities Act. The sale of such Shares must also comply with other Applicable Law and regulations governing the Shares, and the Participant may not sell the Shares if the Company determines that such sale would not be in material compliance with such laws and regulations.</w:t>
      </w:r>
    </w:p>
    <w:p>
      <w:pPr>
        <w:spacing w:after="0" w:line="139" w:lineRule="exact"/>
        <w:rPr>
          <w:rFonts w:ascii="Times New Roman" w:cs="Times New Roman" w:eastAsia="Times New Roman" w:hAnsi="Times New Roman"/>
          <w:sz w:val="17"/>
          <w:szCs w:val="17"/>
          <w:color w:val="auto"/>
        </w:rPr>
      </w:pPr>
    </w:p>
    <w:p>
      <w:pPr>
        <w:ind w:left="1015" w:hanging="506"/>
        <w:spacing w:after="0"/>
        <w:tabs>
          <w:tab w:leader="none" w:pos="1015"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Participant’s Rights with Respect to the Restricted Stock Units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 w:firstLine="514"/>
        <w:spacing w:after="0" w:line="213" w:lineRule="auto"/>
        <w:tabs>
          <w:tab w:leader="none" w:pos="101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Restrictions on Transferability</w:t>
      </w:r>
      <w:r>
        <w:rPr>
          <w:rFonts w:ascii="Times New Roman" w:cs="Times New Roman" w:eastAsia="Times New Roman" w:hAnsi="Times New Roman"/>
          <w:sz w:val="16"/>
          <w:szCs w:val="16"/>
          <w:color w:val="auto"/>
        </w:rPr>
        <w:t xml:space="preserve">.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28" w:lineRule="exact"/>
        <w:rPr>
          <w:rFonts w:ascii="Times New Roman" w:cs="Times New Roman" w:eastAsia="Times New Roman" w:hAnsi="Times New Roman"/>
          <w:sz w:val="17"/>
          <w:szCs w:val="17"/>
          <w:color w:val="auto"/>
        </w:rPr>
      </w:pPr>
    </w:p>
    <w:p>
      <w:pPr>
        <w:ind w:left="-5" w:right="40" w:firstLine="514"/>
        <w:spacing w:after="0" w:line="247" w:lineRule="auto"/>
        <w:tabs>
          <w:tab w:leader="none" w:pos="101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No Rights as Stockholder</w:t>
      </w:r>
      <w:r>
        <w:rPr>
          <w:rFonts w:ascii="Times New Roman" w:cs="Times New Roman" w:eastAsia="Times New Roman" w:hAnsi="Times New Roman"/>
          <w:sz w:val="15"/>
          <w:szCs w:val="15"/>
          <w:color w:val="auto"/>
        </w:rPr>
        <w:t>. The Participant shall not have any rights as a stockholder, including any voting, dividend or other rights or privileges as a stockholder of the Company with respect to Shares underlying the Restricted Stock Units granted hereby unless and until such Shares are issued to the Participant in respect thereof.</w:t>
      </w:r>
    </w:p>
    <w:p>
      <w:pPr>
        <w:spacing w:after="0" w:line="131" w:lineRule="exact"/>
        <w:rPr>
          <w:rFonts w:ascii="Times New Roman" w:cs="Times New Roman" w:eastAsia="Times New Roman" w:hAnsi="Times New Roman"/>
          <w:sz w:val="16"/>
          <w:szCs w:val="16"/>
          <w:color w:val="auto"/>
        </w:rPr>
      </w:pPr>
    </w:p>
    <w:p>
      <w:pPr>
        <w:ind w:left="-5" w:firstLine="514"/>
        <w:spacing w:after="0" w:line="213" w:lineRule="auto"/>
        <w:tabs>
          <w:tab w:leader="none" w:pos="1011"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Dividend Equivalents</w:t>
      </w:r>
      <w:r>
        <w:rPr>
          <w:rFonts w:ascii="Times New Roman" w:cs="Times New Roman" w:eastAsia="Times New Roman" w:hAnsi="Times New Roman"/>
          <w:sz w:val="16"/>
          <w:szCs w:val="16"/>
          <w:color w:val="auto"/>
        </w:rPr>
        <w:t>. The Restricted Stock Units granted hereunder include the right for the Participant to be credited with Dividend Equivalents in the form of a right to a cash payment when cash dividends are paid on the Company Common Stock. Such cash payment shall equal the amount obtained by multiplying the amount of the dividend declared and paid for each Share by the number of Restricted Stock Units held by the Participant on the record date for such dividend. Notwithstanding anything in the Plan to the contrary, any cash amounts in respect of the Dividend Equivalents credited to the Participant’s account shall be paid to the Participant on the applicable payment date for the related cash dividend.</w:t>
      </w:r>
    </w:p>
    <w:p>
      <w:pPr>
        <w:spacing w:after="0" w:line="139" w:lineRule="exact"/>
        <w:rPr>
          <w:sz w:val="20"/>
          <w:szCs w:val="20"/>
          <w:color w:val="auto"/>
        </w:rPr>
      </w:pPr>
    </w:p>
    <w:p>
      <w:pPr>
        <w:ind w:left="1015" w:hanging="506"/>
        <w:spacing w:after="0"/>
        <w:tabs>
          <w:tab w:leader="none" w:pos="101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Participant’s Representations, Warranties and Covenants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left="-5" w:right="100" w:firstLine="514"/>
        <w:spacing w:after="0" w:line="227" w:lineRule="auto"/>
        <w:tabs>
          <w:tab w:leader="none" w:pos="1011"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No Conflicts; No Consents</w:t>
      </w:r>
      <w:r>
        <w:rPr>
          <w:rFonts w:ascii="Times New Roman" w:cs="Times New Roman" w:eastAsia="Times New Roman" w:hAnsi="Times New Roman"/>
          <w:sz w:val="15"/>
          <w:szCs w:val="15"/>
          <w:color w:val="auto"/>
        </w:rPr>
        <w:t>. The execution and delivery by the Participant of this Agreement, the consummation of the transactions contemplated hereby and the performance of the Participant’s obligations hereunder do not and will not (</w:t>
      </w:r>
      <w:r>
        <w:rPr>
          <w:rFonts w:ascii="Times New Roman" w:cs="Times New Roman" w:eastAsia="Times New Roman" w:hAnsi="Times New Roman"/>
          <w:sz w:val="15"/>
          <w:szCs w:val="15"/>
          <w:u w:val="single" w:color="auto"/>
          <w:color w:val="auto"/>
        </w:rPr>
        <w:t>i</w:t>
      </w:r>
      <w:r>
        <w:rPr>
          <w:rFonts w:ascii="Times New Roman" w:cs="Times New Roman" w:eastAsia="Times New Roman" w:hAnsi="Times New Roman"/>
          <w:sz w:val="15"/>
          <w:szCs w:val="15"/>
          <w:color w:val="auto"/>
        </w:rPr>
        <w:t>) materially conflict with or result in a material violation or breach of any term or provision of any law applicable to either the Participant or the Restricted Stock Units or (</w:t>
      </w:r>
      <w:r>
        <w:rPr>
          <w:rFonts w:ascii="Times New Roman" w:cs="Times New Roman" w:eastAsia="Times New Roman" w:hAnsi="Times New Roman"/>
          <w:sz w:val="15"/>
          <w:szCs w:val="15"/>
          <w:u w:val="single" w:color="auto"/>
          <w:color w:val="auto"/>
        </w:rPr>
        <w:t>ii</w:t>
      </w:r>
      <w:r>
        <w:rPr>
          <w:rFonts w:ascii="Times New Roman" w:cs="Times New Roman" w:eastAsia="Times New Roman" w:hAnsi="Times New Roman"/>
          <w:sz w:val="15"/>
          <w:szCs w:val="15"/>
          <w:color w:val="auto"/>
        </w:rPr>
        <w:t>) violate in any material respect, conflict with in any material respect or result in any material breach of, or constitute (with or without notice or lapse of time or both) a material default under, or require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28" w:lineRule="exact"/>
        <w:rPr>
          <w:rFonts w:ascii="Times New Roman" w:cs="Times New Roman" w:eastAsia="Times New Roman" w:hAnsi="Times New Roman"/>
          <w:sz w:val="16"/>
          <w:szCs w:val="16"/>
          <w:color w:val="auto"/>
        </w:rPr>
      </w:pPr>
    </w:p>
    <w:p>
      <w:pPr>
        <w:ind w:left="-5" w:firstLine="514"/>
        <w:spacing w:after="0" w:line="228" w:lineRule="auto"/>
        <w:tabs>
          <w:tab w:leader="none" w:pos="101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Compliance with Rule 144</w:t>
      </w:r>
      <w:r>
        <w:rPr>
          <w:rFonts w:ascii="Times New Roman" w:cs="Times New Roman" w:eastAsia="Times New Roman" w:hAnsi="Times New Roman"/>
          <w:sz w:val="16"/>
          <w:szCs w:val="16"/>
          <w:color w:val="auto"/>
        </w:rPr>
        <w:t>. If any Shares issued in respect of the Restricted Stock Units are to be disposed of in accordance with Rule 144 of the Securities Act, the Participant shall transmit to</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4"/>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15"/>
          </w:cols>
          <w:pgMar w:left="305" w:top="1330" w:right="379" w:bottom="1440" w:gutter="0" w:footer="0" w:header="0"/>
        </w:sectPr>
      </w:pPr>
    </w:p>
    <w:bookmarkStart w:id="281" w:name="page282"/>
    <w:bookmarkEnd w:id="281"/>
    <w:p>
      <w:pPr>
        <w:ind w:right="100"/>
        <w:spacing w:after="0" w:line="235" w:lineRule="auto"/>
        <w:rPr>
          <w:sz w:val="20"/>
          <w:szCs w:val="20"/>
          <w:color w:val="auto"/>
        </w:rPr>
      </w:pPr>
      <w:r>
        <w:rPr>
          <w:rFonts w:ascii="Times New Roman" w:cs="Times New Roman" w:eastAsia="Times New Roman" w:hAnsi="Times New Roman"/>
          <w:sz w:val="16"/>
          <w:szCs w:val="16"/>
          <w:color w:val="auto"/>
        </w:rPr>
        <w:t>the Company an executed copy of Form 144 (if required by Rule 144) no later than the time such form is required to be transmitted to the Securities and Exchange Commission for filing and such other documentation as the Company may reasonably require to assure compliance with Rule 144 in connection with such disposition.</w:t>
      </w:r>
    </w:p>
    <w:p>
      <w:pPr>
        <w:spacing w:after="0" w:line="128" w:lineRule="exact"/>
        <w:rPr>
          <w:sz w:val="20"/>
          <w:szCs w:val="20"/>
          <w:color w:val="auto"/>
        </w:rPr>
      </w:pPr>
    </w:p>
    <w:p>
      <w:pPr>
        <w:ind w:right="360" w:firstLine="514"/>
        <w:spacing w:after="0" w:line="228" w:lineRule="auto"/>
        <w:tabs>
          <w:tab w:leader="none" w:pos="1016"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Participant Status</w:t>
      </w:r>
      <w:r>
        <w:rPr>
          <w:rFonts w:ascii="Times New Roman" w:cs="Times New Roman" w:eastAsia="Times New Roman" w:hAnsi="Times New Roman"/>
          <w:sz w:val="16"/>
          <w:szCs w:val="16"/>
          <w:color w:val="auto"/>
        </w:rPr>
        <w:t>. The Participant represents and warrants that, as of the date hereof, the Participant is an officer or other Service Provider of the Company, the Employer or a Subsidiary.</w:t>
      </w:r>
    </w:p>
    <w:p>
      <w:pPr>
        <w:spacing w:after="0" w:line="138" w:lineRule="exact"/>
        <w:rPr>
          <w:sz w:val="20"/>
          <w:szCs w:val="20"/>
          <w:color w:val="auto"/>
        </w:rPr>
      </w:pPr>
    </w:p>
    <w:p>
      <w:pPr>
        <w:ind w:right="340" w:firstLine="514"/>
        <w:spacing w:after="0" w:line="214" w:lineRule="auto"/>
        <w:tabs>
          <w:tab w:leader="none" w:pos="101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Adjustment in Capitalization</w:t>
      </w:r>
      <w:r>
        <w:rPr>
          <w:rFonts w:ascii="Times New Roman" w:cs="Times New Roman" w:eastAsia="Times New Roman" w:hAnsi="Times New Roman"/>
          <w:sz w:val="16"/>
          <w:szCs w:val="16"/>
          <w:color w:val="auto"/>
        </w:rPr>
        <w:t>. Subject to Section 14.1 of the Plan, the number and kind of Shares subject to any outstanding Restricted Stock Units, or the other terms and conditions of any such Restricted Stock Units, shall be adjusted by the Administrator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39" w:lineRule="exact"/>
        <w:rPr>
          <w:rFonts w:ascii="Times New Roman" w:cs="Times New Roman" w:eastAsia="Times New Roman" w:hAnsi="Times New Roman"/>
          <w:sz w:val="17"/>
          <w:szCs w:val="17"/>
          <w:color w:val="auto"/>
        </w:rPr>
      </w:pPr>
    </w:p>
    <w:p>
      <w:pPr>
        <w:ind w:firstLine="514"/>
        <w:spacing w:after="0" w:line="207" w:lineRule="auto"/>
        <w:tabs>
          <w:tab w:leader="none" w:pos="101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Tax Withholding</w:t>
      </w:r>
      <w:r>
        <w:rPr>
          <w:rFonts w:ascii="Times New Roman" w:cs="Times New Roman" w:eastAsia="Times New Roman" w:hAnsi="Times New Roman"/>
          <w:sz w:val="16"/>
          <w:szCs w:val="16"/>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Times New Roman" w:cs="Times New Roman" w:eastAsia="Times New Roman" w:hAnsi="Times New Roman"/>
          <w:sz w:val="16"/>
          <w:szCs w:val="16"/>
          <w:u w:val="single" w:color="auto"/>
          <w:color w:val="auto"/>
        </w:rPr>
        <w:t>Tax-Related Items</w:t>
      </w:r>
      <w:r>
        <w:rPr>
          <w:rFonts w:ascii="Times New Roman" w:cs="Times New Roman" w:eastAsia="Times New Roman" w:hAnsi="Times New Roman"/>
          <w:sz w:val="16"/>
          <w:szCs w:val="16"/>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make no representations or undertakings regarding the treatment of any Tax-Related Items in connection with any aspect of the Participant’s participation in the Plan, including, but not limited to, the grant of the Restricted Stock Units, the vesting of the Restricted Stock Units, the issuance or sale of Shares, or the receipt of any dividends or Dividend Equivalents;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 Participant acknowledges that the Company and/or the Employer (or former employer, as applicable) may be required to withhold or account for Tax-Related Items in more than one jurisdiction.</w:t>
      </w:r>
    </w:p>
    <w:p>
      <w:pPr>
        <w:spacing w:after="0" w:line="143"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6"/>
          <w:szCs w:val="16"/>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withholding from the Participant’s wages or other cash compensation payable to the Participant by the Company and/or the Employer,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withholding from proceeds of the sale of Shares under the Plan, either through a voluntary sale or through a mandatory sale arranged by the Company (on the Participant’s behalf pursuant to this authorization without further consent) to cover the Tax-Related Items required to be withheld, and (</w:t>
      </w:r>
      <w:r>
        <w:rPr>
          <w:rFonts w:ascii="Times New Roman" w:cs="Times New Roman" w:eastAsia="Times New Roman" w:hAnsi="Times New Roman"/>
          <w:sz w:val="16"/>
          <w:szCs w:val="16"/>
          <w:u w:val="single" w:color="auto"/>
          <w:color w:val="auto"/>
        </w:rPr>
        <w:t>c</w:t>
      </w:r>
      <w:r>
        <w:rPr>
          <w:rFonts w:ascii="Times New Roman" w:cs="Times New Roman" w:eastAsia="Times New Roman" w:hAnsi="Times New Roman"/>
          <w:sz w:val="16"/>
          <w:szCs w:val="16"/>
          <w:color w:val="auto"/>
        </w:rPr>
        <w:t>) withholding in Shares to be issued upon vesting of the Restricted Stock Units.</w:t>
      </w:r>
    </w:p>
    <w:p>
      <w:pPr>
        <w:spacing w:after="0" w:line="143"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6"/>
          <w:szCs w:val="16"/>
          <w:color w:val="auto"/>
        </w:rPr>
        <w:t>If the obligation for Tax-Related Items is satisfied by withholding in Shares, for tax purposes, the Participant will be deemed to have been issued the full number of Shares, notwithstanding that a number of the Shares are held back solely for the purpose of paying the Tax-Related Items.</w:t>
      </w:r>
    </w:p>
    <w:p>
      <w:pPr>
        <w:spacing w:after="0" w:line="133" w:lineRule="exact"/>
        <w:rPr>
          <w:sz w:val="20"/>
          <w:szCs w:val="20"/>
          <w:color w:val="auto"/>
        </w:rPr>
      </w:pPr>
    </w:p>
    <w:p>
      <w:pPr>
        <w:ind w:firstLine="509"/>
        <w:spacing w:after="0" w:line="330" w:lineRule="auto"/>
        <w:rPr>
          <w:sz w:val="20"/>
          <w:szCs w:val="20"/>
          <w:color w:val="auto"/>
        </w:rPr>
      </w:pPr>
      <w:r>
        <w:rPr>
          <w:rFonts w:ascii="Times New Roman" w:cs="Times New Roman" w:eastAsia="Times New Roman" w:hAnsi="Times New Roman"/>
          <w:sz w:val="14"/>
          <w:szCs w:val="14"/>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298" w:right="319" w:bottom="1440" w:gutter="0" w:footer="0" w:header="0"/>
        </w:sectPr>
      </w:pPr>
    </w:p>
    <w:bookmarkStart w:id="282" w:name="page283"/>
    <w:bookmarkEnd w:id="282"/>
    <w:p>
      <w:pPr>
        <w:ind w:left="980" w:hanging="506"/>
        <w:spacing w:after="0"/>
        <w:tabs>
          <w:tab w:leader="none" w:pos="98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Nature of Grant</w:t>
      </w:r>
      <w:r>
        <w:rPr>
          <w:rFonts w:ascii="Times New Roman" w:cs="Times New Roman" w:eastAsia="Times New Roman" w:hAnsi="Times New Roman"/>
          <w:sz w:val="16"/>
          <w:szCs w:val="16"/>
          <w:color w:val="auto"/>
        </w:rPr>
        <w:t>. By accepting the Restricted Stock Units, the Participant acknowledges, understands and agrees that:</w:t>
      </w:r>
    </w:p>
    <w:p>
      <w:pPr>
        <w:spacing w:after="0" w:line="144" w:lineRule="exact"/>
        <w:rPr>
          <w:sz w:val="20"/>
          <w:szCs w:val="20"/>
          <w:color w:val="auto"/>
        </w:rPr>
      </w:pPr>
    </w:p>
    <w:p>
      <w:pPr>
        <w:ind w:left="-40" w:right="140" w:firstLine="514"/>
        <w:spacing w:after="0" w:line="228" w:lineRule="auto"/>
        <w:tabs>
          <w:tab w:leader="none" w:pos="976"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Plan is established voluntarily by the Company, it is discretionary in nature and it may be modified, terminated, suspended or amended by the Company at any time, to the extent permitted by the Plan;</w:t>
      </w:r>
    </w:p>
    <w:p>
      <w:pPr>
        <w:spacing w:after="0" w:line="138" w:lineRule="exact"/>
        <w:rPr>
          <w:rFonts w:ascii="Times New Roman" w:cs="Times New Roman" w:eastAsia="Times New Roman" w:hAnsi="Times New Roman"/>
          <w:sz w:val="17"/>
          <w:szCs w:val="17"/>
          <w:color w:val="auto"/>
        </w:rPr>
      </w:pPr>
    </w:p>
    <w:p>
      <w:pPr>
        <w:ind w:left="-40" w:right="160" w:firstLine="514"/>
        <w:spacing w:after="0" w:line="228" w:lineRule="auto"/>
        <w:tabs>
          <w:tab w:leader="none" w:pos="97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Plan is operated and the Restricted Stock Units are granted solely by the Company and only the Company is a party to this Agreement; accordingly, any rights the Participant may have under this Agreement may be raised only against the Company but not any Subsidiary (including, but not limited to, the Employer);</w:t>
      </w:r>
    </w:p>
    <w:p>
      <w:pPr>
        <w:spacing w:after="0" w:line="127" w:lineRule="exact"/>
        <w:rPr>
          <w:rFonts w:ascii="Times New Roman" w:cs="Times New Roman" w:eastAsia="Times New Roman" w:hAnsi="Times New Roman"/>
          <w:sz w:val="17"/>
          <w:szCs w:val="17"/>
          <w:color w:val="auto"/>
        </w:rPr>
      </w:pPr>
    </w:p>
    <w:p>
      <w:pPr>
        <w:ind w:left="980" w:hanging="506"/>
        <w:spacing w:after="0"/>
        <w:tabs>
          <w:tab w:leader="none" w:pos="9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no Subsidiary (including, but not limited to, the Employer) has any obligation to make any payment of any kind to the Participant under this Agreement;</w:t>
      </w:r>
    </w:p>
    <w:p>
      <w:pPr>
        <w:spacing w:after="0" w:line="144" w:lineRule="exact"/>
        <w:rPr>
          <w:rFonts w:ascii="Times New Roman" w:cs="Times New Roman" w:eastAsia="Times New Roman" w:hAnsi="Times New Roman"/>
          <w:sz w:val="17"/>
          <w:szCs w:val="17"/>
          <w:color w:val="auto"/>
        </w:rPr>
      </w:pPr>
    </w:p>
    <w:p>
      <w:pPr>
        <w:ind w:left="-40" w:right="80" w:firstLine="514"/>
        <w:spacing w:after="0" w:line="228" w:lineRule="auto"/>
        <w:tabs>
          <w:tab w:leader="none" w:pos="97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grant of the Restricted Stock Units is exceptional, voluntary and occasional, and does not create any contractual or other right to receive future Restricted Stock Units or benefits in lieu of Restricted Stock Units, even if Restricted Stock Units have been granted in the past;</w:t>
      </w:r>
    </w:p>
    <w:p>
      <w:pPr>
        <w:spacing w:after="0" w:line="138" w:lineRule="exact"/>
        <w:rPr>
          <w:rFonts w:ascii="Times New Roman" w:cs="Times New Roman" w:eastAsia="Times New Roman" w:hAnsi="Times New Roman"/>
          <w:sz w:val="17"/>
          <w:szCs w:val="17"/>
          <w:color w:val="auto"/>
        </w:rPr>
      </w:pPr>
    </w:p>
    <w:p>
      <w:pPr>
        <w:ind w:left="980" w:hanging="506"/>
        <w:spacing w:after="0"/>
        <w:tabs>
          <w:tab w:leader="none" w:pos="9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decisions with respect to future Restricted Stock Units or other grants, if any, will be at the sole discretion of the Administrator;</w:t>
      </w:r>
    </w:p>
    <w:p>
      <w:pPr>
        <w:spacing w:after="0" w:line="144" w:lineRule="exact"/>
        <w:rPr>
          <w:rFonts w:ascii="Times New Roman" w:cs="Times New Roman" w:eastAsia="Times New Roman" w:hAnsi="Times New Roman"/>
          <w:sz w:val="17"/>
          <w:szCs w:val="17"/>
          <w:color w:val="auto"/>
        </w:rPr>
      </w:pPr>
    </w:p>
    <w:p>
      <w:pPr>
        <w:ind w:left="-40" w:right="580" w:firstLine="514"/>
        <w:spacing w:after="0" w:line="221" w:lineRule="auto"/>
        <w:tabs>
          <w:tab w:leader="none" w:pos="978"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grant of the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or service relationship (if any);</w:t>
      </w:r>
    </w:p>
    <w:p>
      <w:pPr>
        <w:spacing w:after="0" w:line="128" w:lineRule="exact"/>
        <w:rPr>
          <w:rFonts w:ascii="Times New Roman" w:cs="Times New Roman" w:eastAsia="Times New Roman" w:hAnsi="Times New Roman"/>
          <w:sz w:val="17"/>
          <w:szCs w:val="17"/>
          <w:color w:val="auto"/>
        </w:rPr>
      </w:pPr>
    </w:p>
    <w:p>
      <w:pPr>
        <w:ind w:left="980" w:hanging="506"/>
        <w:spacing w:after="0"/>
        <w:tabs>
          <w:tab w:leader="none" w:pos="98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Participant is voluntarily participating in the Plan;</w:t>
      </w:r>
    </w:p>
    <w:p>
      <w:pPr>
        <w:spacing w:after="0" w:line="144" w:lineRule="exact"/>
        <w:rPr>
          <w:rFonts w:ascii="Times New Roman" w:cs="Times New Roman" w:eastAsia="Times New Roman" w:hAnsi="Times New Roman"/>
          <w:sz w:val="17"/>
          <w:szCs w:val="17"/>
          <w:color w:val="auto"/>
        </w:rPr>
      </w:pPr>
    </w:p>
    <w:p>
      <w:pPr>
        <w:ind w:left="-40" w:right="80" w:firstLine="514"/>
        <w:spacing w:after="0" w:line="228" w:lineRule="auto"/>
        <w:tabs>
          <w:tab w:leader="none" w:pos="97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intended to replace any pension rights or compensation;</w:t>
      </w:r>
    </w:p>
    <w:p>
      <w:pPr>
        <w:spacing w:after="0" w:line="138" w:lineRule="exact"/>
        <w:rPr>
          <w:rFonts w:ascii="Times New Roman" w:cs="Times New Roman" w:eastAsia="Times New Roman" w:hAnsi="Times New Roman"/>
          <w:sz w:val="17"/>
          <w:szCs w:val="17"/>
          <w:color w:val="auto"/>
        </w:rPr>
      </w:pPr>
    </w:p>
    <w:p>
      <w:pPr>
        <w:ind w:left="-40" w:right="20" w:firstLine="514"/>
        <w:spacing w:after="0" w:line="221" w:lineRule="auto"/>
        <w:tabs>
          <w:tab w:leader="none" w:pos="96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extraordinary items that do not constitute compensation of any kind for services of any kind rendered to the Company, the Employer or any other Subsidiary, and which are outside the scope of the Participant’s employment or service and the Participant’s employment or service agreement, if any;</w:t>
      </w:r>
    </w:p>
    <w:p>
      <w:pPr>
        <w:spacing w:after="0" w:line="128" w:lineRule="exact"/>
        <w:rPr>
          <w:rFonts w:ascii="Times New Roman" w:cs="Times New Roman" w:eastAsia="Times New Roman" w:hAnsi="Times New Roman"/>
          <w:sz w:val="17"/>
          <w:szCs w:val="17"/>
          <w:color w:val="auto"/>
        </w:rPr>
      </w:pPr>
    </w:p>
    <w:p>
      <w:pPr>
        <w:ind w:left="-40" w:firstLine="514"/>
        <w:spacing w:after="0" w:line="221" w:lineRule="auto"/>
        <w:tabs>
          <w:tab w:leader="none" w:pos="96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Restricted Stock Units and any Shares acquired pursuant to such Restricted Stock Units,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38" w:lineRule="exact"/>
        <w:rPr>
          <w:rFonts w:ascii="Times New Roman" w:cs="Times New Roman" w:eastAsia="Times New Roman" w:hAnsi="Times New Roman"/>
          <w:sz w:val="17"/>
          <w:szCs w:val="17"/>
          <w:color w:val="auto"/>
        </w:rPr>
      </w:pPr>
    </w:p>
    <w:p>
      <w:pPr>
        <w:ind w:left="-40" w:right="40" w:firstLine="514"/>
        <w:spacing w:after="0" w:line="228" w:lineRule="auto"/>
        <w:tabs>
          <w:tab w:leader="none" w:pos="97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future value of the Shares underlying the Restricted Stock Units is unknown, indeterminable and cannot be predicted with certainty and the value of such Shares may increase or decrease in the future;</w:t>
      </w:r>
    </w:p>
    <w:p>
      <w:pPr>
        <w:spacing w:after="0" w:line="127" w:lineRule="exact"/>
        <w:rPr>
          <w:rFonts w:ascii="Times New Roman" w:cs="Times New Roman" w:eastAsia="Times New Roman" w:hAnsi="Times New Roman"/>
          <w:sz w:val="17"/>
          <w:szCs w:val="17"/>
          <w:color w:val="auto"/>
        </w:rPr>
      </w:pPr>
    </w:p>
    <w:p>
      <w:pPr>
        <w:ind w:left="-40" w:right="100" w:firstLine="514"/>
        <w:spacing w:after="0" w:line="221" w:lineRule="auto"/>
        <w:tabs>
          <w:tab w:leader="none" w:pos="969"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no claim or entitlement to compensation or damages shall arise from forfeiture of the Restricted Stock Units or recoupment of any gains earned or accrued due to the sale of Shares acquired in settlement of such Restricted Stock Units resulting from, but not limited to, the (</w:t>
      </w:r>
      <w:r>
        <w:rPr>
          <w:rFonts w:ascii="Times New Roman" w:cs="Times New Roman" w:eastAsia="Times New Roman" w:hAnsi="Times New Roman"/>
          <w:sz w:val="16"/>
          <w:szCs w:val="16"/>
          <w:u w:val="single" w:color="auto"/>
          <w:color w:val="auto"/>
        </w:rPr>
        <w:t>1</w:t>
      </w:r>
      <w:r>
        <w:rPr>
          <w:rFonts w:ascii="Times New Roman" w:cs="Times New Roman" w:eastAsia="Times New Roman" w:hAnsi="Times New Roman"/>
          <w:sz w:val="16"/>
          <w:szCs w:val="16"/>
          <w:color w:val="auto"/>
        </w:rPr>
        <w:t>) termination of the Participant’s employment or service (regardless of the reason for the termination and whether or not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40" w:top="1309"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4"/>
          <w:szCs w:val="14"/>
          <w:color w:val="auto"/>
        </w:rPr>
        <w:t>termination is later found to be invalid or in breach of employment laws in the jurisdiction where the Participant is employed or the terms of the Participant’s employment or service</w:t>
      </w:r>
    </w:p>
    <w:p>
      <w:pPr>
        <w:spacing w:after="0" w:line="16" w:lineRule="exact"/>
        <w:rPr>
          <w:sz w:val="20"/>
          <w:szCs w:val="20"/>
          <w:color w:val="auto"/>
        </w:rPr>
      </w:pPr>
    </w:p>
    <w:p>
      <w:pPr>
        <w:ind w:right="480"/>
        <w:spacing w:after="0" w:line="217" w:lineRule="auto"/>
        <w:rPr>
          <w:sz w:val="20"/>
          <w:szCs w:val="20"/>
          <w:color w:val="auto"/>
        </w:rPr>
      </w:pPr>
      <w:r>
        <w:rPr>
          <w:rFonts w:ascii="Times New Roman" w:cs="Times New Roman" w:eastAsia="Times New Roman" w:hAnsi="Times New Roman"/>
          <w:sz w:val="16"/>
          <w:szCs w:val="16"/>
          <w:color w:val="auto"/>
        </w:rPr>
        <w:t xml:space="preserve">agreement, if any) and/or (2) application of any Applicable Law or regulations, or any recoupment policy or any recovery or clawback policy maintained by the Company or </w:t>
      </w:r>
      <w:r>
        <w:rPr>
          <w:rFonts w:ascii="Times New Roman" w:cs="Times New Roman" w:eastAsia="Times New Roman" w:hAnsi="Times New Roman"/>
          <w:sz w:val="16"/>
          <w:szCs w:val="16"/>
          <w:color w:val="auto"/>
          <w:highlight w:val="white"/>
        </w:rPr>
        <w:t>otherwise required by Applicable Law</w:t>
      </w:r>
      <w:r>
        <w:rPr>
          <w:rFonts w:ascii="Times New Roman" w:cs="Times New Roman" w:eastAsia="Times New Roman" w:hAnsi="Times New Roman"/>
          <w:sz w:val="16"/>
          <w:szCs w:val="16"/>
          <w:color w:val="auto"/>
        </w:rPr>
        <w:t>; and</w:t>
      </w:r>
    </w:p>
    <w:p>
      <w:pPr>
        <w:spacing w:after="0" w:line="137" w:lineRule="exact"/>
        <w:rPr>
          <w:sz w:val="20"/>
          <w:szCs w:val="20"/>
          <w:color w:val="auto"/>
        </w:rPr>
      </w:pPr>
    </w:p>
    <w:p>
      <w:pPr>
        <w:ind w:right="40" w:firstLine="514"/>
        <w:spacing w:after="0" w:line="221" w:lineRule="auto"/>
        <w:tabs>
          <w:tab w:leader="none" w:pos="100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neither the Company, the Employer nor any other Subsidiary shall be liable for any foreign exchange rate fluctuation between the Participant’s local currency and the United States Dollar that may affect the value of the Shares or any amounts due pursuant to the issuance of the Shares, or the subsequent sale of any Shares acquired pursuant to the Restricted Stock Units.</w:t>
      </w:r>
    </w:p>
    <w:p>
      <w:pPr>
        <w:spacing w:after="0" w:line="128" w:lineRule="exact"/>
        <w:rPr>
          <w:sz w:val="20"/>
          <w:szCs w:val="20"/>
          <w:color w:val="auto"/>
        </w:rPr>
      </w:pPr>
    </w:p>
    <w:p>
      <w:pPr>
        <w:ind w:firstLine="514"/>
        <w:spacing w:after="0" w:line="212" w:lineRule="auto"/>
        <w:tabs>
          <w:tab w:leader="none" w:pos="1019"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Employee Data Privacy</w:t>
      </w:r>
      <w:r>
        <w:rPr>
          <w:rFonts w:ascii="Times New Roman" w:cs="Times New Roman" w:eastAsia="Times New Roman" w:hAnsi="Times New Roman"/>
          <w:sz w:val="16"/>
          <w:szCs w:val="16"/>
          <w:color w:val="auto"/>
        </w:rPr>
        <w:t>. The collection, use, disclosure and transfer, in electronic or other form, of personally identifiable information to facilitate the grant of the Restricted Stock Units and the administration of the Plan by and among, as applicable, the Company and the Employer, if different, any of the Company’s Subsidiaries or Affiliates, or any agent of the Company administering or providing Plan services is governed by the Employee Privacy Notice (the “</w:t>
      </w:r>
      <w:r>
        <w:rPr>
          <w:rFonts w:ascii="Times New Roman" w:cs="Times New Roman" w:eastAsia="Times New Roman" w:hAnsi="Times New Roman"/>
          <w:sz w:val="16"/>
          <w:szCs w:val="16"/>
          <w:u w:val="single" w:color="auto"/>
          <w:color w:val="auto"/>
        </w:rPr>
        <w:t>Privacy Notice</w:t>
      </w:r>
      <w:r>
        <w:rPr>
          <w:rFonts w:ascii="Times New Roman" w:cs="Times New Roman" w:eastAsia="Times New Roman" w:hAnsi="Times New Roman"/>
          <w:sz w:val="16"/>
          <w:szCs w:val="16"/>
          <w:color w:val="auto"/>
        </w:rPr>
        <w:t>”) that Participant received in the course of his or her relationship with Company. The Participant understands that he or she may review the Privacy Notice or contact his or her local human resources representative to request a copy of the Privacy Notice. Please contact ethics@bah.com if the Participant has any questions or concerns about how the Company or its Subsidiaries and Affiliates process personally identifiable information.</w:t>
      </w:r>
    </w:p>
    <w:p>
      <w:pPr>
        <w:spacing w:after="0" w:line="139"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14"/>
        <w:spacing w:after="0" w:line="217" w:lineRule="auto"/>
        <w:tabs>
          <w:tab w:leader="none" w:pos="1016"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Binding Effect; Benefits</w:t>
      </w:r>
      <w:r>
        <w:rPr>
          <w:rFonts w:ascii="Times New Roman" w:cs="Times New Roman" w:eastAsia="Times New Roman" w:hAnsi="Times New Roman"/>
          <w:sz w:val="16"/>
          <w:szCs w:val="16"/>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37" w:lineRule="exact"/>
        <w:rPr>
          <w:rFonts w:ascii="Times New Roman" w:cs="Times New Roman" w:eastAsia="Times New Roman" w:hAnsi="Times New Roman"/>
          <w:sz w:val="17"/>
          <w:szCs w:val="17"/>
          <w:color w:val="auto"/>
        </w:rPr>
      </w:pPr>
    </w:p>
    <w:p>
      <w:pPr>
        <w:ind w:right="120" w:firstLine="514"/>
        <w:spacing w:after="0" w:line="221" w:lineRule="auto"/>
        <w:tabs>
          <w:tab w:leader="none" w:pos="101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Participant acknowledges that neither the Company nor the Employer are providing any tax, legal or financial advice, or making any recommendations regarding the Participant’s participation in the Plan. The Participant should consult his or her own personal tax, legal and financial advisors regarding the Participant’s participation in the Plan before taking any action related to the Plan.</w:t>
      </w:r>
    </w:p>
    <w:p>
      <w:pPr>
        <w:spacing w:after="0" w:line="128" w:lineRule="exact"/>
        <w:rPr>
          <w:rFonts w:ascii="Times New Roman" w:cs="Times New Roman" w:eastAsia="Times New Roman" w:hAnsi="Times New Roman"/>
          <w:sz w:val="17"/>
          <w:szCs w:val="17"/>
          <w:color w:val="auto"/>
        </w:rPr>
      </w:pPr>
    </w:p>
    <w:p>
      <w:pPr>
        <w:ind w:firstLine="514"/>
        <w:spacing w:after="0" w:line="223" w:lineRule="auto"/>
        <w:tabs>
          <w:tab w:leader="none" w:pos="1016"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Interpretation</w:t>
      </w:r>
      <w:r>
        <w:rPr>
          <w:rFonts w:ascii="Times New Roman" w:cs="Times New Roman" w:eastAsia="Times New Roman" w:hAnsi="Times New Roman"/>
          <w:sz w:val="15"/>
          <w:szCs w:val="15"/>
          <w:color w:val="auto"/>
        </w:rPr>
        <w:t>. For purposes of this Agreement, if the Participant is not employed by the Company, “</w:t>
      </w:r>
      <w:r>
        <w:rPr>
          <w:rFonts w:ascii="Times New Roman" w:cs="Times New Roman" w:eastAsia="Times New Roman" w:hAnsi="Times New Roman"/>
          <w:sz w:val="15"/>
          <w:szCs w:val="15"/>
          <w:u w:val="single" w:color="auto"/>
          <w:color w:val="auto"/>
        </w:rPr>
        <w:t>Employer</w:t>
      </w:r>
      <w:r>
        <w:rPr>
          <w:rFonts w:ascii="Times New Roman" w:cs="Times New Roman" w:eastAsia="Times New Roman" w:hAnsi="Times New Roman"/>
          <w:sz w:val="15"/>
          <w:szCs w:val="15"/>
          <w:color w:val="auto"/>
        </w:rPr>
        <w:t>” means the Subsidiary that employs the Participant. This Agreement and the Restricted Stock Units granted hereunder are subject to the terms and conditions of the Plan, which are incorporated by reference herein.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39" w:lineRule="exact"/>
        <w:rPr>
          <w:rFonts w:ascii="Times New Roman" w:cs="Times New Roman" w:eastAsia="Times New Roman" w:hAnsi="Times New Roman"/>
          <w:sz w:val="16"/>
          <w:szCs w:val="16"/>
          <w:color w:val="auto"/>
        </w:rPr>
      </w:pPr>
    </w:p>
    <w:p>
      <w:pPr>
        <w:ind w:right="120" w:firstLine="514"/>
        <w:spacing w:after="0" w:line="217" w:lineRule="auto"/>
        <w:tabs>
          <w:tab w:leader="none" w:pos="1015"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Country-Specific Provisions</w:t>
      </w:r>
      <w:r>
        <w:rPr>
          <w:rFonts w:ascii="Times New Roman" w:cs="Times New Roman" w:eastAsia="Times New Roman" w:hAnsi="Times New Roman"/>
          <w:sz w:val="16"/>
          <w:szCs w:val="16"/>
          <w:color w:val="auto"/>
        </w:rPr>
        <w:t xml:space="preserve">. The Participant’s participation in the Plan shall be subject to any additional or different terms and conditions set forth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attached hereto applicable to the Participant’s country. Moreover, if the Participant relocates to one of the countries included in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the additional or different terms and conditions applicable to such country will apply to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00" w:top="1298" w:right="359" w:bottom="1440" w:gutter="0" w:footer="0" w:header="0"/>
        </w:sectPr>
      </w:pPr>
    </w:p>
    <w:bookmarkStart w:id="284" w:name="page285"/>
    <w:bookmarkEnd w:id="284"/>
    <w:p>
      <w:pPr>
        <w:ind w:right="520"/>
        <w:spacing w:after="0" w:line="235" w:lineRule="auto"/>
        <w:rPr>
          <w:sz w:val="20"/>
          <w:szCs w:val="20"/>
          <w:color w:val="auto"/>
        </w:rPr>
      </w:pPr>
      <w:r>
        <w:rPr>
          <w:rFonts w:ascii="Times New Roman" w:cs="Times New Roman" w:eastAsia="Times New Roman" w:hAnsi="Times New Roman"/>
          <w:sz w:val="16"/>
          <w:szCs w:val="16"/>
          <w:color w:val="auto"/>
        </w:rPr>
        <w:t xml:space="preserve">Participant, to the extent the Company determines that the application of such terms and conditions is necessary or advisable for legal or administrative reasons. </w:t>
      </w: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xml:space="preserve"> constitutes a part of this Agreement.</w:t>
      </w:r>
    </w:p>
    <w:p>
      <w:pPr>
        <w:spacing w:after="0" w:line="128" w:lineRule="exact"/>
        <w:rPr>
          <w:sz w:val="20"/>
          <w:szCs w:val="20"/>
          <w:color w:val="auto"/>
        </w:rPr>
      </w:pPr>
    </w:p>
    <w:p>
      <w:pPr>
        <w:ind w:right="160" w:firstLine="514"/>
        <w:spacing w:after="0" w:line="221" w:lineRule="auto"/>
        <w:tabs>
          <w:tab w:leader="none" w:pos="101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Other Requirements</w:t>
      </w:r>
      <w:r>
        <w:rPr>
          <w:rFonts w:ascii="Times New Roman" w:cs="Times New Roman" w:eastAsia="Times New Roman" w:hAnsi="Times New Roman"/>
          <w:sz w:val="16"/>
          <w:szCs w:val="16"/>
          <w:color w:val="auto"/>
        </w:rPr>
        <w:t>. The Company reserves the right to impose other requirements on the Participant’s participation in the Plan and on any Shares acquired in settlement of the Restricted Stock Units granted hereunder, to the extent the Company determines it is necessary or advisable for legal or administrative reasons, and to require the Participant to sign any additional agreements or undertakings that may be necessary to accomplish the foregoing.</w:t>
      </w:r>
    </w:p>
    <w:p>
      <w:pPr>
        <w:spacing w:after="0" w:line="138" w:lineRule="exact"/>
        <w:rPr>
          <w:rFonts w:ascii="Times New Roman" w:cs="Times New Roman" w:eastAsia="Times New Roman" w:hAnsi="Times New Roman"/>
          <w:sz w:val="17"/>
          <w:szCs w:val="17"/>
          <w:color w:val="auto"/>
        </w:rPr>
      </w:pPr>
    </w:p>
    <w:p>
      <w:pPr>
        <w:ind w:right="60" w:firstLine="514"/>
        <w:spacing w:after="0" w:line="217" w:lineRule="auto"/>
        <w:tabs>
          <w:tab w:leader="none" w:pos="101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Applicable Law</w:t>
      </w:r>
      <w:r>
        <w:rPr>
          <w:rFonts w:ascii="Times New Roman" w:cs="Times New Roman" w:eastAsia="Times New Roman" w:hAnsi="Times New Roman"/>
          <w:sz w:val="16"/>
          <w:szCs w:val="16"/>
          <w:color w:val="auto"/>
        </w:rPr>
        <w:t>. The Participant acknowledges that the Company is organized under the laws of the State of Delaware. The Participant and the Company agree that this Agreement shall be construed in accordance with and governed by the laws of the State of Delaware, without reference to principles of conflict of laws that would apply the laws of any other jurisdiction.</w:t>
      </w:r>
    </w:p>
    <w:p>
      <w:pPr>
        <w:spacing w:after="0" w:line="137" w:lineRule="exact"/>
        <w:rPr>
          <w:rFonts w:ascii="Times New Roman" w:cs="Times New Roman" w:eastAsia="Times New Roman" w:hAnsi="Times New Roman"/>
          <w:sz w:val="17"/>
          <w:szCs w:val="17"/>
          <w:color w:val="auto"/>
        </w:rPr>
      </w:pPr>
    </w:p>
    <w:p>
      <w:pPr>
        <w:ind w:firstLine="514"/>
        <w:spacing w:after="0" w:line="209" w:lineRule="auto"/>
        <w:tabs>
          <w:tab w:leader="none" w:pos="10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Forum Selection</w:t>
      </w:r>
      <w:r>
        <w:rPr>
          <w:rFonts w:ascii="Times New Roman" w:cs="Times New Roman" w:eastAsia="Times New Roman" w:hAnsi="Times New Roman"/>
          <w:sz w:val="16"/>
          <w:szCs w:val="16"/>
          <w:color w:val="auto"/>
        </w:rPr>
        <w:t>. The Participant acknowledges that the Company’s principal place of business is in, and a substantial portion of the Company’s business is based out of, the Commonwealth of Virginia. The Participant also acknowledges that, as such, during the course of the Participant’s service with the Company, the Employer or any other Subsidiary, the Participant shall have substantial contacts with the Commonwealth of Virginia.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141" w:lineRule="exact"/>
        <w:rPr>
          <w:rFonts w:ascii="Times New Roman" w:cs="Times New Roman" w:eastAsia="Times New Roman" w:hAnsi="Times New Roman"/>
          <w:sz w:val="17"/>
          <w:szCs w:val="17"/>
          <w:color w:val="auto"/>
        </w:rPr>
      </w:pPr>
    </w:p>
    <w:p>
      <w:pPr>
        <w:ind w:left="1020" w:hanging="506"/>
        <w:spacing w:after="0"/>
        <w:tabs>
          <w:tab w:leader="none" w:pos="1020"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This Agreement may not be amended, modified or supplemented orally, but only by a written instrument executed by the Participant and the Company.</w:t>
      </w:r>
    </w:p>
    <w:p>
      <w:pPr>
        <w:spacing w:after="0" w:line="155" w:lineRule="exact"/>
        <w:rPr>
          <w:rFonts w:ascii="Times New Roman" w:cs="Times New Roman" w:eastAsia="Times New Roman" w:hAnsi="Times New Roman"/>
          <w:sz w:val="16"/>
          <w:szCs w:val="16"/>
          <w:color w:val="auto"/>
        </w:rPr>
      </w:pPr>
    </w:p>
    <w:p>
      <w:pPr>
        <w:ind w:right="80" w:firstLine="514"/>
        <w:spacing w:after="0" w:line="221" w:lineRule="auto"/>
        <w:tabs>
          <w:tab w:leader="none" w:pos="100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Assignability</w:t>
      </w:r>
      <w:r>
        <w:rPr>
          <w:rFonts w:ascii="Times New Roman" w:cs="Times New Roman" w:eastAsia="Times New Roman" w:hAnsi="Times New Roman"/>
          <w:sz w:val="16"/>
          <w:szCs w:val="16"/>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Times New Roman" w:cs="Times New Roman" w:eastAsia="Times New Roman" w:hAnsi="Times New Roman"/>
          <w:sz w:val="16"/>
          <w:szCs w:val="16"/>
          <w:u w:val="single" w:color="auto"/>
          <w:color w:val="auto"/>
        </w:rPr>
        <w:t>provided that</w:t>
      </w:r>
      <w:r>
        <w:rPr>
          <w:rFonts w:ascii="Times New Roman" w:cs="Times New Roman" w:eastAsia="Times New Roman" w:hAnsi="Times New Roman"/>
          <w:sz w:val="16"/>
          <w:szCs w:val="16"/>
          <w:color w:val="auto"/>
        </w:rPr>
        <w:t xml:space="preserve"> the Company may assign all or any portion of its rights or obligations under this Agreement to one or more Persons or other entities designated by it.</w:t>
      </w:r>
    </w:p>
    <w:p>
      <w:pPr>
        <w:spacing w:after="0" w:line="128" w:lineRule="exact"/>
        <w:rPr>
          <w:rFonts w:ascii="Times New Roman" w:cs="Times New Roman" w:eastAsia="Times New Roman" w:hAnsi="Times New Roman"/>
          <w:sz w:val="17"/>
          <w:szCs w:val="17"/>
          <w:color w:val="auto"/>
        </w:rPr>
      </w:pPr>
    </w:p>
    <w:p>
      <w:pPr>
        <w:ind w:right="160" w:firstLine="514"/>
        <w:spacing w:after="0" w:line="228" w:lineRule="auto"/>
        <w:tabs>
          <w:tab w:leader="none" w:pos="100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Severability; Blue Pencil</w:t>
      </w:r>
      <w:r>
        <w:rPr>
          <w:rFonts w:ascii="Times New Roman" w:cs="Times New Roman" w:eastAsia="Times New Roman" w:hAnsi="Times New Roman"/>
          <w:sz w:val="16"/>
          <w:szCs w:val="16"/>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38" w:lineRule="exact"/>
        <w:rPr>
          <w:rFonts w:ascii="Times New Roman" w:cs="Times New Roman" w:eastAsia="Times New Roman" w:hAnsi="Times New Roman"/>
          <w:sz w:val="17"/>
          <w:szCs w:val="17"/>
          <w:color w:val="auto"/>
        </w:rPr>
      </w:pPr>
    </w:p>
    <w:p>
      <w:pPr>
        <w:ind w:right="100" w:firstLine="514"/>
        <w:spacing w:after="0" w:line="214" w:lineRule="auto"/>
        <w:tabs>
          <w:tab w:leader="none" w:pos="1015"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Consent to Electronic Delivery</w:t>
      </w:r>
      <w:r>
        <w:rPr>
          <w:rFonts w:ascii="Times New Roman" w:cs="Times New Roman" w:eastAsia="Times New Roman" w:hAnsi="Times New Roman"/>
          <w:sz w:val="16"/>
          <w:szCs w:val="16"/>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the Company’s website, the Fidelity NetBenefits website or any other online access system of the Company’s third-party Plan administrator, email or other form of electronic delivery.</w:t>
      </w:r>
    </w:p>
    <w:p>
      <w:pPr>
        <w:spacing w:after="0" w:line="139" w:lineRule="exact"/>
        <w:rPr>
          <w:rFonts w:ascii="Times New Roman" w:cs="Times New Roman" w:eastAsia="Times New Roman" w:hAnsi="Times New Roman"/>
          <w:sz w:val="17"/>
          <w:szCs w:val="17"/>
          <w:color w:val="auto"/>
        </w:rPr>
      </w:pPr>
    </w:p>
    <w:p>
      <w:pPr>
        <w:ind w:right="60" w:firstLine="514"/>
        <w:spacing w:after="0" w:line="213" w:lineRule="auto"/>
        <w:tabs>
          <w:tab w:leader="none" w:pos="100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Section 409A of the Code</w:t>
      </w:r>
      <w:r>
        <w:rPr>
          <w:rFonts w:ascii="Times New Roman" w:cs="Times New Roman" w:eastAsia="Times New Roman" w:hAnsi="Times New Roman"/>
          <w:sz w:val="16"/>
          <w:szCs w:val="16"/>
          <w:color w:val="auto"/>
        </w:rPr>
        <w:t>. This Agreement is intended to be administered in a manner consistent with the requirements, where applicable, of Section 409A of the Code and the regulations promulgated thereunder (“</w:t>
      </w: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299" w:right="3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6"/>
          <w:szCs w:val="16"/>
          <w:color w:val="auto"/>
        </w:rPr>
        <w:t>event Section 409A applies to any payment hereunder in a manner that results in adverse tax consequences to the Participant or any of the Participant’s beneficiaries.</w:t>
      </w:r>
    </w:p>
    <w:p>
      <w:pPr>
        <w:spacing w:after="0" w:line="156" w:lineRule="exact"/>
        <w:rPr>
          <w:sz w:val="20"/>
          <w:szCs w:val="20"/>
          <w:color w:val="auto"/>
        </w:rPr>
      </w:pPr>
    </w:p>
    <w:p>
      <w:pPr>
        <w:ind w:firstLine="514"/>
        <w:spacing w:after="0" w:line="209" w:lineRule="auto"/>
        <w:tabs>
          <w:tab w:leader="none" w:pos="1009"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Specified Employee Delay</w:t>
      </w:r>
      <w:r>
        <w:rPr>
          <w:rFonts w:ascii="Times New Roman" w:cs="Times New Roman" w:eastAsia="Times New Roman" w:hAnsi="Times New Roman"/>
          <w:sz w:val="16"/>
          <w:szCs w:val="16"/>
          <w:color w:val="auto"/>
        </w:rPr>
        <w:t>. Subject to Section 14.13 of the Plan, if the Participant is deemed a “specified employee” within the meaning of Section 409A, as determined by the Administrator, at a time when the Participant becomes eligible for settlement of the Restricted Stock Units upon his or her “separation from service” within the meaning of Section 409A, then to the extent necessary to comply with, and avoid the imposition on the Participant of any accelerated or additional tax, under Section 409A, such settlement will be delayed until the earlier of (</w:t>
      </w:r>
      <w:r>
        <w:rPr>
          <w:rFonts w:ascii="Times New Roman" w:cs="Times New Roman" w:eastAsia="Times New Roman" w:hAnsi="Times New Roman"/>
          <w:sz w:val="16"/>
          <w:szCs w:val="16"/>
          <w:u w:val="single" w:color="auto"/>
          <w:color w:val="auto"/>
        </w:rPr>
        <w:t>a</w:t>
      </w:r>
      <w:r>
        <w:rPr>
          <w:rFonts w:ascii="Times New Roman" w:cs="Times New Roman" w:eastAsia="Times New Roman" w:hAnsi="Times New Roman"/>
          <w:sz w:val="16"/>
          <w:szCs w:val="16"/>
          <w:color w:val="auto"/>
        </w:rPr>
        <w:t>) the six (6)-month anniversary of the Participant’s termination of service and (</w:t>
      </w:r>
      <w:r>
        <w:rPr>
          <w:rFonts w:ascii="Times New Roman" w:cs="Times New Roman" w:eastAsia="Times New Roman" w:hAnsi="Times New Roman"/>
          <w:sz w:val="16"/>
          <w:szCs w:val="16"/>
          <w:u w:val="single" w:color="auto"/>
          <w:color w:val="auto"/>
        </w:rPr>
        <w:t>b</w:t>
      </w:r>
      <w:r>
        <w:rPr>
          <w:rFonts w:ascii="Times New Roman" w:cs="Times New Roman" w:eastAsia="Times New Roman" w:hAnsi="Times New Roman"/>
          <w:sz w:val="16"/>
          <w:szCs w:val="16"/>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 (6)-month anniversary of the Participant’s termination of service (or, if earlier, upon the Participant’s death), or as soon thereafter as practicable (but no later than ninety (90) days thereafter).</w:t>
      </w:r>
    </w:p>
    <w:p>
      <w:pPr>
        <w:spacing w:after="0" w:line="129" w:lineRule="exact"/>
        <w:rPr>
          <w:rFonts w:ascii="Times New Roman" w:cs="Times New Roman" w:eastAsia="Times New Roman" w:hAnsi="Times New Roman"/>
          <w:sz w:val="17"/>
          <w:szCs w:val="17"/>
          <w:color w:val="auto"/>
        </w:rPr>
      </w:pPr>
    </w:p>
    <w:p>
      <w:pPr>
        <w:ind w:right="820" w:firstLine="514"/>
        <w:spacing w:after="0" w:line="228" w:lineRule="auto"/>
        <w:tabs>
          <w:tab w:leader="none" w:pos="10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Headings and Captions</w:t>
      </w:r>
      <w:r>
        <w:rPr>
          <w:rFonts w:ascii="Times New Roman" w:cs="Times New Roman" w:eastAsia="Times New Roman" w:hAnsi="Times New Roman"/>
          <w:sz w:val="16"/>
          <w:szCs w:val="16"/>
          <w:color w:val="auto"/>
        </w:rPr>
        <w:t>. The section and other headings contained in this Agreement are for reference purposes only and shall not affect the meaning or interpretation of this Agreement.</w:t>
      </w:r>
    </w:p>
    <w:p>
      <w:pPr>
        <w:spacing w:after="0" w:line="138" w:lineRule="exact"/>
        <w:rPr>
          <w:rFonts w:ascii="Times New Roman" w:cs="Times New Roman" w:eastAsia="Times New Roman" w:hAnsi="Times New Roman"/>
          <w:sz w:val="17"/>
          <w:szCs w:val="17"/>
          <w:color w:val="auto"/>
        </w:rPr>
      </w:pPr>
    </w:p>
    <w:p>
      <w:pPr>
        <w:jc w:val="both"/>
        <w:ind w:right="20" w:firstLine="514"/>
        <w:spacing w:after="0" w:line="214" w:lineRule="auto"/>
        <w:tabs>
          <w:tab w:leader="none" w:pos="10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Notices</w:t>
      </w:r>
      <w:r>
        <w:rPr>
          <w:rFonts w:ascii="Times New Roman" w:cs="Times New Roman" w:eastAsia="Times New Roman" w:hAnsi="Times New Roman"/>
          <w:sz w:val="16"/>
          <w:szCs w:val="16"/>
          <w:color w:val="auto"/>
        </w:rPr>
        <w:t>. All notices under this Agreement shall be (</w:t>
      </w:r>
      <w:r>
        <w:rPr>
          <w:rFonts w:ascii="Times New Roman" w:cs="Times New Roman" w:eastAsia="Times New Roman" w:hAnsi="Times New Roman"/>
          <w:sz w:val="16"/>
          <w:szCs w:val="16"/>
          <w:u w:val="single" w:color="auto"/>
          <w:color w:val="auto"/>
        </w:rPr>
        <w:t>i</w:t>
      </w:r>
      <w:r>
        <w:rPr>
          <w:rFonts w:ascii="Times New Roman" w:cs="Times New Roman" w:eastAsia="Times New Roman" w:hAnsi="Times New Roman"/>
          <w:sz w:val="16"/>
          <w:szCs w:val="16"/>
          <w:color w:val="auto"/>
        </w:rPr>
        <w:t>) delivered by hand, (</w:t>
      </w:r>
      <w:r>
        <w:rPr>
          <w:rFonts w:ascii="Times New Roman" w:cs="Times New Roman" w:eastAsia="Times New Roman" w:hAnsi="Times New Roman"/>
          <w:sz w:val="16"/>
          <w:szCs w:val="16"/>
          <w:u w:val="single" w:color="auto"/>
          <w:color w:val="auto"/>
        </w:rPr>
        <w:t>ii</w:t>
      </w:r>
      <w:r>
        <w:rPr>
          <w:rFonts w:ascii="Times New Roman" w:cs="Times New Roman" w:eastAsia="Times New Roman" w:hAnsi="Times New Roman"/>
          <w:sz w:val="16"/>
          <w:szCs w:val="16"/>
          <w:color w:val="auto"/>
        </w:rPr>
        <w:t>) sent by commercial overnight courier service, (</w:t>
      </w:r>
      <w:r>
        <w:rPr>
          <w:rFonts w:ascii="Times New Roman" w:cs="Times New Roman" w:eastAsia="Times New Roman" w:hAnsi="Times New Roman"/>
          <w:sz w:val="16"/>
          <w:szCs w:val="16"/>
          <w:u w:val="single" w:color="auto"/>
          <w:color w:val="auto"/>
        </w:rPr>
        <w:t>iii</w:t>
      </w:r>
      <w:r>
        <w:rPr>
          <w:rFonts w:ascii="Times New Roman" w:cs="Times New Roman" w:eastAsia="Times New Roman" w:hAnsi="Times New Roman"/>
          <w:sz w:val="16"/>
          <w:szCs w:val="16"/>
          <w:color w:val="auto"/>
        </w:rPr>
        <w:t>) sent by registered or certified mail, return receipt requested, and first-class postage prepaid, (</w:t>
      </w:r>
      <w:r>
        <w:rPr>
          <w:rFonts w:ascii="Times New Roman" w:cs="Times New Roman" w:eastAsia="Times New Roman" w:hAnsi="Times New Roman"/>
          <w:sz w:val="16"/>
          <w:szCs w:val="16"/>
          <w:u w:val="single" w:color="auto"/>
          <w:color w:val="auto"/>
        </w:rPr>
        <w:t>iv</w:t>
      </w:r>
      <w:r>
        <w:rPr>
          <w:rFonts w:ascii="Times New Roman" w:cs="Times New Roman" w:eastAsia="Times New Roman" w:hAnsi="Times New Roman"/>
          <w:sz w:val="16"/>
          <w:szCs w:val="16"/>
          <w:color w:val="auto"/>
        </w:rPr>
        <w:t>) sent by e-mail or any other form of electronic transfer or delivery approved by the Administrator, or (</w:t>
      </w:r>
      <w:r>
        <w:rPr>
          <w:rFonts w:ascii="Times New Roman" w:cs="Times New Roman" w:eastAsia="Times New Roman" w:hAnsi="Times New Roman"/>
          <w:sz w:val="16"/>
          <w:szCs w:val="16"/>
          <w:u w:val="single" w:color="auto"/>
          <w:color w:val="auto"/>
        </w:rPr>
        <w:t>v</w:t>
      </w:r>
      <w:r>
        <w:rPr>
          <w:rFonts w:ascii="Times New Roman" w:cs="Times New Roman" w:eastAsia="Times New Roman" w:hAnsi="Times New Roman"/>
          <w:sz w:val="16"/>
          <w:szCs w:val="16"/>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39" w:lineRule="exact"/>
        <w:rPr>
          <w:rFonts w:ascii="Times New Roman" w:cs="Times New Roman" w:eastAsia="Times New Roman" w:hAnsi="Times New Roman"/>
          <w:sz w:val="17"/>
          <w:szCs w:val="17"/>
          <w:color w:val="auto"/>
        </w:rPr>
      </w:pPr>
    </w:p>
    <w:p>
      <w:pPr>
        <w:ind w:right="380" w:firstLine="514"/>
        <w:spacing w:after="0" w:line="228" w:lineRule="auto"/>
        <w:tabs>
          <w:tab w:leader="none" w:pos="101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any number of counterparts, each of which shall be deemed to be an original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60"/>
          </w:cols>
          <w:pgMar w:left="300" w:top="1299" w:right="339" w:bottom="1440" w:gutter="0" w:footer="0" w:header="0"/>
        </w:sectPr>
      </w:pPr>
    </w:p>
    <w:bookmarkStart w:id="286" w:name="page287"/>
    <w:bookmarkEnd w:id="2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List of Subsidiaries of Booz Allen Hamilton Holding Corporation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20" w:type="dxa"/>
            <w:vAlign w:val="bottom"/>
            <w:tcBorders>
              <w:top w:val="single" w:sz="8" w:color="auto"/>
              <w:bottom w:val="single" w:sz="8" w:color="auto"/>
              <w:right w:val="single" w:sz="8" w:color="auto"/>
            </w:tcBorders>
          </w:tcPr>
          <w:p>
            <w:pPr>
              <w:spacing w:after="0"/>
              <w:rPr>
                <w:sz w:val="16"/>
                <w:szCs w:val="16"/>
                <w:color w:val="auto"/>
              </w:rPr>
            </w:pPr>
          </w:p>
        </w:tc>
        <w:tc>
          <w:tcPr>
            <w:tcW w:w="404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(SG),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(UK),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Commercial Cyber,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Cyber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(Dubai)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Dubai, UAE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(Ireland)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Ireland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Australia PTY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Australia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Bahrain W.L.L.</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Bahrain</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Consulting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Egypt,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Egypt</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Engineering Holding Co.,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Engineering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Germany GmbH</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Germany</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Intellectual Property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International (U.K.)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United Kingdom</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International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International,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Investor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Japan G.K.</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Japan</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Lebanon S.a.r.l.</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Lebanon</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Netherlands B.V.</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Netherlands</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Philippines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Philippines</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Saudi</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Saudi Arabia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Singapore Holding Company Pte. Ltd.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Singapore LLP</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Singapore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Hamilton Tanzania Limited</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Tanzania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Booz Allen Ventures,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PT Booz Allen Hamilton Indonesia</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Indonesia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Analysis, Computing &amp; Engineering Solutions,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Aquilent,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BrainTrust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Cloud Solutions Group,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DataPoint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eGov Holdings,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Epic Acquisition Software,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Epidemico,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EverWatch Corp.</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80"/>
          </w:cols>
          <w:pgMar w:left="300" w:top="501" w:right="319" w:bottom="1440" w:gutter="0" w:footer="0" w:header="0"/>
        </w:sectPr>
      </w:pPr>
    </w:p>
    <w:bookmarkStart w:id="292" w:name="page293"/>
    <w:bookmarkEnd w:id="292"/>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HELworks, LLC</w:t>
            </w:r>
          </w:p>
        </w:tc>
        <w:tc>
          <w:tcPr>
            <w:tcW w:w="920" w:type="dxa"/>
            <w:vAlign w:val="bottom"/>
            <w:tcBorders>
              <w:top w:val="single" w:sz="8" w:color="auto"/>
              <w:bottom w:val="single" w:sz="8" w:color="auto"/>
              <w:right w:val="single" w:sz="8" w:color="auto"/>
            </w:tcBorders>
          </w:tcPr>
          <w:p>
            <w:pPr>
              <w:spacing w:after="0"/>
              <w:rPr>
                <w:sz w:val="16"/>
                <w:szCs w:val="16"/>
                <w:color w:val="auto"/>
              </w:rPr>
            </w:pPr>
          </w:p>
        </w:tc>
        <w:tc>
          <w:tcPr>
            <w:tcW w:w="36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top w:val="single" w:sz="8" w:color="auto"/>
              <w:bottom w:val="single" w:sz="8" w:color="auto"/>
              <w:right w:val="single" w:sz="8" w:color="auto"/>
            </w:tcBorders>
          </w:tcPr>
          <w:p>
            <w:pPr>
              <w:spacing w:after="0"/>
              <w:rPr>
                <w:sz w:val="16"/>
                <w:szCs w:val="16"/>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Ian, Evan &amp; Alexander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Colorado</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Liberty IT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Morphick,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Nextgen-H Integration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Northwood Global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PAR Government Systems Corporation</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New York</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RAI Government Services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Virginia</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Riverside Engineering,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Shore Systems and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Threatology, Inc.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ThunderYard Liberty JV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Thunderyard Liberty JV II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ThunderYard Solutions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Tracepoint Holdings,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Tracepoint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Warrior Technology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Sagewatch,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Delaware</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EagleTrust JV,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r>
        <w:trPr>
          <w:trHeight w:val="171"/>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InTrust JV, LLC</w:t>
            </w:r>
          </w:p>
        </w:tc>
        <w:tc>
          <w:tcPr>
            <w:tcW w:w="920" w:type="dxa"/>
            <w:vAlign w:val="bottom"/>
            <w:tcBorders>
              <w:bottom w:val="single" w:sz="8" w:color="auto"/>
              <w:right w:val="single" w:sz="8" w:color="auto"/>
            </w:tcBorders>
          </w:tcPr>
          <w:p>
            <w:pPr>
              <w:spacing w:after="0"/>
              <w:rPr>
                <w:sz w:val="14"/>
                <w:szCs w:val="14"/>
                <w:color w:val="auto"/>
              </w:rPr>
            </w:pPr>
          </w:p>
        </w:tc>
        <w:tc>
          <w:tcPr>
            <w:tcW w:w="3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Maryland</w:t>
            </w:r>
          </w:p>
        </w:tc>
        <w:tc>
          <w:tcPr>
            <w:tcW w:w="440" w:type="dxa"/>
            <w:vAlign w:val="bottom"/>
            <w:tcBorders>
              <w:bottom w:val="single" w:sz="8" w:color="auto"/>
              <w:right w:val="single" w:sz="8" w:color="auto"/>
            </w:tcBorders>
          </w:tcPr>
          <w:p>
            <w:pPr>
              <w:spacing w:after="0"/>
              <w:rPr>
                <w:sz w:val="14"/>
                <w:szCs w:val="14"/>
                <w:color w:val="auto"/>
              </w:rPr>
            </w:pPr>
          </w:p>
        </w:tc>
      </w:tr>
    </w:tbl>
    <w:p>
      <w:pPr>
        <w:sectPr>
          <w:pgSz w:w="11900" w:h="16838" w:orient="portrait"/>
          <w:cols w:equalWidth="0" w:num="1">
            <w:col w:w="11280"/>
          </w:cols>
          <w:pgMar w:left="300" w:top="500" w:right="319" w:bottom="1440" w:gutter="0" w:footer="0" w:header="0"/>
        </w:sectPr>
      </w:pPr>
    </w:p>
    <w:bookmarkStart w:id="293" w:name="page294"/>
    <w:bookmarkEnd w:id="293"/>
    <w:p>
      <w:pPr>
        <w:ind w:left="20"/>
        <w:spacing w:after="0"/>
        <w:rPr>
          <w:sz w:val="20"/>
          <w:szCs w:val="20"/>
          <w:color w:val="auto"/>
        </w:rPr>
      </w:pPr>
      <w:r>
        <w:rPr>
          <w:rFonts w:ascii="Arial" w:cs="Arial" w:eastAsia="Arial" w:hAnsi="Arial"/>
          <w:sz w:val="14"/>
          <w:szCs w:val="14"/>
          <w:color w:val="auto"/>
        </w:rPr>
        <w:t>Booz Allen Hamilton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580"/>
        <w:spacing w:after="0"/>
        <w:rPr>
          <w:sz w:val="20"/>
          <w:szCs w:val="20"/>
          <w:color w:val="auto"/>
        </w:rPr>
      </w:pPr>
      <w:r>
        <w:rPr>
          <w:rFonts w:ascii="Times New Roman" w:cs="Times New Roman" w:eastAsia="Times New Roman" w:hAnsi="Times New Roman"/>
          <w:sz w:val="17"/>
          <w:szCs w:val="17"/>
          <w:color w:val="auto"/>
        </w:rPr>
        <w:t>Exhibit 22</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List of Guarantors and Subsidiary Issuers of Guaranteed Securities</w:t>
      </w: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Registered Senior Notes Issued Under</w:t>
            </w:r>
          </w:p>
        </w:tc>
        <w:tc>
          <w:tcPr>
            <w:tcW w:w="37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Issuer</w:t>
            </w:r>
          </w:p>
        </w:tc>
        <w:tc>
          <w:tcPr>
            <w:tcW w:w="37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Guarantor</w:t>
            </w:r>
          </w:p>
        </w:tc>
      </w:tr>
      <w:tr>
        <w:trPr>
          <w:trHeight w:val="24"/>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2"/>
        </w:trPr>
        <w:tc>
          <w:tcPr>
            <w:tcW w:w="3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Indenture dated August 4, 2023</w:t>
            </w:r>
          </w:p>
        </w:tc>
        <w:tc>
          <w:tcPr>
            <w:tcW w:w="3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Booz Allen Hamilton Inc.</w:t>
            </w:r>
          </w:p>
        </w:tc>
        <w:tc>
          <w:tcPr>
            <w:tcW w:w="37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Booz Allen Hamilton Holding Corporation</w:t>
            </w:r>
          </w:p>
        </w:tc>
      </w:tr>
      <w:tr>
        <w:trPr>
          <w:trHeight w:val="24"/>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00"/>
          </w:cols>
          <w:pgMar w:left="300" w:top="178" w:right="29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16"/>
          <w:szCs w:val="16"/>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consent to the incorporation by reference in the following Registration Statements of Booz Allen Hamilton Holding Corporation:</w:t>
      </w:r>
    </w:p>
    <w:p>
      <w:pPr>
        <w:spacing w:after="0" w:line="272" w:lineRule="exact"/>
        <w:rPr>
          <w:sz w:val="20"/>
          <w:szCs w:val="20"/>
          <w:color w:val="auto"/>
        </w:rPr>
      </w:pPr>
    </w:p>
    <w:p>
      <w:pPr>
        <w:ind w:left="500" w:hanging="240"/>
        <w:spacing w:after="0"/>
        <w:tabs>
          <w:tab w:leader="none" w:pos="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S-3 No. 333-273531</w:t>
      </w:r>
    </w:p>
    <w:p>
      <w:pPr>
        <w:spacing w:after="0" w:line="70"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S-3 No. 333-273531-01</w:t>
      </w:r>
    </w:p>
    <w:p>
      <w:pPr>
        <w:spacing w:after="0" w:line="14"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S-8 No 333-205956</w:t>
      </w:r>
    </w:p>
    <w:p>
      <w:pPr>
        <w:ind w:left="500" w:hanging="240"/>
        <w:spacing w:after="0"/>
        <w:tabs>
          <w:tab w:leader="none" w:pos="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S-8 POS No. 333-205956</w:t>
      </w:r>
    </w:p>
    <w:p>
      <w:pPr>
        <w:spacing w:after="0" w:line="6"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S-8 No 333-171288</w:t>
      </w:r>
    </w:p>
    <w:p>
      <w:pPr>
        <w:spacing w:after="0" w:line="2" w:lineRule="exact"/>
        <w:rPr>
          <w:rFonts w:ascii="Times New Roman" w:cs="Times New Roman" w:eastAsia="Times New Roman" w:hAnsi="Times New Roman"/>
          <w:sz w:val="16"/>
          <w:szCs w:val="16"/>
          <w:color w:val="auto"/>
        </w:rPr>
      </w:pPr>
    </w:p>
    <w:p>
      <w:pPr>
        <w:ind w:left="500" w:hanging="240"/>
        <w:spacing w:after="0"/>
        <w:tabs>
          <w:tab w:leader="none" w:pos="50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S-8 POS No. 333-171288</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6"/>
          <w:szCs w:val="16"/>
          <w:color w:val="auto"/>
        </w:rPr>
        <w:t>of our reports dated May 23, 2025,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2025.</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Ernst &amp; Young LLP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Tysons, Virginia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8"/>
          <w:szCs w:val="8"/>
          <w:color w:val="808080"/>
        </w:rPr>
        <w:t>A member firm of Ernst &amp; Young Global Limited</w:t>
      </w:r>
    </w:p>
    <w:p>
      <w:pPr>
        <w:sectPr>
          <w:pgSz w:w="11900" w:h="16838" w:orient="portrait"/>
          <w:cols w:equalWidth="0" w:num="1">
            <w:col w:w="11280"/>
          </w:cols>
          <w:pgMar w:left="300" w:top="112" w:right="319" w:bottom="1440" w:gutter="0" w:footer="0" w:header="0"/>
        </w:sectPr>
      </w:pPr>
    </w:p>
    <w:bookmarkStart w:id="295" w:name="page296"/>
    <w:bookmarkEnd w:id="295"/>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EXECUTIVE OFFICER PURSUANT TO RULE 13A-14(A)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Horacio D. Rozanski, certify that:</w:t>
      </w:r>
    </w:p>
    <w:p>
      <w:pPr>
        <w:spacing w:after="0" w:line="136" w:lineRule="exact"/>
        <w:rPr>
          <w:sz w:val="20"/>
          <w:szCs w:val="20"/>
          <w:color w:val="auto"/>
        </w:rPr>
      </w:pPr>
    </w:p>
    <w:p>
      <w:pPr>
        <w:ind w:left="140" w:hanging="135"/>
        <w:spacing w:after="0"/>
        <w:tabs>
          <w:tab w:leader="none" w:pos="14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Booz Allen Hamilton Holding Corporation.</w:t>
      </w:r>
    </w:p>
    <w:p>
      <w:pPr>
        <w:spacing w:after="0" w:line="136" w:lineRule="exact"/>
        <w:rPr>
          <w:rFonts w:ascii="Times New Roman" w:cs="Times New Roman" w:eastAsia="Times New Roman" w:hAnsi="Times New Roman"/>
          <w:sz w:val="14"/>
          <w:szCs w:val="14"/>
          <w:color w:val="auto"/>
        </w:rPr>
      </w:pPr>
    </w:p>
    <w:p>
      <w:pPr>
        <w:ind w:right="260" w:firstLine="5"/>
        <w:spacing w:after="0" w:line="287" w:lineRule="auto"/>
        <w:tabs>
          <w:tab w:leader="none" w:pos="14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right="40" w:firstLine="5"/>
        <w:spacing w:after="0" w:line="287" w:lineRule="auto"/>
        <w:tabs>
          <w:tab w:leader="none" w:pos="14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right="160" w:firstLine="5"/>
        <w:spacing w:after="0" w:line="287" w:lineRule="auto"/>
        <w:tabs>
          <w:tab w:leader="none" w:pos="141"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right="380" w:firstLine="5"/>
        <w:spacing w:after="0" w:line="287" w:lineRule="auto"/>
        <w:tabs>
          <w:tab w:leader="none" w:pos="19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right="20" w:firstLine="5"/>
        <w:spacing w:after="0" w:line="287" w:lineRule="auto"/>
        <w:tabs>
          <w:tab w:leader="none" w:pos="2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92"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right="100" w:firstLine="5"/>
        <w:spacing w:after="0" w:line="287" w:lineRule="auto"/>
        <w:tabs>
          <w:tab w:leader="none" w:pos="2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sz w:val="20"/>
          <w:szCs w:val="20"/>
          <w:color w:val="auto"/>
        </w:rPr>
      </w:pPr>
    </w:p>
    <w:p>
      <w:pPr>
        <w:ind w:right="140" w:firstLine="5"/>
        <w:spacing w:after="0" w:line="287" w:lineRule="auto"/>
        <w:tabs>
          <w:tab w:leader="none" w:pos="141"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2" w:lineRule="exact"/>
        <w:rPr>
          <w:sz w:val="20"/>
          <w:szCs w:val="20"/>
          <w:color w:val="auto"/>
        </w:rPr>
      </w:pPr>
    </w:p>
    <w:p>
      <w:pPr>
        <w:ind w:right="140" w:firstLine="5"/>
        <w:spacing w:after="0" w:line="287" w:lineRule="auto"/>
        <w:tabs>
          <w:tab w:leader="none" w:pos="192"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6980" w:val="left"/>
          <w:tab w:leader="none" w:pos="7440" w:val="left"/>
        </w:tabs>
        <w:rPr>
          <w:sz w:val="20"/>
          <w:szCs w:val="20"/>
          <w:color w:val="auto"/>
        </w:rPr>
      </w:pPr>
      <w:r>
        <w:rPr>
          <w:rFonts w:ascii="Times New Roman" w:cs="Times New Roman" w:eastAsia="Times New Roman" w:hAnsi="Times New Roman"/>
          <w:sz w:val="14"/>
          <w:szCs w:val="14"/>
          <w:color w:val="auto"/>
        </w:rPr>
        <w:t>Date: May 23,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4725670</wp:posOffset>
            </wp:positionH>
            <wp:positionV relativeFrom="paragraph">
              <wp:posOffset>14605</wp:posOffset>
            </wp:positionV>
            <wp:extent cx="2425700"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5">
                      <a:extLst>
                        <a:ext uri="{28A0092B-C50C-407E-A947-70E740481C1C}"/>
                      </a:extLst>
                    </a:blip>
                    <a:srcRect/>
                    <a:stretch>
                      <a:fillRect/>
                    </a:stretch>
                  </pic:blipFill>
                  <pic:spPr bwMode="auto">
                    <a:xfrm>
                      <a:off x="0" y="0"/>
                      <a:ext cx="2425700" cy="6985"/>
                    </a:xfrm>
                    <a:prstGeom prst="rect">
                      <a:avLst/>
                    </a:prstGeom>
                    <a:noFill/>
                  </pic:spPr>
                </pic:pic>
              </a:graphicData>
            </a:graphic>
          </wp:anchor>
        </w:drawing>
      </w:r>
    </w:p>
    <w:p>
      <w:pPr>
        <w:spacing w:after="0" w:line="3"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color w:val="auto"/>
        </w:rPr>
        <w:t>Horacio D. Rozanski</w:t>
      </w:r>
    </w:p>
    <w:p>
      <w:pPr>
        <w:ind w:left="7460"/>
        <w:spacing w:after="0" w:line="22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746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THE CHIEF FINANCIAL OFFICER PURSUANT TO RULE 13A-14(A) OF THE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EXCHANGE ACT OF 1934, AS AMENDED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Matthew A. Calderone, certify that:</w:t>
      </w:r>
    </w:p>
    <w:p>
      <w:pPr>
        <w:spacing w:after="0" w:line="136" w:lineRule="exact"/>
        <w:rPr>
          <w:sz w:val="20"/>
          <w:szCs w:val="20"/>
          <w:color w:val="auto"/>
        </w:rPr>
      </w:pPr>
    </w:p>
    <w:p>
      <w:pPr>
        <w:ind w:left="140" w:hanging="135"/>
        <w:spacing w:after="0"/>
        <w:tabs>
          <w:tab w:leader="none" w:pos="1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Booz Allen Hamilton Holding Corporation.</w:t>
      </w:r>
    </w:p>
    <w:p>
      <w:pPr>
        <w:spacing w:after="0" w:line="136" w:lineRule="exact"/>
        <w:rPr>
          <w:rFonts w:ascii="Times New Roman" w:cs="Times New Roman" w:eastAsia="Times New Roman" w:hAnsi="Times New Roman"/>
          <w:sz w:val="14"/>
          <w:szCs w:val="14"/>
          <w:color w:val="auto"/>
        </w:rPr>
      </w:pPr>
    </w:p>
    <w:p>
      <w:pPr>
        <w:ind w:right="260" w:firstLine="5"/>
        <w:spacing w:after="0" w:line="287" w:lineRule="auto"/>
        <w:tabs>
          <w:tab w:leader="none" w:pos="14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right="40" w:firstLine="5"/>
        <w:spacing w:after="0" w:line="287" w:lineRule="auto"/>
        <w:tabs>
          <w:tab w:leader="none" w:pos="14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right="160" w:firstLine="5"/>
        <w:spacing w:after="0" w:line="287" w:lineRule="auto"/>
        <w:tabs>
          <w:tab w:leader="none" w:pos="141"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2" w:lineRule="exact"/>
        <w:rPr>
          <w:sz w:val="20"/>
          <w:szCs w:val="20"/>
          <w:color w:val="auto"/>
        </w:rPr>
      </w:pPr>
    </w:p>
    <w:p>
      <w:pPr>
        <w:ind w:right="380" w:firstLine="5"/>
        <w:spacing w:after="0" w:line="287" w:lineRule="auto"/>
        <w:tabs>
          <w:tab w:leader="none" w:pos="19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4"/>
          <w:szCs w:val="14"/>
          <w:color w:val="auto"/>
        </w:rPr>
      </w:pPr>
    </w:p>
    <w:p>
      <w:pPr>
        <w:ind w:right="20" w:firstLine="5"/>
        <w:spacing w:after="0" w:line="287" w:lineRule="auto"/>
        <w:tabs>
          <w:tab w:leader="none" w:pos="2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4"/>
          <w:szCs w:val="14"/>
          <w:color w:val="auto"/>
        </w:rPr>
      </w:pPr>
    </w:p>
    <w:p>
      <w:pPr>
        <w:ind w:firstLine="5"/>
        <w:spacing w:after="0" w:line="287" w:lineRule="auto"/>
        <w:tabs>
          <w:tab w:leader="none" w:pos="19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4"/>
          <w:szCs w:val="14"/>
          <w:color w:val="auto"/>
        </w:rPr>
      </w:pPr>
    </w:p>
    <w:p>
      <w:pPr>
        <w:ind w:right="100" w:firstLine="5"/>
        <w:spacing w:after="0" w:line="287" w:lineRule="auto"/>
        <w:tabs>
          <w:tab w:leader="none" w:pos="2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82" w:lineRule="exact"/>
        <w:rPr>
          <w:sz w:val="20"/>
          <w:szCs w:val="20"/>
          <w:color w:val="auto"/>
        </w:rPr>
      </w:pPr>
    </w:p>
    <w:p>
      <w:pPr>
        <w:ind w:right="140" w:firstLine="5"/>
        <w:spacing w:after="0" w:line="287" w:lineRule="auto"/>
        <w:tabs>
          <w:tab w:leader="none" w:pos="141"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82" w:lineRule="exact"/>
        <w:rPr>
          <w:sz w:val="20"/>
          <w:szCs w:val="20"/>
          <w:color w:val="auto"/>
        </w:rPr>
      </w:pPr>
    </w:p>
    <w:p>
      <w:pPr>
        <w:ind w:right="140" w:firstLine="5"/>
        <w:spacing w:after="0" w:line="287" w:lineRule="auto"/>
        <w:tabs>
          <w:tab w:leader="none" w:pos="192"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620" w:val="left"/>
          <w:tab w:leader="none" w:pos="6060" w:val="left"/>
        </w:tabs>
        <w:rPr>
          <w:sz w:val="20"/>
          <w:szCs w:val="20"/>
          <w:color w:val="auto"/>
        </w:rPr>
      </w:pPr>
      <w:r>
        <w:rPr>
          <w:rFonts w:ascii="Times New Roman" w:cs="Times New Roman" w:eastAsia="Times New Roman" w:hAnsi="Times New Roman"/>
          <w:sz w:val="14"/>
          <w:szCs w:val="14"/>
          <w:color w:val="auto"/>
        </w:rPr>
        <w:t>Date: May 23,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281045" cy="698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6">
                      <a:extLst>
                        <a:ext uri="{28A0092B-C50C-407E-A947-70E740481C1C}"/>
                      </a:extLst>
                    </a:blip>
                    <a:srcRect/>
                    <a:stretch>
                      <a:fillRect/>
                    </a:stretch>
                  </pic:blipFill>
                  <pic:spPr bwMode="auto">
                    <a:xfrm>
                      <a:off x="0" y="0"/>
                      <a:ext cx="3281045" cy="698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color w:val="auto"/>
        </w:rPr>
        <w:t>Matthew A. Calderone</w:t>
      </w:r>
    </w:p>
    <w:p>
      <w:pPr>
        <w:ind w:left="608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 Officer)</w:t>
      </w:r>
    </w:p>
    <w:p>
      <w:pPr>
        <w:sectPr>
          <w:pgSz w:w="11900" w:h="16838" w:orient="portrait"/>
          <w:cols w:equalWidth="0" w:num="1">
            <w:col w:w="11280"/>
          </w:cols>
          <w:pgMar w:left="300" w:top="727" w:right="31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2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In connection with the report on Form 10-K of Booz Allen Hamilton Holding Corporation (the “Company”) for the fiscal year ended March 31, 2025,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93" w:lineRule="exact"/>
        <w:rPr>
          <w:sz w:val="20"/>
          <w:szCs w:val="20"/>
          <w:color w:val="auto"/>
        </w:rPr>
      </w:pPr>
    </w:p>
    <w:p>
      <w:pPr>
        <w:ind w:left="200" w:hanging="195"/>
        <w:spacing w:after="0"/>
        <w:tabs>
          <w:tab w:leader="none" w:pos="2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w:t>
      </w:r>
    </w:p>
    <w:p>
      <w:pPr>
        <w:spacing w:after="0" w:line="136"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6480" w:val="left"/>
        </w:tabs>
        <w:rPr>
          <w:sz w:val="20"/>
          <w:szCs w:val="20"/>
          <w:color w:val="auto"/>
        </w:rPr>
      </w:pPr>
      <w:r>
        <w:rPr>
          <w:rFonts w:ascii="Times New Roman" w:cs="Times New Roman" w:eastAsia="Times New Roman" w:hAnsi="Times New Roman"/>
          <w:sz w:val="14"/>
          <w:szCs w:val="14"/>
          <w:color w:val="auto"/>
        </w:rPr>
        <w:t>Date: May 23, 2025</w:t>
      </w:r>
      <w:r>
        <w:rPr>
          <w:sz w:val="20"/>
          <w:szCs w:val="20"/>
          <w:color w:val="auto"/>
        </w:rPr>
        <w:tab/>
      </w:r>
      <w:r>
        <w:rPr>
          <w:rFonts w:ascii="Times New Roman" w:cs="Times New Roman" w:eastAsia="Times New Roman" w:hAnsi="Times New Roman"/>
          <w:sz w:val="13"/>
          <w:szCs w:val="13"/>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14605</wp:posOffset>
            </wp:positionV>
            <wp:extent cx="289052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7">
                      <a:extLst>
                        <a:ext uri="{28A0092B-C50C-407E-A947-70E740481C1C}"/>
                      </a:extLst>
                    </a:blip>
                    <a:srcRect/>
                    <a:stretch>
                      <a:fillRect/>
                    </a:stretch>
                  </pic:blipFill>
                  <pic:spPr bwMode="auto">
                    <a:xfrm>
                      <a:off x="0" y="0"/>
                      <a:ext cx="2890520" cy="6985"/>
                    </a:xfrm>
                    <a:prstGeom prst="rect">
                      <a:avLst/>
                    </a:prstGeom>
                    <a:noFill/>
                  </pic:spPr>
                </pic:pic>
              </a:graphicData>
            </a:graphic>
          </wp:anchor>
        </w:drawing>
      </w:r>
    </w:p>
    <w:p>
      <w:pPr>
        <w:spacing w:after="0" w:line="3"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color w:val="auto"/>
        </w:rPr>
        <w:t>Horacio D. Rozanski</w:t>
      </w:r>
    </w:p>
    <w:p>
      <w:pPr>
        <w:ind w:left="6720"/>
        <w:spacing w:after="0" w:line="221" w:lineRule="auto"/>
        <w:rPr>
          <w:sz w:val="20"/>
          <w:szCs w:val="20"/>
          <w:color w:val="auto"/>
        </w:rPr>
      </w:pPr>
      <w:r>
        <w:rPr>
          <w:rFonts w:ascii="Times New Roman" w:cs="Times New Roman" w:eastAsia="Times New Roman" w:hAnsi="Times New Roman"/>
          <w:sz w:val="14"/>
          <w:szCs w:val="14"/>
          <w:color w:val="auto"/>
        </w:rPr>
        <w:t>President and Chief Executive Officer</w:t>
      </w:r>
    </w:p>
    <w:p>
      <w:pPr>
        <w:ind w:left="672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2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80"/>
          </w:cols>
          <w:pgMar w:left="300" w:top="727" w:right="319" w:bottom="1440" w:gutter="0" w:footer="0" w:header="0"/>
        </w:sectPr>
      </w:pPr>
    </w:p>
    <w:bookmarkStart w:id="298" w:name="page299"/>
    <w:bookmarkEnd w:id="298"/>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22"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4"/>
          <w:szCs w:val="14"/>
          <w:color w:val="auto"/>
        </w:rPr>
        <w:t>In connection with the report on Form 10-K of Booz Allen Hamilton Holding Corporation (the “Company”) for the fiscal year ended March 31, 2025, as filed with the Securities and Exchange Commission on the date hereof (the “Report”), the undersigned Executive Vice President and Chief Financial Officer certifies, to the best of his knowledge and belief pursuant to 18 U.S.C. Section 1350, as adopted pursuant to Section 906 of the Sarbanes-Oxley Act of 2002, that:</w:t>
      </w:r>
    </w:p>
    <w:p>
      <w:pPr>
        <w:spacing w:after="0" w:line="93" w:lineRule="exact"/>
        <w:rPr>
          <w:sz w:val="20"/>
          <w:szCs w:val="20"/>
          <w:color w:val="auto"/>
        </w:rPr>
      </w:pPr>
    </w:p>
    <w:p>
      <w:pPr>
        <w:ind w:left="200" w:hanging="195"/>
        <w:spacing w:after="0"/>
        <w:tabs>
          <w:tab w:leader="none" w:pos="2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w:t>
      </w:r>
    </w:p>
    <w:p>
      <w:pPr>
        <w:spacing w:after="0" w:line="136" w:lineRule="exact"/>
        <w:rPr>
          <w:rFonts w:ascii="Times New Roman" w:cs="Times New Roman" w:eastAsia="Times New Roman" w:hAnsi="Times New Roman"/>
          <w:sz w:val="14"/>
          <w:szCs w:val="14"/>
          <w:color w:val="auto"/>
        </w:rPr>
      </w:pPr>
    </w:p>
    <w:p>
      <w:pPr>
        <w:ind w:left="200" w:hanging="195"/>
        <w:spacing w:after="0"/>
        <w:tabs>
          <w:tab w:leader="none" w:pos="2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63"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4"/>
          <w:szCs w:val="14"/>
          <w:color w:val="auto"/>
        </w:rPr>
        <w:t>Date: May 23, 2025</w:t>
      </w:r>
      <w:r>
        <w:rPr>
          <w:sz w:val="20"/>
          <w:szCs w:val="20"/>
          <w:color w:val="auto"/>
        </w:rPr>
        <w:tab/>
      </w:r>
      <w:r>
        <w:rPr>
          <w:rFonts w:ascii="Times New Roman" w:cs="Times New Roman" w:eastAsia="Times New Roman" w:hAnsi="Times New Roman"/>
          <w:sz w:val="14"/>
          <w:szCs w:val="14"/>
          <w:color w:val="auto"/>
        </w:rPr>
        <w:t>By: /s/ Matthew A. Calderone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14605</wp:posOffset>
            </wp:positionV>
            <wp:extent cx="3402330"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8">
                      <a:extLst>
                        <a:ext uri="{28A0092B-C50C-407E-A947-70E740481C1C}"/>
                      </a:extLst>
                    </a:blip>
                    <a:srcRect/>
                    <a:stretch>
                      <a:fillRect/>
                    </a:stretch>
                  </pic:blipFill>
                  <pic:spPr bwMode="auto">
                    <a:xfrm>
                      <a:off x="0" y="0"/>
                      <a:ext cx="3402330" cy="698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4"/>
          <w:szCs w:val="14"/>
          <w:color w:val="auto"/>
        </w:rPr>
        <w:t>Matthew A. Calderone</w:t>
      </w:r>
    </w:p>
    <w:p>
      <w:pPr>
        <w:ind w:left="5900"/>
        <w:spacing w:after="0"/>
        <w:rPr>
          <w:sz w:val="20"/>
          <w:szCs w:val="20"/>
          <w:color w:val="auto"/>
        </w:rPr>
      </w:pPr>
      <w:r>
        <w:rPr>
          <w:rFonts w:ascii="Times New Roman" w:cs="Times New Roman" w:eastAsia="Times New Roman" w:hAnsi="Times New Roman"/>
          <w:sz w:val="14"/>
          <w:szCs w:val="14"/>
          <w:color w:val="auto"/>
        </w:rPr>
        <w:t>Executive Vice President and Chief Financial Officer (Principal Financial Officer)</w:t>
      </w:r>
    </w:p>
    <w:p>
      <w:pPr>
        <w:spacing w:after="0" w:line="13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
      <w:numFmt w:val="bullet"/>
      <w:start w:val="1"/>
    </w:lvl>
  </w:abstractNum>
  <w:abstractNum w:abstractNumId="7">
    <w:nsid w:val="2F305DEF"/>
    <w:multiLevelType w:val="hybridMultilevel"/>
    <w:lvl w:ilvl="0">
      <w:lvlJc w:val="left"/>
      <w:lvlText w:val="•"/>
      <w:numFmt w:val="bullet"/>
      <w:start w:val="1"/>
    </w:lvl>
  </w:abstractNum>
  <w:abstractNum w:abstractNumId="8">
    <w:nsid w:val="25A70BF7"/>
    <w:multiLevelType w:val="hybridMultilevel"/>
    <w:lvl w:ilvl="0">
      <w:lvlJc w:val="left"/>
      <w:lvlText w:val="•"/>
      <w:numFmt w:val="bullet"/>
      <w:start w:val="1"/>
    </w:lvl>
  </w:abstractNum>
  <w:abstractNum w:abstractNumId="9">
    <w:nsid w:val="1DBABF00"/>
    <w:multiLevelType w:val="hybridMultilevel"/>
    <w:lvl w:ilvl="0">
      <w:lvlJc w:val="left"/>
      <w:lvlText w:val="•"/>
      <w:numFmt w:val="bullet"/>
      <w:start w:val="1"/>
    </w:lvl>
  </w:abstractNum>
  <w:abstractNum w:abstractNumId="10">
    <w:nsid w:val="4AD084E9"/>
    <w:multiLevelType w:val="hybridMultilevel"/>
    <w:lvl w:ilvl="0">
      <w:lvlJc w:val="left"/>
      <w:lvlText w:val="•"/>
      <w:numFmt w:val="bullet"/>
      <w:start w:val="1"/>
    </w:lvl>
  </w:abstractNum>
  <w:abstractNum w:abstractNumId="11">
    <w:nsid w:val="1F48EAA1"/>
    <w:multiLevelType w:val="hybridMultilevel"/>
    <w:lvl w:ilvl="0">
      <w:lvlJc w:val="left"/>
      <w:lvlText w:val="•"/>
      <w:numFmt w:val="bullet"/>
      <w:start w:val="1"/>
    </w:lvl>
  </w:abstractNum>
  <w:abstractNum w:abstractNumId="12">
    <w:nsid w:val="1381823A"/>
    <w:multiLevelType w:val="hybridMultilevel"/>
    <w:lvl w:ilvl="0">
      <w:lvlJc w:val="left"/>
      <w:lvlText w:val="•"/>
      <w:numFmt w:val="bullet"/>
      <w:start w:val="1"/>
    </w:lvl>
  </w:abstractNum>
  <w:abstractNum w:abstractNumId="13">
    <w:nsid w:val="5DB70AE5"/>
    <w:multiLevelType w:val="hybridMultilevel"/>
    <w:lvl w:ilvl="0">
      <w:lvlJc w:val="left"/>
      <w:lvlText w:val="•"/>
      <w:numFmt w:val="bullet"/>
      <w:start w:val="1"/>
    </w:lvl>
  </w:abstractNum>
  <w:abstractNum w:abstractNumId="14">
    <w:nsid w:val="100F8FCA"/>
    <w:multiLevelType w:val="hybridMultilevel"/>
    <w:lvl w:ilvl="0">
      <w:lvlJc w:val="left"/>
      <w:lvlText w:val="•"/>
      <w:numFmt w:val="bullet"/>
      <w:start w:val="1"/>
    </w:lvl>
  </w:abstractNum>
  <w:abstractNum w:abstractNumId="15">
    <w:nsid w:val="6590700B"/>
    <w:multiLevelType w:val="hybridMultilevel"/>
    <w:lvl w:ilvl="0">
      <w:lvlJc w:val="left"/>
      <w:lvlText w:val="•"/>
      <w:numFmt w:val="bullet"/>
      <w:start w:val="1"/>
    </w:lvl>
  </w:abstractNum>
  <w:abstractNum w:abstractNumId="16">
    <w:nsid w:val="15014ACB"/>
    <w:multiLevelType w:val="hybridMultilevel"/>
    <w:lvl w:ilvl="0">
      <w:lvlJc w:val="left"/>
      <w:lvlText w:val="•"/>
      <w:numFmt w:val="bullet"/>
      <w:start w:val="1"/>
    </w:lvl>
  </w:abstractNum>
  <w:abstractNum w:abstractNumId="17">
    <w:nsid w:val="5F5E7FD0"/>
    <w:multiLevelType w:val="hybridMultilevel"/>
    <w:lvl w:ilvl="0">
      <w:lvlJc w:val="left"/>
      <w:lvlText w:val="•"/>
      <w:numFmt w:val="bullet"/>
      <w:start w:val="1"/>
    </w:lvl>
  </w:abstractNum>
  <w:abstractNum w:abstractNumId="18">
    <w:nsid w:val="98A3148"/>
    <w:multiLevelType w:val="hybridMultilevel"/>
    <w:lvl w:ilvl="0">
      <w:lvlJc w:val="left"/>
      <w:lvlText w:val="•"/>
      <w:numFmt w:val="bullet"/>
      <w:start w:val="1"/>
    </w:lvl>
  </w:abstractNum>
  <w:abstractNum w:abstractNumId="19">
    <w:nsid w:val="799D0247"/>
    <w:multiLevelType w:val="hybridMultilevel"/>
    <w:lvl w:ilvl="0">
      <w:lvlJc w:val="left"/>
      <w:lvlText w:val="•"/>
      <w:numFmt w:val="bullet"/>
      <w:start w:val="1"/>
    </w:lvl>
  </w:abstractNum>
  <w:abstractNum w:abstractNumId="20">
    <w:nsid w:val="6B94764"/>
    <w:multiLevelType w:val="hybridMultilevel"/>
    <w:lvl w:ilvl="0">
      <w:lvlJc w:val="left"/>
      <w:lvlText w:val="•"/>
      <w:numFmt w:val="bullet"/>
      <w:start w:val="1"/>
    </w:lvl>
  </w:abstractNum>
  <w:abstractNum w:abstractNumId="21">
    <w:nsid w:val="42C296BD"/>
    <w:multiLevelType w:val="hybridMultilevel"/>
    <w:lvl w:ilvl="0">
      <w:lvlJc w:val="left"/>
      <w:lvlText w:val="•"/>
      <w:numFmt w:val="bullet"/>
      <w:start w:val="1"/>
    </w:lvl>
  </w:abstractNum>
  <w:abstractNum w:abstractNumId="22">
    <w:nsid w:val="168E121F"/>
    <w:multiLevelType w:val="hybridMultilevel"/>
    <w:lvl w:ilvl="0">
      <w:lvlJc w:val="left"/>
      <w:lvlText w:val="•"/>
      <w:numFmt w:val="bullet"/>
      <w:start w:val="1"/>
    </w:lvl>
  </w:abstractNum>
  <w:abstractNum w:abstractNumId="23">
    <w:nsid w:val="1EBA5D23"/>
    <w:multiLevelType w:val="hybridMultilevel"/>
    <w:lvl w:ilvl="0">
      <w:lvlJc w:val="left"/>
      <w:lvlText w:val="•"/>
      <w:numFmt w:val="bullet"/>
      <w:start w:val="1"/>
    </w:lvl>
  </w:abstractNum>
  <w:abstractNum w:abstractNumId="24">
    <w:nsid w:val="661E3F1E"/>
    <w:multiLevelType w:val="hybridMultilevel"/>
    <w:lvl w:ilvl="0">
      <w:lvlJc w:val="left"/>
      <w:lvlText w:val="•"/>
      <w:numFmt w:val="bullet"/>
      <w:start w:val="1"/>
    </w:lvl>
  </w:abstractNum>
  <w:abstractNum w:abstractNumId="25">
    <w:nsid w:val="5DC79EA8"/>
    <w:multiLevelType w:val="hybridMultilevel"/>
    <w:lvl w:ilvl="0">
      <w:lvlJc w:val="left"/>
      <w:lvlText w:val="•"/>
      <w:numFmt w:val="bullet"/>
      <w:start w:val="1"/>
    </w:lvl>
  </w:abstractNum>
  <w:abstractNum w:abstractNumId="26">
    <w:nsid w:val="540A471C"/>
    <w:multiLevelType w:val="hybridMultilevel"/>
    <w:lvl w:ilvl="0">
      <w:lvlJc w:val="left"/>
      <w:lvlText w:val="•"/>
      <w:numFmt w:val="bullet"/>
      <w:start w:val="1"/>
    </w:lvl>
  </w:abstractNum>
  <w:abstractNum w:abstractNumId="27">
    <w:nsid w:val="7BD3EE7B"/>
    <w:multiLevelType w:val="hybridMultilevel"/>
    <w:lvl w:ilvl="0">
      <w:lvlJc w:val="left"/>
      <w:lvlText w:val="•"/>
      <w:numFmt w:val="bullet"/>
      <w:start w:val="1"/>
    </w:lvl>
  </w:abstractNum>
  <w:abstractNum w:abstractNumId="28">
    <w:nsid w:val="51D9C564"/>
    <w:multiLevelType w:val="hybridMultilevel"/>
    <w:lvl w:ilvl="0">
      <w:lvlJc w:val="left"/>
      <w:lvlText w:val="•"/>
      <w:numFmt w:val="bullet"/>
      <w:start w:val="1"/>
    </w:lvl>
  </w:abstractNum>
  <w:abstractNum w:abstractNumId="29">
    <w:nsid w:val="613EFDC5"/>
    <w:multiLevelType w:val="hybridMultilevel"/>
    <w:lvl w:ilvl="0">
      <w:lvlJc w:val="left"/>
      <w:lvlText w:val="•"/>
      <w:numFmt w:val="bullet"/>
      <w:start w:val="1"/>
    </w:lvl>
  </w:abstractNum>
  <w:abstractNum w:abstractNumId="30">
    <w:nsid w:val="BF72B14"/>
    <w:multiLevelType w:val="hybridMultilevel"/>
    <w:lvl w:ilvl="0">
      <w:lvlJc w:val="left"/>
      <w:lvlText w:val="•"/>
      <w:numFmt w:val="bullet"/>
      <w:start w:val="1"/>
    </w:lvl>
  </w:abstractNum>
  <w:abstractNum w:abstractNumId="31">
    <w:nsid w:val="11447B73"/>
    <w:multiLevelType w:val="hybridMultilevel"/>
    <w:lvl w:ilvl="0">
      <w:lvlJc w:val="left"/>
      <w:lvlText w:val="•"/>
      <w:numFmt w:val="bullet"/>
      <w:start w:val="1"/>
    </w:lvl>
  </w:abstractNum>
  <w:abstractNum w:abstractNumId="32">
    <w:nsid w:val="42963E5A"/>
    <w:multiLevelType w:val="hybridMultilevel"/>
    <w:lvl w:ilvl="0">
      <w:lvlJc w:val="left"/>
      <w:lvlText w:val="▪"/>
      <w:numFmt w:val="bullet"/>
      <w:start w:val="1"/>
    </w:lvl>
  </w:abstractNum>
  <w:abstractNum w:abstractNumId="33">
    <w:nsid w:val="A0382C5"/>
    <w:multiLevelType w:val="hybridMultilevel"/>
    <w:lvl w:ilvl="0">
      <w:lvlJc w:val="left"/>
      <w:lvlText w:val="▪"/>
      <w:numFmt w:val="bullet"/>
      <w:start w:val="1"/>
    </w:lvl>
  </w:abstractNum>
  <w:abstractNum w:abstractNumId="34">
    <w:nsid w:val="8F2B15E"/>
    <w:multiLevelType w:val="hybridMultilevel"/>
    <w:lvl w:ilvl="0">
      <w:lvlJc w:val="left"/>
      <w:lvlText w:val="•"/>
      <w:numFmt w:val="bullet"/>
      <w:start w:val="1"/>
    </w:lvl>
  </w:abstractNum>
  <w:abstractNum w:abstractNumId="35">
    <w:nsid w:val="1A32234B"/>
    <w:multiLevelType w:val="hybridMultilevel"/>
    <w:lvl w:ilvl="0">
      <w:lvlJc w:val="left"/>
      <w:lvlText w:val="•"/>
      <w:numFmt w:val="bullet"/>
      <w:start w:val="1"/>
    </w:lvl>
  </w:abstractNum>
  <w:abstractNum w:abstractNumId="36">
    <w:nsid w:val="3B0FD379"/>
    <w:multiLevelType w:val="hybridMultilevel"/>
    <w:lvl w:ilvl="0">
      <w:lvlJc w:val="left"/>
      <w:lvlText w:val="•"/>
      <w:numFmt w:val="bullet"/>
      <w:start w:val="1"/>
    </w:lvl>
  </w:abstractNum>
  <w:abstractNum w:abstractNumId="37">
    <w:nsid w:val="68EB2F63"/>
    <w:multiLevelType w:val="hybridMultilevel"/>
    <w:lvl w:ilvl="0">
      <w:lvlJc w:val="left"/>
      <w:lvlText w:val="•"/>
      <w:numFmt w:val="bullet"/>
      <w:start w:val="1"/>
    </w:lvl>
  </w:abstractNum>
  <w:abstractNum w:abstractNumId="38">
    <w:nsid w:val="4962813B"/>
    <w:multiLevelType w:val="hybridMultilevel"/>
    <w:lvl w:ilvl="0">
      <w:lvlJc w:val="left"/>
      <w:lvlText w:val="•"/>
      <w:numFmt w:val="bullet"/>
      <w:start w:val="1"/>
    </w:lvl>
  </w:abstractNum>
  <w:abstractNum w:abstractNumId="39">
    <w:nsid w:val="60B6DF70"/>
    <w:multiLevelType w:val="hybridMultilevel"/>
    <w:lvl w:ilvl="0">
      <w:lvlJc w:val="left"/>
      <w:lvlText w:val="•"/>
      <w:numFmt w:val="bullet"/>
      <w:start w:val="1"/>
    </w:lvl>
  </w:abstractNum>
  <w:abstractNum w:abstractNumId="40">
    <w:nsid w:val="6A5EE64"/>
    <w:multiLevelType w:val="hybridMultilevel"/>
    <w:lvl w:ilvl="0">
      <w:lvlJc w:val="left"/>
      <w:lvlText w:val="(%1)"/>
      <w:numFmt w:val="decimal"/>
      <w:start w:val="1"/>
    </w:lvl>
  </w:abstractNum>
  <w:abstractNum w:abstractNumId="41">
    <w:nsid w:val="14330624"/>
    <w:multiLevelType w:val="hybridMultilevel"/>
    <w:lvl w:ilvl="0">
      <w:lvlJc w:val="left"/>
      <w:lvlText w:val="(%1)"/>
      <w:numFmt w:val="decimal"/>
      <w:start w:val="1"/>
    </w:lvl>
  </w:abstractNum>
  <w:abstractNum w:abstractNumId="42">
    <w:nsid w:val="7FFFCA11"/>
    <w:multiLevelType w:val="hybridMultilevel"/>
    <w:lvl w:ilvl="0">
      <w:lvlJc w:val="left"/>
      <w:lvlText w:val="•"/>
      <w:numFmt w:val="bullet"/>
      <w:start w:val="1"/>
    </w:lvl>
  </w:abstractNum>
  <w:abstractNum w:abstractNumId="43">
    <w:nsid w:val="1A27709E"/>
    <w:multiLevelType w:val="hybridMultilevel"/>
    <w:lvl w:ilvl="0">
      <w:lvlJc w:val="left"/>
      <w:lvlText w:val="*"/>
      <w:numFmt w:val="bullet"/>
      <w:start w:val="1"/>
    </w:lvl>
  </w:abstractNum>
  <w:abstractNum w:abstractNumId="44">
    <w:nsid w:val="71EA1109"/>
    <w:multiLevelType w:val="hybridMultilevel"/>
    <w:lvl w:ilvl="0">
      <w:lvlJc w:val="left"/>
      <w:lvlText w:val="(%1)"/>
      <w:numFmt w:val="lowerLetter"/>
      <w:start w:val="2"/>
    </w:lvl>
  </w:abstractNum>
  <w:abstractNum w:abstractNumId="45">
    <w:nsid w:val="100F59DC"/>
    <w:multiLevelType w:val="hybridMultilevel"/>
    <w:lvl w:ilvl="0">
      <w:lvlJc w:val="left"/>
      <w:lvlText w:val="(%1)"/>
      <w:numFmt w:val="lowerLetter"/>
      <w:start w:val="5"/>
    </w:lvl>
  </w:abstractNum>
  <w:abstractNum w:abstractNumId="46">
    <w:nsid w:val="7FB7E0AA"/>
    <w:multiLevelType w:val="hybridMultilevel"/>
    <w:lvl w:ilvl="0">
      <w:lvlJc w:val="left"/>
      <w:lvlText w:val="•"/>
      <w:numFmt w:val="bullet"/>
      <w:start w:val="1"/>
    </w:lvl>
  </w:abstractNum>
  <w:abstractNum w:abstractNumId="47">
    <w:nsid w:val="6EB5BD4"/>
    <w:multiLevelType w:val="hybridMultilevel"/>
    <w:lvl w:ilvl="0">
      <w:lvlJc w:val="left"/>
      <w:lvlText w:val="•"/>
      <w:numFmt w:val="bullet"/>
      <w:start w:val="1"/>
    </w:lvl>
  </w:abstractNum>
  <w:abstractNum w:abstractNumId="48">
    <w:nsid w:val="6F6DD9AC"/>
    <w:multiLevelType w:val="hybridMultilevel"/>
    <w:lvl w:ilvl="0">
      <w:lvlJc w:val="left"/>
      <w:lvlText w:val="(%1)"/>
      <w:numFmt w:val="decimal"/>
      <w:start w:val="1"/>
    </w:lvl>
  </w:abstractNum>
  <w:abstractNum w:abstractNumId="49">
    <w:nsid w:val="94211F2"/>
    <w:multiLevelType w:val="hybridMultilevel"/>
    <w:lvl w:ilvl="0">
      <w:lvlJc w:val="left"/>
      <w:lvlText w:val="•"/>
      <w:numFmt w:val="bullet"/>
      <w:start w:val="1"/>
    </w:lvl>
  </w:abstractNum>
  <w:abstractNum w:abstractNumId="50">
    <w:nsid w:val="885E1B"/>
    <w:multiLevelType w:val="hybridMultilevel"/>
    <w:lvl w:ilvl="0">
      <w:lvlJc w:val="left"/>
      <w:lvlText w:val="•"/>
      <w:numFmt w:val="bullet"/>
      <w:start w:val="1"/>
    </w:lvl>
  </w:abstractNum>
  <w:abstractNum w:abstractNumId="51">
    <w:nsid w:val="76272110"/>
    <w:multiLevelType w:val="hybridMultilevel"/>
    <w:lvl w:ilvl="0">
      <w:lvlJc w:val="left"/>
      <w:lvlText w:val="•"/>
      <w:numFmt w:val="bullet"/>
      <w:start w:val="1"/>
    </w:lvl>
  </w:abstractNum>
  <w:abstractNum w:abstractNumId="52">
    <w:nsid w:val="4C04A8AF"/>
    <w:multiLevelType w:val="hybridMultilevel"/>
    <w:lvl w:ilvl="0">
      <w:lvlJc w:val="left"/>
      <w:lvlText w:val="•"/>
      <w:numFmt w:val="bullet"/>
      <w:start w:val="1"/>
    </w:lvl>
  </w:abstractNum>
  <w:abstractNum w:abstractNumId="53">
    <w:nsid w:val="1716703B"/>
    <w:multiLevelType w:val="hybridMultilevel"/>
    <w:lvl w:ilvl="0">
      <w:lvlJc w:val="left"/>
      <w:lvlText w:val="•"/>
      <w:numFmt w:val="bullet"/>
      <w:start w:val="1"/>
    </w:lvl>
    <w:lvl w:ilvl="1">
      <w:lvlJc w:val="left"/>
      <w:lvlText w:val="◦"/>
      <w:numFmt w:val="bullet"/>
      <w:start w:val="1"/>
    </w:lvl>
  </w:abstractNum>
  <w:abstractNum w:abstractNumId="54">
    <w:nsid w:val="14E17E33"/>
    <w:multiLevelType w:val="hybridMultilevel"/>
    <w:lvl w:ilvl="0">
      <w:lvlJc w:val="left"/>
      <w:lvlText w:val="(%1)"/>
      <w:numFmt w:val="decimal"/>
      <w:start w:val="1"/>
    </w:lvl>
  </w:abstractNum>
  <w:abstractNum w:abstractNumId="55">
    <w:nsid w:val="3222E7CD"/>
    <w:multiLevelType w:val="hybridMultilevel"/>
    <w:lvl w:ilvl="0">
      <w:lvlJc w:val="left"/>
      <w:lvlText w:val="(%1)"/>
      <w:numFmt w:val="decimal"/>
      <w:start w:val="1"/>
    </w:lvl>
  </w:abstractNum>
  <w:abstractNum w:abstractNumId="56">
    <w:nsid w:val="74DE0EE3"/>
    <w:multiLevelType w:val="hybridMultilevel"/>
    <w:lvl w:ilvl="0">
      <w:lvlJc w:val="left"/>
      <w:lvlText w:val="•"/>
      <w:numFmt w:val="bullet"/>
      <w:start w:val="1"/>
    </w:lvl>
  </w:abstractNum>
  <w:abstractNum w:abstractNumId="57">
    <w:nsid w:val="68EBC550"/>
    <w:multiLevelType w:val="hybridMultilevel"/>
    <w:lvl w:ilvl="0">
      <w:lvlJc w:val="left"/>
      <w:lvlText w:val="(%1)"/>
      <w:numFmt w:val="decimal"/>
      <w:start w:val="1"/>
    </w:lvl>
  </w:abstractNum>
  <w:abstractNum w:abstractNumId="58">
    <w:nsid w:val="2DF6D648"/>
    <w:multiLevelType w:val="hybridMultilevel"/>
    <w:lvl w:ilvl="0">
      <w:lvlJc w:val="left"/>
      <w:lvlText w:val="%1"/>
      <w:numFmt w:val="decimal"/>
      <w:start w:val="1"/>
    </w:lvl>
    <w:lvl w:ilvl="1">
      <w:lvlJc w:val="left"/>
      <w:lvlText w:val="(%2)"/>
      <w:numFmt w:val="decimal"/>
      <w:start w:val="1"/>
    </w:lvl>
  </w:abstractNum>
  <w:abstractNum w:abstractNumId="59">
    <w:nsid w:val="46B7D447"/>
    <w:multiLevelType w:val="hybridMultilevel"/>
    <w:lvl w:ilvl="0">
      <w:lvlJc w:val="left"/>
      <w:lvlText w:val="%1."/>
      <w:numFmt w:val="decimal"/>
      <w:start w:val="5"/>
    </w:lvl>
    <w:lvl w:ilvl="1">
      <w:lvlJc w:val="left"/>
      <w:lvlText w:val="%2"/>
      <w:numFmt w:val="decimal"/>
      <w:start w:val="1"/>
    </w:lvl>
  </w:abstractNum>
  <w:abstractNum w:abstractNumId="60">
    <w:nsid w:val="4A2AC315"/>
    <w:multiLevelType w:val="hybridMultilevel"/>
    <w:lvl w:ilvl="0">
      <w:lvlJc w:val="left"/>
      <w:lvlText w:val="(%1)"/>
      <w:numFmt w:val="decimal"/>
      <w:start w:val="1"/>
    </w:lvl>
  </w:abstractNum>
  <w:abstractNum w:abstractNumId="61">
    <w:nsid w:val="39EE015C"/>
    <w:multiLevelType w:val="hybridMultilevel"/>
    <w:lvl w:ilvl="0">
      <w:lvlJc w:val="left"/>
      <w:lvlText w:val="%1"/>
      <w:numFmt w:val="decimal"/>
      <w:start w:val="1"/>
    </w:lvl>
    <w:lvl w:ilvl="1">
      <w:lvlJc w:val="left"/>
      <w:lvlText w:val="(%2)"/>
      <w:numFmt w:val="decimal"/>
      <w:start w:val="1"/>
    </w:lvl>
  </w:abstractNum>
  <w:abstractNum w:abstractNumId="62">
    <w:nsid w:val="57FC4FBB"/>
    <w:multiLevelType w:val="hybridMultilevel"/>
    <w:lvl w:ilvl="0">
      <w:lvlJc w:val="left"/>
      <w:lvlText w:val="%1."/>
      <w:numFmt w:val="decimal"/>
      <w:start w:val="11"/>
    </w:lvl>
    <w:lvl w:ilvl="1">
      <w:lvlJc w:val="left"/>
      <w:lvlText w:val="%2"/>
      <w:numFmt w:val="decimal"/>
      <w:start w:val="1"/>
    </w:lvl>
  </w:abstractNum>
  <w:abstractNum w:abstractNumId="63">
    <w:nsid w:val="CC1016F"/>
    <w:multiLevelType w:val="hybridMultilevel"/>
    <w:lvl w:ilvl="0">
      <w:lvlJc w:val="left"/>
      <w:lvlText w:val="(%1)"/>
      <w:numFmt w:val="decimal"/>
      <w:start w:val="1"/>
    </w:lvl>
  </w:abstractNum>
  <w:abstractNum w:abstractNumId="64">
    <w:nsid w:val="43F18422"/>
    <w:multiLevelType w:val="hybridMultilevel"/>
    <w:lvl w:ilvl="0">
      <w:lvlJc w:val="left"/>
      <w:lvlText w:val="(%1)"/>
      <w:numFmt w:val="decimal"/>
      <w:start w:val="1"/>
    </w:lvl>
  </w:abstractNum>
  <w:abstractNum w:abstractNumId="65">
    <w:nsid w:val="60EF0119"/>
    <w:multiLevelType w:val="hybridMultilevel"/>
    <w:lvl w:ilvl="0">
      <w:lvlJc w:val="left"/>
      <w:lvlText w:val="(%1)"/>
      <w:numFmt w:val="decimal"/>
      <w:start w:val="1"/>
    </w:lvl>
  </w:abstractNum>
  <w:abstractNum w:abstractNumId="66">
    <w:nsid w:val="26F324BA"/>
    <w:multiLevelType w:val="hybridMultilevel"/>
    <w:lvl w:ilvl="0">
      <w:lvlJc w:val="left"/>
      <w:lvlText w:val="(%1)"/>
      <w:numFmt w:val="decimal"/>
      <w:start w:val="1"/>
    </w:lvl>
  </w:abstractNum>
  <w:abstractNum w:abstractNumId="67">
    <w:nsid w:val="7F01579B"/>
    <w:multiLevelType w:val="hybridMultilevel"/>
    <w:lvl w:ilvl="0">
      <w:lvlJc w:val="left"/>
      <w:lvlText w:val="(%1)"/>
      <w:numFmt w:val="decimal"/>
      <w:start w:val="1"/>
    </w:lvl>
  </w:abstractNum>
  <w:abstractNum w:abstractNumId="68">
    <w:nsid w:val="49DA307D"/>
    <w:multiLevelType w:val="hybridMultilevel"/>
    <w:lvl w:ilvl="0">
      <w:lvlJc w:val="left"/>
      <w:lvlText w:val="(%1)"/>
      <w:numFmt w:val="lowerLetter"/>
      <w:start w:val="1"/>
    </w:lvl>
    <w:lvl w:ilvl="1">
      <w:lvlJc w:val="left"/>
      <w:lvlText w:val="(%2)"/>
      <w:numFmt w:val="decimal"/>
      <w:start w:val="1"/>
    </w:lvl>
  </w:abstractNum>
  <w:abstractNum w:abstractNumId="69">
    <w:nsid w:val="7055A5F5"/>
    <w:multiLevelType w:val="hybridMultilevel"/>
    <w:lvl w:ilvl="0">
      <w:lvlJc w:val="left"/>
      <w:lvlText w:val="%1"/>
      <w:numFmt w:val="decimal"/>
      <w:start w:val="19"/>
    </w:lvl>
  </w:abstractNum>
  <w:abstractNum w:abstractNumId="70">
    <w:nsid w:val="5FB8370B"/>
    <w:multiLevelType w:val="hybridMultilevel"/>
    <w:lvl w:ilvl="0">
      <w:lvlJc w:val="left"/>
      <w:lvlText w:val="%1"/>
      <w:numFmt w:val="decimal"/>
      <w:start w:val="21"/>
    </w:lvl>
  </w:abstractNum>
  <w:abstractNum w:abstractNumId="71">
    <w:nsid w:val="50801EE1"/>
    <w:multiLevelType w:val="hybridMultilevel"/>
    <w:lvl w:ilvl="0">
      <w:lvlJc w:val="left"/>
      <w:lvlText w:val="%1"/>
      <w:numFmt w:val="decimal"/>
      <w:start w:val="97"/>
    </w:lvl>
  </w:abstractNum>
  <w:abstractNum w:abstractNumId="72">
    <w:nsid w:val="488AC1A"/>
    <w:multiLevelType w:val="hybridMultilevel"/>
    <w:lvl w:ilvl="0">
      <w:lvlJc w:val="left"/>
      <w:lvlText w:val="%1"/>
      <w:numFmt w:val="decimal"/>
      <w:start w:val="101"/>
    </w:lvl>
  </w:abstractNum>
  <w:abstractNum w:abstractNumId="73">
    <w:nsid w:val="5FB8011C"/>
    <w:multiLevelType w:val="hybridMultilevel"/>
    <w:lvl w:ilvl="0">
      <w:lvlJc w:val="left"/>
      <w:lvlText w:val="•"/>
      <w:numFmt w:val="bullet"/>
      <w:start w:val="1"/>
    </w:lvl>
  </w:abstractNum>
  <w:abstractNum w:abstractNumId="74">
    <w:nsid w:val="6AA78F7F"/>
    <w:multiLevelType w:val="hybridMultilevel"/>
    <w:lvl w:ilvl="0">
      <w:lvlJc w:val="left"/>
      <w:lvlText w:val="•"/>
      <w:numFmt w:val="bullet"/>
      <w:start w:val="1"/>
    </w:lvl>
  </w:abstractNum>
  <w:abstractNum w:abstractNumId="75">
    <w:nsid w:val="7672BD23"/>
    <w:multiLevelType w:val="hybridMultilevel"/>
    <w:lvl w:ilvl="0">
      <w:lvlJc w:val="left"/>
      <w:lvlText w:val="•"/>
      <w:numFmt w:val="bullet"/>
      <w:start w:val="1"/>
    </w:lvl>
  </w:abstractNum>
  <w:abstractNum w:abstractNumId="76">
    <w:nsid w:val="6FC75AF8"/>
    <w:multiLevelType w:val="hybridMultilevel"/>
    <w:lvl w:ilvl="0">
      <w:lvlJc w:val="left"/>
      <w:lvlText w:val="•"/>
      <w:numFmt w:val="bullet"/>
      <w:start w:val="1"/>
    </w:lvl>
  </w:abstractNum>
  <w:abstractNum w:abstractNumId="77">
    <w:nsid w:val="6A5F7029"/>
    <w:multiLevelType w:val="hybridMultilevel"/>
    <w:lvl w:ilvl="0">
      <w:lvlJc w:val="left"/>
      <w:lvlText w:val="•"/>
      <w:numFmt w:val="bullet"/>
      <w:start w:val="1"/>
    </w:lvl>
  </w:abstractNum>
  <w:abstractNum w:abstractNumId="78">
    <w:nsid w:val="7D5E18F8"/>
    <w:multiLevelType w:val="hybridMultilevel"/>
    <w:lvl w:ilvl="0">
      <w:lvlJc w:val="left"/>
      <w:lvlText w:val="•"/>
      <w:numFmt w:val="bullet"/>
      <w:start w:val="1"/>
    </w:lvl>
  </w:abstractNum>
  <w:abstractNum w:abstractNumId="79">
    <w:nsid w:val="5F3534A4"/>
    <w:multiLevelType w:val="hybridMultilevel"/>
    <w:lvl w:ilvl="0">
      <w:lvlJc w:val="left"/>
      <w:lvlText w:val="•"/>
      <w:numFmt w:val="bullet"/>
      <w:start w:val="1"/>
    </w:lvl>
  </w:abstractNum>
  <w:abstractNum w:abstractNumId="80">
    <w:nsid w:val="73A1821B"/>
    <w:multiLevelType w:val="hybridMultilevel"/>
    <w:lvl w:ilvl="0">
      <w:lvlJc w:val="left"/>
      <w:lvlText w:val="•."/>
      <w:numFmt w:val="bullet"/>
      <w:start w:val="1"/>
    </w:lvl>
  </w:abstractNum>
  <w:abstractNum w:abstractNumId="81">
    <w:nsid w:val="7DE67713"/>
    <w:multiLevelType w:val="hybridMultilevel"/>
    <w:lvl w:ilvl="0">
      <w:lvlJc w:val="left"/>
      <w:lvlText w:val="•"/>
      <w:numFmt w:val="bullet"/>
      <w:start w:val="1"/>
    </w:lvl>
  </w:abstractNum>
  <w:abstractNum w:abstractNumId="82">
    <w:nsid w:val="555C55B5"/>
    <w:multiLevelType w:val="hybridMultilevel"/>
    <w:lvl w:ilvl="0">
      <w:lvlJc w:val="left"/>
      <w:lvlText w:val="•"/>
      <w:numFmt w:val="bullet"/>
      <w:start w:val="1"/>
    </w:lvl>
  </w:abstractNum>
  <w:abstractNum w:abstractNumId="83">
    <w:nsid w:val="3FA62ACA"/>
    <w:multiLevelType w:val="hybridMultilevel"/>
    <w:lvl w:ilvl="0">
      <w:lvlJc w:val="left"/>
      <w:lvlText w:val="•"/>
      <w:numFmt w:val="bullet"/>
      <w:start w:val="1"/>
    </w:lvl>
    <w:lvl w:ilvl="1">
      <w:lvlJc w:val="left"/>
      <w:lvlText w:val="•"/>
      <w:numFmt w:val="bullet"/>
      <w:start w:val="1"/>
    </w:lvl>
  </w:abstractNum>
  <w:abstractNum w:abstractNumId="84">
    <w:nsid w:val="14FCE74E"/>
    <w:multiLevelType w:val="hybridMultilevel"/>
    <w:lvl w:ilvl="0">
      <w:lvlJc w:val="left"/>
      <w:lvlText w:val="•"/>
      <w:numFmt w:val="bullet"/>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4"/>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1)"/>
      <w:numFmt w:val="lowerLetter"/>
      <w:start w:val="4"/>
    </w:lvl>
  </w:abstractNum>
  <w:abstractNum w:abstractNumId="92">
    <w:nsid w:val="59ADEA3D"/>
    <w:multiLevelType w:val="hybridMultilevel"/>
    <w:lvl w:ilvl="0">
      <w:lvlJc w:val="left"/>
      <w:lvlText w:val="(%1)"/>
      <w:numFmt w:val="lowerLetter"/>
      <w:start w:val="1"/>
    </w:lvl>
  </w:abstractNum>
  <w:abstractNum w:abstractNumId="93">
    <w:nsid w:val="288F1A34"/>
    <w:multiLevelType w:val="hybridMultilevel"/>
    <w:lvl w:ilvl="0">
      <w:lvlJc w:val="left"/>
      <w:lvlText w:val="(%1)"/>
      <w:numFmt w:val="lowerLetter"/>
      <w:start w:val="7"/>
    </w:lvl>
  </w:abstractNum>
  <w:abstractNum w:abstractNumId="94">
    <w:nsid w:val="2A155DBC"/>
    <w:multiLevelType w:val="hybridMultilevel"/>
    <w:lvl w:ilvl="0">
      <w:lvlJc w:val="left"/>
      <w:lvlText w:val="%1."/>
      <w:numFmt w:val="decimal"/>
      <w:start w:val="1"/>
    </w:lvl>
  </w:abstractNum>
  <w:abstractNum w:abstractNumId="95">
    <w:nsid w:val="1D9F6E5F"/>
    <w:multiLevelType w:val="hybridMultilevel"/>
    <w:lvl w:ilvl="0">
      <w:lvlJc w:val="left"/>
      <w:lvlText w:val="(%1)"/>
      <w:numFmt w:val="lowerLetter"/>
      <w:start w:val="1"/>
    </w:lvl>
    <w:lvl w:ilvl="1">
      <w:lvlJc w:val="left"/>
      <w:lvlText w:val="(%2)"/>
      <w:numFmt w:val="lowerRoman"/>
      <w:start w:val="1"/>
    </w:lvl>
  </w:abstractNum>
  <w:abstractNum w:abstractNumId="96">
    <w:nsid w:val="97E1B4E"/>
    <w:multiLevelType w:val="hybridMultilevel"/>
    <w:lvl w:ilvl="0">
      <w:lvlJc w:val="left"/>
      <w:lvlText w:val="(%1)"/>
      <w:numFmt w:val="lowerLetter"/>
      <w:start w:val="4"/>
    </w:lvl>
  </w:abstractNum>
  <w:abstractNum w:abstractNumId="97">
    <w:nsid w:val="51088277"/>
    <w:multiLevelType w:val="hybridMultilevel"/>
    <w:lvl w:ilvl="0">
      <w:lvlJc w:val="left"/>
      <w:lvlText w:val="%1."/>
      <w:numFmt w:val="decimal"/>
      <w:start w:val="4"/>
    </w:lvl>
  </w:abstractNum>
  <w:abstractNum w:abstractNumId="98">
    <w:nsid w:val="1CA0C5FA"/>
    <w:multiLevelType w:val="hybridMultilevel"/>
    <w:lvl w:ilvl="0">
      <w:lvlJc w:val="left"/>
      <w:lvlText w:val="%1."/>
      <w:numFmt w:val="decimal"/>
      <w:start w:val="5"/>
    </w:lvl>
    <w:lvl w:ilvl="1">
      <w:lvlJc w:val="left"/>
      <w:lvlText w:val="%2."/>
      <w:numFmt w:val="decimal"/>
      <w:start w:val="6"/>
    </w:lvl>
  </w:abstractNum>
  <w:abstractNum w:abstractNumId="99">
    <w:nsid w:val="53584BCB"/>
    <w:multiLevelType w:val="hybridMultilevel"/>
    <w:lvl w:ilvl="0">
      <w:lvlJc w:val="left"/>
      <w:lvlText w:val="(%1)"/>
      <w:numFmt w:val="lowerLetter"/>
      <w:start w:val="1"/>
    </w:lvl>
  </w:abstractNum>
  <w:abstractNum w:abstractNumId="100">
    <w:nsid w:val="415E286C"/>
    <w:multiLevelType w:val="hybridMultilevel"/>
    <w:lvl w:ilvl="0">
      <w:lvlJc w:val="left"/>
      <w:lvlText w:val="%1."/>
      <w:numFmt w:val="decimal"/>
      <w:start w:val="8"/>
    </w:lvl>
  </w:abstractNum>
  <w:abstractNum w:abstractNumId="101">
    <w:nsid w:val="7C58FD05"/>
    <w:multiLevelType w:val="hybridMultilevel"/>
    <w:lvl w:ilvl="0">
      <w:lvlJc w:val="left"/>
      <w:lvlText w:val="(%1)"/>
      <w:numFmt w:val="lowerLetter"/>
      <w:start w:val="1"/>
    </w:lvl>
  </w:abstractNum>
  <w:abstractNum w:abstractNumId="102">
    <w:nsid w:val="23D86AAC"/>
    <w:multiLevelType w:val="hybridMultilevel"/>
    <w:lvl w:ilvl="0">
      <w:lvlJc w:val="left"/>
      <w:lvlText w:val="(%1)"/>
      <w:numFmt w:val="lowerLetter"/>
      <w:start w:val="3"/>
    </w:lvl>
  </w:abstractNum>
  <w:abstractNum w:abstractNumId="103">
    <w:nsid w:val="45E6D486"/>
    <w:multiLevelType w:val="hybridMultilevel"/>
    <w:lvl w:ilvl="0">
      <w:lvlJc w:val="left"/>
      <w:lvlText w:val="%1."/>
      <w:numFmt w:val="decimal"/>
      <w:start w:val="9"/>
    </w:lvl>
  </w:abstractNum>
  <w:abstractNum w:abstractNumId="104">
    <w:nsid w:val="5C10FE21"/>
    <w:multiLevelType w:val="hybridMultilevel"/>
    <w:lvl w:ilvl="0">
      <w:lvlJc w:val="left"/>
      <w:lvlText w:val="%1."/>
      <w:numFmt w:val="decimal"/>
      <w:start w:val="11"/>
    </w:lvl>
  </w:abstractNum>
  <w:abstractNum w:abstractNumId="105">
    <w:nsid w:val="E7FFA2B"/>
    <w:multiLevelType w:val="hybridMultilevel"/>
    <w:lvl w:ilvl="0">
      <w:lvlJc w:val="left"/>
      <w:lvlText w:val="(%1)"/>
      <w:numFmt w:val="lowerLetter"/>
      <w:start w:val="1"/>
    </w:lvl>
  </w:abstractNum>
  <w:abstractNum w:abstractNumId="106">
    <w:nsid w:val="3C5991AA"/>
    <w:multiLevelType w:val="hybridMultilevel"/>
    <w:lvl w:ilvl="0">
      <w:lvlJc w:val="left"/>
      <w:lvlText w:val="(%1)"/>
      <w:numFmt w:val="lowerLetter"/>
      <w:start w:val="13"/>
    </w:lvl>
  </w:abstractNum>
  <w:abstractNum w:abstractNumId="107">
    <w:nsid w:val="4BD8591A"/>
    <w:multiLevelType w:val="hybridMultilevel"/>
    <w:lvl w:ilvl="0">
      <w:lvlJc w:val="left"/>
      <w:lvlText w:val="%1."/>
      <w:numFmt w:val="decimal"/>
      <w:start w:val="12"/>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1)"/>
      <w:numFmt w:val="lowerLetter"/>
      <w:start w:val="5"/>
    </w:lvl>
  </w:abstractNum>
  <w:abstractNum w:abstractNumId="110">
    <w:nsid w:val="2B0D8DBE"/>
    <w:multiLevelType w:val="hybridMultilevel"/>
    <w:lvl w:ilvl="0">
      <w:lvlJc w:val="left"/>
      <w:lvlText w:val="(%1)"/>
      <w:numFmt w:val="lowerLetter"/>
      <w:start w:val="13"/>
    </w:lvl>
  </w:abstractNum>
  <w:abstractNum w:abstractNumId="111">
    <w:nsid w:val="6C80EC70"/>
    <w:multiLevelType w:val="hybridMultilevel"/>
    <w:lvl w:ilvl="0">
      <w:lvlJc w:val="left"/>
      <w:lvlText w:val="•"/>
      <w:numFmt w:val="bullet"/>
      <w:start w:val="1"/>
    </w:lvl>
  </w:abstractNum>
  <w:abstractNum w:abstractNumId="112">
    <w:nsid w:val="379E21B5"/>
    <w:multiLevelType w:val="hybridMultilevel"/>
    <w:lvl w:ilvl="0">
      <w:lvlJc w:val="left"/>
      <w:lvlText w:val="%1."/>
      <w:numFmt w:val="decimal"/>
      <w:start w:val="1"/>
    </w:lvl>
  </w:abstractNum>
  <w:abstractNum w:abstractNumId="113">
    <w:nsid w:val="69E373"/>
    <w:multiLevelType w:val="hybridMultilevel"/>
    <w:lvl w:ilvl="0">
      <w:lvlJc w:val="left"/>
      <w:lvlText w:val="(%1)"/>
      <w:numFmt w:val="lowerLetter"/>
      <w:start w:val="1"/>
    </w:lvl>
  </w:abstractNum>
  <w:abstractNum w:abstractNumId="114">
    <w:nsid w:val="2C27173B"/>
    <w:multiLevelType w:val="hybridMultilevel"/>
    <w:lvl w:ilvl="0">
      <w:lvlJc w:val="left"/>
      <w:lvlText w:val="%1."/>
      <w:numFmt w:val="decimal"/>
      <w:start w:val="5"/>
    </w:lvl>
  </w:abstractNum>
  <w:abstractNum w:abstractNumId="115">
    <w:nsid w:val="4C9B0904"/>
    <w:multiLevelType w:val="hybridMultilevel"/>
    <w:lvl w:ilvl="0">
      <w:lvlJc w:val="left"/>
      <w:lvlText w:val="(%1)"/>
      <w:numFmt w:val="lowerLetter"/>
      <w:start w:val="1"/>
    </w:lvl>
  </w:abstractNum>
  <w:abstractNum w:abstractNumId="116">
    <w:nsid w:val="6AA7B75C"/>
    <w:multiLevelType w:val="hybridMultilevel"/>
    <w:lvl w:ilvl="0">
      <w:lvlJc w:val="left"/>
      <w:lvlText w:val="%1."/>
      <w:numFmt w:val="decimal"/>
      <w:start w:val="1"/>
    </w:lvl>
  </w:abstractNum>
  <w:abstractNum w:abstractNumId="117">
    <w:nsid w:val="1DF029D3"/>
    <w:multiLevelType w:val="hybridMultilevel"/>
    <w:lvl w:ilvl="0">
      <w:lvlJc w:val="left"/>
      <w:lvlText w:val="(%1)"/>
      <w:numFmt w:val="lowerLetter"/>
      <w:start w:val="1"/>
    </w:lvl>
  </w:abstractNum>
  <w:abstractNum w:abstractNumId="118">
    <w:nsid w:val="5675FF36"/>
    <w:multiLevelType w:val="hybridMultilevel"/>
    <w:lvl w:ilvl="0">
      <w:lvlJc w:val="left"/>
      <w:lvlText w:val="%1."/>
      <w:numFmt w:val="decimal"/>
      <w:start w:val="5"/>
    </w:lvl>
  </w:abstractNum>
  <w:abstractNum w:abstractNumId="119">
    <w:nsid w:val="3DD15094"/>
    <w:multiLevelType w:val="hybridMultilevel"/>
    <w:lvl w:ilvl="0">
      <w:lvlJc w:val="left"/>
      <w:lvlText w:val="(%1)"/>
      <w:numFmt w:val="lowerLetter"/>
      <w:start w:val="1"/>
    </w:lvl>
  </w:abstractNum>
  <w:abstractNum w:abstractNumId="120">
    <w:nsid w:val="3DB012B3"/>
    <w:multiLevelType w:val="hybridMultilevel"/>
    <w:lvl w:ilvl="0">
      <w:lvlJc w:val="left"/>
      <w:lvlText w:val="(%1)"/>
      <w:numFmt w:val="decimal"/>
      <w:start w:val="1"/>
    </w:lvl>
  </w:abstractNum>
  <w:abstractNum w:abstractNumId="121">
    <w:nsid w:val="2708C9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41"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74" Type="http://schemas.openxmlformats.org/officeDocument/2006/relationships/image" Target="media/image111.png"/><Relationship Id="rId175"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jpe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jpeg"/><Relationship Id="rId183" Type="http://schemas.openxmlformats.org/officeDocument/2006/relationships/image" Target="media/image119.jpeg"/><Relationship Id="rId184" Type="http://schemas.openxmlformats.org/officeDocument/2006/relationships/image" Target="media/image120.jpe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png"/><Relationship Id="rId262" Type="http://schemas.openxmlformats.org/officeDocument/2006/relationships/image" Target="media/image198.png"/><Relationship Id="rId263" Type="http://schemas.openxmlformats.org/officeDocument/2006/relationships/image" Target="media/image199.png"/><Relationship Id="rId264" Type="http://schemas.openxmlformats.org/officeDocument/2006/relationships/image" Target="media/image200.png"/><Relationship Id="rId265" Type="http://schemas.openxmlformats.org/officeDocument/2006/relationships/image" Target="media/image201.png"/><Relationship Id="rId266" Type="http://schemas.openxmlformats.org/officeDocument/2006/relationships/image" Target="media/image202.png"/><Relationship Id="rId267" Type="http://schemas.openxmlformats.org/officeDocument/2006/relationships/image" Target="media/image203.png"/><Relationship Id="rId268" Type="http://schemas.openxmlformats.org/officeDocument/2006/relationships/image" Target="media/image204.png"/><Relationship Id="rId269" Type="http://schemas.openxmlformats.org/officeDocument/2006/relationships/image" Target="media/image205.png"/><Relationship Id="rId270" Type="http://schemas.openxmlformats.org/officeDocument/2006/relationships/image" Target="media/image206.png"/><Relationship Id="rId271"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png"/><Relationship Id="rId309" Type="http://schemas.openxmlformats.org/officeDocument/2006/relationships/image" Target="media/image245.png"/><Relationship Id="rId310" Type="http://schemas.openxmlformats.org/officeDocument/2006/relationships/image" Target="media/image246.pn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jpe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jpeg"/><Relationship Id="rId347" Type="http://schemas.openxmlformats.org/officeDocument/2006/relationships/image" Target="media/image283.jpeg"/><Relationship Id="rId348" Type="http://schemas.openxmlformats.org/officeDocument/2006/relationships/image" Target="media/image284.png"/><Relationship Id="rId349" Type="http://schemas.openxmlformats.org/officeDocument/2006/relationships/image" Target="media/image285.png"/><Relationship Id="rId350" Type="http://schemas.openxmlformats.org/officeDocument/2006/relationships/image" Target="media/image286.png"/><Relationship Id="rId351" Type="http://schemas.openxmlformats.org/officeDocument/2006/relationships/image" Target="media/image287.png"/><Relationship Id="rId352" Type="http://schemas.openxmlformats.org/officeDocument/2006/relationships/image" Target="media/image288.png"/><Relationship Id="rId353" Type="http://schemas.openxmlformats.org/officeDocument/2006/relationships/image" Target="media/image289.png"/><Relationship Id="rId354" Type="http://schemas.openxmlformats.org/officeDocument/2006/relationships/image" Target="media/image290.png"/><Relationship Id="rId355" Type="http://schemas.openxmlformats.org/officeDocument/2006/relationships/image" Target="media/image291.png"/><Relationship Id="rId356" Type="http://schemas.openxmlformats.org/officeDocument/2006/relationships/image" Target="media/image292.png"/><Relationship Id="rId357" Type="http://schemas.openxmlformats.org/officeDocument/2006/relationships/image" Target="media/image293.png"/><Relationship Id="rId358" Type="http://schemas.openxmlformats.org/officeDocument/2006/relationships/image" Target="media/image294.png"/><Relationship Id="rId113" Type="http://schemas.openxmlformats.org/officeDocument/2006/relationships/hyperlink" Target="https://www.sec.gov/Archives/edgar/data/0001443646/000110465921060482/tm2114914d1_ex2-1.htm" TargetMode="External"/><Relationship Id="rId114" Type="http://schemas.openxmlformats.org/officeDocument/2006/relationships/hyperlink" Target="https://www.sec.gov/Archives/edgar/data/1443646/000110465923085311/tm2322176d1_ex3-1.htm" TargetMode="External"/><Relationship Id="rId115" Type="http://schemas.openxmlformats.org/officeDocument/2006/relationships/hyperlink" Target="https://www.sec.gov/Archives/edgar/data/1443646/000110465923085311/tm2322176d1_ex3-2.htm" TargetMode="External"/><Relationship Id="rId116" Type="http://schemas.openxmlformats.org/officeDocument/2006/relationships/hyperlink" Target="http://www.sec.gov/Archives/edgar/data/1443646/000095012310090358/w77668a3exv4w5.htm" TargetMode="External"/><Relationship Id="rId117" Type="http://schemas.openxmlformats.org/officeDocument/2006/relationships/hyperlink" Target="https://www.sec.gov/Archives/edgar/data/0001443646/000110465920097997/tm2029202d1_ex4-1.htm" TargetMode="External"/><Relationship Id="rId118" Type="http://schemas.openxmlformats.org/officeDocument/2006/relationships/hyperlink" Target="https://www.sec.gov/Archives/edgar/data/0001443646/000110465920097997/tm2029202d1_ex4-2.htm" TargetMode="External"/><Relationship Id="rId119" Type="http://schemas.openxmlformats.org/officeDocument/2006/relationships/hyperlink" Target="https://www.sec.gov/Archives/edgar/data/1443646/000144364622000013/bah-20211231xex41.htm" TargetMode="External"/><Relationship Id="rId120" Type="http://schemas.openxmlformats.org/officeDocument/2006/relationships/hyperlink" Target="https://www.sec.gov/Archives/edgar/data/1443646/000110465921082639/tm2118942d2_ex4-1.htm" TargetMode="External"/><Relationship Id="rId121" Type="http://schemas.openxmlformats.org/officeDocument/2006/relationships/hyperlink" Target="https://www.sec.gov/Archives/edgar/data/1443646/000110465921082639/tm2118942d2_ex4-2.htm" TargetMode="External"/><Relationship Id="rId122" Type="http://schemas.openxmlformats.org/officeDocument/2006/relationships/hyperlink" Target="https://www.sec.gov/Archives/edgar/data/1443646/000144364622000013/bah-20211231xex42.htm" TargetMode="External"/><Relationship Id="rId123" Type="http://schemas.openxmlformats.org/officeDocument/2006/relationships/hyperlink" Target="https://www.sec.gov/Archives/edgar/data/1443646/000110465923087821/tm2322889d1_ex4-1.htm" TargetMode="External"/><Relationship Id="rId124" Type="http://schemas.openxmlformats.org/officeDocument/2006/relationships/hyperlink" Target="https://www.sec.gov/Archives/edgar/data/1443646/000110465923087821/tm2322889d1_ex4-2.htm" TargetMode="External"/><Relationship Id="rId125" Type="http://schemas.openxmlformats.org/officeDocument/2006/relationships/hyperlink" Target="https://www.sec.gov/Archives/edgar/data/1443646/000110465925023949/tm258057d5_ex4-2.htm" TargetMode="External"/><Relationship Id="rId128" Type="http://schemas.openxmlformats.org/officeDocument/2006/relationships/hyperlink" Target="https://www.sec.gov/ix?doc=/Archives/edgar/data/1443646/000144364623000139/bah-20230615.htm" TargetMode="External"/><Relationship Id="rId129" Type="http://schemas.openxmlformats.org/officeDocument/2006/relationships/hyperlink" Target="http://www.sec.gov/Archives/edgar/data/1443646/000144364620000022/bah-20191231xex102.htm" TargetMode="External"/><Relationship Id="rId130" Type="http://schemas.openxmlformats.org/officeDocument/2006/relationships/hyperlink" Target="http://www.sec.gov/Archives/edgar/data/1443646/000144364620000022/bah-20191231xex103.htm" TargetMode="External"/><Relationship Id="rId131" Type="http://schemas.openxmlformats.org/officeDocument/2006/relationships/hyperlink" Target="https://www.sec.gov/Archives/edgar/data/1443646/000144364624000075/bah-033124xex105.htm" TargetMode="External"/><Relationship Id="rId132" Type="http://schemas.openxmlformats.org/officeDocument/2006/relationships/hyperlink" Target="http://www.sec.gov/Archives/edgar/data/1443646/000144364618000100/bah-20180331xex107.htm" TargetMode="External"/><Relationship Id="rId133" Type="http://schemas.openxmlformats.org/officeDocument/2006/relationships/hyperlink" Target="https://www.sec.gov/Archives/edgar/data/1443646/000144364624000075/bah-033124xex107.htm" TargetMode="External"/><Relationship Id="rId134" Type="http://schemas.openxmlformats.org/officeDocument/2006/relationships/hyperlink" Target="http://www.sec.gov/Archives/edgar/data/1443646/000144364615000018/bah-20150331xex1014.htm" TargetMode="External"/><Relationship Id="rId135" Type="http://schemas.openxmlformats.org/officeDocument/2006/relationships/hyperlink" Target="http://www.sec.gov/Archives/edgar/data/1443646/000144364618000100/bah-20180331xex1011.htm" TargetMode="External"/><Relationship Id="rId136" Type="http://schemas.openxmlformats.org/officeDocument/2006/relationships/hyperlink" Target="http://www.sec.gov/Archives/edgar/data/1443646/000095012310090358/w77668a3exv10w23.htm" TargetMode="External"/><Relationship Id="rId137" Type="http://schemas.openxmlformats.org/officeDocument/2006/relationships/hyperlink" Target="http://www.sec.gov/Archives/edgar/data/1443646/000119312512327096/d388921dex101.htm" TargetMode="External"/><Relationship Id="rId138" Type="http://schemas.openxmlformats.org/officeDocument/2006/relationships/hyperlink" Target="http://www.sec.gov/Archives/edgar/data/1443646/000119312512327096/d388921dex102.htm" TargetMode="External"/><Relationship Id="rId139" Type="http://schemas.openxmlformats.org/officeDocument/2006/relationships/hyperlink" Target="http://www.sec.gov/Archives/edgar/data/1443646/000144364613000030/exhibit101-2013amendmentxf.htm" TargetMode="External"/><Relationship Id="rId140" Type="http://schemas.openxmlformats.org/officeDocument/2006/relationships/hyperlink" Target="http://www.sec.gov/Archives/edgar/data/1443646/000144364614000011/secondamendment.htm" TargetMode="External"/><Relationship Id="rId142" Type="http://schemas.openxmlformats.org/officeDocument/2006/relationships/hyperlink" Target="http://www.sec.gov/Archives/edgar/data/1443646/000144364616000173/bahamendmentno32016.htm" TargetMode="External"/><Relationship Id="rId143" Type="http://schemas.openxmlformats.org/officeDocument/2006/relationships/hyperlink" Target="http://www.sec.gov/Archives/edgar/data/1443646/000119312517032421/d295747dex101.htm" TargetMode="External"/><Relationship Id="rId144" Type="http://schemas.openxmlformats.org/officeDocument/2006/relationships/hyperlink" Target="http://www.sec.gov/Archives/edgar/data/1443646/000119312518073520/d502770dex101.htm" TargetMode="External"/><Relationship Id="rId145" Type="http://schemas.openxmlformats.org/officeDocument/2006/relationships/hyperlink" Target="http://www.sec.gov/Archives/edgar/data/1443646/000119312518224147/d549733dex101.htm" TargetMode="External"/><Relationship Id="rId146" Type="http://schemas.openxmlformats.org/officeDocument/2006/relationships/hyperlink" Target="http://www.sec.gov/Archives/edgar/data/1443646/000110465919067587/tm1923849d1_ex10-1.htm" TargetMode="External"/><Relationship Id="rId147" Type="http://schemas.openxmlformats.org/officeDocument/2006/relationships/hyperlink" Target="https://www.sec.gov/Archives/edgar/data/1443646/000110465921085389/tm2120619d1_ex10-1.htm" TargetMode="External"/><Relationship Id="rId148" Type="http://schemas.openxmlformats.org/officeDocument/2006/relationships/hyperlink" Target="https://www.sec.gov/Archives/edgar/data/1443646/000110465922098194/tm2225329d1_ex10-1.htm" TargetMode="External"/><Relationship Id="rId149" Type="http://schemas.openxmlformats.org/officeDocument/2006/relationships/hyperlink" Target="https://www.sec.gov/Archives/edgar/data/1443646/000144364623000174/exhibit101-bah2023_tenth.htm" TargetMode="External"/><Relationship Id="rId150" Type="http://schemas.openxmlformats.org/officeDocument/2006/relationships/hyperlink" Target="http://www.sec.gov/Archives/edgar/data/1443646/000144364617000108/bah-20170630xex1010.htm" TargetMode="External"/><Relationship Id="rId151" Type="http://schemas.openxmlformats.org/officeDocument/2006/relationships/hyperlink" Target="https://www.sec.gov/Archives/edgar/data/1443646/000144364622000013/bah-123121xex101.htm" TargetMode="External"/><Relationship Id="rId152" Type="http://schemas.openxmlformats.org/officeDocument/2006/relationships/hyperlink" Target="http://www.sec.gov/Archives/edgar/data/1443646/000144364619000017/ex107-deferredcompensation.htm" TargetMode="External"/><Relationship Id="rId153" Type="http://schemas.openxmlformats.org/officeDocument/2006/relationships/hyperlink" Target="http://www.sec.gov/Archives/edgar/data/1443646/000144364619000183/bah-20190930xex101.htm" TargetMode="External"/><Relationship Id="rId156" Type="http://schemas.openxmlformats.org/officeDocument/2006/relationships/hyperlink" Target="http://www.sec.gov/Archives/edgar/data/1443646/000144364617000050/bah-20170331xex1036.htm" TargetMode="External"/><Relationship Id="rId157" Type="http://schemas.openxmlformats.org/officeDocument/2006/relationships/hyperlink" Target="http://www.sec.gov/Archives/edgar/data/1443646/000144364619000093/bah-20190331xex1059.htm" TargetMode="External"/><Relationship Id="rId158" Type="http://schemas.openxmlformats.org/officeDocument/2006/relationships/hyperlink" Target="https://www.sec.gov/Archives/edgar/data/1443646/000144364620000086/bah-20200331xex1061.htm" TargetMode="External"/><Relationship Id="rId159" Type="http://schemas.openxmlformats.org/officeDocument/2006/relationships/hyperlink" Target="http://www.sec.gov/Archives/edgar/data/1443646/000144364618000100/bah-20180331xex1045.htm" TargetMode="External"/><Relationship Id="rId160" Type="http://schemas.openxmlformats.org/officeDocument/2006/relationships/hyperlink" Target="https://www.sec.gov/Archives/edgar/data/1443646/000144364622000058/bah-20220331xex1065.htm" TargetMode="External"/><Relationship Id="rId161" Type="http://schemas.openxmlformats.org/officeDocument/2006/relationships/hyperlink" Target="https://www.sec.gov/Archives/edgar/data/1443646/000144364622000058/bah-20220331xex1066.htm" TargetMode="External"/><Relationship Id="rId162" Type="http://schemas.openxmlformats.org/officeDocument/2006/relationships/hyperlink" Target="https://www.sec.gov/Archives/edgar/data/1443646/000144364622000058/bah-20220331xex1067.htm" TargetMode="External"/><Relationship Id="rId163" Type="http://schemas.openxmlformats.org/officeDocument/2006/relationships/hyperlink" Target="https://www.sec.gov/Archives/edgar/data/1443646/000144364623000089/exhibit1039-bahxformofst.htm" TargetMode="External"/><Relationship Id="rId164" Type="http://schemas.openxmlformats.org/officeDocument/2006/relationships/hyperlink" Target="https://www.sec.gov/Archives/edgar/data/1443646/000144364623000089/bah-20230331xex1038.htm" TargetMode="External"/><Relationship Id="rId165" Type="http://schemas.openxmlformats.org/officeDocument/2006/relationships/hyperlink" Target="https://www.sec.gov/Archives/edgar/data/1443646/000144364623000089/bah-20230331xex1040.htm" TargetMode="External"/><Relationship Id="rId166" Type="http://schemas.openxmlformats.org/officeDocument/2006/relationships/hyperlink" Target="https://www.sec.gov/Archives/edgar/data/1443646/000144364623000230/bah-20230930xex108.htm" TargetMode="External"/><Relationship Id="rId167" Type="http://schemas.openxmlformats.org/officeDocument/2006/relationships/hyperlink" Target="https://www.sec.gov/Archives/edgar/data/1443646/000144364623000230/bah-20230930xex105.htm" TargetMode="External"/><Relationship Id="rId168" Type="http://schemas.openxmlformats.org/officeDocument/2006/relationships/hyperlink" Target="https://www.sec.gov/Archives/edgar/data/1443646/000144364623000230/bah-20230930xex107.htm" TargetMode="External"/><Relationship Id="rId169" Type="http://schemas.openxmlformats.org/officeDocument/2006/relationships/hyperlink" Target="https://www.sec.gov/Archives/edgar/data/1443646/000144364623000230/bah-20230930xex106.htm" TargetMode="External"/><Relationship Id="rId170" Type="http://schemas.openxmlformats.org/officeDocument/2006/relationships/hyperlink" Target="https://www.sec.gov/Archives/edgar/data/1443646/000144364624000075/bah-20240331xex1044.htm" TargetMode="External"/><Relationship Id="rId171" Type="http://schemas.openxmlformats.org/officeDocument/2006/relationships/hyperlink" Target="https://www.sec.gov/Archives/edgar/data/1443646/000144364624000075/bah-20240331xex1045.htm" TargetMode="External"/><Relationship Id="rId172" Type="http://schemas.openxmlformats.org/officeDocument/2006/relationships/hyperlink" Target="https://www.sec.gov/Archives/edgar/data/1443646/000144364624000075/bah-20240331xex1046.htm" TargetMode="External"/><Relationship Id="rId173" Type="http://schemas.openxmlformats.org/officeDocument/2006/relationships/hyperlink" Target="https://www.sec.gov/Archives/edgar/data/1443646/000144364624000075/bah-20240331xex1047.htm" TargetMode="External"/><Relationship Id="rId176" Type="http://schemas.openxmlformats.org/officeDocument/2006/relationships/hyperlink" Target="https://www.sec.gov/Archives/edgar/data/1443646/000144364624000075/bah-033124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2025-05-23T06:01:38Z</dcterms:created>
  <dcterms:modified xsi:type="dcterms:W3CDTF">2025-05-23T06:01:38Z</dcterms:modified>
</cp:coreProperties>
</file>