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311150</wp:posOffset>
            </wp:positionH>
            <wp:positionV relativeFrom="page">
              <wp:posOffset>611505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637540</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7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ectPr>
          <w:pgSz w:w="11900" w:h="16838" w:orient="portrait"/>
          <w:cols w:equalWidth="0" w:num="1">
            <w:col w:w="11080"/>
          </w:cols>
          <w:pgMar w:left="320" w:top="1064" w:right="499" w:bottom="1440" w:gutter="0" w:footer="0" w:header="0"/>
        </w:sectPr>
      </w:pPr>
    </w:p>
    <w:p>
      <w:pPr>
        <w:spacing w:after="0" w:line="200" w:lineRule="exact"/>
        <w:rPr>
          <w:sz w:val="24"/>
          <w:szCs w:val="24"/>
          <w:color w:val="auto"/>
        </w:rPr>
      </w:pPr>
    </w:p>
    <w:p>
      <w:pPr>
        <w:spacing w:after="0" w:line="301"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right="40"/>
        <w:spacing w:after="0" w:line="238" w:lineRule="auto"/>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8"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2020</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spacing w:after="0" w:line="3" w:lineRule="exact"/>
        <w:rPr>
          <w:sz w:val="24"/>
          <w:szCs w:val="24"/>
          <w:color w:val="auto"/>
        </w:rPr>
      </w:pPr>
    </w:p>
    <w:p>
      <w:pPr>
        <w:sectPr>
          <w:pgSz w:w="11900" w:h="16838" w:orient="portrait"/>
          <w:cols w:equalWidth="0" w:num="2">
            <w:col w:w="180" w:space="680"/>
            <w:col w:w="10220"/>
          </w:cols>
          <w:pgMar w:left="320" w:top="1064" w:right="499" w:bottom="1440" w:gutter="0" w:footer="0" w:header="0"/>
          <w:type w:val="continuous"/>
        </w:sectPr>
      </w:pPr>
    </w:p>
    <w:p>
      <w:pPr>
        <w:ind w:left="860" w:hanging="83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OF 1934</w:t>
      </w:r>
    </w:p>
    <w:p>
      <w:pPr>
        <w:spacing w:after="0" w:line="214" w:lineRule="exact"/>
        <w:rPr>
          <w:sz w:val="24"/>
          <w:szCs w:val="24"/>
          <w:color w:val="auto"/>
        </w:rPr>
      </w:pPr>
    </w:p>
    <w:p>
      <w:pPr>
        <w:ind w:left="38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No. 001-34972</w:t>
      </w:r>
    </w:p>
    <w:p>
      <w:pPr>
        <w:spacing w:after="0" w:line="3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Booz Allen Hamilton Holding Corporation</w:t>
      </w:r>
    </w:p>
    <w:p>
      <w:pPr>
        <w:spacing w:after="0" w:line="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22" w:lineRule="exact"/>
        <w:rPr>
          <w:sz w:val="24"/>
          <w:szCs w:val="24"/>
          <w:color w:val="auto"/>
        </w:rPr>
      </w:pPr>
    </w:p>
    <w:p>
      <w:pPr>
        <w:ind w:left="1780"/>
        <w:spacing w:after="0"/>
        <w:tabs>
          <w:tab w:leader="none" w:pos="89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26-2634160</w:t>
      </w:r>
    </w:p>
    <w:p>
      <w:pPr>
        <w:spacing w:after="0" w:line="12" w:lineRule="exact"/>
        <w:rPr>
          <w:sz w:val="24"/>
          <w:szCs w:val="24"/>
          <w:color w:val="auto"/>
        </w:rPr>
      </w:pPr>
    </w:p>
    <w:p>
      <w:pPr>
        <w:ind w:left="1240"/>
        <w:spacing w:after="0"/>
        <w:tabs>
          <w:tab w:leader="none" w:pos="884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200"/>
        <w:spacing w:after="0"/>
        <w:tabs>
          <w:tab w:leader="none" w:pos="880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66" w:lineRule="exact"/>
        <w:rPr>
          <w:sz w:val="24"/>
          <w:szCs w:val="24"/>
          <w:color w:val="auto"/>
        </w:rPr>
      </w:pPr>
    </w:p>
    <w:p>
      <w:pPr>
        <w:ind w:left="280"/>
        <w:spacing w:after="0"/>
        <w:tabs>
          <w:tab w:leader="none" w:pos="2500" w:val="left"/>
          <w:tab w:leader="none" w:pos="3480" w:val="left"/>
          <w:tab w:leader="none" w:pos="9140" w:val="left"/>
        </w:tabs>
        <w:rPr>
          <w:sz w:val="20"/>
          <w:szCs w:val="20"/>
          <w:color w:val="auto"/>
        </w:rPr>
      </w:pPr>
      <w:r>
        <w:rPr>
          <w:rFonts w:ascii="Times New Roman" w:cs="Times New Roman" w:eastAsia="Times New Roman" w:hAnsi="Times New Roman"/>
          <w:sz w:val="18"/>
          <w:szCs w:val="18"/>
          <w:b w:val="1"/>
          <w:bCs w:val="1"/>
          <w:color w:val="auto"/>
        </w:rPr>
        <w:t>8283 Greensboro Drive,</w:t>
      </w:r>
      <w:r>
        <w:rPr>
          <w:sz w:val="20"/>
          <w:szCs w:val="20"/>
          <w:color w:val="auto"/>
        </w:rPr>
        <w:tab/>
      </w:r>
      <w:r>
        <w:rPr>
          <w:rFonts w:ascii="Times New Roman" w:cs="Times New Roman" w:eastAsia="Times New Roman" w:hAnsi="Times New Roman"/>
          <w:sz w:val="18"/>
          <w:szCs w:val="18"/>
          <w:b w:val="1"/>
          <w:bCs w:val="1"/>
          <w:color w:val="auto"/>
        </w:rPr>
        <w:t>McLean,</w:t>
      </w:r>
      <w:r>
        <w:rPr>
          <w:sz w:val="20"/>
          <w:szCs w:val="20"/>
          <w:color w:val="auto"/>
        </w:rPr>
        <w:tab/>
      </w:r>
      <w:r>
        <w:rPr>
          <w:rFonts w:ascii="Times New Roman" w:cs="Times New Roman" w:eastAsia="Times New Roman" w:hAnsi="Times New Roman"/>
          <w:sz w:val="18"/>
          <w:szCs w:val="18"/>
          <w:b w:val="1"/>
          <w:bCs w:val="1"/>
          <w:color w:val="auto"/>
        </w:rPr>
        <w:t>Virginia</w:t>
      </w:r>
      <w:r>
        <w:rPr>
          <w:sz w:val="20"/>
          <w:szCs w:val="20"/>
          <w:color w:val="auto"/>
        </w:rPr>
        <w:tab/>
      </w:r>
      <w:r>
        <w:rPr>
          <w:rFonts w:ascii="Times New Roman" w:cs="Times New Roman" w:eastAsia="Times New Roman" w:hAnsi="Times New Roman"/>
          <w:sz w:val="17"/>
          <w:szCs w:val="17"/>
          <w:b w:val="1"/>
          <w:bCs w:val="1"/>
          <w:color w:val="auto"/>
        </w:rPr>
        <w:t>22102</w:t>
      </w:r>
    </w:p>
    <w:p>
      <w:pPr>
        <w:spacing w:after="0" w:line="31" w:lineRule="exact"/>
        <w:rPr>
          <w:sz w:val="24"/>
          <w:szCs w:val="24"/>
          <w:color w:val="auto"/>
        </w:rPr>
      </w:pPr>
    </w:p>
    <w:p>
      <w:pPr>
        <w:ind w:left="960"/>
        <w:spacing w:after="0"/>
        <w:tabs>
          <w:tab w:leader="none" w:pos="902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8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(703) 902-5000</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55" w:lineRule="exact"/>
        <w:rPr>
          <w:sz w:val="24"/>
          <w:szCs w:val="24"/>
          <w:color w:val="auto"/>
        </w:rPr>
      </w:pPr>
    </w:p>
    <w:tbl>
      <w:tblPr>
        <w:tblLayout w:type="fixed"/>
        <w:tblInd w:w="180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80" w:type="dxa"/>
            <w:vAlign w:val="bottom"/>
          </w:tcPr>
          <w:p>
            <w:pPr>
              <w:spacing w:after="0"/>
              <w:rPr>
                <w:sz w:val="13"/>
                <w:szCs w:val="13"/>
                <w:color w:val="auto"/>
              </w:rPr>
            </w:pPr>
          </w:p>
        </w:tc>
        <w:tc>
          <w:tcPr>
            <w:tcW w:w="20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50"/>
        </w:trPr>
        <w:tc>
          <w:tcPr>
            <w:tcW w:w="322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20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color w:val="auto"/>
              </w:rPr>
              <w:t>BAH</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90" w:lineRule="exact"/>
        <w:rPr>
          <w:sz w:val="24"/>
          <w:szCs w:val="24"/>
          <w:color w:val="auto"/>
        </w:rPr>
      </w:pPr>
    </w:p>
    <w:p>
      <w:pPr>
        <w:ind w:right="1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2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35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spacing w:after="0"/>
              <w:rPr>
                <w:sz w:val="22"/>
                <w:szCs w:val="22"/>
                <w:color w:val="auto"/>
              </w:rPr>
            </w:pPr>
          </w:p>
        </w:tc>
        <w:tc>
          <w:tcPr>
            <w:tcW w:w="5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64"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5820" w:type="dxa"/>
            <w:vAlign w:val="bottom"/>
            <w:gridSpan w:val="2"/>
          </w:tcPr>
          <w:p>
            <w:pPr>
              <w:jc w:val="center"/>
              <w:ind w:left="2842"/>
              <w:spacing w:after="0"/>
              <w:rPr>
                <w:sz w:val="20"/>
                <w:szCs w:val="20"/>
                <w:color w:val="auto"/>
              </w:rPr>
            </w:pPr>
            <w:r>
              <w:rPr>
                <w:rFonts w:ascii="Times New Roman" w:cs="Times New Roman" w:eastAsia="Times New Roman" w:hAnsi="Times New Roman"/>
                <w:sz w:val="14"/>
                <w:szCs w:val="14"/>
                <w:b w:val="1"/>
                <w:bCs w:val="1"/>
                <w:color w:val="auto"/>
              </w:rPr>
              <w:t>Shares Outstanding</w:t>
            </w:r>
          </w:p>
        </w:tc>
      </w:tr>
      <w:tr>
        <w:trPr>
          <w:trHeight w:val="189"/>
        </w:trPr>
        <w:tc>
          <w:tcPr>
            <w:tcW w:w="5420" w:type="dxa"/>
            <w:vAlign w:val="bottom"/>
          </w:tcPr>
          <w:p>
            <w:pPr>
              <w:spacing w:after="0"/>
              <w:rPr>
                <w:sz w:val="16"/>
                <w:szCs w:val="16"/>
                <w:color w:val="auto"/>
              </w:rPr>
            </w:pPr>
          </w:p>
        </w:tc>
        <w:tc>
          <w:tcPr>
            <w:tcW w:w="5820" w:type="dxa"/>
            <w:vAlign w:val="bottom"/>
            <w:gridSpan w:val="2"/>
          </w:tcPr>
          <w:p>
            <w:pPr>
              <w:jc w:val="center"/>
              <w:ind w:left="2822"/>
              <w:spacing w:after="0"/>
              <w:rPr>
                <w:sz w:val="20"/>
                <w:szCs w:val="20"/>
                <w:color w:val="auto"/>
              </w:rPr>
            </w:pPr>
            <w:r>
              <w:rPr>
                <w:rFonts w:ascii="Times New Roman" w:cs="Times New Roman" w:eastAsia="Times New Roman" w:hAnsi="Times New Roman"/>
                <w:sz w:val="14"/>
                <w:szCs w:val="14"/>
                <w:b w:val="1"/>
                <w:bCs w:val="1"/>
                <w:color w:val="auto"/>
              </w:rPr>
              <w:t>as of January 26, 2021</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5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137,706,170</w:t>
            </w:r>
          </w:p>
        </w:tc>
        <w:tc>
          <w:tcPr>
            <w:tcW w:w="360" w:type="dxa"/>
            <w:vAlign w:val="bottom"/>
          </w:tcPr>
          <w:p>
            <w:pPr>
              <w:spacing w:after="0"/>
              <w:rPr>
                <w:sz w:val="19"/>
                <w:szCs w:val="19"/>
                <w:color w:val="auto"/>
              </w:rPr>
            </w:pPr>
          </w:p>
        </w:tc>
      </w:tr>
      <w:tr>
        <w:trPr>
          <w:trHeight w:val="763"/>
        </w:trPr>
        <w:tc>
          <w:tcPr>
            <w:tcW w:w="54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80" w:type="dxa"/>
            <w:vAlign w:val="bottom"/>
            <w:gridSpan w:val="2"/>
            <w:vMerge w:val="restart"/>
          </w:tcPr>
          <w:p>
            <w:pPr>
              <w:ind w:left="2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PART I. Financial Information</w:t>
              </w:r>
            </w:hyperlink>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4"/>
        </w:trPr>
        <w:tc>
          <w:tcPr>
            <w:tcW w:w="10480" w:type="dxa"/>
            <w:vAlign w:val="bottom"/>
            <w:gridSpan w:val="2"/>
            <w:vMerge w:val="continue"/>
          </w:tcPr>
          <w:p>
            <w:pPr>
              <w:spacing w:after="0"/>
              <w:rPr>
                <w:sz w:val="18"/>
                <w:szCs w:val="18"/>
                <w:color w:val="auto"/>
              </w:rPr>
            </w:pPr>
          </w:p>
        </w:tc>
        <w:tc>
          <w:tcPr>
            <w:tcW w:w="740" w:type="dxa"/>
            <w:vAlign w:val="bottom"/>
            <w:tcBorders>
              <w:top w:val="single" w:sz="8" w:color="auto"/>
            </w:tcBorders>
          </w:tcPr>
          <w:p>
            <w:pPr>
              <w:jc w:val="right"/>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140" w:type="dxa"/>
            <w:vAlign w:val="bottom"/>
          </w:tcPr>
          <w:p>
            <w:pPr>
              <w:ind w:left="240"/>
              <w:spacing w:after="0"/>
              <w:rPr>
                <w:rFonts w:ascii="Times New Roman" w:cs="Times New Roman" w:eastAsia="Times New Roman" w:hAnsi="Times New Roman"/>
                <w:sz w:val="18"/>
                <w:szCs w:val="18"/>
                <w:b w:val="1"/>
                <w:bCs w:val="1"/>
                <w:u w:val="single" w:color="auto"/>
                <w:color w:val="0000FF"/>
              </w:rPr>
            </w:pPr>
            <w:hyperlink w:anchor="page4">
              <w:r>
                <w:rPr>
                  <w:rFonts w:ascii="Times New Roman" w:cs="Times New Roman" w:eastAsia="Times New Roman" w:hAnsi="Times New Roman"/>
                  <w:sz w:val="18"/>
                  <w:szCs w:val="18"/>
                  <w:b w:val="1"/>
                  <w:bCs w:val="1"/>
                  <w:u w:val="single" w:color="auto"/>
                  <w:color w:val="0000FF"/>
                </w:rPr>
                <w:t>Financial Statements</w:t>
              </w:r>
            </w:hyperlink>
          </w:p>
        </w:tc>
        <w:tc>
          <w:tcPr>
            <w:tcW w:w="7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4">
              <w:r>
                <w:rPr>
                  <w:rFonts w:ascii="Times New Roman" w:cs="Times New Roman" w:eastAsia="Times New Roman" w:hAnsi="Times New Roman"/>
                  <w:sz w:val="18"/>
                  <w:szCs w:val="18"/>
                  <w:b w:val="1"/>
                  <w:bCs w:val="1"/>
                  <w:u w:val="single" w:color="auto"/>
                  <w:color w:val="0000FF"/>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140" w:type="dxa"/>
            <w:vAlign w:val="bottom"/>
          </w:tcPr>
          <w:p>
            <w:pPr>
              <w:ind w:left="240"/>
              <w:spacing w:after="0"/>
              <w:rPr>
                <w:rFonts w:ascii="Times New Roman" w:cs="Times New Roman" w:eastAsia="Times New Roman" w:hAnsi="Times New Roman"/>
                <w:sz w:val="18"/>
                <w:szCs w:val="18"/>
                <w:b w:val="1"/>
                <w:bCs w:val="1"/>
                <w:u w:val="single" w:color="auto"/>
                <w:color w:val="0000FF"/>
              </w:rPr>
            </w:pPr>
            <w:hyperlink w:anchor="page30">
              <w:r>
                <w:rPr>
                  <w:rFonts w:ascii="Times New Roman" w:cs="Times New Roman" w:eastAsia="Times New Roman" w:hAnsi="Times New Roman"/>
                  <w:sz w:val="18"/>
                  <w:szCs w:val="18"/>
                  <w:b w:val="1"/>
                  <w:bCs w:val="1"/>
                  <w:u w:val="single" w:color="auto"/>
                  <w:color w:val="0000FF"/>
                </w:rPr>
                <w:t>Management's Discussion and Analysis of Financial Condition and Results of Operations</w:t>
              </w:r>
            </w:hyperlink>
          </w:p>
        </w:tc>
        <w:tc>
          <w:tcPr>
            <w:tcW w:w="7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30">
              <w:r>
                <w:rPr>
                  <w:rFonts w:ascii="Times New Roman" w:cs="Times New Roman" w:eastAsia="Times New Roman" w:hAnsi="Times New Roman"/>
                  <w:sz w:val="18"/>
                  <w:szCs w:val="18"/>
                  <w:b w:val="1"/>
                  <w:bCs w:val="1"/>
                  <w:u w:val="single" w:color="auto"/>
                  <w:color w:val="0000FF"/>
                </w:rPr>
                <w:t>26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140" w:type="dxa"/>
            <w:vAlign w:val="bottom"/>
          </w:tcPr>
          <w:p>
            <w:pPr>
              <w:ind w:left="240"/>
              <w:spacing w:after="0"/>
              <w:rPr>
                <w:rFonts w:ascii="Times New Roman" w:cs="Times New Roman" w:eastAsia="Times New Roman" w:hAnsi="Times New Roman"/>
                <w:sz w:val="18"/>
                <w:szCs w:val="18"/>
                <w:b w:val="1"/>
                <w:bCs w:val="1"/>
                <w:u w:val="single" w:color="auto"/>
                <w:color w:val="0000FF"/>
              </w:rPr>
            </w:pPr>
            <w:hyperlink w:anchor="page49">
              <w:r>
                <w:rPr>
                  <w:rFonts w:ascii="Times New Roman" w:cs="Times New Roman" w:eastAsia="Times New Roman" w:hAnsi="Times New Roman"/>
                  <w:sz w:val="18"/>
                  <w:szCs w:val="18"/>
                  <w:b w:val="1"/>
                  <w:bCs w:val="1"/>
                  <w:u w:val="single" w:color="auto"/>
                  <w:color w:val="0000FF"/>
                </w:rPr>
                <w:t>Quantitative and Qualitative Disclosures About Market Risk</w:t>
              </w:r>
            </w:hyperlink>
          </w:p>
        </w:tc>
        <w:tc>
          <w:tcPr>
            <w:tcW w:w="7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49">
              <w:r>
                <w:rPr>
                  <w:rFonts w:ascii="Times New Roman" w:cs="Times New Roman" w:eastAsia="Times New Roman" w:hAnsi="Times New Roman"/>
                  <w:sz w:val="18"/>
                  <w:szCs w:val="18"/>
                  <w:b w:val="1"/>
                  <w:bCs w:val="1"/>
                  <w:u w:val="single" w:color="auto"/>
                  <w:color w:val="0000FF"/>
                </w:rPr>
                <w:t>45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140" w:type="dxa"/>
            <w:vAlign w:val="bottom"/>
          </w:tcPr>
          <w:p>
            <w:pPr>
              <w:ind w:left="240"/>
              <w:spacing w:after="0"/>
              <w:rPr>
                <w:rFonts w:ascii="Times New Roman" w:cs="Times New Roman" w:eastAsia="Times New Roman" w:hAnsi="Times New Roman"/>
                <w:sz w:val="18"/>
                <w:szCs w:val="18"/>
                <w:b w:val="1"/>
                <w:bCs w:val="1"/>
                <w:u w:val="single" w:color="auto"/>
                <w:color w:val="0000FF"/>
              </w:rPr>
            </w:pPr>
            <w:hyperlink w:anchor="page49">
              <w:r>
                <w:rPr>
                  <w:rFonts w:ascii="Times New Roman" w:cs="Times New Roman" w:eastAsia="Times New Roman" w:hAnsi="Times New Roman"/>
                  <w:sz w:val="18"/>
                  <w:szCs w:val="18"/>
                  <w:b w:val="1"/>
                  <w:bCs w:val="1"/>
                  <w:u w:val="single" w:color="auto"/>
                  <w:color w:val="0000FF"/>
                </w:rPr>
                <w:t>Controls and Procedures</w:t>
              </w:r>
            </w:hyperlink>
          </w:p>
        </w:tc>
        <w:tc>
          <w:tcPr>
            <w:tcW w:w="7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49">
              <w:r>
                <w:rPr>
                  <w:rFonts w:ascii="Times New Roman" w:cs="Times New Roman" w:eastAsia="Times New Roman" w:hAnsi="Times New Roman"/>
                  <w:sz w:val="18"/>
                  <w:szCs w:val="18"/>
                  <w:b w:val="1"/>
                  <w:bCs w:val="1"/>
                  <w:u w:val="single" w:color="auto"/>
                  <w:color w:val="0000FF"/>
                </w:rPr>
                <w:t>45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49">
              <w:r>
                <w:rPr>
                  <w:rFonts w:ascii="Times New Roman" w:cs="Times New Roman" w:eastAsia="Times New Roman" w:hAnsi="Times New Roman"/>
                  <w:sz w:val="18"/>
                  <w:szCs w:val="18"/>
                  <w:b w:val="1"/>
                  <w:bCs w:val="1"/>
                  <w:u w:val="single" w:color="auto"/>
                  <w:color w:val="0000FF"/>
                </w:rPr>
                <w:t>PART II. Other Information</w:t>
              </w:r>
            </w:hyperlink>
          </w:p>
        </w:tc>
        <w:tc>
          <w:tcPr>
            <w:tcW w:w="7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49">
              <w:r>
                <w:rPr>
                  <w:rFonts w:ascii="Times New Roman" w:cs="Times New Roman" w:eastAsia="Times New Roman" w:hAnsi="Times New Roman"/>
                  <w:sz w:val="18"/>
                  <w:szCs w:val="18"/>
                  <w:b w:val="1"/>
                  <w:bCs w:val="1"/>
                  <w:u w:val="single" w:color="auto"/>
                  <w:color w:val="0000FF"/>
                </w:rPr>
                <w:t>46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140" w:type="dxa"/>
            <w:vAlign w:val="bottom"/>
          </w:tcPr>
          <w:p>
            <w:pPr>
              <w:ind w:left="240"/>
              <w:spacing w:after="0"/>
              <w:rPr>
                <w:rFonts w:ascii="Times New Roman" w:cs="Times New Roman" w:eastAsia="Times New Roman" w:hAnsi="Times New Roman"/>
                <w:sz w:val="18"/>
                <w:szCs w:val="18"/>
                <w:b w:val="1"/>
                <w:bCs w:val="1"/>
                <w:u w:val="single" w:color="auto"/>
                <w:color w:val="0000FF"/>
              </w:rPr>
            </w:pPr>
            <w:hyperlink w:anchor="page50">
              <w:r>
                <w:rPr>
                  <w:rFonts w:ascii="Times New Roman" w:cs="Times New Roman" w:eastAsia="Times New Roman" w:hAnsi="Times New Roman"/>
                  <w:sz w:val="18"/>
                  <w:szCs w:val="18"/>
                  <w:b w:val="1"/>
                  <w:bCs w:val="1"/>
                  <w:u w:val="single" w:color="auto"/>
                  <w:color w:val="0000FF"/>
                </w:rPr>
                <w:t>Legal Proceedings</w:t>
              </w:r>
            </w:hyperlink>
          </w:p>
        </w:tc>
        <w:tc>
          <w:tcPr>
            <w:tcW w:w="7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50">
              <w:r>
                <w:rPr>
                  <w:rFonts w:ascii="Times New Roman" w:cs="Times New Roman" w:eastAsia="Times New Roman" w:hAnsi="Times New Roman"/>
                  <w:sz w:val="18"/>
                  <w:szCs w:val="18"/>
                  <w:b w:val="1"/>
                  <w:bCs w:val="1"/>
                  <w:u w:val="single" w:color="auto"/>
                  <w:color w:val="0000FF"/>
                </w:rPr>
                <w:t>46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140" w:type="dxa"/>
            <w:vAlign w:val="bottom"/>
          </w:tcPr>
          <w:p>
            <w:pPr>
              <w:ind w:left="240"/>
              <w:spacing w:after="0"/>
              <w:rPr>
                <w:rFonts w:ascii="Times New Roman" w:cs="Times New Roman" w:eastAsia="Times New Roman" w:hAnsi="Times New Roman"/>
                <w:sz w:val="18"/>
                <w:szCs w:val="18"/>
                <w:b w:val="1"/>
                <w:bCs w:val="1"/>
                <w:u w:val="single" w:color="auto"/>
                <w:color w:val="0000FF"/>
              </w:rPr>
            </w:pPr>
            <w:hyperlink w:anchor="page50">
              <w:r>
                <w:rPr>
                  <w:rFonts w:ascii="Times New Roman" w:cs="Times New Roman" w:eastAsia="Times New Roman" w:hAnsi="Times New Roman"/>
                  <w:sz w:val="18"/>
                  <w:szCs w:val="18"/>
                  <w:b w:val="1"/>
                  <w:bCs w:val="1"/>
                  <w:u w:val="single" w:color="auto"/>
                  <w:color w:val="0000FF"/>
                </w:rPr>
                <w:t>Risk Factors</w:t>
              </w:r>
            </w:hyperlink>
          </w:p>
        </w:tc>
        <w:tc>
          <w:tcPr>
            <w:tcW w:w="7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50">
              <w:r>
                <w:rPr>
                  <w:rFonts w:ascii="Times New Roman" w:cs="Times New Roman" w:eastAsia="Times New Roman" w:hAnsi="Times New Roman"/>
                  <w:sz w:val="18"/>
                  <w:szCs w:val="18"/>
                  <w:b w:val="1"/>
                  <w:bCs w:val="1"/>
                  <w:u w:val="single" w:color="auto"/>
                  <w:color w:val="0000FF"/>
                </w:rPr>
                <w:t>47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140" w:type="dxa"/>
            <w:vAlign w:val="bottom"/>
          </w:tcPr>
          <w:p>
            <w:pPr>
              <w:ind w:left="240"/>
              <w:spacing w:after="0"/>
              <w:rPr>
                <w:rFonts w:ascii="Times New Roman" w:cs="Times New Roman" w:eastAsia="Times New Roman" w:hAnsi="Times New Roman"/>
                <w:sz w:val="18"/>
                <w:szCs w:val="18"/>
                <w:b w:val="1"/>
                <w:bCs w:val="1"/>
                <w:u w:val="single" w:color="auto"/>
                <w:color w:val="0000FF"/>
              </w:rPr>
            </w:pPr>
            <w:hyperlink w:anchor="page51">
              <w:r>
                <w:rPr>
                  <w:rFonts w:ascii="Times New Roman" w:cs="Times New Roman" w:eastAsia="Times New Roman" w:hAnsi="Times New Roman"/>
                  <w:sz w:val="18"/>
                  <w:szCs w:val="18"/>
                  <w:b w:val="1"/>
                  <w:bCs w:val="1"/>
                  <w:u w:val="single" w:color="auto"/>
                  <w:color w:val="0000FF"/>
                </w:rPr>
                <w:t>Unregistered Sales of Equity Securities and Use of Proceeds</w:t>
              </w:r>
            </w:hyperlink>
          </w:p>
        </w:tc>
        <w:tc>
          <w:tcPr>
            <w:tcW w:w="7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51">
              <w:r>
                <w:rPr>
                  <w:rFonts w:ascii="Times New Roman" w:cs="Times New Roman" w:eastAsia="Times New Roman" w:hAnsi="Times New Roman"/>
                  <w:sz w:val="18"/>
                  <w:szCs w:val="18"/>
                  <w:b w:val="1"/>
                  <w:bCs w:val="1"/>
                  <w:u w:val="single" w:color="auto"/>
                  <w:color w:val="0000FF"/>
                </w:rPr>
                <w:t>47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140" w:type="dxa"/>
            <w:vAlign w:val="bottom"/>
          </w:tcPr>
          <w:p>
            <w:pPr>
              <w:ind w:left="240"/>
              <w:spacing w:after="0"/>
              <w:rPr>
                <w:rFonts w:ascii="Times New Roman" w:cs="Times New Roman" w:eastAsia="Times New Roman" w:hAnsi="Times New Roman"/>
                <w:sz w:val="18"/>
                <w:szCs w:val="18"/>
                <w:b w:val="1"/>
                <w:bCs w:val="1"/>
                <w:u w:val="single" w:color="auto"/>
                <w:color w:val="0000FF"/>
              </w:rPr>
            </w:pPr>
            <w:hyperlink w:anchor="page51">
              <w:r>
                <w:rPr>
                  <w:rFonts w:ascii="Times New Roman" w:cs="Times New Roman" w:eastAsia="Times New Roman" w:hAnsi="Times New Roman"/>
                  <w:sz w:val="18"/>
                  <w:szCs w:val="18"/>
                  <w:b w:val="1"/>
                  <w:bCs w:val="1"/>
                  <w:u w:val="single" w:color="auto"/>
                  <w:color w:val="0000FF"/>
                </w:rPr>
                <w:t>Defaults Upon Senior Securities</w:t>
              </w:r>
            </w:hyperlink>
          </w:p>
        </w:tc>
        <w:tc>
          <w:tcPr>
            <w:tcW w:w="7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51">
              <w:r>
                <w:rPr>
                  <w:rFonts w:ascii="Times New Roman" w:cs="Times New Roman" w:eastAsia="Times New Roman" w:hAnsi="Times New Roman"/>
                  <w:sz w:val="18"/>
                  <w:szCs w:val="18"/>
                  <w:b w:val="1"/>
                  <w:bCs w:val="1"/>
                  <w:u w:val="single" w:color="auto"/>
                  <w:color w:val="0000FF"/>
                </w:rPr>
                <w:t>47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140" w:type="dxa"/>
            <w:vAlign w:val="bottom"/>
          </w:tcPr>
          <w:p>
            <w:pPr>
              <w:ind w:left="240"/>
              <w:spacing w:after="0"/>
              <w:rPr>
                <w:rFonts w:ascii="Times New Roman" w:cs="Times New Roman" w:eastAsia="Times New Roman" w:hAnsi="Times New Roman"/>
                <w:sz w:val="18"/>
                <w:szCs w:val="18"/>
                <w:b w:val="1"/>
                <w:bCs w:val="1"/>
                <w:u w:val="single" w:color="auto"/>
                <w:color w:val="0000FF"/>
              </w:rPr>
            </w:pPr>
            <w:hyperlink w:anchor="page51">
              <w:r>
                <w:rPr>
                  <w:rFonts w:ascii="Times New Roman" w:cs="Times New Roman" w:eastAsia="Times New Roman" w:hAnsi="Times New Roman"/>
                  <w:sz w:val="18"/>
                  <w:szCs w:val="18"/>
                  <w:b w:val="1"/>
                  <w:bCs w:val="1"/>
                  <w:u w:val="single" w:color="auto"/>
                  <w:color w:val="0000FF"/>
                </w:rPr>
                <w:t>Mine Safety Disclosures</w:t>
              </w:r>
            </w:hyperlink>
          </w:p>
        </w:tc>
        <w:tc>
          <w:tcPr>
            <w:tcW w:w="7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51">
              <w:r>
                <w:rPr>
                  <w:rFonts w:ascii="Times New Roman" w:cs="Times New Roman" w:eastAsia="Times New Roman" w:hAnsi="Times New Roman"/>
                  <w:sz w:val="18"/>
                  <w:szCs w:val="18"/>
                  <w:b w:val="1"/>
                  <w:bCs w:val="1"/>
                  <w:u w:val="single" w:color="auto"/>
                  <w:color w:val="0000FF"/>
                </w:rPr>
                <w:t>47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140" w:type="dxa"/>
            <w:vAlign w:val="bottom"/>
          </w:tcPr>
          <w:p>
            <w:pPr>
              <w:ind w:left="240"/>
              <w:spacing w:after="0"/>
              <w:rPr>
                <w:rFonts w:ascii="Times New Roman" w:cs="Times New Roman" w:eastAsia="Times New Roman" w:hAnsi="Times New Roman"/>
                <w:sz w:val="18"/>
                <w:szCs w:val="18"/>
                <w:b w:val="1"/>
                <w:bCs w:val="1"/>
                <w:u w:val="single" w:color="auto"/>
                <w:color w:val="0000FF"/>
              </w:rPr>
            </w:pPr>
            <w:hyperlink w:anchor="page51">
              <w:r>
                <w:rPr>
                  <w:rFonts w:ascii="Times New Roman" w:cs="Times New Roman" w:eastAsia="Times New Roman" w:hAnsi="Times New Roman"/>
                  <w:sz w:val="18"/>
                  <w:szCs w:val="18"/>
                  <w:b w:val="1"/>
                  <w:bCs w:val="1"/>
                  <w:u w:val="single" w:color="auto"/>
                  <w:color w:val="0000FF"/>
                </w:rPr>
                <w:t>Other Information</w:t>
              </w:r>
            </w:hyperlink>
          </w:p>
        </w:tc>
        <w:tc>
          <w:tcPr>
            <w:tcW w:w="7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51">
              <w:r>
                <w:rPr>
                  <w:rFonts w:ascii="Times New Roman" w:cs="Times New Roman" w:eastAsia="Times New Roman" w:hAnsi="Times New Roman"/>
                  <w:sz w:val="18"/>
                  <w:szCs w:val="18"/>
                  <w:b w:val="1"/>
                  <w:bCs w:val="1"/>
                  <w:u w:val="single" w:color="auto"/>
                  <w:color w:val="0000FF"/>
                </w:rPr>
                <w:t>47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140" w:type="dxa"/>
            <w:vAlign w:val="bottom"/>
          </w:tcPr>
          <w:p>
            <w:pPr>
              <w:ind w:left="240"/>
              <w:spacing w:after="0"/>
              <w:rPr>
                <w:rFonts w:ascii="Times New Roman" w:cs="Times New Roman" w:eastAsia="Times New Roman" w:hAnsi="Times New Roman"/>
                <w:sz w:val="18"/>
                <w:szCs w:val="18"/>
                <w:b w:val="1"/>
                <w:bCs w:val="1"/>
                <w:u w:val="single" w:color="auto"/>
                <w:color w:val="0000FF"/>
              </w:rPr>
            </w:pPr>
            <w:hyperlink w:anchor="page51">
              <w:r>
                <w:rPr>
                  <w:rFonts w:ascii="Times New Roman" w:cs="Times New Roman" w:eastAsia="Times New Roman" w:hAnsi="Times New Roman"/>
                  <w:sz w:val="18"/>
                  <w:szCs w:val="18"/>
                  <w:b w:val="1"/>
                  <w:bCs w:val="1"/>
                  <w:u w:val="single" w:color="auto"/>
                  <w:color w:val="0000FF"/>
                </w:rPr>
                <w:t>Exhibits</w:t>
              </w:r>
            </w:hyperlink>
          </w:p>
        </w:tc>
        <w:tc>
          <w:tcPr>
            <w:tcW w:w="7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51">
              <w:r>
                <w:rPr>
                  <w:rFonts w:ascii="Times New Roman" w:cs="Times New Roman" w:eastAsia="Times New Roman" w:hAnsi="Times New Roman"/>
                  <w:sz w:val="18"/>
                  <w:szCs w:val="18"/>
                  <w:b w:val="1"/>
                  <w:bCs w:val="1"/>
                  <w:u w:val="single" w:color="auto"/>
                  <w:color w:val="0000FF"/>
                </w:rPr>
                <w:t>48</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2"/>
        </w:trPr>
        <w:tc>
          <w:tcPr>
            <w:tcW w:w="1340" w:type="dxa"/>
            <w:vAlign w:val="bottom"/>
            <w:tcBorders>
              <w:bottom w:val="single" w:sz="8" w:color="9A9A9A"/>
            </w:tcBorders>
          </w:tcPr>
          <w:p>
            <w:pPr>
              <w:spacing w:after="0"/>
              <w:rPr>
                <w:sz w:val="24"/>
                <w:szCs w:val="24"/>
                <w:color w:val="auto"/>
              </w:rPr>
            </w:pPr>
          </w:p>
        </w:tc>
        <w:tc>
          <w:tcPr>
            <w:tcW w:w="9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ab/>
        <w:t>Financial Statements</w:t>
      </w:r>
    </w:p>
    <w:p>
      <w:pPr>
        <w:spacing w:after="0" w:line="2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INDEX TO THE UNAUDITED CONDENSED CONSOLIDATED FINANCIAL STATEMENTS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12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4"/>
        </w:trPr>
        <w:tc>
          <w:tcPr>
            <w:tcW w:w="10040" w:type="dxa"/>
            <w:vAlign w:val="bottom"/>
            <w:gridSpan w:val="3"/>
          </w:tcPr>
          <w:p>
            <w:pPr>
              <w:ind w:left="1000"/>
              <w:spacing w:after="0"/>
              <w:rPr>
                <w:rFonts w:ascii="Times New Roman" w:cs="Times New Roman" w:eastAsia="Times New Roman" w:hAnsi="Times New Roman"/>
                <w:sz w:val="18"/>
                <w:szCs w:val="18"/>
                <w:b w:val="1"/>
                <w:bCs w:val="1"/>
                <w:u w:val="single" w:color="auto"/>
                <w:color w:val="0000FF"/>
              </w:rPr>
            </w:pPr>
            <w:hyperlink w:anchor="page4">
              <w:r>
                <w:rPr>
                  <w:rFonts w:ascii="Times New Roman" w:cs="Times New Roman" w:eastAsia="Times New Roman" w:hAnsi="Times New Roman"/>
                  <w:sz w:val="18"/>
                  <w:szCs w:val="18"/>
                  <w:b w:val="1"/>
                  <w:bCs w:val="1"/>
                  <w:u w:val="single" w:color="auto"/>
                  <w:color w:val="0000FF"/>
                </w:rPr>
                <w:t>Condensed Consolidated Balance Sheets</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88"/>
              </w:rPr>
            </w:pPr>
            <w:hyperlink w:anchor="page4">
              <w:r>
                <w:rPr>
                  <w:rFonts w:ascii="Times New Roman" w:cs="Times New Roman" w:eastAsia="Times New Roman" w:hAnsi="Times New Roman"/>
                  <w:sz w:val="18"/>
                  <w:szCs w:val="18"/>
                  <w:b w:val="1"/>
                  <w:bCs w:val="1"/>
                  <w:u w:val="single" w:color="auto"/>
                  <w:color w:val="0000FF"/>
                  <w:w w:val="88"/>
                </w:rPr>
                <w:t>1</w:t>
              </w:r>
            </w:hyperlink>
          </w:p>
        </w:tc>
      </w:tr>
      <w:tr>
        <w:trPr>
          <w:trHeight w:val="229"/>
        </w:trPr>
        <w:tc>
          <w:tcPr>
            <w:tcW w:w="10040" w:type="dxa"/>
            <w:vAlign w:val="bottom"/>
            <w:gridSpan w:val="3"/>
          </w:tcPr>
          <w:p>
            <w:pPr>
              <w:ind w:left="1000"/>
              <w:spacing w:after="0"/>
              <w:rPr>
                <w:rFonts w:ascii="Times New Roman" w:cs="Times New Roman" w:eastAsia="Times New Roman" w:hAnsi="Times New Roman"/>
                <w:sz w:val="18"/>
                <w:szCs w:val="18"/>
                <w:b w:val="1"/>
                <w:bCs w:val="1"/>
                <w:u w:val="single" w:color="auto"/>
                <w:color w:val="0000FF"/>
              </w:rPr>
            </w:pPr>
            <w:hyperlink w:anchor="page5">
              <w:r>
                <w:rPr>
                  <w:rFonts w:ascii="Times New Roman" w:cs="Times New Roman" w:eastAsia="Times New Roman" w:hAnsi="Times New Roman"/>
                  <w:sz w:val="18"/>
                  <w:szCs w:val="18"/>
                  <w:b w:val="1"/>
                  <w:bCs w:val="1"/>
                  <w:u w:val="single" w:color="auto"/>
                  <w:color w:val="0000FF"/>
                </w:rPr>
                <w:t>Condensed Consolidated Statements of Operations</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88"/>
              </w:rPr>
            </w:pPr>
            <w:hyperlink w:anchor="page5">
              <w:r>
                <w:rPr>
                  <w:rFonts w:ascii="Times New Roman" w:cs="Times New Roman" w:eastAsia="Times New Roman" w:hAnsi="Times New Roman"/>
                  <w:sz w:val="18"/>
                  <w:szCs w:val="18"/>
                  <w:b w:val="1"/>
                  <w:bCs w:val="1"/>
                  <w:u w:val="single" w:color="auto"/>
                  <w:color w:val="0000FF"/>
                  <w:w w:val="88"/>
                </w:rPr>
                <w:t>2</w:t>
              </w:r>
            </w:hyperlink>
          </w:p>
        </w:tc>
      </w:tr>
      <w:tr>
        <w:trPr>
          <w:trHeight w:val="230"/>
        </w:trPr>
        <w:tc>
          <w:tcPr>
            <w:tcW w:w="10040" w:type="dxa"/>
            <w:vAlign w:val="bottom"/>
            <w:gridSpan w:val="3"/>
          </w:tcPr>
          <w:p>
            <w:pPr>
              <w:ind w:left="1000"/>
              <w:spacing w:after="0"/>
              <w:rPr>
                <w:rFonts w:ascii="Times New Roman" w:cs="Times New Roman" w:eastAsia="Times New Roman" w:hAnsi="Times New Roman"/>
                <w:sz w:val="18"/>
                <w:szCs w:val="18"/>
                <w:b w:val="1"/>
                <w:bCs w:val="1"/>
                <w:u w:val="single" w:color="auto"/>
                <w:color w:val="0000FF"/>
              </w:rPr>
            </w:pPr>
            <w:hyperlink w:anchor="page6">
              <w:r>
                <w:rPr>
                  <w:rFonts w:ascii="Times New Roman" w:cs="Times New Roman" w:eastAsia="Times New Roman" w:hAnsi="Times New Roman"/>
                  <w:sz w:val="18"/>
                  <w:szCs w:val="18"/>
                  <w:b w:val="1"/>
                  <w:bCs w:val="1"/>
                  <w:u w:val="single" w:color="auto"/>
                  <w:color w:val="0000FF"/>
                </w:rPr>
                <w:t>Condensed Consolidated Statements of Comprehensive Income</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88"/>
              </w:rPr>
            </w:pPr>
            <w:hyperlink w:anchor="page6">
              <w:r>
                <w:rPr>
                  <w:rFonts w:ascii="Times New Roman" w:cs="Times New Roman" w:eastAsia="Times New Roman" w:hAnsi="Times New Roman"/>
                  <w:sz w:val="18"/>
                  <w:szCs w:val="18"/>
                  <w:b w:val="1"/>
                  <w:bCs w:val="1"/>
                  <w:u w:val="single" w:color="auto"/>
                  <w:color w:val="0000FF"/>
                  <w:w w:val="88"/>
                </w:rPr>
                <w:t>3</w:t>
              </w:r>
            </w:hyperlink>
          </w:p>
        </w:tc>
      </w:tr>
      <w:tr>
        <w:trPr>
          <w:trHeight w:val="229"/>
        </w:trPr>
        <w:tc>
          <w:tcPr>
            <w:tcW w:w="10040" w:type="dxa"/>
            <w:vAlign w:val="bottom"/>
            <w:gridSpan w:val="3"/>
          </w:tcPr>
          <w:p>
            <w:pPr>
              <w:ind w:left="1000"/>
              <w:spacing w:after="0"/>
              <w:rPr>
                <w:rFonts w:ascii="Times New Roman" w:cs="Times New Roman" w:eastAsia="Times New Roman" w:hAnsi="Times New Roman"/>
                <w:sz w:val="18"/>
                <w:szCs w:val="18"/>
                <w:b w:val="1"/>
                <w:bCs w:val="1"/>
                <w:u w:val="single" w:color="auto"/>
                <w:color w:val="0000FF"/>
              </w:rPr>
            </w:pPr>
            <w:hyperlink w:anchor="page7">
              <w:r>
                <w:rPr>
                  <w:rFonts w:ascii="Times New Roman" w:cs="Times New Roman" w:eastAsia="Times New Roman" w:hAnsi="Times New Roman"/>
                  <w:sz w:val="18"/>
                  <w:szCs w:val="18"/>
                  <w:b w:val="1"/>
                  <w:bCs w:val="1"/>
                  <w:u w:val="single" w:color="auto"/>
                  <w:color w:val="0000FF"/>
                </w:rPr>
                <w:t>Condensed Consolidated Statements of Cash Flows</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88"/>
              </w:rPr>
            </w:pPr>
            <w:hyperlink w:anchor="page7">
              <w:r>
                <w:rPr>
                  <w:rFonts w:ascii="Times New Roman" w:cs="Times New Roman" w:eastAsia="Times New Roman" w:hAnsi="Times New Roman"/>
                  <w:sz w:val="18"/>
                  <w:szCs w:val="18"/>
                  <w:b w:val="1"/>
                  <w:bCs w:val="1"/>
                  <w:u w:val="single" w:color="auto"/>
                  <w:color w:val="0000FF"/>
                  <w:w w:val="88"/>
                </w:rPr>
                <w:t>4</w:t>
              </w:r>
            </w:hyperlink>
          </w:p>
        </w:tc>
      </w:tr>
      <w:tr>
        <w:trPr>
          <w:trHeight w:val="229"/>
        </w:trPr>
        <w:tc>
          <w:tcPr>
            <w:tcW w:w="10040" w:type="dxa"/>
            <w:vAlign w:val="bottom"/>
            <w:gridSpan w:val="3"/>
          </w:tcPr>
          <w:p>
            <w:pPr>
              <w:ind w:left="1000"/>
              <w:spacing w:after="0"/>
              <w:rPr>
                <w:rFonts w:ascii="Times New Roman" w:cs="Times New Roman" w:eastAsia="Times New Roman" w:hAnsi="Times New Roman"/>
                <w:sz w:val="18"/>
                <w:szCs w:val="18"/>
                <w:b w:val="1"/>
                <w:bCs w:val="1"/>
                <w:u w:val="single" w:color="auto"/>
                <w:color w:val="0000FF"/>
              </w:rPr>
            </w:pPr>
            <w:hyperlink w:anchor="page9">
              <w:r>
                <w:rPr>
                  <w:rFonts w:ascii="Times New Roman" w:cs="Times New Roman" w:eastAsia="Times New Roman" w:hAnsi="Times New Roman"/>
                  <w:sz w:val="18"/>
                  <w:szCs w:val="18"/>
                  <w:b w:val="1"/>
                  <w:bCs w:val="1"/>
                  <w:u w:val="single" w:color="auto"/>
                  <w:color w:val="0000FF"/>
                </w:rPr>
                <w:t>Condensed Consolidated Statement of Stockholders' Equity</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88"/>
              </w:rPr>
            </w:pPr>
            <w:hyperlink w:anchor="page9">
              <w:r>
                <w:rPr>
                  <w:rFonts w:ascii="Times New Roman" w:cs="Times New Roman" w:eastAsia="Times New Roman" w:hAnsi="Times New Roman"/>
                  <w:sz w:val="18"/>
                  <w:szCs w:val="18"/>
                  <w:b w:val="1"/>
                  <w:bCs w:val="1"/>
                  <w:u w:val="single" w:color="auto"/>
                  <w:color w:val="0000FF"/>
                  <w:w w:val="88"/>
                </w:rPr>
                <w:t>6</w:t>
              </w:r>
            </w:hyperlink>
          </w:p>
        </w:tc>
      </w:tr>
      <w:tr>
        <w:trPr>
          <w:trHeight w:val="230"/>
        </w:trPr>
        <w:tc>
          <w:tcPr>
            <w:tcW w:w="10040" w:type="dxa"/>
            <w:vAlign w:val="bottom"/>
            <w:gridSpan w:val="3"/>
          </w:tcPr>
          <w:p>
            <w:pPr>
              <w:ind w:left="1000"/>
              <w:spacing w:after="0"/>
              <w:rPr>
                <w:rFonts w:ascii="Times New Roman" w:cs="Times New Roman" w:eastAsia="Times New Roman" w:hAnsi="Times New Roman"/>
                <w:sz w:val="18"/>
                <w:szCs w:val="18"/>
                <w:b w:val="1"/>
                <w:bCs w:val="1"/>
                <w:u w:val="single" w:color="auto"/>
                <w:color w:val="0000FF"/>
              </w:rPr>
            </w:pPr>
            <w:hyperlink w:anchor="page11">
              <w:r>
                <w:rPr>
                  <w:rFonts w:ascii="Times New Roman" w:cs="Times New Roman" w:eastAsia="Times New Roman" w:hAnsi="Times New Roman"/>
                  <w:sz w:val="18"/>
                  <w:szCs w:val="18"/>
                  <w:b w:val="1"/>
                  <w:bCs w:val="1"/>
                  <w:u w:val="single" w:color="auto"/>
                  <w:color w:val="0000FF"/>
                </w:rPr>
                <w:t>Notes to Unaudited Condensed Consolidated Financial Statements</w:t>
              </w:r>
            </w:hyperlink>
          </w:p>
        </w:tc>
        <w:tc>
          <w:tcPr>
            <w:tcW w:w="1200" w:type="dxa"/>
            <w:vAlign w:val="bottom"/>
          </w:tcPr>
          <w:p>
            <w:pPr>
              <w:spacing w:after="0"/>
              <w:rPr>
                <w:sz w:val="19"/>
                <w:szCs w:val="19"/>
                <w:color w:val="auto"/>
              </w:rPr>
            </w:pPr>
          </w:p>
        </w:tc>
      </w:tr>
      <w:tr>
        <w:trPr>
          <w:trHeight w:val="229"/>
        </w:trPr>
        <w:tc>
          <w:tcPr>
            <w:tcW w:w="1480" w:type="dxa"/>
            <w:vAlign w:val="bottom"/>
          </w:tcPr>
          <w:p>
            <w:pPr>
              <w:ind w:left="1320"/>
              <w:spacing w:after="0"/>
              <w:rPr>
                <w:rFonts w:ascii="Times New Roman" w:cs="Times New Roman" w:eastAsia="Times New Roman" w:hAnsi="Times New Roman"/>
                <w:sz w:val="18"/>
                <w:szCs w:val="18"/>
                <w:b w:val="1"/>
                <w:bCs w:val="1"/>
                <w:u w:val="single" w:color="auto"/>
                <w:color w:val="0000FF"/>
              </w:rPr>
            </w:pPr>
            <w:hyperlink w:anchor="page11">
              <w:r>
                <w:rPr>
                  <w:rFonts w:ascii="Times New Roman" w:cs="Times New Roman" w:eastAsia="Times New Roman" w:hAnsi="Times New Roman"/>
                  <w:sz w:val="18"/>
                  <w:szCs w:val="18"/>
                  <w:b w:val="1"/>
                  <w:bCs w:val="1"/>
                  <w:u w:val="single" w:color="auto"/>
                  <w:color w:val="0000FF"/>
                </w:rPr>
                <w:t>1.</w:t>
              </w:r>
            </w:hyperlink>
          </w:p>
        </w:tc>
        <w:tc>
          <w:tcPr>
            <w:tcW w:w="856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11">
              <w:r>
                <w:rPr>
                  <w:rFonts w:ascii="Times New Roman" w:cs="Times New Roman" w:eastAsia="Times New Roman" w:hAnsi="Times New Roman"/>
                  <w:sz w:val="18"/>
                  <w:szCs w:val="18"/>
                  <w:b w:val="1"/>
                  <w:bCs w:val="1"/>
                  <w:u w:val="single" w:color="auto"/>
                  <w:color w:val="0000FF"/>
                </w:rPr>
                <w:t>Business Overview</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88"/>
              </w:rPr>
            </w:pPr>
            <w:hyperlink w:anchor="page11">
              <w:r>
                <w:rPr>
                  <w:rFonts w:ascii="Times New Roman" w:cs="Times New Roman" w:eastAsia="Times New Roman" w:hAnsi="Times New Roman"/>
                  <w:sz w:val="18"/>
                  <w:szCs w:val="18"/>
                  <w:b w:val="1"/>
                  <w:bCs w:val="1"/>
                  <w:u w:val="single" w:color="auto"/>
                  <w:color w:val="0000FF"/>
                  <w:w w:val="88"/>
                </w:rPr>
                <w:t>8</w:t>
              </w:r>
            </w:hyperlink>
          </w:p>
        </w:tc>
      </w:tr>
      <w:tr>
        <w:trPr>
          <w:trHeight w:val="230"/>
        </w:trPr>
        <w:tc>
          <w:tcPr>
            <w:tcW w:w="1480" w:type="dxa"/>
            <w:vAlign w:val="bottom"/>
          </w:tcPr>
          <w:p>
            <w:pPr>
              <w:ind w:left="1320"/>
              <w:spacing w:after="0"/>
              <w:rPr>
                <w:rFonts w:ascii="Times New Roman" w:cs="Times New Roman" w:eastAsia="Times New Roman" w:hAnsi="Times New Roman"/>
                <w:sz w:val="18"/>
                <w:szCs w:val="18"/>
                <w:b w:val="1"/>
                <w:bCs w:val="1"/>
                <w:u w:val="single" w:color="auto"/>
                <w:color w:val="0000FF"/>
              </w:rPr>
            </w:pPr>
            <w:hyperlink w:anchor="page12">
              <w:r>
                <w:rPr>
                  <w:rFonts w:ascii="Times New Roman" w:cs="Times New Roman" w:eastAsia="Times New Roman" w:hAnsi="Times New Roman"/>
                  <w:sz w:val="18"/>
                  <w:szCs w:val="18"/>
                  <w:b w:val="1"/>
                  <w:bCs w:val="1"/>
                  <w:u w:val="single" w:color="auto"/>
                  <w:color w:val="0000FF"/>
                </w:rPr>
                <w:t>2.</w:t>
              </w:r>
            </w:hyperlink>
          </w:p>
        </w:tc>
        <w:tc>
          <w:tcPr>
            <w:tcW w:w="856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12">
              <w:r>
                <w:rPr>
                  <w:rFonts w:ascii="Times New Roman" w:cs="Times New Roman" w:eastAsia="Times New Roman" w:hAnsi="Times New Roman"/>
                  <w:sz w:val="18"/>
                  <w:szCs w:val="18"/>
                  <w:b w:val="1"/>
                  <w:bCs w:val="1"/>
                  <w:u w:val="single" w:color="auto"/>
                  <w:color w:val="0000FF"/>
                </w:rPr>
                <w:t>Basis of Presentation</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88"/>
              </w:rPr>
            </w:pPr>
            <w:hyperlink w:anchor="page12">
              <w:r>
                <w:rPr>
                  <w:rFonts w:ascii="Times New Roman" w:cs="Times New Roman" w:eastAsia="Times New Roman" w:hAnsi="Times New Roman"/>
                  <w:sz w:val="18"/>
                  <w:szCs w:val="18"/>
                  <w:b w:val="1"/>
                  <w:bCs w:val="1"/>
                  <w:u w:val="single" w:color="auto"/>
                  <w:color w:val="0000FF"/>
                  <w:w w:val="88"/>
                </w:rPr>
                <w:t>8</w:t>
              </w:r>
            </w:hyperlink>
          </w:p>
        </w:tc>
      </w:tr>
      <w:tr>
        <w:trPr>
          <w:trHeight w:val="229"/>
        </w:trPr>
        <w:tc>
          <w:tcPr>
            <w:tcW w:w="1480" w:type="dxa"/>
            <w:vAlign w:val="bottom"/>
          </w:tcPr>
          <w:p>
            <w:pPr>
              <w:ind w:left="1320"/>
              <w:spacing w:after="0"/>
              <w:rPr>
                <w:rFonts w:ascii="Times New Roman" w:cs="Times New Roman" w:eastAsia="Times New Roman" w:hAnsi="Times New Roman"/>
                <w:sz w:val="18"/>
                <w:szCs w:val="18"/>
                <w:b w:val="1"/>
                <w:bCs w:val="1"/>
                <w:u w:val="single" w:color="auto"/>
                <w:color w:val="0000FF"/>
              </w:rPr>
            </w:pPr>
            <w:hyperlink w:anchor="page13">
              <w:r>
                <w:rPr>
                  <w:rFonts w:ascii="Times New Roman" w:cs="Times New Roman" w:eastAsia="Times New Roman" w:hAnsi="Times New Roman"/>
                  <w:sz w:val="18"/>
                  <w:szCs w:val="18"/>
                  <w:b w:val="1"/>
                  <w:bCs w:val="1"/>
                  <w:u w:val="single" w:color="auto"/>
                  <w:color w:val="0000FF"/>
                </w:rPr>
                <w:t>3.</w:t>
              </w:r>
            </w:hyperlink>
          </w:p>
        </w:tc>
        <w:tc>
          <w:tcPr>
            <w:tcW w:w="856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13">
              <w:r>
                <w:rPr>
                  <w:rFonts w:ascii="Times New Roman" w:cs="Times New Roman" w:eastAsia="Times New Roman" w:hAnsi="Times New Roman"/>
                  <w:sz w:val="18"/>
                  <w:szCs w:val="18"/>
                  <w:b w:val="1"/>
                  <w:bCs w:val="1"/>
                  <w:u w:val="single" w:color="auto"/>
                  <w:color w:val="0000FF"/>
                </w:rPr>
                <w:t>Revenue</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88"/>
              </w:rPr>
            </w:pPr>
            <w:hyperlink w:anchor="page13">
              <w:r>
                <w:rPr>
                  <w:rFonts w:ascii="Times New Roman" w:cs="Times New Roman" w:eastAsia="Times New Roman" w:hAnsi="Times New Roman"/>
                  <w:sz w:val="18"/>
                  <w:szCs w:val="18"/>
                  <w:b w:val="1"/>
                  <w:bCs w:val="1"/>
                  <w:u w:val="single" w:color="auto"/>
                  <w:color w:val="0000FF"/>
                  <w:w w:val="88"/>
                </w:rPr>
                <w:t>9</w:t>
              </w:r>
            </w:hyperlink>
          </w:p>
        </w:tc>
      </w:tr>
      <w:tr>
        <w:trPr>
          <w:trHeight w:val="229"/>
        </w:trPr>
        <w:tc>
          <w:tcPr>
            <w:tcW w:w="1480" w:type="dxa"/>
            <w:vAlign w:val="bottom"/>
          </w:tcPr>
          <w:p>
            <w:pPr>
              <w:ind w:left="1320"/>
              <w:spacing w:after="0"/>
              <w:rPr>
                <w:rFonts w:ascii="Times New Roman" w:cs="Times New Roman" w:eastAsia="Times New Roman" w:hAnsi="Times New Roman"/>
                <w:sz w:val="18"/>
                <w:szCs w:val="18"/>
                <w:b w:val="1"/>
                <w:bCs w:val="1"/>
                <w:u w:val="single" w:color="auto"/>
                <w:color w:val="0000FF"/>
              </w:rPr>
            </w:pPr>
            <w:hyperlink w:anchor="page15">
              <w:r>
                <w:rPr>
                  <w:rFonts w:ascii="Times New Roman" w:cs="Times New Roman" w:eastAsia="Times New Roman" w:hAnsi="Times New Roman"/>
                  <w:sz w:val="18"/>
                  <w:szCs w:val="18"/>
                  <w:b w:val="1"/>
                  <w:bCs w:val="1"/>
                  <w:u w:val="single" w:color="auto"/>
                  <w:color w:val="0000FF"/>
                </w:rPr>
                <w:t>4.</w:t>
              </w:r>
            </w:hyperlink>
          </w:p>
        </w:tc>
        <w:tc>
          <w:tcPr>
            <w:tcW w:w="856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15">
              <w:r>
                <w:rPr>
                  <w:rFonts w:ascii="Times New Roman" w:cs="Times New Roman" w:eastAsia="Times New Roman" w:hAnsi="Times New Roman"/>
                  <w:sz w:val="18"/>
                  <w:szCs w:val="18"/>
                  <w:b w:val="1"/>
                  <w:bCs w:val="1"/>
                  <w:u w:val="single" w:color="auto"/>
                  <w:color w:val="0000FF"/>
                </w:rPr>
                <w:t>Earnings Per Share</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88"/>
              </w:rPr>
            </w:pPr>
            <w:hyperlink w:anchor="page15">
              <w:r>
                <w:rPr>
                  <w:rFonts w:ascii="Times New Roman" w:cs="Times New Roman" w:eastAsia="Times New Roman" w:hAnsi="Times New Roman"/>
                  <w:sz w:val="18"/>
                  <w:szCs w:val="18"/>
                  <w:b w:val="1"/>
                  <w:bCs w:val="1"/>
                  <w:u w:val="single" w:color="auto"/>
                  <w:color w:val="0000FF"/>
                  <w:w w:val="88"/>
                </w:rPr>
                <w:t>11</w:t>
              </w:r>
            </w:hyperlink>
          </w:p>
        </w:tc>
      </w:tr>
      <w:tr>
        <w:trPr>
          <w:trHeight w:val="230"/>
        </w:trPr>
        <w:tc>
          <w:tcPr>
            <w:tcW w:w="1480" w:type="dxa"/>
            <w:vAlign w:val="bottom"/>
          </w:tcPr>
          <w:p>
            <w:pPr>
              <w:ind w:left="1320"/>
              <w:spacing w:after="0"/>
              <w:rPr>
                <w:rFonts w:ascii="Times New Roman" w:cs="Times New Roman" w:eastAsia="Times New Roman" w:hAnsi="Times New Roman"/>
                <w:sz w:val="18"/>
                <w:szCs w:val="18"/>
                <w:b w:val="1"/>
                <w:bCs w:val="1"/>
                <w:u w:val="single" w:color="auto"/>
                <w:color w:val="0000FF"/>
              </w:rPr>
            </w:pPr>
            <w:hyperlink w:anchor="page16">
              <w:r>
                <w:rPr>
                  <w:rFonts w:ascii="Times New Roman" w:cs="Times New Roman" w:eastAsia="Times New Roman" w:hAnsi="Times New Roman"/>
                  <w:sz w:val="18"/>
                  <w:szCs w:val="18"/>
                  <w:b w:val="1"/>
                  <w:bCs w:val="1"/>
                  <w:u w:val="single" w:color="auto"/>
                  <w:color w:val="0000FF"/>
                </w:rPr>
                <w:t>5.</w:t>
              </w:r>
            </w:hyperlink>
          </w:p>
        </w:tc>
        <w:tc>
          <w:tcPr>
            <w:tcW w:w="856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16">
              <w:r>
                <w:rPr>
                  <w:rFonts w:ascii="Times New Roman" w:cs="Times New Roman" w:eastAsia="Times New Roman" w:hAnsi="Times New Roman"/>
                  <w:sz w:val="18"/>
                  <w:szCs w:val="18"/>
                  <w:b w:val="1"/>
                  <w:bCs w:val="1"/>
                  <w:u w:val="single" w:color="auto"/>
                  <w:color w:val="0000FF"/>
                </w:rPr>
                <w:t>Accounts Receivable, Net</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99"/>
              </w:rPr>
            </w:pPr>
            <w:hyperlink w:anchor="page16">
              <w:r>
                <w:rPr>
                  <w:rFonts w:ascii="Times New Roman" w:cs="Times New Roman" w:eastAsia="Times New Roman" w:hAnsi="Times New Roman"/>
                  <w:sz w:val="18"/>
                  <w:szCs w:val="18"/>
                  <w:b w:val="1"/>
                  <w:bCs w:val="1"/>
                  <w:u w:val="single" w:color="auto"/>
                  <w:color w:val="0000FF"/>
                  <w:w w:val="99"/>
                </w:rPr>
                <w:t>12</w:t>
              </w:r>
            </w:hyperlink>
          </w:p>
        </w:tc>
      </w:tr>
      <w:tr>
        <w:trPr>
          <w:trHeight w:val="229"/>
        </w:trPr>
        <w:tc>
          <w:tcPr>
            <w:tcW w:w="1480" w:type="dxa"/>
            <w:vAlign w:val="bottom"/>
          </w:tcPr>
          <w:p>
            <w:pPr>
              <w:ind w:left="1320"/>
              <w:spacing w:after="0"/>
              <w:rPr>
                <w:rFonts w:ascii="Times New Roman" w:cs="Times New Roman" w:eastAsia="Times New Roman" w:hAnsi="Times New Roman"/>
                <w:sz w:val="18"/>
                <w:szCs w:val="18"/>
                <w:b w:val="1"/>
                <w:bCs w:val="1"/>
                <w:u w:val="single" w:color="auto"/>
                <w:color w:val="0000FF"/>
              </w:rPr>
            </w:pPr>
            <w:hyperlink w:anchor="page17">
              <w:r>
                <w:rPr>
                  <w:rFonts w:ascii="Times New Roman" w:cs="Times New Roman" w:eastAsia="Times New Roman" w:hAnsi="Times New Roman"/>
                  <w:sz w:val="18"/>
                  <w:szCs w:val="18"/>
                  <w:b w:val="1"/>
                  <w:bCs w:val="1"/>
                  <w:u w:val="single" w:color="auto"/>
                  <w:color w:val="0000FF"/>
                </w:rPr>
                <w:t>6.</w:t>
              </w:r>
            </w:hyperlink>
          </w:p>
        </w:tc>
        <w:tc>
          <w:tcPr>
            <w:tcW w:w="856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17">
              <w:r>
                <w:rPr>
                  <w:rFonts w:ascii="Times New Roman" w:cs="Times New Roman" w:eastAsia="Times New Roman" w:hAnsi="Times New Roman"/>
                  <w:sz w:val="18"/>
                  <w:szCs w:val="18"/>
                  <w:b w:val="1"/>
                  <w:bCs w:val="1"/>
                  <w:u w:val="single" w:color="auto"/>
                  <w:color w:val="0000FF"/>
                </w:rPr>
                <w:t>Accounts Payable and Other Accrued Expenses</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99"/>
              </w:rPr>
            </w:pPr>
            <w:hyperlink w:anchor="page17">
              <w:r>
                <w:rPr>
                  <w:rFonts w:ascii="Times New Roman" w:cs="Times New Roman" w:eastAsia="Times New Roman" w:hAnsi="Times New Roman"/>
                  <w:sz w:val="18"/>
                  <w:szCs w:val="18"/>
                  <w:b w:val="1"/>
                  <w:bCs w:val="1"/>
                  <w:u w:val="single" w:color="auto"/>
                  <w:color w:val="0000FF"/>
                  <w:w w:val="99"/>
                </w:rPr>
                <w:t>13</w:t>
              </w:r>
            </w:hyperlink>
          </w:p>
        </w:tc>
      </w:tr>
      <w:tr>
        <w:trPr>
          <w:trHeight w:val="229"/>
        </w:trPr>
        <w:tc>
          <w:tcPr>
            <w:tcW w:w="1480" w:type="dxa"/>
            <w:vAlign w:val="bottom"/>
          </w:tcPr>
          <w:p>
            <w:pPr>
              <w:ind w:left="1320"/>
              <w:spacing w:after="0"/>
              <w:rPr>
                <w:rFonts w:ascii="Times New Roman" w:cs="Times New Roman" w:eastAsia="Times New Roman" w:hAnsi="Times New Roman"/>
                <w:sz w:val="18"/>
                <w:szCs w:val="18"/>
                <w:b w:val="1"/>
                <w:bCs w:val="1"/>
                <w:u w:val="single" w:color="auto"/>
                <w:color w:val="0000FF"/>
              </w:rPr>
            </w:pPr>
            <w:hyperlink w:anchor="page17">
              <w:r>
                <w:rPr>
                  <w:rFonts w:ascii="Times New Roman" w:cs="Times New Roman" w:eastAsia="Times New Roman" w:hAnsi="Times New Roman"/>
                  <w:sz w:val="18"/>
                  <w:szCs w:val="18"/>
                  <w:b w:val="1"/>
                  <w:bCs w:val="1"/>
                  <w:u w:val="single" w:color="auto"/>
                  <w:color w:val="0000FF"/>
                </w:rPr>
                <w:t>7.</w:t>
              </w:r>
            </w:hyperlink>
          </w:p>
        </w:tc>
        <w:tc>
          <w:tcPr>
            <w:tcW w:w="856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17">
              <w:r>
                <w:rPr>
                  <w:rFonts w:ascii="Times New Roman" w:cs="Times New Roman" w:eastAsia="Times New Roman" w:hAnsi="Times New Roman"/>
                  <w:sz w:val="18"/>
                  <w:szCs w:val="18"/>
                  <w:b w:val="1"/>
                  <w:bCs w:val="1"/>
                  <w:u w:val="single" w:color="auto"/>
                  <w:color w:val="0000FF"/>
                </w:rPr>
                <w:t>Accrued Compensation and Benefits</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99"/>
              </w:rPr>
            </w:pPr>
            <w:hyperlink w:anchor="page17">
              <w:r>
                <w:rPr>
                  <w:rFonts w:ascii="Times New Roman" w:cs="Times New Roman" w:eastAsia="Times New Roman" w:hAnsi="Times New Roman"/>
                  <w:sz w:val="18"/>
                  <w:szCs w:val="18"/>
                  <w:b w:val="1"/>
                  <w:bCs w:val="1"/>
                  <w:u w:val="single" w:color="auto"/>
                  <w:color w:val="0000FF"/>
                  <w:w w:val="99"/>
                </w:rPr>
                <w:t>13</w:t>
              </w:r>
            </w:hyperlink>
          </w:p>
        </w:tc>
      </w:tr>
      <w:tr>
        <w:trPr>
          <w:trHeight w:val="230"/>
        </w:trPr>
        <w:tc>
          <w:tcPr>
            <w:tcW w:w="1480" w:type="dxa"/>
            <w:vAlign w:val="bottom"/>
          </w:tcPr>
          <w:p>
            <w:pPr>
              <w:ind w:left="1320"/>
              <w:spacing w:after="0"/>
              <w:rPr>
                <w:rFonts w:ascii="Times New Roman" w:cs="Times New Roman" w:eastAsia="Times New Roman" w:hAnsi="Times New Roman"/>
                <w:sz w:val="18"/>
                <w:szCs w:val="18"/>
                <w:b w:val="1"/>
                <w:bCs w:val="1"/>
                <w:u w:val="single" w:color="auto"/>
                <w:color w:val="0000FF"/>
              </w:rPr>
            </w:pPr>
            <w:hyperlink w:anchor="page17">
              <w:r>
                <w:rPr>
                  <w:rFonts w:ascii="Times New Roman" w:cs="Times New Roman" w:eastAsia="Times New Roman" w:hAnsi="Times New Roman"/>
                  <w:sz w:val="18"/>
                  <w:szCs w:val="18"/>
                  <w:b w:val="1"/>
                  <w:bCs w:val="1"/>
                  <w:u w:val="single" w:color="auto"/>
                  <w:color w:val="0000FF"/>
                </w:rPr>
                <w:t>8.</w:t>
              </w:r>
            </w:hyperlink>
          </w:p>
        </w:tc>
        <w:tc>
          <w:tcPr>
            <w:tcW w:w="856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17">
              <w:r>
                <w:rPr>
                  <w:rFonts w:ascii="Times New Roman" w:cs="Times New Roman" w:eastAsia="Times New Roman" w:hAnsi="Times New Roman"/>
                  <w:sz w:val="18"/>
                  <w:szCs w:val="18"/>
                  <w:b w:val="1"/>
                  <w:bCs w:val="1"/>
                  <w:u w:val="single" w:color="auto"/>
                  <w:color w:val="0000FF"/>
                </w:rPr>
                <w:t>Debt</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99"/>
              </w:rPr>
            </w:pPr>
            <w:hyperlink w:anchor="page17">
              <w:r>
                <w:rPr>
                  <w:rFonts w:ascii="Times New Roman" w:cs="Times New Roman" w:eastAsia="Times New Roman" w:hAnsi="Times New Roman"/>
                  <w:sz w:val="18"/>
                  <w:szCs w:val="18"/>
                  <w:b w:val="1"/>
                  <w:bCs w:val="1"/>
                  <w:u w:val="single" w:color="auto"/>
                  <w:color w:val="0000FF"/>
                  <w:w w:val="99"/>
                </w:rPr>
                <w:t>13</w:t>
              </w:r>
            </w:hyperlink>
          </w:p>
        </w:tc>
      </w:tr>
      <w:tr>
        <w:trPr>
          <w:trHeight w:val="229"/>
        </w:trPr>
        <w:tc>
          <w:tcPr>
            <w:tcW w:w="1480" w:type="dxa"/>
            <w:vAlign w:val="bottom"/>
          </w:tcPr>
          <w:p>
            <w:pPr>
              <w:ind w:left="1320"/>
              <w:spacing w:after="0"/>
              <w:rPr>
                <w:rFonts w:ascii="Times New Roman" w:cs="Times New Roman" w:eastAsia="Times New Roman" w:hAnsi="Times New Roman"/>
                <w:sz w:val="18"/>
                <w:szCs w:val="18"/>
                <w:b w:val="1"/>
                <w:bCs w:val="1"/>
                <w:u w:val="single" w:color="auto"/>
                <w:color w:val="0000FF"/>
              </w:rPr>
            </w:pPr>
            <w:hyperlink w:anchor="page20">
              <w:r>
                <w:rPr>
                  <w:rFonts w:ascii="Times New Roman" w:cs="Times New Roman" w:eastAsia="Times New Roman" w:hAnsi="Times New Roman"/>
                  <w:sz w:val="18"/>
                  <w:szCs w:val="18"/>
                  <w:b w:val="1"/>
                  <w:bCs w:val="1"/>
                  <w:u w:val="single" w:color="auto"/>
                  <w:color w:val="0000FF"/>
                </w:rPr>
                <w:t>9.</w:t>
              </w:r>
            </w:hyperlink>
          </w:p>
        </w:tc>
        <w:tc>
          <w:tcPr>
            <w:tcW w:w="856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20">
              <w:r>
                <w:rPr>
                  <w:rFonts w:ascii="Times New Roman" w:cs="Times New Roman" w:eastAsia="Times New Roman" w:hAnsi="Times New Roman"/>
                  <w:sz w:val="18"/>
                  <w:szCs w:val="18"/>
                  <w:b w:val="1"/>
                  <w:bCs w:val="1"/>
                  <w:u w:val="single" w:color="auto"/>
                  <w:color w:val="0000FF"/>
                </w:rPr>
                <w:t>Derivatives</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99"/>
              </w:rPr>
            </w:pPr>
            <w:hyperlink w:anchor="page20">
              <w:r>
                <w:rPr>
                  <w:rFonts w:ascii="Times New Roman" w:cs="Times New Roman" w:eastAsia="Times New Roman" w:hAnsi="Times New Roman"/>
                  <w:sz w:val="18"/>
                  <w:szCs w:val="18"/>
                  <w:b w:val="1"/>
                  <w:bCs w:val="1"/>
                  <w:u w:val="single" w:color="auto"/>
                  <w:color w:val="0000FF"/>
                  <w:w w:val="99"/>
                </w:rPr>
                <w:t>16</w:t>
              </w:r>
            </w:hyperlink>
          </w:p>
        </w:tc>
      </w:tr>
      <w:tr>
        <w:trPr>
          <w:trHeight w:val="230"/>
        </w:trPr>
        <w:tc>
          <w:tcPr>
            <w:tcW w:w="1560" w:type="dxa"/>
            <w:vAlign w:val="bottom"/>
            <w:gridSpan w:val="2"/>
          </w:tcPr>
          <w:p>
            <w:pPr>
              <w:ind w:left="1320"/>
              <w:spacing w:after="0"/>
              <w:rPr>
                <w:rFonts w:ascii="Times New Roman" w:cs="Times New Roman" w:eastAsia="Times New Roman" w:hAnsi="Times New Roman"/>
                <w:sz w:val="18"/>
                <w:szCs w:val="18"/>
                <w:b w:val="1"/>
                <w:bCs w:val="1"/>
                <w:u w:val="single" w:color="auto"/>
                <w:color w:val="0000FF"/>
                <w:w w:val="97"/>
              </w:rPr>
            </w:pPr>
            <w:hyperlink w:anchor="page21">
              <w:r>
                <w:rPr>
                  <w:rFonts w:ascii="Times New Roman" w:cs="Times New Roman" w:eastAsia="Times New Roman" w:hAnsi="Times New Roman"/>
                  <w:sz w:val="18"/>
                  <w:szCs w:val="18"/>
                  <w:b w:val="1"/>
                  <w:bCs w:val="1"/>
                  <w:u w:val="single" w:color="auto"/>
                  <w:color w:val="0000FF"/>
                  <w:w w:val="97"/>
                </w:rPr>
                <w:t>10.</w:t>
              </w:r>
            </w:hyperlink>
          </w:p>
        </w:tc>
        <w:tc>
          <w:tcPr>
            <w:tcW w:w="8480" w:type="dxa"/>
            <w:vAlign w:val="bottom"/>
          </w:tcPr>
          <w:p>
            <w:pPr>
              <w:ind w:left="40"/>
              <w:spacing w:after="0"/>
              <w:rPr>
                <w:rFonts w:ascii="Times New Roman" w:cs="Times New Roman" w:eastAsia="Times New Roman" w:hAnsi="Times New Roman"/>
                <w:sz w:val="18"/>
                <w:szCs w:val="18"/>
                <w:b w:val="1"/>
                <w:bCs w:val="1"/>
                <w:u w:val="single" w:color="auto"/>
                <w:color w:val="0000FF"/>
              </w:rPr>
            </w:pPr>
            <w:hyperlink w:anchor="page21">
              <w:r>
                <w:rPr>
                  <w:rFonts w:ascii="Times New Roman" w:cs="Times New Roman" w:eastAsia="Times New Roman" w:hAnsi="Times New Roman"/>
                  <w:sz w:val="18"/>
                  <w:szCs w:val="18"/>
                  <w:b w:val="1"/>
                  <w:bCs w:val="1"/>
                  <w:u w:val="single" w:color="auto"/>
                  <w:color w:val="0000FF"/>
                </w:rPr>
                <w:t>Leases</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99"/>
              </w:rPr>
            </w:pPr>
            <w:hyperlink w:anchor="page21">
              <w:r>
                <w:rPr>
                  <w:rFonts w:ascii="Times New Roman" w:cs="Times New Roman" w:eastAsia="Times New Roman" w:hAnsi="Times New Roman"/>
                  <w:sz w:val="18"/>
                  <w:szCs w:val="18"/>
                  <w:b w:val="1"/>
                  <w:bCs w:val="1"/>
                  <w:u w:val="single" w:color="auto"/>
                  <w:color w:val="0000FF"/>
                  <w:w w:val="99"/>
                </w:rPr>
                <w:t>17</w:t>
              </w:r>
            </w:hyperlink>
          </w:p>
        </w:tc>
      </w:tr>
      <w:tr>
        <w:trPr>
          <w:trHeight w:val="229"/>
        </w:trPr>
        <w:tc>
          <w:tcPr>
            <w:tcW w:w="10040" w:type="dxa"/>
            <w:vAlign w:val="bottom"/>
            <w:gridSpan w:val="3"/>
          </w:tcPr>
          <w:p>
            <w:pPr>
              <w:ind w:left="1320"/>
              <w:spacing w:after="0"/>
              <w:rPr>
                <w:rFonts w:ascii="Times New Roman" w:cs="Times New Roman" w:eastAsia="Times New Roman" w:hAnsi="Times New Roman"/>
                <w:sz w:val="18"/>
                <w:szCs w:val="18"/>
                <w:b w:val="1"/>
                <w:bCs w:val="1"/>
                <w:u w:val="single" w:color="auto"/>
                <w:color w:val="0000FF"/>
              </w:rPr>
            </w:pPr>
            <w:hyperlink w:anchor="page22">
              <w:r>
                <w:rPr>
                  <w:rFonts w:ascii="Times New Roman" w:cs="Times New Roman" w:eastAsia="Times New Roman" w:hAnsi="Times New Roman"/>
                  <w:sz w:val="18"/>
                  <w:szCs w:val="18"/>
                  <w:b w:val="1"/>
                  <w:bCs w:val="1"/>
                  <w:u w:val="single" w:color="auto"/>
                  <w:color w:val="0000FF"/>
                </w:rPr>
                <w:t>11. Income Taxes</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99"/>
              </w:rPr>
            </w:pPr>
            <w:hyperlink w:anchor="page22">
              <w:r>
                <w:rPr>
                  <w:rFonts w:ascii="Times New Roman" w:cs="Times New Roman" w:eastAsia="Times New Roman" w:hAnsi="Times New Roman"/>
                  <w:sz w:val="18"/>
                  <w:szCs w:val="18"/>
                  <w:b w:val="1"/>
                  <w:bCs w:val="1"/>
                  <w:u w:val="single" w:color="auto"/>
                  <w:color w:val="0000FF"/>
                  <w:w w:val="99"/>
                </w:rPr>
                <w:t>18</w:t>
              </w:r>
            </w:hyperlink>
          </w:p>
        </w:tc>
      </w:tr>
      <w:tr>
        <w:trPr>
          <w:trHeight w:val="229"/>
        </w:trPr>
        <w:tc>
          <w:tcPr>
            <w:tcW w:w="1560" w:type="dxa"/>
            <w:vAlign w:val="bottom"/>
            <w:gridSpan w:val="2"/>
          </w:tcPr>
          <w:p>
            <w:pPr>
              <w:ind w:left="1320"/>
              <w:spacing w:after="0"/>
              <w:rPr>
                <w:rFonts w:ascii="Times New Roman" w:cs="Times New Roman" w:eastAsia="Times New Roman" w:hAnsi="Times New Roman"/>
                <w:sz w:val="18"/>
                <w:szCs w:val="18"/>
                <w:b w:val="1"/>
                <w:bCs w:val="1"/>
                <w:u w:val="single" w:color="auto"/>
                <w:color w:val="0000FF"/>
                <w:w w:val="97"/>
              </w:rPr>
            </w:pPr>
            <w:hyperlink w:anchor="page22">
              <w:r>
                <w:rPr>
                  <w:rFonts w:ascii="Times New Roman" w:cs="Times New Roman" w:eastAsia="Times New Roman" w:hAnsi="Times New Roman"/>
                  <w:sz w:val="18"/>
                  <w:szCs w:val="18"/>
                  <w:b w:val="1"/>
                  <w:bCs w:val="1"/>
                  <w:u w:val="single" w:color="auto"/>
                  <w:color w:val="0000FF"/>
                  <w:w w:val="97"/>
                </w:rPr>
                <w:t>12.</w:t>
              </w:r>
            </w:hyperlink>
          </w:p>
        </w:tc>
        <w:tc>
          <w:tcPr>
            <w:tcW w:w="8480" w:type="dxa"/>
            <w:vAlign w:val="bottom"/>
          </w:tcPr>
          <w:p>
            <w:pPr>
              <w:ind w:left="40"/>
              <w:spacing w:after="0"/>
              <w:rPr>
                <w:rFonts w:ascii="Times New Roman" w:cs="Times New Roman" w:eastAsia="Times New Roman" w:hAnsi="Times New Roman"/>
                <w:sz w:val="18"/>
                <w:szCs w:val="18"/>
                <w:b w:val="1"/>
                <w:bCs w:val="1"/>
                <w:u w:val="single" w:color="auto"/>
                <w:color w:val="0000FF"/>
              </w:rPr>
            </w:pPr>
            <w:hyperlink w:anchor="page22">
              <w:r>
                <w:rPr>
                  <w:rFonts w:ascii="Times New Roman" w:cs="Times New Roman" w:eastAsia="Times New Roman" w:hAnsi="Times New Roman"/>
                  <w:sz w:val="18"/>
                  <w:szCs w:val="18"/>
                  <w:b w:val="1"/>
                  <w:bCs w:val="1"/>
                  <w:u w:val="single" w:color="auto"/>
                  <w:color w:val="0000FF"/>
                </w:rPr>
                <w:t>Other Long Term Liabilities</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99"/>
              </w:rPr>
            </w:pPr>
            <w:hyperlink w:anchor="page22">
              <w:r>
                <w:rPr>
                  <w:rFonts w:ascii="Times New Roman" w:cs="Times New Roman" w:eastAsia="Times New Roman" w:hAnsi="Times New Roman"/>
                  <w:sz w:val="18"/>
                  <w:szCs w:val="18"/>
                  <w:b w:val="1"/>
                  <w:bCs w:val="1"/>
                  <w:u w:val="single" w:color="auto"/>
                  <w:color w:val="0000FF"/>
                  <w:w w:val="99"/>
                </w:rPr>
                <w:t>18</w:t>
              </w:r>
            </w:hyperlink>
          </w:p>
        </w:tc>
      </w:tr>
      <w:tr>
        <w:trPr>
          <w:trHeight w:val="230"/>
        </w:trPr>
        <w:tc>
          <w:tcPr>
            <w:tcW w:w="1560" w:type="dxa"/>
            <w:vAlign w:val="bottom"/>
            <w:gridSpan w:val="2"/>
          </w:tcPr>
          <w:p>
            <w:pPr>
              <w:ind w:left="1320"/>
              <w:spacing w:after="0"/>
              <w:rPr>
                <w:rFonts w:ascii="Times New Roman" w:cs="Times New Roman" w:eastAsia="Times New Roman" w:hAnsi="Times New Roman"/>
                <w:sz w:val="18"/>
                <w:szCs w:val="18"/>
                <w:b w:val="1"/>
                <w:bCs w:val="1"/>
                <w:u w:val="single" w:color="auto"/>
                <w:color w:val="0000FF"/>
                <w:w w:val="97"/>
              </w:rPr>
            </w:pPr>
            <w:hyperlink w:anchor="page22">
              <w:r>
                <w:rPr>
                  <w:rFonts w:ascii="Times New Roman" w:cs="Times New Roman" w:eastAsia="Times New Roman" w:hAnsi="Times New Roman"/>
                  <w:sz w:val="18"/>
                  <w:szCs w:val="18"/>
                  <w:b w:val="1"/>
                  <w:bCs w:val="1"/>
                  <w:u w:val="single" w:color="auto"/>
                  <w:color w:val="0000FF"/>
                  <w:w w:val="97"/>
                </w:rPr>
                <w:t>13.</w:t>
              </w:r>
            </w:hyperlink>
          </w:p>
        </w:tc>
        <w:tc>
          <w:tcPr>
            <w:tcW w:w="8480" w:type="dxa"/>
            <w:vAlign w:val="bottom"/>
          </w:tcPr>
          <w:p>
            <w:pPr>
              <w:ind w:left="40"/>
              <w:spacing w:after="0"/>
              <w:rPr>
                <w:rFonts w:ascii="Times New Roman" w:cs="Times New Roman" w:eastAsia="Times New Roman" w:hAnsi="Times New Roman"/>
                <w:sz w:val="18"/>
                <w:szCs w:val="18"/>
                <w:b w:val="1"/>
                <w:bCs w:val="1"/>
                <w:u w:val="single" w:color="auto"/>
                <w:color w:val="0000FF"/>
              </w:rPr>
            </w:pPr>
            <w:hyperlink w:anchor="page22">
              <w:r>
                <w:rPr>
                  <w:rFonts w:ascii="Times New Roman" w:cs="Times New Roman" w:eastAsia="Times New Roman" w:hAnsi="Times New Roman"/>
                  <w:sz w:val="18"/>
                  <w:szCs w:val="18"/>
                  <w:b w:val="1"/>
                  <w:bCs w:val="1"/>
                  <w:u w:val="single" w:color="auto"/>
                  <w:color w:val="0000FF"/>
                </w:rPr>
                <w:t>Employee Benefit Plans</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99"/>
              </w:rPr>
            </w:pPr>
            <w:hyperlink w:anchor="page22">
              <w:r>
                <w:rPr>
                  <w:rFonts w:ascii="Times New Roman" w:cs="Times New Roman" w:eastAsia="Times New Roman" w:hAnsi="Times New Roman"/>
                  <w:sz w:val="18"/>
                  <w:szCs w:val="18"/>
                  <w:b w:val="1"/>
                  <w:bCs w:val="1"/>
                  <w:u w:val="single" w:color="auto"/>
                  <w:color w:val="0000FF"/>
                  <w:w w:val="99"/>
                </w:rPr>
                <w:t>19</w:t>
              </w:r>
            </w:hyperlink>
          </w:p>
        </w:tc>
      </w:tr>
      <w:tr>
        <w:trPr>
          <w:trHeight w:val="230"/>
        </w:trPr>
        <w:tc>
          <w:tcPr>
            <w:tcW w:w="10040" w:type="dxa"/>
            <w:vAlign w:val="bottom"/>
            <w:gridSpan w:val="3"/>
          </w:tcPr>
          <w:p>
            <w:pPr>
              <w:ind w:left="1320"/>
              <w:spacing w:after="0"/>
              <w:rPr>
                <w:rFonts w:ascii="Times New Roman" w:cs="Times New Roman" w:eastAsia="Times New Roman" w:hAnsi="Times New Roman"/>
                <w:sz w:val="18"/>
                <w:szCs w:val="18"/>
                <w:b w:val="1"/>
                <w:bCs w:val="1"/>
                <w:u w:val="single" w:color="auto"/>
                <w:color w:val="0000FF"/>
              </w:rPr>
            </w:pPr>
            <w:hyperlink w:anchor="page24">
              <w:r>
                <w:rPr>
                  <w:rFonts w:ascii="Times New Roman" w:cs="Times New Roman" w:eastAsia="Times New Roman" w:hAnsi="Times New Roman"/>
                  <w:sz w:val="18"/>
                  <w:szCs w:val="18"/>
                  <w:b w:val="1"/>
                  <w:bCs w:val="1"/>
                  <w:u w:val="single" w:color="auto"/>
                  <w:color w:val="0000FF"/>
                </w:rPr>
                <w:t>14. Accumulated Other Comprehensive Loss</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99"/>
              </w:rPr>
            </w:pPr>
            <w:hyperlink w:anchor="page24">
              <w:r>
                <w:rPr>
                  <w:rFonts w:ascii="Times New Roman" w:cs="Times New Roman" w:eastAsia="Times New Roman" w:hAnsi="Times New Roman"/>
                  <w:sz w:val="18"/>
                  <w:szCs w:val="18"/>
                  <w:b w:val="1"/>
                  <w:bCs w:val="1"/>
                  <w:u w:val="single" w:color="auto"/>
                  <w:color w:val="0000FF"/>
                  <w:w w:val="99"/>
                </w:rPr>
                <w:t>20</w:t>
              </w:r>
            </w:hyperlink>
          </w:p>
        </w:tc>
      </w:tr>
      <w:tr>
        <w:trPr>
          <w:trHeight w:val="230"/>
        </w:trPr>
        <w:tc>
          <w:tcPr>
            <w:tcW w:w="1560" w:type="dxa"/>
            <w:vAlign w:val="bottom"/>
            <w:gridSpan w:val="2"/>
          </w:tcPr>
          <w:p>
            <w:pPr>
              <w:ind w:left="1320"/>
              <w:spacing w:after="0"/>
              <w:rPr>
                <w:rFonts w:ascii="Times New Roman" w:cs="Times New Roman" w:eastAsia="Times New Roman" w:hAnsi="Times New Roman"/>
                <w:sz w:val="18"/>
                <w:szCs w:val="18"/>
                <w:b w:val="1"/>
                <w:bCs w:val="1"/>
                <w:u w:val="single" w:color="auto"/>
                <w:color w:val="0000FF"/>
                <w:w w:val="97"/>
              </w:rPr>
            </w:pPr>
            <w:hyperlink w:anchor="page25">
              <w:r>
                <w:rPr>
                  <w:rFonts w:ascii="Times New Roman" w:cs="Times New Roman" w:eastAsia="Times New Roman" w:hAnsi="Times New Roman"/>
                  <w:sz w:val="18"/>
                  <w:szCs w:val="18"/>
                  <w:b w:val="1"/>
                  <w:bCs w:val="1"/>
                  <w:u w:val="single" w:color="auto"/>
                  <w:color w:val="0000FF"/>
                  <w:w w:val="97"/>
                </w:rPr>
                <w:t>15.</w:t>
              </w:r>
            </w:hyperlink>
          </w:p>
        </w:tc>
        <w:tc>
          <w:tcPr>
            <w:tcW w:w="8480" w:type="dxa"/>
            <w:vAlign w:val="bottom"/>
          </w:tcPr>
          <w:p>
            <w:pPr>
              <w:ind w:left="40"/>
              <w:spacing w:after="0"/>
              <w:rPr>
                <w:rFonts w:ascii="Times New Roman" w:cs="Times New Roman" w:eastAsia="Times New Roman" w:hAnsi="Times New Roman"/>
                <w:sz w:val="18"/>
                <w:szCs w:val="18"/>
                <w:b w:val="1"/>
                <w:bCs w:val="1"/>
                <w:u w:val="single" w:color="auto"/>
                <w:color w:val="0000FF"/>
              </w:rPr>
            </w:pPr>
            <w:hyperlink w:anchor="page25">
              <w:r>
                <w:rPr>
                  <w:rFonts w:ascii="Times New Roman" w:cs="Times New Roman" w:eastAsia="Times New Roman" w:hAnsi="Times New Roman"/>
                  <w:sz w:val="18"/>
                  <w:szCs w:val="18"/>
                  <w:b w:val="1"/>
                  <w:bCs w:val="1"/>
                  <w:u w:val="single" w:color="auto"/>
                  <w:color w:val="0000FF"/>
                </w:rPr>
                <w:t>Stock Based Compensation</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99"/>
              </w:rPr>
            </w:pPr>
            <w:hyperlink w:anchor="page25">
              <w:r>
                <w:rPr>
                  <w:rFonts w:ascii="Times New Roman" w:cs="Times New Roman" w:eastAsia="Times New Roman" w:hAnsi="Times New Roman"/>
                  <w:sz w:val="18"/>
                  <w:szCs w:val="18"/>
                  <w:b w:val="1"/>
                  <w:bCs w:val="1"/>
                  <w:u w:val="single" w:color="auto"/>
                  <w:color w:val="0000FF"/>
                  <w:w w:val="99"/>
                </w:rPr>
                <w:t>21</w:t>
              </w:r>
            </w:hyperlink>
          </w:p>
        </w:tc>
      </w:tr>
      <w:tr>
        <w:trPr>
          <w:trHeight w:val="230"/>
        </w:trPr>
        <w:tc>
          <w:tcPr>
            <w:tcW w:w="1560" w:type="dxa"/>
            <w:vAlign w:val="bottom"/>
            <w:gridSpan w:val="2"/>
          </w:tcPr>
          <w:p>
            <w:pPr>
              <w:ind w:left="1320"/>
              <w:spacing w:after="0"/>
              <w:rPr>
                <w:rFonts w:ascii="Times New Roman" w:cs="Times New Roman" w:eastAsia="Times New Roman" w:hAnsi="Times New Roman"/>
                <w:sz w:val="18"/>
                <w:szCs w:val="18"/>
                <w:b w:val="1"/>
                <w:bCs w:val="1"/>
                <w:u w:val="single" w:color="auto"/>
                <w:color w:val="0000FF"/>
                <w:w w:val="97"/>
              </w:rPr>
            </w:pPr>
            <w:hyperlink w:anchor="page26">
              <w:r>
                <w:rPr>
                  <w:rFonts w:ascii="Times New Roman" w:cs="Times New Roman" w:eastAsia="Times New Roman" w:hAnsi="Times New Roman"/>
                  <w:sz w:val="18"/>
                  <w:szCs w:val="18"/>
                  <w:b w:val="1"/>
                  <w:bCs w:val="1"/>
                  <w:u w:val="single" w:color="auto"/>
                  <w:color w:val="0000FF"/>
                  <w:w w:val="97"/>
                </w:rPr>
                <w:t>16.</w:t>
              </w:r>
            </w:hyperlink>
          </w:p>
        </w:tc>
        <w:tc>
          <w:tcPr>
            <w:tcW w:w="8480" w:type="dxa"/>
            <w:vAlign w:val="bottom"/>
          </w:tcPr>
          <w:p>
            <w:pPr>
              <w:ind w:left="40"/>
              <w:spacing w:after="0"/>
              <w:rPr>
                <w:rFonts w:ascii="Times New Roman" w:cs="Times New Roman" w:eastAsia="Times New Roman" w:hAnsi="Times New Roman"/>
                <w:sz w:val="18"/>
                <w:szCs w:val="18"/>
                <w:b w:val="1"/>
                <w:bCs w:val="1"/>
                <w:u w:val="single" w:color="auto"/>
                <w:color w:val="0000FF"/>
              </w:rPr>
            </w:pPr>
            <w:hyperlink w:anchor="page26">
              <w:r>
                <w:rPr>
                  <w:rFonts w:ascii="Times New Roman" w:cs="Times New Roman" w:eastAsia="Times New Roman" w:hAnsi="Times New Roman"/>
                  <w:sz w:val="18"/>
                  <w:szCs w:val="18"/>
                  <w:b w:val="1"/>
                  <w:bCs w:val="1"/>
                  <w:u w:val="single" w:color="auto"/>
                  <w:color w:val="0000FF"/>
                </w:rPr>
                <w:t>Fair Value Measurements</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99"/>
              </w:rPr>
            </w:pPr>
            <w:hyperlink w:anchor="page26">
              <w:r>
                <w:rPr>
                  <w:rFonts w:ascii="Times New Roman" w:cs="Times New Roman" w:eastAsia="Times New Roman" w:hAnsi="Times New Roman"/>
                  <w:sz w:val="18"/>
                  <w:szCs w:val="18"/>
                  <w:b w:val="1"/>
                  <w:bCs w:val="1"/>
                  <w:u w:val="single" w:color="auto"/>
                  <w:color w:val="0000FF"/>
                  <w:w w:val="99"/>
                </w:rPr>
                <w:t>22</w:t>
              </w:r>
            </w:hyperlink>
          </w:p>
        </w:tc>
      </w:tr>
      <w:tr>
        <w:trPr>
          <w:trHeight w:val="229"/>
        </w:trPr>
        <w:tc>
          <w:tcPr>
            <w:tcW w:w="1560" w:type="dxa"/>
            <w:vAlign w:val="bottom"/>
            <w:gridSpan w:val="2"/>
          </w:tcPr>
          <w:p>
            <w:pPr>
              <w:ind w:left="1320"/>
              <w:spacing w:after="0"/>
              <w:rPr>
                <w:rFonts w:ascii="Times New Roman" w:cs="Times New Roman" w:eastAsia="Times New Roman" w:hAnsi="Times New Roman"/>
                <w:sz w:val="18"/>
                <w:szCs w:val="18"/>
                <w:b w:val="1"/>
                <w:bCs w:val="1"/>
                <w:u w:val="single" w:color="auto"/>
                <w:color w:val="0000FF"/>
                <w:w w:val="97"/>
              </w:rPr>
            </w:pPr>
            <w:hyperlink w:anchor="page27">
              <w:r>
                <w:rPr>
                  <w:rFonts w:ascii="Times New Roman" w:cs="Times New Roman" w:eastAsia="Times New Roman" w:hAnsi="Times New Roman"/>
                  <w:sz w:val="18"/>
                  <w:szCs w:val="18"/>
                  <w:b w:val="1"/>
                  <w:bCs w:val="1"/>
                  <w:u w:val="single" w:color="auto"/>
                  <w:color w:val="0000FF"/>
                  <w:w w:val="97"/>
                </w:rPr>
                <w:t>17.</w:t>
              </w:r>
            </w:hyperlink>
          </w:p>
        </w:tc>
        <w:tc>
          <w:tcPr>
            <w:tcW w:w="8480" w:type="dxa"/>
            <w:vAlign w:val="bottom"/>
          </w:tcPr>
          <w:p>
            <w:pPr>
              <w:ind w:left="40"/>
              <w:spacing w:after="0"/>
              <w:rPr>
                <w:rFonts w:ascii="Times New Roman" w:cs="Times New Roman" w:eastAsia="Times New Roman" w:hAnsi="Times New Roman"/>
                <w:sz w:val="18"/>
                <w:szCs w:val="18"/>
                <w:b w:val="1"/>
                <w:bCs w:val="1"/>
                <w:u w:val="single" w:color="auto"/>
                <w:color w:val="0000FF"/>
              </w:rPr>
            </w:pPr>
            <w:hyperlink w:anchor="page27">
              <w:r>
                <w:rPr>
                  <w:rFonts w:ascii="Times New Roman" w:cs="Times New Roman" w:eastAsia="Times New Roman" w:hAnsi="Times New Roman"/>
                  <w:sz w:val="18"/>
                  <w:szCs w:val="18"/>
                  <w:b w:val="1"/>
                  <w:bCs w:val="1"/>
                  <w:u w:val="single" w:color="auto"/>
                  <w:color w:val="0000FF"/>
                </w:rPr>
                <w:t>Related Party Transactions</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99"/>
              </w:rPr>
            </w:pPr>
            <w:hyperlink w:anchor="page27">
              <w:r>
                <w:rPr>
                  <w:rFonts w:ascii="Times New Roman" w:cs="Times New Roman" w:eastAsia="Times New Roman" w:hAnsi="Times New Roman"/>
                  <w:sz w:val="18"/>
                  <w:szCs w:val="18"/>
                  <w:b w:val="1"/>
                  <w:bCs w:val="1"/>
                  <w:u w:val="single" w:color="auto"/>
                  <w:color w:val="0000FF"/>
                  <w:w w:val="99"/>
                </w:rPr>
                <w:t>23</w:t>
              </w:r>
            </w:hyperlink>
          </w:p>
        </w:tc>
      </w:tr>
      <w:tr>
        <w:trPr>
          <w:trHeight w:val="238"/>
        </w:trPr>
        <w:tc>
          <w:tcPr>
            <w:tcW w:w="1560" w:type="dxa"/>
            <w:vAlign w:val="bottom"/>
            <w:gridSpan w:val="2"/>
          </w:tcPr>
          <w:p>
            <w:pPr>
              <w:ind w:left="1320"/>
              <w:spacing w:after="0"/>
              <w:rPr>
                <w:rFonts w:ascii="Times New Roman" w:cs="Times New Roman" w:eastAsia="Times New Roman" w:hAnsi="Times New Roman"/>
                <w:sz w:val="18"/>
                <w:szCs w:val="18"/>
                <w:b w:val="1"/>
                <w:bCs w:val="1"/>
                <w:u w:val="single" w:color="auto"/>
                <w:color w:val="0000FF"/>
                <w:w w:val="97"/>
              </w:rPr>
            </w:pPr>
            <w:hyperlink w:anchor="page27">
              <w:r>
                <w:rPr>
                  <w:rFonts w:ascii="Times New Roman" w:cs="Times New Roman" w:eastAsia="Times New Roman" w:hAnsi="Times New Roman"/>
                  <w:sz w:val="18"/>
                  <w:szCs w:val="18"/>
                  <w:b w:val="1"/>
                  <w:bCs w:val="1"/>
                  <w:u w:val="single" w:color="auto"/>
                  <w:color w:val="0000FF"/>
                  <w:w w:val="97"/>
                </w:rPr>
                <w:t>18.</w:t>
              </w:r>
            </w:hyperlink>
          </w:p>
        </w:tc>
        <w:tc>
          <w:tcPr>
            <w:tcW w:w="8480" w:type="dxa"/>
            <w:vAlign w:val="bottom"/>
          </w:tcPr>
          <w:p>
            <w:pPr>
              <w:ind w:left="40"/>
              <w:spacing w:after="0"/>
              <w:rPr>
                <w:rFonts w:ascii="Times New Roman" w:cs="Times New Roman" w:eastAsia="Times New Roman" w:hAnsi="Times New Roman"/>
                <w:sz w:val="18"/>
                <w:szCs w:val="18"/>
                <w:b w:val="1"/>
                <w:bCs w:val="1"/>
                <w:u w:val="single" w:color="auto"/>
                <w:color w:val="0000FF"/>
              </w:rPr>
            </w:pPr>
            <w:hyperlink w:anchor="page27">
              <w:r>
                <w:rPr>
                  <w:rFonts w:ascii="Times New Roman" w:cs="Times New Roman" w:eastAsia="Times New Roman" w:hAnsi="Times New Roman"/>
                  <w:sz w:val="18"/>
                  <w:szCs w:val="18"/>
                  <w:b w:val="1"/>
                  <w:bCs w:val="1"/>
                  <w:u w:val="single" w:color="auto"/>
                  <w:color w:val="0000FF"/>
                </w:rPr>
                <w:t>Commitments and Contingencies</w:t>
              </w:r>
            </w:hyperlink>
          </w:p>
        </w:tc>
        <w:tc>
          <w:tcPr>
            <w:tcW w:w="1200" w:type="dxa"/>
            <w:vAlign w:val="bottom"/>
          </w:tcPr>
          <w:p>
            <w:pPr>
              <w:jc w:val="center"/>
              <w:spacing w:after="0"/>
              <w:rPr>
                <w:rFonts w:ascii="Times New Roman" w:cs="Times New Roman" w:eastAsia="Times New Roman" w:hAnsi="Times New Roman"/>
                <w:sz w:val="18"/>
                <w:szCs w:val="18"/>
                <w:b w:val="1"/>
                <w:bCs w:val="1"/>
                <w:u w:val="single" w:color="auto"/>
                <w:color w:val="0000FF"/>
                <w:w w:val="99"/>
              </w:rPr>
            </w:pPr>
            <w:hyperlink w:anchor="page27">
              <w:r>
                <w:rPr>
                  <w:rFonts w:ascii="Times New Roman" w:cs="Times New Roman" w:eastAsia="Times New Roman" w:hAnsi="Times New Roman"/>
                  <w:sz w:val="18"/>
                  <w:szCs w:val="18"/>
                  <w:b w:val="1"/>
                  <w:bCs w:val="1"/>
                  <w:u w:val="single" w:color="auto"/>
                  <w:color w:val="0000FF"/>
                  <w:w w:val="99"/>
                </w:rPr>
                <w:t>23</w:t>
              </w:r>
            </w:hyperlink>
          </w:p>
        </w:tc>
      </w:tr>
      <w:tr>
        <w:trPr>
          <w:trHeight w:val="993"/>
        </w:trPr>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17"/>
                <w:szCs w:val="17"/>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29"/>
        </w:trPr>
        <w:tc>
          <w:tcPr>
            <w:tcW w:w="8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1"/>
        </w:trPr>
        <w:tc>
          <w:tcPr>
            <w:tcW w:w="8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8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4"/>
          </w:tcPr>
          <w:p>
            <w:pPr>
              <w:jc w:val="right"/>
              <w:ind w:right="370"/>
              <w:spacing w:after="0" w:line="165" w:lineRule="exact"/>
              <w:rPr>
                <w:sz w:val="20"/>
                <w:szCs w:val="20"/>
                <w:color w:val="auto"/>
              </w:rPr>
            </w:pPr>
            <w:r>
              <w:rPr>
                <w:rFonts w:ascii="Times New Roman" w:cs="Times New Roman" w:eastAsia="Times New Roman" w:hAnsi="Times New Roman"/>
                <w:sz w:val="16"/>
                <w:szCs w:val="16"/>
                <w:b w:val="1"/>
                <w:bCs w:val="1"/>
                <w:color w:val="auto"/>
              </w:rPr>
              <w:t>(Amounts in thousands, except</w:t>
            </w:r>
          </w:p>
        </w:tc>
        <w:tc>
          <w:tcPr>
            <w:tcW w:w="0" w:type="dxa"/>
            <w:vAlign w:val="bottom"/>
          </w:tcPr>
          <w:p>
            <w:pPr>
              <w:spacing w:after="0"/>
              <w:rPr>
                <w:sz w:val="1"/>
                <w:szCs w:val="1"/>
                <w:color w:val="auto"/>
              </w:rPr>
            </w:pPr>
          </w:p>
        </w:tc>
      </w:tr>
      <w:tr>
        <w:trPr>
          <w:trHeight w:val="212"/>
        </w:trPr>
        <w:tc>
          <w:tcPr>
            <w:tcW w:w="8140" w:type="dxa"/>
            <w:vAlign w:val="bottom"/>
            <w:vMerge w:val="restart"/>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2900" w:type="dxa"/>
            <w:vAlign w:val="bottom"/>
            <w:gridSpan w:val="4"/>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share and per share data)</w:t>
            </w:r>
          </w:p>
        </w:tc>
        <w:tc>
          <w:tcPr>
            <w:tcW w:w="0" w:type="dxa"/>
            <w:vAlign w:val="bottom"/>
          </w:tcPr>
          <w:p>
            <w:pPr>
              <w:spacing w:after="0"/>
              <w:rPr>
                <w:sz w:val="1"/>
                <w:szCs w:val="1"/>
                <w:color w:val="auto"/>
              </w:rPr>
            </w:pPr>
          </w:p>
        </w:tc>
      </w:tr>
      <w:tr>
        <w:trPr>
          <w:trHeight w:val="233"/>
        </w:trPr>
        <w:tc>
          <w:tcPr>
            <w:tcW w:w="81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1,341,301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741,901</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1,459,471</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126,816</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2,328,188</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208,077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240,122</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300,987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1,581,160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1,581,160</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135,432</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4,793,966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177,865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698,011</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348,775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49,021</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54,006</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1,327,678</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2,007,979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270,266</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331,687</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4,294,919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3,937,610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4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Common stock, Class A — $0.01 par value — authorized, 600,000,000 shares; issued, 162,243,173 shares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4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at December 31, 2020 and 161,333,973 shares at March 31, 2020; outstanding, 137,865,312 shares at</w:t>
            </w: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30"/>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2020 and 138,719,921 shares at March 31, 2020</w:t>
            </w: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Treasury stock, at cost — 24,377,861 shares at December 31, 2020 and 22,614,052 shares at March 31,</w:t>
            </w: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(898,095)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468,027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1,609,551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1,330,812</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(46,001)</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856,356</w:t>
            </w:r>
          </w:p>
        </w:tc>
        <w:tc>
          <w:tcPr>
            <w:tcW w:w="0" w:type="dxa"/>
            <w:vAlign w:val="bottom"/>
          </w:tcPr>
          <w:p>
            <w:pPr>
              <w:spacing w:after="0"/>
              <w:rPr>
                <w:sz w:val="1"/>
                <w:szCs w:val="1"/>
                <w:color w:val="auto"/>
              </w:rPr>
            </w:pPr>
          </w:p>
        </w:tc>
      </w:tr>
      <w:tr>
        <w:trPr>
          <w:trHeight w:val="223"/>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5,368,184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4,793,966</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20" w:type="dxa"/>
            <w:vAlign w:val="bottom"/>
            <w:gridSpan w:val="4"/>
          </w:tcPr>
          <w:p>
            <w:pPr>
              <w:jc w:val="center"/>
              <w:ind w:right="271"/>
              <w:spacing w:after="0" w:line="129"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40" w:type="dxa"/>
            <w:vAlign w:val="bottom"/>
            <w:gridSpan w:val="4"/>
          </w:tcPr>
          <w:p>
            <w:pPr>
              <w:jc w:val="center"/>
              <w:ind w:right="251"/>
              <w:spacing w:after="0" w:line="129"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340" w:type="dxa"/>
            <w:vAlign w:val="bottom"/>
          </w:tcPr>
          <w:p>
            <w:pPr>
              <w:spacing w:after="0"/>
              <w:rPr>
                <w:sz w:val="16"/>
                <w:szCs w:val="16"/>
                <w:color w:val="auto"/>
              </w:rPr>
            </w:pPr>
          </w:p>
        </w:tc>
        <w:tc>
          <w:tcPr>
            <w:tcW w:w="2640" w:type="dxa"/>
            <w:vAlign w:val="bottom"/>
            <w:gridSpan w:val="4"/>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5,879,658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5,494,194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2,498,096</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Billable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1,729,788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1,691,543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724,121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60,308</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1,719,763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5,296,293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4,974,068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520,126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450,730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102,418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106,993</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409,781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343,737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(Note 4):</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40" w:right="2300"/>
        <w:spacing w:after="0" w:line="331" w:lineRule="auto"/>
        <w:rPr>
          <w:sz w:val="20"/>
          <w:szCs w:val="20"/>
          <w:color w:val="auto"/>
        </w:rPr>
      </w:pPr>
      <w:r>
        <w:rPr>
          <w:rFonts w:ascii="Times New Roman" w:cs="Times New Roman" w:eastAsia="Times New Roman" w:hAnsi="Times New Roman"/>
          <w:sz w:val="18"/>
          <w:szCs w:val="18"/>
          <w:b w:val="1"/>
          <w:bCs w:val="1"/>
          <w:color w:val="auto"/>
        </w:rPr>
        <w:t>BOOZ ALLEN HAMILTON HOLDING CORPORATION CONDENSED CONSOLIDATED STATEMENTS OF COMPREHENSIVE INCOME (UNAUDITED)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4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409,781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343,737</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 in unrealized gain (loss) on derivatives designated as cash</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flow hedges</w:t>
            </w: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postretirement plan costs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0" w:type="dxa"/>
            <w:vAlign w:val="bottom"/>
          </w:tcPr>
          <w:p>
            <w:pPr>
              <w:spacing w:after="0"/>
              <w:rPr>
                <w:sz w:val="1"/>
                <w:szCs w:val="1"/>
                <w:color w:val="auto"/>
              </w:rPr>
            </w:pP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148,151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116,988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415,830</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328,770</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13335</wp:posOffset>
            </wp:positionV>
            <wp:extent cx="19373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8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0" w:type="dxa"/>
            <w:vAlign w:val="bottom"/>
          </w:tcPr>
          <w:p>
            <w:pPr>
              <w:spacing w:after="0"/>
              <w:rPr>
                <w:sz w:val="1"/>
                <w:szCs w:val="1"/>
                <w:color w:val="auto"/>
              </w:rPr>
            </w:pPr>
          </w:p>
        </w:tc>
      </w:tr>
      <w:tr>
        <w:trPr>
          <w:trHeight w:val="23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409,781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343,737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41,846</w:t>
            </w:r>
          </w:p>
        </w:tc>
        <w:tc>
          <w:tcPr>
            <w:tcW w:w="0" w:type="dxa"/>
            <w:vAlign w:val="bottom"/>
          </w:tcPr>
          <w:p>
            <w:pPr>
              <w:spacing w:after="0"/>
              <w:rPr>
                <w:sz w:val="1"/>
                <w:szCs w:val="1"/>
                <w:color w:val="auto"/>
              </w:rPr>
            </w:pP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26,796</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30"/>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Losses (gains) on dispositions, and other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(97,452)</w:t>
            </w:r>
          </w:p>
        </w:tc>
        <w:tc>
          <w:tcPr>
            <w:tcW w:w="0" w:type="dxa"/>
            <w:vAlign w:val="bottom"/>
          </w:tcPr>
          <w:p>
            <w:pPr>
              <w:spacing w:after="0"/>
              <w:rPr>
                <w:sz w:val="1"/>
                <w:szCs w:val="1"/>
                <w:color w:val="auto"/>
              </w:rPr>
            </w:pP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 and income taxes receivable / payable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c>
          <w:tcPr>
            <w:tcW w:w="0" w:type="dxa"/>
            <w:vAlign w:val="bottom"/>
          </w:tcPr>
          <w:p>
            <w:pPr>
              <w:spacing w:after="0"/>
              <w:rPr>
                <w:sz w:val="1"/>
                <w:szCs w:val="1"/>
                <w:color w:val="auto"/>
              </w:rPr>
            </w:pP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30"/>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0" w:type="dxa"/>
            <w:vAlign w:val="bottom"/>
          </w:tcPr>
          <w:p>
            <w:pPr>
              <w:spacing w:after="0"/>
              <w:rPr>
                <w:sz w:val="1"/>
                <w:szCs w:val="1"/>
                <w:color w:val="auto"/>
              </w:rPr>
            </w:pPr>
          </w:p>
        </w:tc>
      </w:tr>
      <w:tr>
        <w:trPr>
          <w:trHeight w:val="230"/>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0" w:type="dxa"/>
            <w:vAlign w:val="bottom"/>
          </w:tcPr>
          <w:p>
            <w:pPr>
              <w:spacing w:after="0"/>
              <w:rPr>
                <w:sz w:val="1"/>
                <w:szCs w:val="1"/>
                <w:color w:val="auto"/>
              </w:rPr>
            </w:pPr>
          </w:p>
        </w:tc>
      </w:tr>
      <w:tr>
        <w:trPr>
          <w:trHeight w:val="223"/>
        </w:trPr>
        <w:tc>
          <w:tcPr>
            <w:tcW w:w="81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366,459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 for minority investment in entity</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Proceeds from sales of assets, net of payment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(90,712)</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0" w:type="dxa"/>
            <w:vAlign w:val="bottom"/>
          </w:tcPr>
          <w:p>
            <w:pPr>
              <w:spacing w:after="0"/>
              <w:rPr>
                <w:sz w:val="1"/>
                <w:szCs w:val="1"/>
                <w:color w:val="auto"/>
              </w:rPr>
            </w:pP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 option exercises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(37,199)</w:t>
            </w:r>
          </w:p>
        </w:tc>
        <w:tc>
          <w:tcPr>
            <w:tcW w:w="0" w:type="dxa"/>
            <w:vAlign w:val="bottom"/>
          </w:tcPr>
          <w:p>
            <w:pPr>
              <w:spacing w:after="0"/>
              <w:rPr>
                <w:sz w:val="1"/>
                <w:szCs w:val="1"/>
                <w:color w:val="auto"/>
              </w:rPr>
            </w:pPr>
          </w:p>
        </w:tc>
      </w:tr>
      <w:tr>
        <w:trPr>
          <w:trHeight w:val="230"/>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Cash dividends paid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(102,943)</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 of debt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(57,456)</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debt issuance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397,892</w:t>
            </w:r>
          </w:p>
        </w:tc>
        <w:tc>
          <w:tcPr>
            <w:tcW w:w="0" w:type="dxa"/>
            <w:vAlign w:val="bottom"/>
          </w:tcPr>
          <w:p>
            <w:pPr>
              <w:spacing w:after="0"/>
              <w:rPr>
                <w:sz w:val="1"/>
                <w:szCs w:val="1"/>
                <w:color w:val="auto"/>
              </w:rPr>
            </w:pPr>
          </w:p>
        </w:tc>
      </w:tr>
      <w:tr>
        <w:trPr>
          <w:trHeight w:val="230"/>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Payment of deferred payment obligation</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23"/>
        </w:trPr>
        <w:tc>
          <w:tcPr>
            <w:tcW w:w="81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137,084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412,831</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283,990</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696,821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 during the period for: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107,149</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8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40" w:type="dxa"/>
            <w:vAlign w:val="bottom"/>
          </w:tcPr>
          <w:p>
            <w:pPr>
              <w:spacing w:after="0"/>
              <w:rPr>
                <w:sz w:val="14"/>
                <w:szCs w:val="14"/>
                <w:color w:val="auto"/>
              </w:rPr>
            </w:pPr>
          </w:p>
        </w:tc>
        <w:tc>
          <w:tcPr>
            <w:tcW w:w="1600" w:type="dxa"/>
            <w:vAlign w:val="bottom"/>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980" w:type="dxa"/>
            <w:vAlign w:val="bottom"/>
            <w:gridSpan w:val="5"/>
          </w:tcPr>
          <w:p>
            <w:pPr>
              <w:ind w:left="70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4"/>
                <w:szCs w:val="14"/>
                <w:color w:val="auto"/>
              </w:rPr>
            </w:pPr>
          </w:p>
        </w:tc>
        <w:tc>
          <w:tcPr>
            <w:tcW w:w="720" w:type="dxa"/>
            <w:vAlign w:val="bottom"/>
            <w:vMerge w:val="restart"/>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21"/>
        </w:trPr>
        <w:tc>
          <w:tcPr>
            <w:tcW w:w="4140" w:type="dxa"/>
            <w:vAlign w:val="bottom"/>
          </w:tcPr>
          <w:p>
            <w:pPr>
              <w:spacing w:after="0"/>
              <w:rPr>
                <w:sz w:val="10"/>
                <w:szCs w:val="10"/>
                <w:color w:val="auto"/>
              </w:rPr>
            </w:pPr>
          </w:p>
        </w:tc>
        <w:tc>
          <w:tcPr>
            <w:tcW w:w="1600" w:type="dxa"/>
            <w:vAlign w:val="bottom"/>
            <w:gridSpan w:val="4"/>
          </w:tcPr>
          <w:p>
            <w:pPr>
              <w:ind w:left="340"/>
              <w:spacing w:after="0" w:line="12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1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Stock</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140" w:type="dxa"/>
            <w:vAlign w:val="bottom"/>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(Amounts in thousands, except</w:t>
            </w: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tcPr>
          <w:p>
            <w:pPr>
              <w:jc w:val="center"/>
              <w:ind w:right="80"/>
              <w:spacing w:after="0" w:line="54" w:lineRule="exact"/>
              <w:rPr>
                <w:sz w:val="20"/>
                <w:szCs w:val="20"/>
                <w:color w:val="auto"/>
              </w:rPr>
            </w:pPr>
            <w:r>
              <w:rPr>
                <w:rFonts w:ascii="Times New Roman" w:cs="Times New Roman" w:eastAsia="Times New Roman" w:hAnsi="Times New Roman"/>
                <w:sz w:val="6"/>
                <w:szCs w:val="6"/>
                <w:b w:val="1"/>
                <w:bCs w:val="1"/>
                <w:color w:val="auto"/>
              </w:rPr>
              <w:t>Paid-In</w:t>
            </w:r>
          </w:p>
        </w:tc>
        <w:tc>
          <w:tcPr>
            <w:tcW w:w="920" w:type="dxa"/>
            <w:vAlign w:val="bottom"/>
            <w:gridSpan w:val="2"/>
          </w:tcPr>
          <w:p>
            <w:pPr>
              <w:ind w:left="180"/>
              <w:spacing w:after="0" w:line="54" w:lineRule="exact"/>
              <w:rPr>
                <w:sz w:val="20"/>
                <w:szCs w:val="20"/>
                <w:color w:val="auto"/>
              </w:rPr>
            </w:pPr>
            <w:r>
              <w:rPr>
                <w:rFonts w:ascii="Times New Roman" w:cs="Times New Roman" w:eastAsia="Times New Roman" w:hAnsi="Times New Roman"/>
                <w:sz w:val="6"/>
                <w:szCs w:val="6"/>
                <w:b w:val="1"/>
                <w:bCs w:val="1"/>
                <w:color w:val="auto"/>
              </w:rPr>
              <w:t>Retained</w:t>
            </w:r>
          </w:p>
        </w:tc>
        <w:tc>
          <w:tcPr>
            <w:tcW w:w="960" w:type="dxa"/>
            <w:vAlign w:val="bottom"/>
            <w:gridSpan w:val="3"/>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820" w:type="dxa"/>
            <w:vAlign w:val="bottom"/>
            <w:gridSpan w:val="2"/>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auto"/>
              </w:rPr>
              <w:t>Stockholders’</w:t>
            </w:r>
          </w:p>
        </w:tc>
        <w:tc>
          <w:tcPr>
            <w:tcW w:w="0" w:type="dxa"/>
            <w:vAlign w:val="bottom"/>
          </w:tcPr>
          <w:p>
            <w:pPr>
              <w:spacing w:after="0"/>
              <w:rPr>
                <w:sz w:val="1"/>
                <w:szCs w:val="1"/>
                <w:color w:val="auto"/>
              </w:rPr>
            </w:pPr>
          </w:p>
        </w:tc>
      </w:tr>
      <w:tr>
        <w:trPr>
          <w:trHeight w:val="17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share data)</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00" w:type="dxa"/>
            <w:vAlign w:val="bottom"/>
          </w:tcPr>
          <w:p>
            <w:pPr>
              <w:spacing w:after="0"/>
              <w:rPr>
                <w:sz w:val="15"/>
                <w:szCs w:val="15"/>
                <w:color w:val="auto"/>
              </w:rPr>
            </w:pPr>
          </w:p>
        </w:tc>
        <w:tc>
          <w:tcPr>
            <w:tcW w:w="72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4"/>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162,079,334</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$ 1,621</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(24,054,733)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(1,003,650)</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509,512</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7"/>
              </w:rPr>
              <w:t>$ 1,508,206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971,957</w:t>
            </w:r>
          </w:p>
        </w:tc>
        <w:tc>
          <w:tcPr>
            <w:tcW w:w="0" w:type="dxa"/>
            <w:vAlign w:val="bottom"/>
          </w:tcPr>
          <w:p>
            <w:pPr>
              <w:spacing w:after="0"/>
              <w:rPr>
                <w:sz w:val="1"/>
                <w:szCs w:val="1"/>
                <w:color w:val="auto"/>
              </w:rPr>
            </w:pPr>
          </w:p>
        </w:tc>
      </w:tr>
      <w:tr>
        <w:trPr>
          <w:trHeight w:val="207"/>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35,460</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4,262</w:t>
            </w:r>
          </w:p>
        </w:tc>
        <w:tc>
          <w:tcPr>
            <w:tcW w:w="8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4,262</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options 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0" w:type="dxa"/>
            <w:vAlign w:val="bottom"/>
          </w:tcPr>
          <w:p>
            <w:pPr>
              <w:spacing w:after="0"/>
              <w:rPr>
                <w:sz w:val="1"/>
                <w:szCs w:val="1"/>
                <w:color w:val="auto"/>
              </w:rPr>
            </w:pPr>
          </w:p>
        </w:tc>
      </w:tr>
      <w:tr>
        <w:trPr>
          <w:trHeight w:val="213"/>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(27,063)</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(27,063)</w:t>
            </w:r>
          </w:p>
        </w:tc>
        <w:tc>
          <w:tcPr>
            <w:tcW w:w="0" w:type="dxa"/>
            <w:vAlign w:val="bottom"/>
          </w:tcPr>
          <w:p>
            <w:pPr>
              <w:spacing w:after="0"/>
              <w:rPr>
                <w:sz w:val="1"/>
                <w:szCs w:val="1"/>
                <w:color w:val="auto"/>
              </w:rPr>
            </w:pPr>
          </w:p>
        </w:tc>
      </w:tr>
      <w:tr>
        <w:trPr>
          <w:trHeight w:val="165"/>
        </w:trPr>
        <w:tc>
          <w:tcPr>
            <w:tcW w:w="41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Recognition of liability related to future restricted stock</w:t>
            </w: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units vesting</w:t>
            </w:r>
          </w:p>
        </w:tc>
        <w:tc>
          <w:tcPr>
            <w:tcW w:w="94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144,371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144,371</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0" w:type="dxa"/>
            <w:vAlign w:val="bottom"/>
          </w:tcPr>
          <w:p>
            <w:pPr>
              <w:spacing w:after="0"/>
              <w:rPr>
                <w:sz w:val="1"/>
                <w:szCs w:val="1"/>
                <w:color w:val="auto"/>
              </w:rPr>
            </w:pPr>
          </w:p>
        </w:tc>
      </w:tr>
      <w:tr>
        <w:trPr>
          <w:trHeight w:val="213"/>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 of $0.31 per share of common stock</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(43,026)</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15,341</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15,341</w:t>
            </w:r>
          </w:p>
        </w:tc>
        <w:tc>
          <w:tcPr>
            <w:tcW w:w="0" w:type="dxa"/>
            <w:vAlign w:val="bottom"/>
          </w:tcPr>
          <w:p>
            <w:pPr>
              <w:spacing w:after="0"/>
              <w:rPr>
                <w:sz w:val="1"/>
                <w:szCs w:val="1"/>
                <w:color w:val="auto"/>
              </w:rPr>
            </w:pPr>
          </w:p>
        </w:tc>
      </w:tr>
      <w:tr>
        <w:trPr>
          <w:trHeight w:val="207"/>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162,243,173</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$ 1,622</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(24,377,861)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(1,030,713)</w:t>
            </w: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532,757</w:t>
            </w:r>
          </w:p>
        </w:tc>
        <w:tc>
          <w:tcPr>
            <w:tcW w:w="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7"/>
              </w:rPr>
              <w:t>$ 1,609,551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(39,952)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1,073,265</w:t>
            </w:r>
          </w:p>
        </w:tc>
        <w:tc>
          <w:tcPr>
            <w:tcW w:w="0" w:type="dxa"/>
            <w:vAlign w:val="bottom"/>
          </w:tcPr>
          <w:p>
            <w:pPr>
              <w:spacing w:after="0"/>
              <w:rPr>
                <w:sz w:val="1"/>
                <w:szCs w:val="1"/>
                <w:color w:val="auto"/>
              </w:rPr>
            </w:pPr>
          </w:p>
        </w:tc>
      </w:tr>
      <w:tr>
        <w:trPr>
          <w:trHeight w:val="199"/>
        </w:trPr>
        <w:tc>
          <w:tcPr>
            <w:tcW w:w="41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161,333,973</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$ 1,613</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(22,614,052)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(898,095)</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468,027</w:t>
            </w: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7"/>
              </w:rPr>
              <w:t>$ 1,330,812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856,356</w:t>
            </w:r>
          </w:p>
        </w:tc>
        <w:tc>
          <w:tcPr>
            <w:tcW w:w="0" w:type="dxa"/>
            <w:vAlign w:val="bottom"/>
          </w:tcPr>
          <w:p>
            <w:pPr>
              <w:spacing w:after="0"/>
              <w:rPr>
                <w:sz w:val="1"/>
                <w:szCs w:val="1"/>
                <w:color w:val="auto"/>
              </w:rPr>
            </w:pPr>
          </w:p>
        </w:tc>
      </w:tr>
      <w:tr>
        <w:trPr>
          <w:trHeight w:val="207"/>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Topic 326 adoption impact</w:t>
            </w:r>
          </w:p>
        </w:tc>
        <w:tc>
          <w:tcPr>
            <w:tcW w:w="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478,798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13,349</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13,354</w:t>
            </w:r>
          </w:p>
        </w:tc>
        <w:tc>
          <w:tcPr>
            <w:tcW w:w="0" w:type="dxa"/>
            <w:vAlign w:val="bottom"/>
          </w:tcPr>
          <w:p>
            <w:pPr>
              <w:spacing w:after="0"/>
              <w:rPr>
                <w:sz w:val="1"/>
                <w:szCs w:val="1"/>
                <w:color w:val="auto"/>
              </w:rPr>
            </w:pPr>
          </w:p>
        </w:tc>
      </w:tr>
      <w:tr>
        <w:trPr>
          <w:trHeight w:val="213"/>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options exercised</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430,402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10,189</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10,193</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 (1)</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(1,763,809)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(132,618)</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(132,618)</w:t>
            </w:r>
          </w:p>
        </w:tc>
        <w:tc>
          <w:tcPr>
            <w:tcW w:w="0" w:type="dxa"/>
            <w:vAlign w:val="bottom"/>
          </w:tcPr>
          <w:p>
            <w:pPr>
              <w:spacing w:after="0"/>
              <w:rPr>
                <w:sz w:val="1"/>
                <w:szCs w:val="1"/>
                <w:color w:val="auto"/>
              </w:rPr>
            </w:pPr>
          </w:p>
        </w:tc>
      </w:tr>
      <w:tr>
        <w:trPr>
          <w:trHeight w:val="162"/>
        </w:trPr>
        <w:tc>
          <w:tcPr>
            <w:tcW w:w="41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Recognition of liability related to future restricted stock</w:t>
            </w: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3"/>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units vesting</w:t>
            </w:r>
          </w:p>
        </w:tc>
        <w:tc>
          <w:tcPr>
            <w:tcW w:w="94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409,781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409,781</w:t>
            </w:r>
          </w:p>
        </w:tc>
        <w:tc>
          <w:tcPr>
            <w:tcW w:w="0" w:type="dxa"/>
            <w:vAlign w:val="bottom"/>
          </w:tcPr>
          <w:p>
            <w:pPr>
              <w:spacing w:after="0"/>
              <w:rPr>
                <w:sz w:val="1"/>
                <w:szCs w:val="1"/>
                <w:color w:val="auto"/>
              </w:rPr>
            </w:pPr>
          </w:p>
        </w:tc>
      </w:tr>
      <w:tr>
        <w:trPr>
          <w:trHeight w:val="213"/>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6,049</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of $0.93 per share of common stock</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(129,862)</w:t>
            </w:r>
          </w:p>
        </w:tc>
        <w:tc>
          <w:tcPr>
            <w:tcW w:w="0" w:type="dxa"/>
            <w:vAlign w:val="bottom"/>
          </w:tcPr>
          <w:p>
            <w:pPr>
              <w:spacing w:after="0"/>
              <w:rPr>
                <w:sz w:val="1"/>
                <w:szCs w:val="1"/>
                <w:color w:val="auto"/>
              </w:rPr>
            </w:pPr>
          </w:p>
        </w:tc>
      </w:tr>
      <w:tr>
        <w:trPr>
          <w:trHeight w:val="213"/>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40,970</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40,970</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162,243,173</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$ 1,622</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(24,377,861)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(1,030,713)</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532,757</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7"/>
              </w:rPr>
              <w:t>$ 1,609,551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1,073,265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40" w:firstLine="8"/>
        <w:spacing w:after="0" w:line="266"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December 31, 2020, the Company purchased 1.6 million shares of the Company’s Class A Common Stock in a series of open market transactions for $123.4 million. Additionally, the Company repurchased shares during the nine months ended December 31, 2020 to cover the minimum statutory withholding taxes on restricted stock units that vested on various dates during the period.</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 [CONTINUED]</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1600" w:type="dxa"/>
            <w:vAlign w:val="bottom"/>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70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21"/>
        </w:trPr>
        <w:tc>
          <w:tcPr>
            <w:tcW w:w="4180" w:type="dxa"/>
            <w:vAlign w:val="bottom"/>
          </w:tcPr>
          <w:p>
            <w:pPr>
              <w:spacing w:after="0"/>
              <w:rPr>
                <w:sz w:val="10"/>
                <w:szCs w:val="10"/>
                <w:color w:val="auto"/>
              </w:rPr>
            </w:pPr>
          </w:p>
        </w:tc>
        <w:tc>
          <w:tcPr>
            <w:tcW w:w="1600" w:type="dxa"/>
            <w:vAlign w:val="bottom"/>
            <w:gridSpan w:val="4"/>
          </w:tcPr>
          <w:p>
            <w:pPr>
              <w:ind w:left="340"/>
              <w:spacing w:after="0" w:line="12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160" w:type="dxa"/>
            <w:vAlign w:val="bottom"/>
            <w:gridSpan w:val="3"/>
          </w:tcPr>
          <w:p>
            <w:pPr>
              <w:jc w:val="right"/>
              <w:ind w:right="19"/>
              <w:spacing w:after="0" w:line="122" w:lineRule="exact"/>
              <w:rPr>
                <w:sz w:val="20"/>
                <w:szCs w:val="20"/>
                <w:color w:val="auto"/>
              </w:rPr>
            </w:pPr>
            <w:r>
              <w:rPr>
                <w:rFonts w:ascii="Times New Roman" w:cs="Times New Roman" w:eastAsia="Times New Roman" w:hAnsi="Times New Roman"/>
                <w:sz w:val="13"/>
                <w:szCs w:val="13"/>
                <w:b w:val="1"/>
                <w:bCs w:val="1"/>
                <w:color w:val="auto"/>
              </w:rPr>
              <w:t>Stock</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180" w:type="dxa"/>
            <w:vAlign w:val="bottom"/>
            <w:vMerge w:val="restart"/>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(Amounts in thousands, except</w:t>
            </w: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4"/>
                <w:szCs w:val="4"/>
                <w:color w:val="auto"/>
              </w:rPr>
            </w:pPr>
          </w:p>
        </w:tc>
        <w:tc>
          <w:tcPr>
            <w:tcW w:w="820" w:type="dxa"/>
            <w:vAlign w:val="bottom"/>
            <w:gridSpan w:val="2"/>
            <w:vMerge w:val="restart"/>
          </w:tcPr>
          <w:p>
            <w:pPr>
              <w:ind w:left="80"/>
              <w:spacing w:after="0" w:line="95"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960" w:type="dxa"/>
            <w:vAlign w:val="bottom"/>
            <w:gridSpan w:val="3"/>
            <w:vMerge w:val="restart"/>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820" w:type="dxa"/>
            <w:vAlign w:val="bottom"/>
            <w:gridSpan w:val="2"/>
            <w:vMerge w:val="restart"/>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4180" w:type="dxa"/>
            <w:vAlign w:val="bottom"/>
            <w:vMerge w:val="continue"/>
          </w:tcPr>
          <w:p>
            <w:pPr>
              <w:spacing w:after="0" w:line="20" w:lineRule="exact"/>
              <w:rPr>
                <w:sz w:val="1"/>
                <w:szCs w:val="1"/>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line="20" w:lineRule="exact"/>
              <w:rPr>
                <w:sz w:val="1"/>
                <w:szCs w:val="1"/>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share data)</w:t>
            </w:r>
          </w:p>
        </w:tc>
        <w:tc>
          <w:tcPr>
            <w:tcW w:w="9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4"/>
                <w:szCs w:val="14"/>
                <w:color w:val="auto"/>
              </w:rPr>
            </w:pPr>
          </w:p>
        </w:tc>
        <w:tc>
          <w:tcPr>
            <w:tcW w:w="70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4"/>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2019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160,400,357</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$ 1,604</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(20,026,907)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(719,793)</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427,817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1,161,674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840,183</w:t>
            </w:r>
          </w:p>
        </w:tc>
        <w:tc>
          <w:tcPr>
            <w:tcW w:w="0" w:type="dxa"/>
            <w:vAlign w:val="bottom"/>
          </w:tcPr>
          <w:p>
            <w:pPr>
              <w:spacing w:after="0"/>
              <w:rPr>
                <w:sz w:val="1"/>
                <w:szCs w:val="1"/>
                <w:color w:val="auto"/>
              </w:rPr>
            </w:pPr>
          </w:p>
        </w:tc>
      </w:tr>
      <w:tr>
        <w:trPr>
          <w:trHeight w:val="207"/>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59,549</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3,794</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198,875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0" w:type="dxa"/>
            <w:vAlign w:val="bottom"/>
          </w:tcPr>
          <w:p>
            <w:pPr>
              <w:spacing w:after="0"/>
              <w:rPr>
                <w:sz w:val="1"/>
                <w:szCs w:val="1"/>
                <w:color w:val="auto"/>
              </w:rPr>
            </w:pPr>
          </w:p>
        </w:tc>
      </w:tr>
      <w:tr>
        <w:trPr>
          <w:trHeight w:val="213"/>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(22,542)</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(22,542)</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Recognition of liability related to future restricted stock</w:t>
            </w: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units vesting</w:t>
            </w:r>
          </w:p>
        </w:tc>
        <w:tc>
          <w:tcPr>
            <w:tcW w:w="94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112,026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112,026</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w:t>
            </w:r>
          </w:p>
        </w:tc>
        <w:tc>
          <w:tcPr>
            <w:tcW w:w="0" w:type="dxa"/>
            <w:vAlign w:val="bottom"/>
          </w:tcPr>
          <w:p>
            <w:pPr>
              <w:spacing w:after="0"/>
              <w:rPr>
                <w:sz w:val="1"/>
                <w:szCs w:val="1"/>
                <w:color w:val="auto"/>
              </w:rPr>
            </w:pPr>
          </w:p>
        </w:tc>
      </w:tr>
      <w:tr>
        <w:trPr>
          <w:trHeight w:val="213"/>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paid of $0.27 per share of common stock</w:t>
            </w: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(38,095)</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10,988</w:t>
            </w:r>
          </w:p>
        </w:tc>
        <w:tc>
          <w:tcPr>
            <w:tcW w:w="0" w:type="dxa"/>
            <w:vAlign w:val="bottom"/>
          </w:tcPr>
          <w:p>
            <w:pPr>
              <w:spacing w:after="0"/>
              <w:rPr>
                <w:sz w:val="1"/>
                <w:szCs w:val="1"/>
                <w:color w:val="auto"/>
              </w:rPr>
            </w:pPr>
          </w:p>
        </w:tc>
      </w:tr>
      <w:tr>
        <w:trPr>
          <w:trHeight w:val="207"/>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160,658,781</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$ 1,606</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(20,340,735)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(742,335)</w:t>
            </w: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446,318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1,235,605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(26,157)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915,037</w:t>
            </w:r>
          </w:p>
        </w:tc>
        <w:tc>
          <w:tcPr>
            <w:tcW w:w="0" w:type="dxa"/>
            <w:vAlign w:val="bottom"/>
          </w:tcPr>
          <w:p>
            <w:pPr>
              <w:spacing w:after="0"/>
              <w:rPr>
                <w:sz w:val="1"/>
                <w:szCs w:val="1"/>
                <w:color w:val="auto"/>
              </w:rPr>
            </w:pPr>
          </w:p>
        </w:tc>
      </w:tr>
      <w:tr>
        <w:trPr>
          <w:trHeight w:val="199"/>
        </w:trPr>
        <w:tc>
          <w:tcPr>
            <w:tcW w:w="4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2019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159,924,825</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$ 1,599</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(19,896,972)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(711,450)</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401,596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994,811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675,366</w:t>
            </w:r>
          </w:p>
        </w:tc>
        <w:tc>
          <w:tcPr>
            <w:tcW w:w="0" w:type="dxa"/>
            <w:vAlign w:val="bottom"/>
          </w:tcPr>
          <w:p>
            <w:pPr>
              <w:spacing w:after="0"/>
              <w:rPr>
                <w:sz w:val="1"/>
                <w:szCs w:val="1"/>
                <w:color w:val="auto"/>
              </w:rPr>
            </w:pPr>
          </w:p>
        </w:tc>
      </w:tr>
      <w:tr>
        <w:trPr>
          <w:trHeight w:val="207"/>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305,782</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10,843</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428,174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7,440</w:t>
            </w:r>
          </w:p>
        </w:tc>
        <w:tc>
          <w:tcPr>
            <w:tcW w:w="0" w:type="dxa"/>
            <w:vAlign w:val="bottom"/>
          </w:tcPr>
          <w:p>
            <w:pPr>
              <w:spacing w:after="0"/>
              <w:rPr>
                <w:sz w:val="1"/>
                <w:szCs w:val="1"/>
                <w:color w:val="auto"/>
              </w:rPr>
            </w:pPr>
          </w:p>
        </w:tc>
      </w:tr>
      <w:tr>
        <w:trPr>
          <w:trHeight w:val="213"/>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common stock (2)</w:t>
            </w: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(443,763)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(30,885)</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(30,885)</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Recognition of liability related to future restricted stock</w:t>
            </w: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units vesting</w:t>
            </w:r>
          </w:p>
        </w:tc>
        <w:tc>
          <w:tcPr>
            <w:tcW w:w="94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343,737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343,737</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(14,967)</w:t>
            </w:r>
          </w:p>
        </w:tc>
        <w:tc>
          <w:tcPr>
            <w:tcW w:w="0" w:type="dxa"/>
            <w:vAlign w:val="bottom"/>
          </w:tcPr>
          <w:p>
            <w:pPr>
              <w:spacing w:after="0"/>
              <w:rPr>
                <w:sz w:val="1"/>
                <w:szCs w:val="1"/>
                <w:color w:val="auto"/>
              </w:rPr>
            </w:pPr>
          </w:p>
        </w:tc>
      </w:tr>
      <w:tr>
        <w:trPr>
          <w:trHeight w:val="213"/>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paid of $0.73 per share of common stock</w:t>
            </w: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(102,943)</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26,796</w:t>
            </w:r>
          </w:p>
        </w:tc>
        <w:tc>
          <w:tcPr>
            <w:tcW w:w="0" w:type="dxa"/>
            <w:vAlign w:val="bottom"/>
          </w:tcPr>
          <w:p>
            <w:pPr>
              <w:spacing w:after="0"/>
              <w:rPr>
                <w:sz w:val="1"/>
                <w:szCs w:val="1"/>
                <w:color w:val="auto"/>
              </w:rPr>
            </w:pPr>
          </w:p>
        </w:tc>
      </w:tr>
      <w:tr>
        <w:trPr>
          <w:trHeight w:val="207"/>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160,658,781</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$ 1,606</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(20,340,735)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(742,335)</w:t>
            </w: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446,318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1,235,605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(26,157)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915,037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100" w:firstLine="8"/>
        <w:spacing w:after="0" w:line="266"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December 31, 2019, the Company purchased 0.4 million shares of the Company’s Class A Common Stock in a series of open market transactions for $28.4 million. Additionally, the Company repurchased shares during the nine months ended December 31, 2019 to cover the minimum statutory withholding taxes on restricted stock units that vested on various dates during the period.</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OVERVIEW</w:t>
      </w:r>
    </w:p>
    <w:p>
      <w:pPr>
        <w:spacing w:after="0" w:line="121" w:lineRule="exact"/>
        <w:rPr>
          <w:sz w:val="20"/>
          <w:szCs w:val="20"/>
          <w:color w:val="auto"/>
        </w:rPr>
      </w:pPr>
    </w:p>
    <w:p>
      <w:pPr>
        <w:ind w:right="100" w:firstLine="405"/>
        <w:spacing w:after="0" w:line="281" w:lineRule="auto"/>
        <w:rPr>
          <w:sz w:val="20"/>
          <w:szCs w:val="20"/>
          <w:color w:val="auto"/>
        </w:rPr>
      </w:pPr>
      <w:r>
        <w:rPr>
          <w:rFonts w:ascii="Times New Roman" w:cs="Times New Roman" w:eastAsia="Times New Roman" w:hAnsi="Times New Roman"/>
          <w:sz w:val="17"/>
          <w:szCs w:val="17"/>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27,600 employees as of December 31,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2020.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 presented have been included. The Company’s fiscal year ends on March 31 and unless otherwise noted, references to fiscal year or fiscal are for fiscal years ended March 31. The results of operations for the nine months ended December 31, 2020 are not necessarily indicative of results to be expected for the full fiscal year.</w:t>
      </w:r>
    </w:p>
    <w:p>
      <w:pPr>
        <w:spacing w:after="0" w:line="8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6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Certain amounts reported in the Company's prior year condensed consolidated financial statements have been reclassified to conform to the current year presentation.</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2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the provision for claimed indirect costs, valuation and lives of tangible and intangible assets,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Measurement of Credit Losses on Financial Instruments</w:t>
      </w:r>
      <w:r>
        <w:rPr>
          <w:rFonts w:ascii="Times New Roman" w:cs="Times New Roman" w:eastAsia="Times New Roman" w:hAnsi="Times New Roman"/>
          <w:sz w:val="18"/>
          <w:szCs w:val="18"/>
          <w:color w:val="auto"/>
        </w:rPr>
        <w:t xml:space="preserve"> (Topic 326). This guidance requires companies to record an allowance for expected credit losses over the contractual term of certain financial assets, including trade receivables and contract assets, and expands disclosure requirements for credit quality of financial assets. The Company adopted this standard effective April 1, 2020 using the modified retrospective method. The adoption of this standard did not have a material impact on the condensed consolidated financial statements and disclosures.</w:t>
      </w:r>
    </w:p>
    <w:p>
      <w:pPr>
        <w:spacing w:after="0" w:line="75"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 a Service Contract</w:t>
      </w:r>
      <w:r>
        <w:rPr>
          <w:rFonts w:ascii="Times New Roman" w:cs="Times New Roman" w:eastAsia="Times New Roman" w:hAnsi="Times New Roman"/>
          <w:sz w:val="18"/>
          <w:szCs w:val="18"/>
          <w:color w:val="auto"/>
        </w:rPr>
        <w:t>. This guidance requires a customer in a cloud computing arrangement that is a service contract to follow existing internal-use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guidance to determine which implementation costs to defer and recognize as an asset. ASU 2018-15 generally aligns the guidance on capitalizing implementation costs incurred in a cloud computing arrangement that is a service contract with that of implementation costs incurred to develop or obtain internal-use software, including hosting arrangements that include an internal-use software license. ASU 2018-15 is effective for interim reporting periods for fiscal years beginning after December 15, 2019. The Company adopted this standard effective April 1, 2020 on a prospective basis, and adoption of this standard did not have a material impact on the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This guidance includes removal of certain exceptions to the general principles of Topic 740, and simplification in several other areas such as accounting for a franchise tax (or similar tax) that is partially based on income. The provisions of this standard are effective for years beginning after December 15, 2020, with early adoption permitted. The Company early adopted the standard effective April 1, 2020, and applied most of the relevant amendments prospectively. The Company’s adoption did not have a material impact on the condensed consolidated financial statements.</w:t>
      </w:r>
    </w:p>
    <w:p>
      <w:pPr>
        <w:spacing w:after="0" w:line="7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This guidance contains optional expedients and exceptions for applying GAAP to contracts, hedging relationships, and other areas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that are impacted by reference rate reform. The Company elected to adopt Topic 848 in fiscal 2020 and as of December 31, 2020, the Company has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Company’s ability to apply hedge accounting to our derivative financial instruments. The Company continues to evaluate the impact of the guidance and may apply other elections, as applicable and as allowed by Topic 848.</w:t>
      </w:r>
    </w:p>
    <w:p>
      <w:pPr>
        <w:spacing w:after="0" w:line="75" w:lineRule="exact"/>
        <w:rPr>
          <w:sz w:val="20"/>
          <w:szCs w:val="20"/>
          <w:color w:val="auto"/>
        </w:rPr>
      </w:pPr>
    </w:p>
    <w:p>
      <w:pPr>
        <w:jc w:val="both"/>
        <w:ind w:right="260" w:firstLine="405"/>
        <w:spacing w:after="0" w:line="290" w:lineRule="auto"/>
        <w:rPr>
          <w:sz w:val="20"/>
          <w:szCs w:val="20"/>
          <w:color w:val="auto"/>
        </w:rPr>
      </w:pPr>
      <w:r>
        <w:rPr>
          <w:rFonts w:ascii="Times New Roman" w:cs="Times New Roman" w:eastAsia="Times New Roman" w:hAnsi="Times New Roman"/>
          <w:sz w:val="17"/>
          <w:szCs w:val="17"/>
          <w:color w:val="auto"/>
        </w:rPr>
        <w:t xml:space="preserve">In August 2020, the SEC issued Release No. 33-10825, </w:t>
      </w:r>
      <w:r>
        <w:rPr>
          <w:rFonts w:ascii="Times New Roman" w:cs="Times New Roman" w:eastAsia="Times New Roman" w:hAnsi="Times New Roman"/>
          <w:sz w:val="17"/>
          <w:szCs w:val="17"/>
          <w:i w:val="1"/>
          <w:iCs w:val="1"/>
          <w:color w:val="auto"/>
        </w:rPr>
        <w:t>Modernization of Regulation S-K Items 101, 103 and 105</w:t>
      </w:r>
      <w:r>
        <w:rPr>
          <w:rFonts w:ascii="Times New Roman" w:cs="Times New Roman" w:eastAsia="Times New Roman" w:hAnsi="Times New Roman"/>
          <w:sz w:val="17"/>
          <w:szCs w:val="17"/>
          <w:color w:val="auto"/>
        </w:rPr>
        <w:t>, with the intent of improving the readability of filed documents and simplifying registrants' compliance efforts. This amendment became effective on November 9, 2020. The Company’s adoption did not have any impact on the condensed consolidated financial statements but is expected to impact fiscal 2021 Form 10-K disclosures.</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9" w:lineRule="exact"/>
        <w:rPr>
          <w:sz w:val="20"/>
          <w:szCs w:val="20"/>
          <w:color w:val="auto"/>
        </w:rPr>
      </w:pPr>
    </w:p>
    <w:p>
      <w:pPr>
        <w:ind w:right="240" w:firstLine="405"/>
        <w:spacing w:after="0" w:line="267" w:lineRule="auto"/>
        <w:rPr>
          <w:sz w:val="20"/>
          <w:szCs w:val="20"/>
          <w:color w:val="auto"/>
        </w:rPr>
      </w:pPr>
      <w:r>
        <w:rPr>
          <w:rFonts w:ascii="Times New Roman" w:cs="Times New Roman" w:eastAsia="Times New Roman" w:hAnsi="Times New Roman"/>
          <w:sz w:val="18"/>
          <w:szCs w:val="18"/>
          <w:color w:val="auto"/>
        </w:rPr>
        <w:t xml:space="preserve">In November 2020, the SEC issued Release No. 33-10890, </w:t>
      </w:r>
      <w:r>
        <w:rPr>
          <w:rFonts w:ascii="Times New Roman" w:cs="Times New Roman" w:eastAsia="Times New Roman" w:hAnsi="Times New Roman"/>
          <w:sz w:val="18"/>
          <w:szCs w:val="18"/>
          <w:i w:val="1"/>
          <w:iCs w:val="1"/>
          <w:color w:val="auto"/>
        </w:rPr>
        <w:t>Amendments to Management's Discussion and Analysis, Selected Financial Data,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Supplementary Financial Information</w:t>
      </w:r>
      <w:r>
        <w:rPr>
          <w:rFonts w:ascii="Times New Roman" w:cs="Times New Roman" w:eastAsia="Times New Roman" w:hAnsi="Times New Roman"/>
          <w:sz w:val="18"/>
          <w:szCs w:val="18"/>
          <w:color w:val="auto"/>
        </w:rPr>
        <w:t>, to simplify, modernize and enhance certain financial disclosure requirements in Regulation S-K. This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become effective on February 10, 2021. The Company’s adoption is expected to impact fiscal 2022 Form 10-K disclosures.</w:t>
      </w:r>
    </w:p>
    <w:p>
      <w:pPr>
        <w:spacing w:after="0" w:line="67"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Other accounting and reporting pronouncements effective after December 31, 2020 and issued through the filing date are not expected to have a material impact on the Company's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Company's revenues from contracts with customers (clients) are derived from offerings that include management and technology consulting services, analytics, digital solutions, engineering, mission operations,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 contracts, time-and-materials contracts, and fixed-price contracts.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21"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each of the three and nine months ended December 31, 2020 and 2019, the aggregate impact of adjustments in contract estimates was not material.</w:t>
      </w:r>
    </w:p>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 by Contract Type: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generate revenue under the following three basic types of contracts:</w:t>
      </w:r>
    </w:p>
    <w:p>
      <w:pPr>
        <w:spacing w:after="0" w:line="117" w:lineRule="exact"/>
        <w:rPr>
          <w:sz w:val="20"/>
          <w:szCs w:val="20"/>
          <w:color w:val="auto"/>
        </w:rPr>
      </w:pPr>
    </w:p>
    <w:p>
      <w:pPr>
        <w:ind w:left="1960" w:right="760" w:hanging="656"/>
        <w:spacing w:after="0" w:line="312" w:lineRule="auto"/>
        <w:tabs>
          <w:tab w:leader="none" w:pos="19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31" w:lineRule="exact"/>
        <w:rPr>
          <w:rFonts w:ascii="Times New Roman" w:cs="Times New Roman" w:eastAsia="Times New Roman" w:hAnsi="Times New Roman"/>
          <w:sz w:val="17"/>
          <w:szCs w:val="17"/>
          <w:color w:val="auto"/>
        </w:rPr>
      </w:pPr>
    </w:p>
    <w:p>
      <w:pPr>
        <w:ind w:left="1960" w:right="200" w:hanging="656"/>
        <w:spacing w:after="0" w:line="261" w:lineRule="auto"/>
        <w:tabs>
          <w:tab w:leader="none" w:pos="1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71" w:lineRule="exact"/>
        <w:rPr>
          <w:rFonts w:ascii="Times New Roman" w:cs="Times New Roman" w:eastAsia="Times New Roman" w:hAnsi="Times New Roman"/>
          <w:sz w:val="18"/>
          <w:szCs w:val="18"/>
          <w:color w:val="auto"/>
        </w:rPr>
      </w:pPr>
    </w:p>
    <w:p>
      <w:pPr>
        <w:ind w:left="1960" w:right="40" w:hanging="656"/>
        <w:spacing w:after="0" w:line="266" w:lineRule="auto"/>
        <w:tabs>
          <w:tab w:leader="none" w:pos="1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total revenue for each type of contract: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20" w:type="dxa"/>
            <w:vAlign w:val="bottom"/>
            <w:gridSpan w:val="4"/>
          </w:tcPr>
          <w:p>
            <w:pPr>
              <w:jc w:val="center"/>
              <w:ind w:right="5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20" w:type="dxa"/>
            <w:vAlign w:val="bottom"/>
            <w:gridSpan w:val="4"/>
          </w:tcPr>
          <w:p>
            <w:pPr>
              <w:jc w:val="center"/>
              <w:ind w:right="7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Cost-reimbursable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1,086,679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1,052,313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3,317,228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3,104,961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Time-and-materials</w:t>
            </w:r>
          </w:p>
        </w:tc>
        <w:tc>
          <w:tcPr>
            <w:tcW w:w="220" w:type="dxa"/>
            <w:vAlign w:val="bottom"/>
          </w:tcPr>
          <w:p>
            <w:pPr>
              <w:spacing w:after="0"/>
              <w:rPr>
                <w:sz w:val="18"/>
                <w:szCs w:val="18"/>
                <w:color w:val="auto"/>
              </w:rPr>
            </w:pPr>
          </w:p>
        </w:tc>
        <w:tc>
          <w:tcPr>
            <w:tcW w:w="10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462,206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428,081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1,469,415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1,272,281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355,135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369,047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1,093,015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1,116,952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0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1,904,020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1,849,441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5,879,658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5,494,194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6"/>
        </w:trPr>
        <w:tc>
          <w:tcPr>
            <w:tcW w:w="23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rPr>
              <w:t>Revenue by Customer Type:</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20" w:type="dxa"/>
            <w:vAlign w:val="bottom"/>
            <w:gridSpan w:val="4"/>
          </w:tcPr>
          <w:p>
            <w:pPr>
              <w:jc w:val="center"/>
              <w:ind w:right="5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20" w:type="dxa"/>
            <w:vAlign w:val="bottom"/>
            <w:gridSpan w:val="4"/>
          </w:tcPr>
          <w:p>
            <w:pPr>
              <w:jc w:val="center"/>
              <w:ind w:right="7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Defense Clients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961,277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904,389</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2,892,953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2,608,595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Intelligence Clients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373,403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383,422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1,176,617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1,207,709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Civil Clients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520,021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485,506</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1,648,157</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1,488,551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U.S. government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1,854,701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1,773,317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5,717,727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5,304,855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Global Commercial Clients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49,319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76,124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161,931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189,339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1,904,020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1,849,441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5,879,658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5,494,194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 by Whether the Company Acts as a Prime Contractor or a Sub-Contractor:</w:t>
      </w: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40" w:type="dxa"/>
            <w:vAlign w:val="bottom"/>
            <w:gridSpan w:val="4"/>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40" w:type="dxa"/>
            <w:vAlign w:val="bottom"/>
            <w:gridSpan w:val="4"/>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spacing w:after="0"/>
              <w:rPr>
                <w:sz w:val="13"/>
                <w:szCs w:val="13"/>
                <w:color w:val="auto"/>
              </w:rPr>
            </w:pPr>
          </w:p>
        </w:tc>
      </w:tr>
      <w:tr>
        <w:trPr>
          <w:trHeight w:val="189"/>
        </w:trPr>
        <w:tc>
          <w:tcPr>
            <w:tcW w:w="2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3"/>
        </w:trPr>
        <w:tc>
          <w:tcPr>
            <w:tcW w:w="2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15"/>
                <w:szCs w:val="15"/>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Prime Contractor</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1,777,878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6"/>
              </w:rPr>
              <w:t>1,714,705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5,462,260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5,064,657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13"/>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Sub-contractor</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126,142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134,736</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417,398</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429,537</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35"/>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1,904,020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6"/>
              </w:rPr>
              <w:t>1,849,441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5,879,658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5,494,194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6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2020 and March 31, 2020, the Company had $7.5 billion and $6.3 billion, respectively, of remaining performance obligations and we expect to recognize more than half of the remaining performance obligations at December 31,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as revenue over the next 12 months, and approximately three quarters over the next 24 months. The remainder is expected to be recognized thereafter.</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 in net contract assets or liabilities being recognized at the end of each reporting period.</w:t>
      </w:r>
    </w:p>
    <w:p>
      <w:pPr>
        <w:spacing w:after="0" w:line="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Contract assets primarily consist of unbilled receivables typically resulting from revenue recognized exceeding the amount billed to the customer and right to payment is not just subject to the passage of time. Contract liabilities primarily consist of advance payments, billings in excess of costs incurred and deferred revenue. Contract assets and liabilities are reported on a net contract basis at the end of each reporting period. The Company maintains an allowance for doubtful accounts to provide for an estimate of uncollected receivables. Refer to Note 5 for more information on receivables recognized from contracts accounted for under Accounting Standards Codification (ASC)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contract balances recognized on the Company’s condensed consolidated balance sheets: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350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Balance Sheet line item</w:t>
            </w:r>
          </w:p>
        </w:tc>
        <w:tc>
          <w:tcPr>
            <w:tcW w:w="20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1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9"/>
        </w:trPr>
        <w:tc>
          <w:tcPr>
            <w:tcW w:w="43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968,283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988,634</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w:t>
            </w:r>
          </w:p>
        </w:tc>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62,600</w:t>
            </w:r>
          </w:p>
        </w:tc>
        <w:tc>
          <w:tcPr>
            <w:tcW w:w="0" w:type="dxa"/>
            <w:vAlign w:val="bottom"/>
          </w:tcPr>
          <w:p>
            <w:pPr>
              <w:spacing w:after="0"/>
              <w:rPr>
                <w:sz w:val="1"/>
                <w:szCs w:val="1"/>
                <w:color w:val="auto"/>
              </w:rPr>
            </w:pPr>
          </w:p>
        </w:tc>
      </w:tr>
      <w:tr>
        <w:trPr>
          <w:trHeight w:val="223"/>
        </w:trPr>
        <w:tc>
          <w:tcPr>
            <w:tcW w:w="4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1,032,138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1,051,234</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Advance payments, billings in excess of costs incurred</w:t>
            </w:r>
          </w:p>
        </w:tc>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23,157</w:t>
            </w:r>
          </w:p>
        </w:tc>
        <w:tc>
          <w:tcPr>
            <w:tcW w:w="1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0" w:type="dxa"/>
            <w:vAlign w:val="bottom"/>
          </w:tcPr>
          <w:p>
            <w:pPr>
              <w:spacing w:after="0"/>
              <w:rPr>
                <w:sz w:val="1"/>
                <w:szCs w:val="1"/>
                <w:color w:val="auto"/>
              </w:rPr>
            </w:pPr>
          </w:p>
        </w:tc>
      </w:tr>
      <w:tr>
        <w:trPr>
          <w:trHeight w:val="234"/>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deferred revenue</w:t>
            </w:r>
          </w:p>
        </w:tc>
        <w:tc>
          <w:tcPr>
            <w:tcW w:w="350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Changes in contract assets and contract liabilities are primarily due to the timing difference between the Company’s performance of services and payments from customers. For the three months ended December 31, 2020 and 2019, we recognized revenue of $1.7 million and $36 thousand, respectively, and for the nine months ended December 31, 2020 and December 31, 2019, we recognized revenue of $23.7 million and $18.5 million, respectively, related to our contract liabilities on April 1, 2020 and 2019,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12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computes basic and diluted earnings per share amounts based on net income for the periods presented. The Company uses the weighted-average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6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second, and third quarters of fiscal 2021 and 2020.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68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for basic computations (1)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143,488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341,922</w:t>
            </w:r>
          </w:p>
        </w:tc>
        <w:tc>
          <w:tcPr>
            <w:tcW w:w="0" w:type="dxa"/>
            <w:vAlign w:val="bottom"/>
          </w:tcPr>
          <w:p>
            <w:pPr>
              <w:spacing w:after="0"/>
              <w:rPr>
                <w:sz w:val="1"/>
                <w:szCs w:val="1"/>
                <w:color w:val="auto"/>
              </w:rPr>
            </w:pPr>
          </w:p>
        </w:tc>
      </w:tr>
      <w:tr>
        <w:trPr>
          <w:trHeight w:val="176"/>
        </w:trPr>
        <w:tc>
          <w:tcPr>
            <w:tcW w:w="52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Weighted-average common shares outstanding for basic</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137,879,820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140,297,795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137,971,114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140,183,418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computations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for diluted computations (1)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341,932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stock options and restricted stock</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1,006,299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1,260,632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961,011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1,165,217</w:t>
            </w:r>
          </w:p>
        </w:tc>
        <w:tc>
          <w:tcPr>
            <w:tcW w:w="0" w:type="dxa"/>
            <w:vAlign w:val="bottom"/>
          </w:tcPr>
          <w:p>
            <w:pPr>
              <w:spacing w:after="0"/>
              <w:rPr>
                <w:sz w:val="1"/>
                <w:szCs w:val="1"/>
                <w:color w:val="auto"/>
              </w:rPr>
            </w:pPr>
          </w:p>
        </w:tc>
      </w:tr>
      <w:tr>
        <w:trPr>
          <w:trHeight w:val="155"/>
        </w:trPr>
        <w:tc>
          <w:tcPr>
            <w:tcW w:w="520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for diluted</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138,886,119</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141,558,427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138,932,125</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141,348,635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computations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20" w:hanging="7"/>
        <w:spacing w:after="0" w:line="254" w:lineRule="auto"/>
        <w:tabs>
          <w:tab w:leader="none" w:pos="6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2020 and 2019, approximately 0.8 million and 0.7 million participating securities, respectively, were paid dividends totaling $0.3 million and $0.2 million, respectively. During the nine months ended December 31, 2020 and 2019, approximately 0.8 million and 0.7 million participating securities, respectively, were paid dividends totaling $0.7 million and $0.5 million, respectively. For the three months ended December 31, 2020 and 2019, there were undistributed earnings of $0.6 million and $0.4 million, respectively, allocated to the participating class of securities in both basic and diluted EPS. For the nine months ended December 31, 2020 and 2019, there were undistributed earnings of $1.6 million and $1.3 million, respectively,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both the three and nine months ended December 31, 2020 and 2019.</w:t>
      </w:r>
    </w:p>
    <w:p>
      <w:pPr>
        <w:spacing w:after="0" w:line="192"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EPS calculation for the three months ended December 31, 2020 and 2019 excludes 27 thousand and 0.2 million options, respectively, as their impact was anti-dilutive. The EPS calculation for the nine months ended December 31, 2020 and 2019 excludes 29 thousand and 0.2 million options, respectively, as their impact was anti-dilutive.</w:t>
      </w:r>
    </w:p>
    <w:p>
      <w:pPr>
        <w:spacing w:after="0" w:line="64" w:lineRule="exact"/>
        <w:rPr>
          <w:sz w:val="20"/>
          <w:szCs w:val="20"/>
          <w:color w:val="auto"/>
        </w:rPr>
      </w:pPr>
    </w:p>
    <w:p>
      <w:pPr>
        <w:ind w:left="420" w:right="6120" w:hanging="412"/>
        <w:spacing w:after="0" w:line="450" w:lineRule="auto"/>
        <w:tabs>
          <w:tab w:leader="none" w:pos="195"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ACCOUNTS RECEIVABLE, NET OF ALLOWANCE </w:t>
      </w:r>
      <w:r>
        <w:rPr>
          <w:rFonts w:ascii="Times New Roman" w:cs="Times New Roman" w:eastAsia="Times New Roman" w:hAnsi="Times New Roman"/>
          <w:sz w:val="17"/>
          <w:szCs w:val="17"/>
          <w:color w:val="auto"/>
        </w:rPr>
        <w:t>Accounts receivable, net of allowance consisted of the following:</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9"/>
        </w:trPr>
        <w:tc>
          <w:tcPr>
            <w:tcW w:w="8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receivable–billed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456,755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474,822</w:t>
            </w:r>
          </w:p>
        </w:tc>
      </w:tr>
      <w:tr>
        <w:trPr>
          <w:trHeight w:val="230"/>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receivable–unbilled</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988,634</w:t>
            </w:r>
          </w:p>
        </w:tc>
      </w:tr>
      <w:tr>
        <w:trPr>
          <w:trHeight w:val="230"/>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r>
      <w:tr>
        <w:trPr>
          <w:trHeight w:val="223"/>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1,459,471</w:t>
            </w: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receivable–unbilled</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62,600</w:t>
            </w:r>
          </w:p>
        </w:tc>
      </w:tr>
      <w:tr>
        <w:trPr>
          <w:trHeight w:val="223"/>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1,484,560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1,522,071</w:t>
            </w:r>
          </w:p>
        </w:tc>
      </w:tr>
      <w:tr>
        <w:trPr>
          <w:trHeight w:val="20"/>
        </w:trPr>
        <w:tc>
          <w:tcPr>
            <w:tcW w:w="8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Unbilled amounts represent revenues for which billings have not been presented to customers at quarter-end or year-end.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The Company recognized a benefit from release of the provision for doubtful accounts in the amount of $0.03 million and $9.1 million for the three months ended December 31, 2020 and 2019, respectively, and $0.2 million and $6.7 million for the nine months ended December 31, 2020 and December 31, 2019, respectively.</w:t>
      </w:r>
    </w:p>
    <w:p>
      <w:pPr>
        <w:spacing w:after="0" w:line="7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primary financial instruments, other than derivatives, that potentially subject the Company to concentrations of credit risk are accounts receivable. The Company's primary customers are U.S. federal government agencies and prime contractors under contracts with the U.S. government. The Company is exposed to credit risk primarily through global commercial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customers. The Company continuously monitors its credit exposure through review of customer balances against contract terms, historical cash collections, outstanding past due status, current economic conditions and dispute resolution. It records provisions for doubtful accounts based on its expected credit losses considering historical experience, current information and reasonable and supportable forecasts of future economic conditions.</w:t>
      </w:r>
    </w:p>
    <w:p>
      <w:pPr>
        <w:spacing w:after="0" w:line="200" w:lineRule="exact"/>
        <w:rPr>
          <w:sz w:val="20"/>
          <w:szCs w:val="20"/>
          <w:color w:val="auto"/>
        </w:rPr>
      </w:pPr>
    </w:p>
    <w:p>
      <w:pPr>
        <w:spacing w:after="0" w:line="215" w:lineRule="exact"/>
        <w:rPr>
          <w:sz w:val="20"/>
          <w:szCs w:val="20"/>
          <w:color w:val="auto"/>
        </w:rPr>
      </w:pPr>
    </w:p>
    <w:p>
      <w:pPr>
        <w:ind w:left="460" w:right="5500" w:hanging="452"/>
        <w:spacing w:after="0" w:line="450" w:lineRule="auto"/>
        <w:tabs>
          <w:tab w:leader="none" w:pos="195"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ACCOUNTS PAYABLE AND OTHER ACCRUED EXPENSES </w:t>
      </w:r>
      <w:r>
        <w:rPr>
          <w:rFonts w:ascii="Times New Roman" w:cs="Times New Roman" w:eastAsia="Times New Roman" w:hAnsi="Times New Roman"/>
          <w:sz w:val="17"/>
          <w:szCs w:val="17"/>
          <w:color w:val="auto"/>
        </w:rPr>
        <w:t>Accounts payable and other accrued expenses consisted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2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9"/>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payables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432,953</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265,058</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payable and other accrued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698,011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Accrued expenses consisted primarily of the Company’s provision for claimed indirect costs, which were approximately $248.2 million and $224.6 million as of December 31, 2020 and March 31, 2020, respectively. See Note 18 for further discussion of this provision.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COMPENSATION AND BENEFITS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compensation and benefits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24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82,664</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Retirement</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accrued compensation and benefits</w:t>
            </w: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414,475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28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consisted of the following:</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02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920" w:type="dxa"/>
            <w:vAlign w:val="bottom"/>
            <w:gridSpan w:val="6"/>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580" w:type="dxa"/>
            <w:vAlign w:val="bottom"/>
            <w:tcBorders>
              <w:top w:val="single" w:sz="8" w:color="auto"/>
            </w:tcBorders>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460" w:type="dxa"/>
            <w:vAlign w:val="bottom"/>
            <w:tcBorders>
              <w:top w:val="single" w:sz="8" w:color="auto"/>
            </w:tcBorders>
            <w:gridSpan w:val="2"/>
          </w:tcPr>
          <w:p>
            <w:pPr>
              <w:jc w:val="right"/>
              <w:ind w:right="48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94"/>
              <w:spacing w:after="0" w:line="13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80" w:type="dxa"/>
            <w:vAlign w:val="bottom"/>
          </w:tcPr>
          <w:p>
            <w:pPr>
              <w:spacing w:after="0"/>
              <w:rPr>
                <w:sz w:val="16"/>
                <w:szCs w:val="16"/>
                <w:color w:val="auto"/>
              </w:rPr>
            </w:pPr>
          </w:p>
        </w:tc>
        <w:tc>
          <w:tcPr>
            <w:tcW w:w="126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A</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1,308,258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1,363,739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Term Loan B</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388,102</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Revolver</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Senior Notes</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Unamortized debt issuance costs and discount on debt</w:t>
            </w: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(15,997)</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2,185,844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(77,865)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(177,865)</w:t>
            </w: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52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2,297,142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2,007,979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 and Revolving Credit Facility</w:t>
      </w:r>
    </w:p>
    <w:p>
      <w:pPr>
        <w:spacing w:after="0" w:line="121"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On November 26, 2019 (the "Amendment Effective Date"), Booz Allen Hamilton Inc. ("Booz Allen Hamilton"), Booz Allen Hamilton Investor Corporation ("Investor"), and certain wholly-owned subsidiaries of Booz Allen Hamilton, entered into the Seventh Amendment (the "Seventh Amendment") to the Credit Agreement (as amended, the "Credit Agreement"), dated as of July 31, 2012 among Booz Allen Hamilton, Investor, certain wholly-owned subsidiaries of Booz Allen Hamilton and Bank</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of America, N.A., as Administrative Agent and Collateral Agent, and the other lenders and financial institutions from time to time party thereto (as previously amended by the First Amendment to the Credit Agreement, dated as of August 16, 2013, the Second Amendment to the Credit Agreement, dated as of May 7, 2014, the Third Amendment to the Credit Agreement, dated as of July 13, 2016, the Fourth Amendment to the Credit Agreement, dated as of February 6, 2017, the Fifth Amendment to the Credit Agreement, dated as of March 7, 2018, and the Sixth Amendment to the Credit Agreement, dated as of July 23, 2018). Pursuant to the Seventh Amendment, the Company reduced the applicable margin applicable to the Term Loan B ("Term Loan B" and, together with the Term Loan A, the "Term Loans") from 2.00% to 1.75% for LIBOR loans and from 1.00% to 0.75% for base rate loans and extended the maturity of the Term Loan B to November 26, 2026. The applicable margin and maturity date applicable to the Term Loan A (the "Term Loan A") remained unchanged.</w:t>
      </w:r>
    </w:p>
    <w:p>
      <w:pPr>
        <w:spacing w:after="0" w:line="84"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Prior to the Seventh Amendment, approximately $389.0 million was outstanding under Term Loan B. Pursuant to the Seventh Amendment, certain lenders converted their existing Term Loan B loans into a new tranche of Term Loan B loans in an aggregate amount, along with Term Loan B loans advanced by certain new lenders, of approximately $389.0 million (the “New Refinancing Tranche B Term Loans”). The proceeds from the new lenders were used to prepay in full all of the existing Term Loan B loans that were not converted into the new Term Loan B tranche. Voluntary prepayments of the New Refinancing Tranche B Term Loans are permitted at any time, in minimum principal amounts, without premium or penalty. The other terms of the New Refinancing Tranche B Term Loans are generally the same as the existing Term Loan B prior to the Seventh Amendment.</w:t>
      </w:r>
    </w:p>
    <w:p>
      <w:pPr>
        <w:spacing w:after="0" w:line="7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As of December 31, 2020, the Credit Agreement provided Booz Allen Hamilton with a $1,308.3 million Term Loan A, a $385.2 million Term Loan B, and a $500.0 million revolving credit facility (the "Revolving Credit Facility") with a sub-limit for letters of credit of $100.0 million (collectively, the "Secured Credit Facility"). As of December 31, 2020, the maturity date of Term Loan A and the termination date for the Revolving Credit Facility was July 23, 2023 and the maturity date of Term Loan B was November 26, 2026.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84" w:lineRule="exact"/>
        <w:rPr>
          <w:sz w:val="20"/>
          <w:szCs w:val="20"/>
          <w:color w:val="auto"/>
        </w:rPr>
      </w:pPr>
    </w:p>
    <w:p>
      <w:pPr>
        <w:ind w:right="60" w:firstLine="405"/>
        <w:spacing w:after="0" w:line="276" w:lineRule="auto"/>
        <w:rPr>
          <w:sz w:val="20"/>
          <w:szCs w:val="20"/>
          <w:color w:val="auto"/>
        </w:rPr>
      </w:pPr>
      <w:r>
        <w:rPr>
          <w:rFonts w:ascii="Times New Roman" w:cs="Times New Roman" w:eastAsia="Times New Roman" w:hAnsi="Times New Roman"/>
          <w:sz w:val="17"/>
          <w:szCs w:val="17"/>
          <w:color w:val="auto"/>
        </w:rPr>
        <w:t>At Booz Allen Hamilton’s option, borrowings under the Secured Credit Facility bear interest based either at LIBOR (adjusted for maximum reserves, and subject to a floor of zero) for the applicable interest period or a base rate (equal to the highest of (x) the administrative agent’s prime corporate rate,</w:t>
      </w:r>
    </w:p>
    <w:p>
      <w:pPr>
        <w:spacing w:after="0" w:line="1" w:lineRule="exact"/>
        <w:rPr>
          <w:sz w:val="20"/>
          <w:szCs w:val="20"/>
          <w:color w:val="auto"/>
        </w:rPr>
      </w:pPr>
    </w:p>
    <w:p>
      <w:pPr>
        <w:ind w:firstLine="8"/>
        <w:spacing w:after="0" w:line="25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1.75% for LIBOR loans and 0.75% for base rate loans. Unused commitments under the Revolving Credit Facility are subject to a quarterly fee ranging from 0.20% to 0.35% based on Booz Allen Hamilton’s consolidated total net leverage ratio.</w:t>
      </w:r>
    </w:p>
    <w:p>
      <w:pPr>
        <w:spacing w:after="0" w:line="8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Booz Allen Hamilton occasionally borrows under the Revolving Credit Facility in anticipation of cash demands. For both the three and nine months ended December 31, 2020 and 2019, Booz Allen Hamilton accessed no amounts of its $500.0 million Revolving Credit Facility. As of December 31, 2020, there was no outstanding balance on the Revolving Credit Facility. As of March 31, 2020, $100.0 million was outstanding on the Revolving Credit Facility, which was repaid in June 2020.</w:t>
      </w:r>
    </w:p>
    <w:p>
      <w:pPr>
        <w:spacing w:after="0" w:line="7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54" w:lineRule="exact"/>
        <w:rPr>
          <w:sz w:val="20"/>
          <w:szCs w:val="20"/>
          <w:color w:val="auto"/>
        </w:rPr>
      </w:pPr>
    </w:p>
    <w:p>
      <w:pPr>
        <w:ind w:right="60" w:firstLine="405"/>
        <w:spacing w:after="0" w:line="257"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spacing w:after="0" w:line="1"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(vi) transactions with affiliates; (vii) change in fiscal periods; (viii) negative pledges; (ix) restrictive agreements; (x) line of business; and</w:t>
      </w:r>
    </w:p>
    <w:p>
      <w:pPr>
        <w:spacing w:after="0" w:line="9" w:lineRule="exact"/>
        <w:rPr>
          <w:rFonts w:ascii="Times New Roman" w:cs="Times New Roman" w:eastAsia="Times New Roman" w:hAnsi="Times New Roman"/>
          <w:sz w:val="18"/>
          <w:szCs w:val="18"/>
          <w:color w:val="auto"/>
        </w:rPr>
      </w:pPr>
    </w:p>
    <w:p>
      <w:pPr>
        <w:ind w:right="420" w:firstLine="8"/>
        <w:spacing w:after="0" w:line="260" w:lineRule="auto"/>
        <w:tabs>
          <w:tab w:leader="none" w:pos="3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hedging. The events of default include the following, in each case subject to certain exceptions: (a) failure to make required payments under the Secured Credit Facility; (b) material breaches of representations or warranties under the</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December 31, 2020 and March 31, 2020, Booz Allen Hamilton was in compliance with all financial covenants associated with its debt and debt-like instruments.</w:t>
      </w:r>
    </w:p>
    <w:p>
      <w:pPr>
        <w:spacing w:after="0" w:line="79"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2020 and 2019, interest payments of $5.6 million and $12.0 million were made for Term Loan A and $1.9 million and $3.7 million were made for Term Loan B, respectively. For the nine months ended December 31, 2020 and 2019, interest payments of $18.3 million and $39.2 million were made for Term Loan A and $6.0 million and $12.5 million were made for Term Loan B, respectively.</w:t>
      </w:r>
    </w:p>
    <w:p>
      <w:pPr>
        <w:spacing w:after="0" w:line="68" w:lineRule="exact"/>
        <w:rPr>
          <w:sz w:val="20"/>
          <w:szCs w:val="20"/>
          <w:color w:val="auto"/>
        </w:rPr>
      </w:pPr>
    </w:p>
    <w:p>
      <w:pPr>
        <w:ind w:right="100" w:firstLine="405"/>
        <w:spacing w:after="0" w:line="277" w:lineRule="auto"/>
        <w:rPr>
          <w:sz w:val="20"/>
          <w:szCs w:val="20"/>
          <w:color w:val="auto"/>
        </w:rPr>
      </w:pPr>
      <w:r>
        <w:rPr>
          <w:rFonts w:ascii="Times New Roman" w:cs="Times New Roman" w:eastAsia="Times New Roman" w:hAnsi="Times New Roman"/>
          <w:sz w:val="17"/>
          <w:szCs w:val="17"/>
          <w:color w:val="auto"/>
        </w:rPr>
        <w:t>Borrowings under the Term Loans, and if used, the Revolving Credit Facility, incur interest at a variable rate. In accordance with Booz Allen Hamilton’s risk management strategy, between April 6, 2017 and April 4, 2019, Booz Allen Hamilton executed a series of interest rate swaps. As of December 31, 2020, Booz Allen Hamilton had interest rate swaps with an aggregate notional amount of $1 billion. These instruments hedge the variability of cash outflows for interest payments on the term loan debts and Revolving Credit Facility. The Company's objectives in using cash flow hedges are to reduce volatility due to interest rate movements and to add stability to interest expense (see Note 9 to our condensed consolidated financial statements).</w:t>
      </w:r>
    </w:p>
    <w:p>
      <w:pPr>
        <w:spacing w:after="0" w:line="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On August 24, 2020, Booz Allen Hamilton issued $700.0 million aggregate principal amount of its 3.875% Senior Notes due 2028 (the “Senior Notes”) under an Indenture, dated as of August 24, 2020, among Booz Allen Hamilton, certain subsidiaries of Booz Allen Hamilton, as guarantors (the “Subsidiary Guarantors”), and Wilmington Trust, National Association as trustee (the “Trustee”), as supplemented by the First Supplemental Indenture, dated as of August 24, 2020, among Booz Allen Hamilton, the Subsidiary Guarantors and the Trustee. Each of Booz Allen Hamilton's existing and future restricted subsidiaries that guarantee its obligations under the Secured Credit Facility or certain other indebtedness guarantee the Senior Notes on a senior unsecured basis. The Senior Notes and the guarantees are Booz Allen Hamilton’s and each Subsidiary Guarantors’ senior unsecured obligations and rank equally in right of payment with all of Booz Allen Hamilton’s and the Subsidiary Guarantors’ existing and future senior indebtedness and rank senior in right of payment to any of Booz Allen Hamilton’s and the Subsidiary Guarantors’ future subordinated indebtedness.</w:t>
      </w:r>
    </w:p>
    <w:p>
      <w:pPr>
        <w:spacing w:after="0" w:line="8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Booz Allen Hamilton may redeem some or all of the Senior Notes at any time prior to September 1, 2023, at a price equal to 100.00% of the principal amount of the Senior Notes redeemed, plus accrued and unpaid interest, if any, to (but not including) the redemption date, plus an applicable “make-whole premium.” Booz Allen Hamilton may redeem the Senior Notes at its option, in whole at any time or in part from time to time, upon certain required notice, at any time (i) on and after September 1, 2023, at a price equal to 101.94% of the principal amount of the Senior Notes, (ii) on or after September 1, 2024, at a price equal to 100.97% of the principal amount of the Senior Notes, and (iii) on September 1, 2025 and thereafter, at a price equal to 100.00% of the principal amount of the Senior Notes, in each case, plus accrued and unpaid interest, if any, to (but not including) the applicable redemption date. In addition, at any time on or prior to September 1, 2023, Booz Allen Hamilton may redeem up to 40.00% of the original aggregate principal amount of the Senior Notes with the net cash proceeds of certain equity offerings at a redemption price equal to 103.88% of the principal amount of the Senior Notes, plus accrued and unpaid interest, if any, to (but not including) the redemption date, provided that at least 50.00% of the original aggregate principal amount of the Senior Notes remains outstanding after each such redemption; and the redemption occurs within 180 days of the closing date of such equity offering.</w:t>
      </w:r>
    </w:p>
    <w:p>
      <w:pPr>
        <w:spacing w:after="0" w:line="86"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Interest is payable on the Senior Notes semi-annually on March 1 and September 1 of each year, beginning on March 1, 2021, and principal is due at maturity on September 1, 2028. In connection with the issuance of the Senior Notes, the Company recognized $9.2 million of issuance costs, which were recorded as an offset against the carrying value of debt and will be amortized to interest expense over the term of the Senior Notes.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2017 Senior Notes</w:t>
      </w:r>
    </w:p>
    <w:p>
      <w:pPr>
        <w:spacing w:after="0" w:line="121"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On April 25, 2017, Booz Allen Hamilton issued $350.0 million aggregate principal amount of its 5.125% Senior Notes due 2025 (the "2017 Senior Notes"), under an Indenture, dated as of April 25, 2017, among Booz Allen Hamilton, certain subsidiaries of Booz Allen Hamilton, as guarantors, and Wilmington Trust, National Association, as trustee, as supplemented by the First Supplemental Indenture, dated as of April 25, 2017, among Booz Allen Hamilton, certain subsidiaries of Booz Allen Hamilton, as guarantors, and Wilmington Trust, National Association, as trustee. Each of Booz Allen Hamilton's existing and future domestic restricted subsidiaries that guaranteed its obligations under the Secured Credit Facility and certain other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guaranteed the 2017 Senior Notes on a senior unsecured basis.</w:t>
      </w:r>
    </w:p>
    <w:p>
      <w:pPr>
        <w:spacing w:after="0" w:line="117"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On August 24, 2020, Booz Allen Hamilton used a portion of the net proceeds from the sale of the Senior Notes to redeem in full $350.0 million aggregate principal amount of the outstanding 2017 Senior Notes at a redemption price of 102.563% of the principal amount thereof, plus accrued and unpaid interest thereon to (but excluding) the redemption date, and to pay all fees and expenses related to the foregoing. Booz Allen Hamilton intends to use the remaining net proceeds from the sale of the Senior Notes for working capital and other general corporate purposes.</w:t>
      </w:r>
    </w:p>
    <w:p>
      <w:pPr>
        <w:spacing w:after="0" w:line="72"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2021, the Company recorded $13.2 million of loss on debt extinguishment in other (expense) income, net on the Condensed Consolidated Statements of Operations, including $9.0 million of the premium paid at redemption, and write-off of the unamortized debt issuance cost of the 2017 Senior Notes.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on debt and debt-like instruments consisted of the following:</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60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60" w:type="dxa"/>
            <w:vAlign w:val="bottom"/>
            <w:gridSpan w:val="3"/>
            <w:shd w:val="clear" w:color="auto" w:fill="CCEEFF"/>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60" w:type="dxa"/>
            <w:vAlign w:val="bottom"/>
            <w:gridSpan w:val="3"/>
            <w:shd w:val="clear" w:color="auto" w:fill="CCEEFF"/>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A Interest Expense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 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Revolving Credit Facility</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Payment Obligation Interest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0" w:type="dxa"/>
            <w:vAlign w:val="bottom"/>
          </w:tcPr>
          <w:p>
            <w:pPr>
              <w:spacing w:after="0"/>
              <w:rPr>
                <w:sz w:val="1"/>
                <w:szCs w:val="1"/>
                <w:color w:val="auto"/>
              </w:rPr>
            </w:pPr>
          </w:p>
        </w:tc>
      </w:tr>
      <w:tr>
        <w:trPr>
          <w:trHeight w:val="176"/>
        </w:trPr>
        <w:tc>
          <w:tcPr>
            <w:tcW w:w="5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Debt Issuance Cost (DIC) and Original Issue</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Discount (OID)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Swap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75,281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80" w:right="420" w:hanging="10"/>
        <w:spacing w:after="0" w:line="229" w:lineRule="auto"/>
        <w:tabs>
          <w:tab w:leader="none" w:pos="361" w:val="left"/>
        </w:tabs>
        <w:numPr>
          <w:ilvl w:val="1"/>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payments on the deferred payment obligation were made twice a year in January and July. The final payment was made on December 18, 2019.</w:t>
      </w:r>
    </w:p>
    <w:p>
      <w:pPr>
        <w:spacing w:after="0" w:line="90" w:lineRule="exact"/>
        <w:rPr>
          <w:rFonts w:ascii="Times New Roman" w:cs="Times New Roman" w:eastAsia="Times New Roman" w:hAnsi="Times New Roman"/>
          <w:sz w:val="23"/>
          <w:szCs w:val="23"/>
          <w:color w:val="auto"/>
          <w:vertAlign w:val="superscript"/>
        </w:rPr>
      </w:pPr>
    </w:p>
    <w:p>
      <w:pPr>
        <w:jc w:val="both"/>
        <w:ind w:left="180" w:right="200" w:hanging="10"/>
        <w:spacing w:after="0" w:line="251" w:lineRule="auto"/>
        <w:tabs>
          <w:tab w:leader="none" w:pos="345" w:val="left"/>
        </w:tabs>
        <w:numPr>
          <w:ilvl w:val="1"/>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321"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The aggregate notional amount of all interest rate swap agreements was $1.0 billion as of December 31, 2020. The swaps have staggered maturities, ranging from June 30, 2021 to June 30, 2025. These swaps mature within the last tranche of the Company's floating rate debt (November 26, 2026).</w:t>
      </w:r>
    </w:p>
    <w:p>
      <w:pPr>
        <w:spacing w:after="0" w:line="7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 a portion of the variable rate debt into fixed interest rate debt.</w:t>
      </w:r>
    </w:p>
    <w:p>
      <w:pPr>
        <w:spacing w:after="0" w:line="68"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Derivative instruments are recorded in the condensed consolidated balance sheet on a gross basis at estimated fair value. As of December 31, 2020, $18.6 million and $30.0 million were classified as other current liabilities and other long-term liabilities, respectively, on the condensed consolidated balance sheet. As of March 31, 2020, $18.8 million and $37.8 million were classified as other current liabilities, and other long-term liabilities, respectively, on the condensed consolidated balance sheet.</w:t>
      </w:r>
    </w:p>
    <w:p>
      <w:pPr>
        <w:spacing w:after="0" w:line="72" w:lineRule="exact"/>
        <w:rPr>
          <w:sz w:val="20"/>
          <w:szCs w:val="20"/>
          <w:color w:val="auto"/>
        </w:rPr>
      </w:pPr>
    </w:p>
    <w:p>
      <w:pPr>
        <w:jc w:val="both"/>
        <w:ind w:right="100" w:firstLine="405"/>
        <w:spacing w:after="0" w:line="261" w:lineRule="auto"/>
        <w:rPr>
          <w:sz w:val="20"/>
          <w:szCs w:val="20"/>
          <w:color w:val="auto"/>
        </w:rPr>
      </w:pPr>
      <w:r>
        <w:rPr>
          <w:rFonts w:ascii="Times New Roman" w:cs="Times New Roman" w:eastAsia="Times New Roman" w:hAnsi="Times New Roman"/>
          <w:sz w:val="18"/>
          <w:szCs w:val="18"/>
          <w:color w:val="auto"/>
        </w:rPr>
        <w:t>For interest rate swaps designated as cash flow hedges, the changes in the fair value of derivatives is recorded in Accumulated Other Comprehensive Loss, or AOCL, net of taxes, and is subsequently reclassified into interest expense in the period that the hedged forecasted interest payments are made on the Company's variable-rate debt. The effect of derivative instruments on the accompanying condensed consolidated financial statements for the three and nine months ended December 31, 2020 and 2019 is as follows: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88"/>
        </w:trPr>
        <w:tc>
          <w:tcPr>
            <w:tcW w:w="2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Amount of Gain or (Loss)</w:t>
            </w:r>
          </w:p>
        </w:tc>
        <w:tc>
          <w:tcPr>
            <w:tcW w:w="160" w:type="dxa"/>
            <w:vAlign w:val="bottom"/>
          </w:tcPr>
          <w:p>
            <w:pPr>
              <w:spacing w:after="0"/>
              <w:rPr>
                <w:sz w:val="16"/>
                <w:szCs w:val="16"/>
                <w:color w:val="auto"/>
              </w:rPr>
            </w:pPr>
          </w:p>
        </w:tc>
        <w:tc>
          <w:tcPr>
            <w:tcW w:w="206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Amount of Gain or (Loss)</w:t>
            </w:r>
          </w:p>
        </w:tc>
        <w:tc>
          <w:tcPr>
            <w:tcW w:w="120" w:type="dxa"/>
            <w:vAlign w:val="bottom"/>
          </w:tcPr>
          <w:p>
            <w:pPr>
              <w:spacing w:after="0"/>
              <w:rPr>
                <w:sz w:val="16"/>
                <w:szCs w:val="16"/>
                <w:color w:val="auto"/>
              </w:rPr>
            </w:pPr>
          </w:p>
        </w:tc>
        <w:tc>
          <w:tcPr>
            <w:tcW w:w="210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Interest Expense on Condensed</w:t>
            </w:r>
          </w:p>
        </w:tc>
      </w:tr>
      <w:tr>
        <w:trPr>
          <w:trHeight w:val="135"/>
        </w:trPr>
        <w:tc>
          <w:tcPr>
            <w:tcW w:w="2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gridSpan w:val="2"/>
          </w:tcPr>
          <w:p>
            <w:pPr>
              <w:jc w:val="center"/>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Recognized in AOCL on</w:t>
            </w:r>
          </w:p>
        </w:tc>
        <w:tc>
          <w:tcPr>
            <w:tcW w:w="160" w:type="dxa"/>
            <w:vAlign w:val="bottom"/>
          </w:tcPr>
          <w:p>
            <w:pPr>
              <w:spacing w:after="0"/>
              <w:rPr>
                <w:sz w:val="11"/>
                <w:szCs w:val="11"/>
                <w:color w:val="auto"/>
              </w:rPr>
            </w:pPr>
          </w:p>
        </w:tc>
        <w:tc>
          <w:tcPr>
            <w:tcW w:w="2060" w:type="dxa"/>
            <w:vAlign w:val="bottom"/>
            <w:gridSpan w:val="2"/>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Reclassified from AOCL into</w:t>
            </w:r>
          </w:p>
        </w:tc>
        <w:tc>
          <w:tcPr>
            <w:tcW w:w="120" w:type="dxa"/>
            <w:vAlign w:val="bottom"/>
          </w:tcPr>
          <w:p>
            <w:pPr>
              <w:spacing w:after="0"/>
              <w:rPr>
                <w:sz w:val="11"/>
                <w:szCs w:val="11"/>
                <w:color w:val="auto"/>
              </w:rPr>
            </w:pPr>
          </w:p>
        </w:tc>
        <w:tc>
          <w:tcPr>
            <w:tcW w:w="2100" w:type="dxa"/>
            <w:vAlign w:val="bottom"/>
            <w:gridSpan w:val="2"/>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 Statements of</w:t>
            </w:r>
          </w:p>
        </w:tc>
      </w:tr>
      <w:tr>
        <w:trPr>
          <w:trHeight w:val="189"/>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or Loss Recognized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740" w:type="dxa"/>
            <w:vAlign w:val="bottom"/>
            <w:tcBorders>
              <w:bottom w:val="single" w:sz="8" w:color="auto"/>
            </w:tcBorders>
          </w:tcPr>
          <w:p>
            <w:pPr>
              <w:spacing w:after="0"/>
              <w:rPr>
                <w:sz w:val="16"/>
                <w:szCs w:val="16"/>
                <w:color w:val="auto"/>
              </w:rPr>
            </w:pPr>
          </w:p>
        </w:tc>
      </w:tr>
      <w:tr>
        <w:trPr>
          <w:trHeight w:val="196"/>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Income on Derivatives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(326)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(5,410)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(20,878)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(24,231)</w:t>
            </w:r>
          </w:p>
        </w:tc>
      </w:tr>
      <w:tr>
        <w:trPr>
          <w:trHeight w:val="670"/>
        </w:trPr>
        <w:tc>
          <w:tcPr>
            <w:tcW w:w="2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47"/>
        </w:trPr>
        <w:tc>
          <w:tcPr>
            <w:tcW w:w="22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2"/>
          </w:tcPr>
          <w:p>
            <w:pPr>
              <w:jc w:val="center"/>
              <w:ind w:right="108"/>
              <w:spacing w:after="0" w:line="147" w:lineRule="exact"/>
              <w:rPr>
                <w:sz w:val="20"/>
                <w:szCs w:val="20"/>
                <w:color w:val="auto"/>
              </w:rPr>
            </w:pPr>
            <w:r>
              <w:rPr>
                <w:rFonts w:ascii="Times New Roman" w:cs="Times New Roman" w:eastAsia="Times New Roman" w:hAnsi="Times New Roman"/>
                <w:sz w:val="14"/>
                <w:szCs w:val="14"/>
                <w:b w:val="1"/>
                <w:bCs w:val="1"/>
                <w:color w:val="auto"/>
              </w:rPr>
              <w:t>Amount of (Loss) or Gain</w:t>
            </w:r>
          </w:p>
        </w:tc>
        <w:tc>
          <w:tcPr>
            <w:tcW w:w="160" w:type="dxa"/>
            <w:vAlign w:val="bottom"/>
          </w:tcPr>
          <w:p>
            <w:pPr>
              <w:spacing w:after="0"/>
              <w:rPr>
                <w:sz w:val="12"/>
                <w:szCs w:val="12"/>
                <w:color w:val="auto"/>
              </w:rPr>
            </w:pPr>
          </w:p>
        </w:tc>
        <w:tc>
          <w:tcPr>
            <w:tcW w:w="2060" w:type="dxa"/>
            <w:vAlign w:val="bottom"/>
            <w:gridSpan w:val="2"/>
          </w:tcPr>
          <w:p>
            <w:pPr>
              <w:jc w:val="center"/>
              <w:ind w:right="68"/>
              <w:spacing w:after="0" w:line="147" w:lineRule="exact"/>
              <w:rPr>
                <w:sz w:val="20"/>
                <w:szCs w:val="20"/>
                <w:color w:val="auto"/>
              </w:rPr>
            </w:pPr>
            <w:r>
              <w:rPr>
                <w:rFonts w:ascii="Times New Roman" w:cs="Times New Roman" w:eastAsia="Times New Roman" w:hAnsi="Times New Roman"/>
                <w:sz w:val="14"/>
                <w:szCs w:val="14"/>
                <w:b w:val="1"/>
                <w:bCs w:val="1"/>
                <w:color w:val="auto"/>
              </w:rPr>
              <w:t>Amount of (Loss) or Gain</w:t>
            </w:r>
          </w:p>
        </w:tc>
        <w:tc>
          <w:tcPr>
            <w:tcW w:w="120" w:type="dxa"/>
            <w:vAlign w:val="bottom"/>
          </w:tcPr>
          <w:p>
            <w:pPr>
              <w:spacing w:after="0"/>
              <w:rPr>
                <w:sz w:val="12"/>
                <w:szCs w:val="12"/>
                <w:color w:val="auto"/>
              </w:rPr>
            </w:pPr>
          </w:p>
        </w:tc>
        <w:tc>
          <w:tcPr>
            <w:tcW w:w="2100" w:type="dxa"/>
            <w:vAlign w:val="bottom"/>
            <w:gridSpan w:val="2"/>
          </w:tcPr>
          <w:p>
            <w:pPr>
              <w:jc w:val="center"/>
              <w:ind w:right="48"/>
              <w:spacing w:after="0" w:line="147" w:lineRule="exact"/>
              <w:rPr>
                <w:sz w:val="20"/>
                <w:szCs w:val="20"/>
                <w:color w:val="auto"/>
              </w:rPr>
            </w:pPr>
            <w:r>
              <w:rPr>
                <w:rFonts w:ascii="Times New Roman" w:cs="Times New Roman" w:eastAsia="Times New Roman" w:hAnsi="Times New Roman"/>
                <w:sz w:val="14"/>
                <w:szCs w:val="14"/>
                <w:b w:val="1"/>
                <w:bCs w:val="1"/>
                <w:color w:val="auto"/>
              </w:rPr>
              <w:t>Interest Expense on Condensed</w:t>
            </w:r>
          </w:p>
        </w:tc>
      </w:tr>
      <w:tr>
        <w:trPr>
          <w:trHeight w:val="135"/>
        </w:trPr>
        <w:tc>
          <w:tcPr>
            <w:tcW w:w="2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gridSpan w:val="2"/>
          </w:tcPr>
          <w:p>
            <w:pPr>
              <w:jc w:val="center"/>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Recognized in AOCL on</w:t>
            </w:r>
          </w:p>
        </w:tc>
        <w:tc>
          <w:tcPr>
            <w:tcW w:w="160" w:type="dxa"/>
            <w:vAlign w:val="bottom"/>
          </w:tcPr>
          <w:p>
            <w:pPr>
              <w:spacing w:after="0"/>
              <w:rPr>
                <w:sz w:val="11"/>
                <w:szCs w:val="11"/>
                <w:color w:val="auto"/>
              </w:rPr>
            </w:pPr>
          </w:p>
        </w:tc>
        <w:tc>
          <w:tcPr>
            <w:tcW w:w="2060" w:type="dxa"/>
            <w:vAlign w:val="bottom"/>
            <w:gridSpan w:val="2"/>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Reclassified from AOCL into</w:t>
            </w:r>
          </w:p>
        </w:tc>
        <w:tc>
          <w:tcPr>
            <w:tcW w:w="120" w:type="dxa"/>
            <w:vAlign w:val="bottom"/>
          </w:tcPr>
          <w:p>
            <w:pPr>
              <w:spacing w:after="0"/>
              <w:rPr>
                <w:sz w:val="11"/>
                <w:szCs w:val="11"/>
                <w:color w:val="auto"/>
              </w:rPr>
            </w:pPr>
          </w:p>
        </w:tc>
        <w:tc>
          <w:tcPr>
            <w:tcW w:w="2100" w:type="dxa"/>
            <w:vAlign w:val="bottom"/>
            <w:gridSpan w:val="2"/>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 Statements of</w:t>
            </w:r>
          </w:p>
        </w:tc>
      </w:tr>
      <w:tr>
        <w:trPr>
          <w:trHeight w:val="189"/>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w:t>
            </w:r>
          </w:p>
        </w:tc>
        <w:tc>
          <w:tcPr>
            <w:tcW w:w="23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Location of Gain or Loss Recognized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740" w:type="dxa"/>
            <w:vAlign w:val="bottom"/>
            <w:tcBorders>
              <w:bottom w:val="single" w:sz="8" w:color="auto"/>
            </w:tcBorders>
          </w:tcPr>
          <w:p>
            <w:pPr>
              <w:spacing w:after="0"/>
              <w:rPr>
                <w:sz w:val="16"/>
                <w:szCs w:val="16"/>
                <w:color w:val="auto"/>
              </w:rPr>
            </w:pPr>
          </w:p>
        </w:tc>
      </w:tr>
      <w:tr>
        <w:trPr>
          <w:trHeight w:val="196"/>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Income on Derivatives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(7,121)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(15,215)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(60,900)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(75,281)</w:t>
            </w:r>
          </w:p>
        </w:tc>
      </w:tr>
    </w:tbl>
    <w:p>
      <w:pPr>
        <w:spacing w:after="0" w:line="200" w:lineRule="exact"/>
        <w:rPr>
          <w:sz w:val="20"/>
          <w:szCs w:val="20"/>
          <w:color w:val="auto"/>
        </w:rPr>
      </w:pPr>
    </w:p>
    <w:p>
      <w:pPr>
        <w:spacing w:after="0" w:line="241"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Over the next 12 months, the Company estimates that $18.7 million will be reclassified as an increase to interest expense. Cash flows associated with periodic settlements of interest rate swaps will be classified as operating activities in the condensed consolidated statement of cash flows.</w:t>
      </w:r>
    </w:p>
    <w:p>
      <w:pPr>
        <w:spacing w:after="0" w:line="54"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21"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The Company’s total lease cost is recorded primarily within general and administrative expenses on the condensed consolidated statement of operations and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2"/>
              </w:rPr>
              <w:t>2019</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17,217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53,907</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w:t>
            </w: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20,668</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23,794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64,851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69,842</w:t>
            </w: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Future minimum operating lease payments for noncancelable operating leases as of December 31, 2020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Operating Lease Payments</w:t>
            </w:r>
          </w:p>
        </w:tc>
      </w:tr>
      <w:tr>
        <w:trPr>
          <w:trHeight w:val="228"/>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72,693</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71,816</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61,143</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56,583</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96,700</w:t>
            </w:r>
          </w:p>
        </w:tc>
      </w:tr>
      <w:tr>
        <w:trPr>
          <w:trHeight w:val="223"/>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370,262</w:t>
            </w:r>
          </w:p>
        </w:tc>
      </w:tr>
      <w:tr>
        <w:trPr>
          <w:trHeight w:val="230"/>
        </w:trPr>
        <w:tc>
          <w:tcPr>
            <w:tcW w:w="8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(47,874)</w:t>
            </w:r>
          </w:p>
        </w:tc>
      </w:tr>
      <w:tr>
        <w:trPr>
          <w:trHeight w:val="248"/>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30"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4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53,264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47,538</w:t>
            </w:r>
          </w:p>
        </w:tc>
      </w:tr>
      <w:tr>
        <w:trPr>
          <w:trHeight w:val="30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Operating lease liabilities arising from obtaining ROU assets </w:t>
            </w:r>
            <w:r>
              <w:rPr>
                <w:rFonts w:ascii="Times New Roman" w:cs="Times New Roman" w:eastAsia="Times New Roman" w:hAnsi="Times New Roman"/>
                <w:sz w:val="23"/>
                <w:szCs w:val="23"/>
                <w:color w:val="auto"/>
                <w:vertAlign w:val="superscript"/>
              </w:rPr>
              <w:t>(1)</w:t>
            </w:r>
          </w:p>
        </w:tc>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45,748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w:t>
            </w:r>
          </w:p>
        </w:tc>
      </w:tr>
    </w:tbl>
    <w:p>
      <w:pPr>
        <w:spacing w:after="0" w:line="229" w:lineRule="exact"/>
        <w:rPr>
          <w:sz w:val="20"/>
          <w:szCs w:val="20"/>
          <w:color w:val="auto"/>
        </w:rPr>
      </w:pPr>
    </w:p>
    <w:p>
      <w:pPr>
        <w:ind w:left="420" w:right="2800" w:hanging="7"/>
        <w:spacing w:after="0" w:line="467" w:lineRule="auto"/>
        <w:tabs>
          <w:tab w:leader="none" w:pos="6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 noncash increases and decreases arising from new or remeasured operating lease arrangements. Other information related to leases was as follows:</w:t>
      </w:r>
    </w:p>
    <w:tbl>
      <w:tblPr>
        <w:tblLayout w:type="fixed"/>
        <w:tblInd w:w="0" w:type="dxa"/>
        <w:tblCellMar>
          <w:top w:w="0" w:type="dxa"/>
          <w:left w:w="0" w:type="dxa"/>
          <w:bottom w:w="0" w:type="dxa"/>
          <w:right w:w="0" w:type="dxa"/>
        </w:tblCellMar>
      </w:tblPr>
      <w:tr>
        <w:trPr>
          <w:trHeight w:val="238"/>
        </w:trPr>
        <w:tc>
          <w:tcPr>
            <w:tcW w:w="878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2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34"/>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4.66 %</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rates were 13.0% and 23.6% for the three months ended December 31, 2020 and 2019, respectively, and 20.0% and 23.7% for the nine months ended December 31, 2020 and 2019, respectively. The effective tax rates of 13.0% and 20.0% for the three and nine months ended December 31, 2020, respectively, differ from the federal statutory rate of 21.0% primarily due to the inclusion of state and foreign income taxes and permanent rate differences, which are predominantly related to certain executive compensation, offset by research and development tax credits, state tax credits, excess tax benefits for employee share-based compensation, and the release of reserves for uncertain tax positions.</w:t>
      </w:r>
    </w:p>
    <w:p>
      <w:pPr>
        <w:spacing w:after="0" w:line="7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$11.7 million, net of associated federal tax benefits as of December 31, 2020. The Company has taken similar tax positions with respect to subsequent fiscal years, with approximately $39.7 million, net of federal tax benefits, of total potential future tax expense that would arise from an adverse final resolution. As of December 31, 2020, the Company does not maintain reserves for any uncertain tax positions related to the contested tax benefits or the similar tax positions taken in the subsequent fiscal years. Given the recoverable nature of the state tax expense, the Company does not believe that the resolution of these matters will have a material adverse effect on its results of operations, cash flows or financial condition.</w:t>
      </w:r>
    </w:p>
    <w:p>
      <w:pPr>
        <w:spacing w:after="0" w:line="81"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The Company maintained reserves for uncertain tax positions of $57.5 million and $56.1 million as of December 31, 2020 and March 31, 2020, respectively, which are included in other long-term liabilities in the accompanying condensed consolidated balance sheets. As of December 31, 2020, the Company maintained reserves for uncertain tax positions of $56.7 million relating to research and development tax credits. In the three months ended December 31, 2020, the Company released $10.2 million in reserves for uncertain tax positions related to the acquisition of eGov Holdings, Inc. (d/b/a/ Aquilent), established in the fourth quarter of fiscal 2017, due to the expiration of the statute of limitations.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LONG-TERM LIABILITIES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2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9"/>
        </w:trPr>
        <w:tc>
          <w:tcPr>
            <w:tcW w:w="8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124,375</w:t>
            </w:r>
          </w:p>
        </w:tc>
      </w:tr>
      <w:tr>
        <w:trPr>
          <w:trHeight w:val="230"/>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(1)</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207,312</w:t>
            </w:r>
          </w:p>
        </w:tc>
      </w:tr>
      <w:tr>
        <w:trPr>
          <w:trHeight w:val="248"/>
        </w:trPr>
        <w:tc>
          <w:tcPr>
            <w:tcW w:w="8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331,687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ind w:right="140" w:firstLine="8"/>
        <w:spacing w:after="0" w:line="266"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condensed financial statement presentation, components of other long-term liabilities at December 31, 2020 and March 31, 2020 primarily include the Company's long-term liability portion of the Company's derivative instruments, the long-term disability obligation, deferred tax liabilities and reserves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5" w:lineRule="exact"/>
        <w:rPr>
          <w:sz w:val="20"/>
          <w:szCs w:val="20"/>
          <w:color w:val="auto"/>
        </w:rPr>
      </w:pPr>
    </w:p>
    <w:p>
      <w:pPr>
        <w:ind w:left="340" w:right="8460" w:hanging="332"/>
        <w:spacing w:after="0" w:line="400" w:lineRule="auto"/>
        <w:tabs>
          <w:tab w:leader="none" w:pos="286"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EMPLOYEE BENEFIT PLANS </w:t>
      </w:r>
      <w:r>
        <w:rPr>
          <w:rFonts w:ascii="Times New Roman" w:cs="Times New Roman" w:eastAsia="Times New Roman" w:hAnsi="Times New Roman"/>
          <w:sz w:val="17"/>
          <w:szCs w:val="17"/>
          <w:b w:val="1"/>
          <w:bCs w:val="1"/>
          <w:i w:val="1"/>
          <w:iCs w:val="1"/>
          <w:color w:val="auto"/>
        </w:rPr>
        <w:t>Defined Contribution Plan</w:t>
      </w: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The Company sponsors the Employees’ Capital Accumulation Plan, or ECAP, which is a qualified defined contribution plan that covers eligible U.S. and certain international employees. ECAP provides for distributions to participants by reason of retirement, death, disability, or termination of employment. The Company provides an annual matching contribution of up to 6% of eligible annual compensation. Total expenses recognized under ECAP were $40.4 million and $36.7 million for the three months ended December 31, 2020 and 2019, respectively, and $121.7 million and $109.8 million for the nine months ended December 31, 2020 and 2019, respectively. The Company-paid contributions were $22.3 million and $20.4 million for the three months ended December 31, 2020 and 2019, respectively, and $70.1 million and $62.4 million for the nine months ended December 31, 2020 and 2019, respectively.</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and Other Postretirement Benefit Plans</w:t>
      </w:r>
    </w:p>
    <w:p>
      <w:pPr>
        <w:spacing w:after="0" w:line="121"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In addition, the Company provides a fixed annual allowance after retirement to cover financial counseling, tax preparation and other financial or wellness expenses. The Retired Officers' Bonus Plan is not salary related, but rather is based primarily on years of service. The Company also provides for a one-time lump sum retirement payment of one month’s salary when a vice-president retires from the Company. This is referred to as the Retired Vice-President Bonus Plan.</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net postretirement medical expense for the Officer Medical Plan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2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7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183"/>
        </w:trPr>
        <w:tc>
          <w:tcPr>
            <w:tcW w:w="57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1,414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1,059</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1,214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w:t>
            </w:r>
          </w:p>
        </w:tc>
      </w:tr>
      <w:tr>
        <w:trPr>
          <w:trHeight w:val="248"/>
        </w:trPr>
        <w:tc>
          <w:tcPr>
            <w:tcW w:w="5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postretirement medical expense</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2,473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2,452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service cost component of net periodic benefit cost is included in cost of revenue and general and administrative expenses, and the non-service cost components of net periodic benefit cost (interest cost and net actuarial loss) is included as part of Other (expense) income, net in the accompanying condensed consolidated statements of operations.</w:t>
      </w:r>
    </w:p>
    <w:p>
      <w:pPr>
        <w:spacing w:after="0" w:line="176"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2020 and March 31, 2020, the unfunded status of the post-retirement medical plan was $123.7 million and $119.6 million, respectively, which is included in other long-term liabilities in the accompanying condensed consolidated balance sheets.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Disability Benefits</w:t>
      </w:r>
    </w:p>
    <w:p>
      <w:pPr>
        <w:spacing w:after="0" w:line="121"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Company offers medical and dental benefits to inactive employees (and their eligible dependents) on long-term disability. These benefits do not vary with an employee's years of service; therefore, the Company is required to accrue the costs of the benefits at the date the inactive employee becomes disability eligible and elects to participate in the benefit. The accrued cost for such benefits is calculated using an actuarial estimate. The accrued cost for these benefits was $10.7 million at both December 31, 2020 and March 31, 2020, and is presented in other long-term liabilities in the accompanying condensed consolidated balance sheets.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21"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The Company established a non-qualified deferred compensation plan (the "Plan") for certain executives and other highly compensated employees that was effective in fiscal 2018. Pursuant to the Plan, participants are eligible to defer up to 100% of their incentive cash compensation on a tax deferred basis in excess of the IRS limits imposed on 401(k) plans. The assets of the plan are held in a consolidated trust and are subject to the claims of the Company's general creditors under federal and state laws in the event of insolvency. Consequently, the trust qualifies as a Rabbi trust for income tax purposes.</w:t>
      </w:r>
    </w:p>
    <w:p>
      <w:pPr>
        <w:spacing w:after="0" w:line="7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fair values of plan investments and obligations at December 31, 2020 and March 31, 2020 were $14.2 million and $5.9 million, respectively, and were recorded in other long-term assets and in other long-term liabilities, respectively, in the condensed consolidated balance sheets. Adjustments to the fair value of the plan investments and obligations are recorded in operating expenses.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All amounts recorded in other comprehensive loss are related to the Company's post-retirement plans and interest rate swaps designated as cash flow hedges. The following table shows the changes in accumulated other comprehensive loss, net of tax: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2020</w:t>
            </w:r>
          </w:p>
        </w:tc>
        <w:tc>
          <w:tcPr>
            <w:tcW w:w="3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Nine Months Ended December 31, 2020</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140" w:type="dxa"/>
            <w:vAlign w:val="bottom"/>
          </w:tcPr>
          <w:p>
            <w:pPr>
              <w:spacing w:after="0"/>
              <w:rPr>
                <w:sz w:val="14"/>
                <w:szCs w:val="14"/>
                <w:color w:val="auto"/>
              </w:rPr>
            </w:pPr>
          </w:p>
        </w:tc>
        <w:tc>
          <w:tcPr>
            <w:tcW w:w="124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Derivatives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14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Derivatives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designated as</w:t>
            </w:r>
          </w:p>
        </w:tc>
        <w:tc>
          <w:tcPr>
            <w:tcW w:w="300" w:type="dxa"/>
            <w:vAlign w:val="bottom"/>
          </w:tcPr>
          <w:p>
            <w:pPr>
              <w:spacing w:after="0"/>
              <w:rPr>
                <w:sz w:val="15"/>
                <w:szCs w:val="15"/>
                <w:color w:val="auto"/>
              </w:rPr>
            </w:pPr>
          </w:p>
        </w:tc>
        <w:tc>
          <w:tcPr>
            <w:tcW w:w="10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designated as</w:t>
            </w:r>
          </w:p>
        </w:tc>
        <w:tc>
          <w:tcPr>
            <w:tcW w:w="300" w:type="dxa"/>
            <w:vAlign w:val="bottom"/>
          </w:tcPr>
          <w:p>
            <w:pPr>
              <w:spacing w:after="0"/>
              <w:rPr>
                <w:sz w:val="15"/>
                <w:szCs w:val="15"/>
                <w:color w:val="auto"/>
              </w:rPr>
            </w:pPr>
          </w:p>
        </w:tc>
        <w:tc>
          <w:tcPr>
            <w:tcW w:w="11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flow hedges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flow hedges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(46,001)</w:t>
            </w:r>
          </w:p>
        </w:tc>
        <w:tc>
          <w:tcPr>
            <w:tcW w:w="0" w:type="dxa"/>
            <w:vAlign w:val="bottom"/>
          </w:tcPr>
          <w:p>
            <w:pPr>
              <w:spacing w:after="0"/>
              <w:rPr>
                <w:sz w:val="1"/>
                <w:szCs w:val="1"/>
                <w:color w:val="auto"/>
              </w:rPr>
            </w:pPr>
          </w:p>
        </w:tc>
      </w:tr>
      <w:tr>
        <w:trPr>
          <w:trHeight w:val="176"/>
        </w:trPr>
        <w:tc>
          <w:tcPr>
            <w:tcW w:w="29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comprehensive loss before</w:t>
            </w:r>
          </w:p>
        </w:tc>
        <w:tc>
          <w:tcPr>
            <w:tcW w:w="280" w:type="dxa"/>
            <w:vAlign w:val="bottom"/>
          </w:tcPr>
          <w:p>
            <w:pPr>
              <w:spacing w:after="0"/>
              <w:rPr>
                <w:sz w:val="15"/>
                <w:szCs w:val="15"/>
                <w:color w:val="auto"/>
              </w:rPr>
            </w:pPr>
          </w:p>
        </w:tc>
        <w:tc>
          <w:tcPr>
            <w:tcW w:w="110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tcPr>
          <w:p>
            <w:pPr>
              <w:spacing w:after="0"/>
              <w:rPr>
                <w:sz w:val="15"/>
                <w:szCs w:val="15"/>
                <w:color w:val="auto"/>
              </w:rPr>
            </w:pPr>
          </w:p>
        </w:tc>
        <w:tc>
          <w:tcPr>
            <w:tcW w:w="110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reclassifications (1)</w:t>
            </w:r>
          </w:p>
        </w:tc>
        <w:tc>
          <w:tcPr>
            <w:tcW w:w="2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Amounts reclassified from</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accumulated other comprehensive</w:t>
            </w:r>
          </w:p>
        </w:tc>
        <w:tc>
          <w:tcPr>
            <w:tcW w:w="2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92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current-period other</w:t>
            </w:r>
          </w:p>
        </w:tc>
        <w:tc>
          <w:tcPr>
            <w:tcW w:w="280" w:type="dxa"/>
            <w:vAlign w:val="bottom"/>
          </w:tcPr>
          <w:p>
            <w:pPr>
              <w:spacing w:after="0"/>
              <w:rPr>
                <w:sz w:val="13"/>
                <w:szCs w:val="13"/>
                <w:color w:val="auto"/>
              </w:rPr>
            </w:pPr>
          </w:p>
        </w:tc>
        <w:tc>
          <w:tcPr>
            <w:tcW w:w="110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3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300" w:type="dxa"/>
            <w:vAlign w:val="bottom"/>
          </w:tcPr>
          <w:p>
            <w:pPr>
              <w:spacing w:after="0"/>
              <w:rPr>
                <w:sz w:val="13"/>
                <w:szCs w:val="13"/>
                <w:color w:val="auto"/>
              </w:rPr>
            </w:pPr>
          </w:p>
        </w:tc>
        <w:tc>
          <w:tcPr>
            <w:tcW w:w="110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3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8"/>
        <w:spacing w:after="0" w:line="28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comprehensive income (loss) before reclassification for derivatives designated as cash flow hedges are recorded net of tax benefits of $0.1 million and $1.9 million for the three and nine months ended December 31, 2020,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2019</w:t>
            </w:r>
          </w:p>
        </w:tc>
        <w:tc>
          <w:tcPr>
            <w:tcW w:w="3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Nine Months Ended December 31, 2019</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140" w:type="dxa"/>
            <w:vAlign w:val="bottom"/>
          </w:tcPr>
          <w:p>
            <w:pPr>
              <w:spacing w:after="0"/>
              <w:rPr>
                <w:sz w:val="14"/>
                <w:szCs w:val="14"/>
                <w:color w:val="auto"/>
              </w:rPr>
            </w:pPr>
          </w:p>
        </w:tc>
        <w:tc>
          <w:tcPr>
            <w:tcW w:w="124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Derivatives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14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Derivatives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designated as</w:t>
            </w:r>
          </w:p>
        </w:tc>
        <w:tc>
          <w:tcPr>
            <w:tcW w:w="300" w:type="dxa"/>
            <w:vAlign w:val="bottom"/>
          </w:tcPr>
          <w:p>
            <w:pPr>
              <w:spacing w:after="0"/>
              <w:rPr>
                <w:sz w:val="15"/>
                <w:szCs w:val="15"/>
                <w:color w:val="auto"/>
              </w:rPr>
            </w:pPr>
          </w:p>
        </w:tc>
        <w:tc>
          <w:tcPr>
            <w:tcW w:w="10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designated as</w:t>
            </w:r>
          </w:p>
        </w:tc>
        <w:tc>
          <w:tcPr>
            <w:tcW w:w="300" w:type="dxa"/>
            <w:vAlign w:val="bottom"/>
          </w:tcPr>
          <w:p>
            <w:pPr>
              <w:spacing w:after="0"/>
              <w:rPr>
                <w:sz w:val="15"/>
                <w:szCs w:val="15"/>
                <w:color w:val="auto"/>
              </w:rPr>
            </w:pPr>
          </w:p>
        </w:tc>
        <w:tc>
          <w:tcPr>
            <w:tcW w:w="11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flow hedges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flow hedges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0" w:type="dxa"/>
            <w:vAlign w:val="bottom"/>
          </w:tcPr>
          <w:p>
            <w:pPr>
              <w:spacing w:after="0"/>
              <w:rPr>
                <w:sz w:val="1"/>
                <w:szCs w:val="1"/>
                <w:color w:val="auto"/>
              </w:rPr>
            </w:pPr>
          </w:p>
        </w:tc>
      </w:tr>
      <w:tr>
        <w:trPr>
          <w:trHeight w:val="175"/>
        </w:trPr>
        <w:tc>
          <w:tcPr>
            <w:tcW w:w="29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comprehensive loss before</w:t>
            </w:r>
          </w:p>
        </w:tc>
        <w:tc>
          <w:tcPr>
            <w:tcW w:w="280" w:type="dxa"/>
            <w:vAlign w:val="bottom"/>
          </w:tcPr>
          <w:p>
            <w:pPr>
              <w:spacing w:after="0"/>
              <w:rPr>
                <w:sz w:val="15"/>
                <w:szCs w:val="15"/>
                <w:color w:val="auto"/>
              </w:rPr>
            </w:pPr>
          </w:p>
        </w:tc>
        <w:tc>
          <w:tcPr>
            <w:tcW w:w="110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300" w:type="dxa"/>
            <w:vAlign w:val="bottom"/>
          </w:tcPr>
          <w:p>
            <w:pPr>
              <w:spacing w:after="0"/>
              <w:rPr>
                <w:sz w:val="15"/>
                <w:szCs w:val="15"/>
                <w:color w:val="auto"/>
              </w:rPr>
            </w:pPr>
          </w:p>
        </w:tc>
        <w:tc>
          <w:tcPr>
            <w:tcW w:w="110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reclassifications (2)</w:t>
            </w:r>
          </w:p>
        </w:tc>
        <w:tc>
          <w:tcPr>
            <w:tcW w:w="2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Amounts reclassified from</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accumulated other comprehensive</w:t>
            </w:r>
          </w:p>
        </w:tc>
        <w:tc>
          <w:tcPr>
            <w:tcW w:w="2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92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current-period other</w:t>
            </w:r>
          </w:p>
        </w:tc>
        <w:tc>
          <w:tcPr>
            <w:tcW w:w="280" w:type="dxa"/>
            <w:vAlign w:val="bottom"/>
          </w:tcPr>
          <w:p>
            <w:pPr>
              <w:spacing w:after="0"/>
              <w:rPr>
                <w:sz w:val="13"/>
                <w:szCs w:val="13"/>
                <w:color w:val="auto"/>
              </w:rPr>
            </w:pPr>
          </w:p>
        </w:tc>
        <w:tc>
          <w:tcPr>
            <w:tcW w:w="110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3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300" w:type="dxa"/>
            <w:vAlign w:val="bottom"/>
          </w:tcPr>
          <w:p>
            <w:pPr>
              <w:spacing w:after="0"/>
              <w:rPr>
                <w:sz w:val="13"/>
                <w:szCs w:val="13"/>
                <w:color w:val="auto"/>
              </w:rPr>
            </w:pPr>
          </w:p>
        </w:tc>
        <w:tc>
          <w:tcPr>
            <w:tcW w:w="110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3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720" w:firstLine="8"/>
        <w:spacing w:after="0" w:line="282"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comprehensive loss before reclassification for derivatives designated as cash flow hedges are recorded net of tax expenses of $1.5 million and net of tax benefits of $5.5 million for the three and nine months ended December 31, 2019,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reclassifications out of accumulated other comprehensive loss to net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6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Post-retirement plans (Note 13):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Amortization of net actuarial loss included in net periodic benefit</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5"/>
                <w:szCs w:val="15"/>
                <w:color w:val="auto"/>
              </w:rPr>
            </w:pPr>
          </w:p>
        </w:tc>
        <w:tc>
          <w:tcPr>
            <w:tcW w:w="5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5"/>
                <w:szCs w:val="15"/>
                <w:color w:val="auto"/>
              </w:rPr>
            </w:pPr>
          </w:p>
        </w:tc>
        <w:tc>
          <w:tcPr>
            <w:tcW w:w="5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of tax</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Derivatives designated as cash flow hedges (Note 9):</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of hedge loss (gain)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5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of tax</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recognized in the condensed consolidated 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2"/>
              </w:rPr>
              <w:t>2019</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16,101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24,871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19,306</w:t>
            </w:r>
          </w:p>
        </w:tc>
      </w:tr>
      <w:tr>
        <w:trPr>
          <w:trHeight w:val="248"/>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15,341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40,972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recognized in the condensed consolidated statements of operations by the following types of equity awards;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2"/>
              </w:rPr>
              <w:t>2019</w:t>
            </w:r>
          </w:p>
        </w:tc>
      </w:tr>
      <w:tr>
        <w:trPr>
          <w:trHeight w:val="22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Stock Awards</w:t>
            </w: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14,549</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24,828</w:t>
            </w:r>
          </w:p>
        </w:tc>
      </w:tr>
      <w:tr>
        <w:trPr>
          <w:trHeight w:val="248"/>
        </w:trPr>
        <w:tc>
          <w:tcPr>
            <w:tcW w:w="52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15,341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2020, there was $56.1 million of total unrecognized compensation cost related to unvested stock-based compensation agreements. The unrecognized compensation cost as of December 31, 2020 is expected to be fully amortized over the next 5.0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33"/>
        </w:trPr>
        <w:tc>
          <w:tcPr>
            <w:tcW w:w="7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jc w:val="right"/>
              <w:ind w:right="339"/>
              <w:spacing w:after="0" w:line="134"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00" w:type="dxa"/>
            <w:vAlign w:val="bottom"/>
          </w:tcPr>
          <w:p>
            <w:pPr>
              <w:spacing w:after="0"/>
              <w:rPr>
                <w:sz w:val="11"/>
                <w:szCs w:val="11"/>
                <w:color w:val="auto"/>
              </w:rPr>
            </w:pPr>
          </w:p>
        </w:tc>
        <w:tc>
          <w:tcPr>
            <w:tcW w:w="21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Weighted Average Remaining</w:t>
            </w:r>
          </w:p>
        </w:tc>
      </w:tr>
      <w:tr>
        <w:trPr>
          <w:trHeight w:val="189"/>
        </w:trPr>
        <w:tc>
          <w:tcPr>
            <w:tcW w:w="7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to be Recognized (in years)</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51,835</w:t>
            </w:r>
          </w:p>
        </w:tc>
        <w:tc>
          <w:tcPr>
            <w:tcW w:w="226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1.82</w:t>
            </w:r>
          </w:p>
        </w:tc>
      </w:tr>
      <w:tr>
        <w:trPr>
          <w:trHeight w:val="248"/>
        </w:trPr>
        <w:tc>
          <w:tcPr>
            <w:tcW w:w="7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2020, there were 1,492,491 EIP options outstanding, of which 750,071 were unvested.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During the three months ended December 31, 2020, the Board of Directors granted 63,840 restricted stock units to certain employees of the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value of these awards was $5.2 million based on the grant date stock price, which ranged from $79.54 to $87.77.</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For the quarterly offering period that closed on December 31, 2020, 58,649 Class A Common Stock shares were purchased by employees under the Company's Employee Stock Purchase Plan, or ESPP. Since the program's inception, 2,837,521 shares have been purchased by employees.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0" w:type="dxa"/>
            <w:vAlign w:val="bottom"/>
            <w:gridSpan w:val="9"/>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Recurring Fair Value Measurements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deferred compensation plan asset (1)</w:t>
            </w:r>
          </w:p>
        </w:tc>
        <w:tc>
          <w:tcPr>
            <w:tcW w:w="15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 liability (2)</w:t>
            </w:r>
          </w:p>
        </w:tc>
        <w:tc>
          <w:tcPr>
            <w:tcW w:w="1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derivative instruments (3)</w:t>
            </w: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derivative instruments (3)</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deferred compensation plan liability (1)</w:t>
            </w:r>
          </w:p>
        </w:tc>
        <w:tc>
          <w:tcPr>
            <w:tcW w:w="15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5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20" w:type="dxa"/>
            <w:vAlign w:val="bottom"/>
          </w:tcPr>
          <w:p>
            <w:pPr>
              <w:spacing w:after="0"/>
              <w:rPr>
                <w:sz w:val="19"/>
                <w:szCs w:val="19"/>
                <w:color w:val="auto"/>
              </w:rPr>
            </w:pPr>
          </w:p>
        </w:tc>
      </w:tr>
      <w:tr>
        <w:trPr>
          <w:trHeight w:val="871"/>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80" w:type="dxa"/>
            <w:vAlign w:val="bottom"/>
            <w:gridSpan w:val="9"/>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Recurring Fair Value Measurements</w:t>
            </w:r>
          </w:p>
        </w:tc>
        <w:tc>
          <w:tcPr>
            <w:tcW w:w="940" w:type="dxa"/>
            <w:vAlign w:val="bottom"/>
          </w:tcPr>
          <w:p>
            <w:pPr>
              <w:spacing w:after="0"/>
              <w:rPr>
                <w:sz w:val="17"/>
                <w:szCs w:val="17"/>
                <w:color w:val="auto"/>
              </w:rPr>
            </w:pPr>
          </w:p>
        </w:tc>
      </w:tr>
      <w:tr>
        <w:trPr>
          <w:trHeight w:val="229"/>
        </w:trPr>
        <w:tc>
          <w:tcPr>
            <w:tcW w:w="6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 March 31, 2020</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6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deferred compensation plan asset (1)</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r>
      <w:tr>
        <w:trPr>
          <w:trHeight w:val="223"/>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3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w:t>
            </w:r>
          </w:p>
        </w:tc>
      </w:tr>
      <w:tr>
        <w:trPr>
          <w:trHeight w:val="20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 liability (2)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derivative instruments (3)</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18,831</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derivative instruments (3)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37,819</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deferred compensation plan liability (1)</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3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56,650</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63,753</w:t>
            </w:r>
          </w:p>
        </w:tc>
      </w:tr>
    </w:tbl>
    <w:p>
      <w:pPr>
        <w:spacing w:after="0" w:line="90" w:lineRule="exact"/>
        <w:rPr>
          <w:sz w:val="20"/>
          <w:szCs w:val="20"/>
          <w:color w:val="auto"/>
        </w:rPr>
      </w:pPr>
    </w:p>
    <w:p>
      <w:pPr>
        <w:ind w:right="100" w:firstLine="8"/>
        <w:spacing w:after="0" w:line="261"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condensed consolidated balance sheets.</w:t>
      </w:r>
    </w:p>
    <w:p>
      <w:pPr>
        <w:spacing w:after="0" w:line="71" w:lineRule="exact"/>
        <w:rPr>
          <w:rFonts w:ascii="Times New Roman" w:cs="Times New Roman" w:eastAsia="Times New Roman" w:hAnsi="Times New Roman"/>
          <w:sz w:val="18"/>
          <w:szCs w:val="18"/>
          <w:color w:val="auto"/>
        </w:rPr>
      </w:pPr>
    </w:p>
    <w:p>
      <w:pPr>
        <w:ind w:right="260" w:firstLine="8"/>
        <w:spacing w:after="0" w:line="266"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 contingent consideration liability of $3.6 million in connection with its acquisition of Aquilent in fiscal 2017. As of both December 31, 2020 and March 31, 2020, the estimated fair value of the contingent consideration liability was $1.2 million, and was valued using probability-weighted cash flows, which is based on the use of Level 3 fair value measurement inputs.</w:t>
      </w:r>
    </w:p>
    <w:p>
      <w:pPr>
        <w:spacing w:after="0" w:line="67"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to the condensed consolidated financial statements for further discussion on the Company’s derivative instruments designated as cash flow hedges.</w:t>
      </w:r>
    </w:p>
    <w:p>
      <w:pPr>
        <w:spacing w:after="0" w:line="6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fair value of the Company's cash and cash equivalents, which are Level 1 inputs, approximated its carrying values at December 31, 2020 and March 31, 2020. The fair value of the Company's debt instruments approximated its carrying value at December 31, 2020 and March 31, 2020.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is determined using quoted prices or other market information obtained from recent trading activity in the high-yield bond market (Level 2 inputs).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RELATED-PARTY TRANSACTIONS</w:t>
      </w:r>
    </w:p>
    <w:p>
      <w:pPr>
        <w:spacing w:after="0" w:line="22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Two of our directors currently serve on the board of directors of a subcontractor to which the Company subcontracted $21.4 million and $21.5 million of services for the three months ended December 31, 2020 and 2019, respectively, and $66.4 million and $61.3 million for the nine months ended December 31, 2020 and 2019,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Third-Party Guarantees</w:t>
      </w:r>
    </w:p>
    <w:p>
      <w:pPr>
        <w:spacing w:after="0" w:line="12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2020 and March 31, 2020, the Company was contingently liable under open standby letters of credit and bank guarantees issued by our banks in favor of third parties that totaled $10.3 million and $9.7 million, respectively. These letters of credit and bank guarantees primarily support insurance and bid and performance obligations. At both December 31, 2020 and March 31, 2020, approximately $0.9 million of these instruments reduced the available borrowings under the Revolving Credit Facility. The remainder is guaranteed under a separate $20.0 million facility, originally established in fiscal 2015 and most recently increased to $20.0 million in the first quarter of fiscal 2021, of which $10.5 million and $6.2 million were available to the Company at December 31, 2020 and March 31, 2020, respectively.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Contracting Matters - Provision for Claimed Indirect Costs</w:t>
      </w:r>
    </w:p>
    <w:p>
      <w:pPr>
        <w:spacing w:after="0" w:line="121"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For the three months ended December 31, 2020 and 2019, approximately 97% and 96% of the Company's revenue, respectively, was generated from contracts where the end user was an agency or department of the U.S. government, including contracts where the Company performed either as a prime contractor or subcontractor, and regardless of the geographic location in which the work was performed. For both the nine months ended December 31, 2020 and 2019, approximately 97% of the Company's revenue was generated from such contracts. U.S. government contracts and subcontracts are subject to extensive legal and regulatory requirements. From time to time and in the ordinary course of business, agencies of the U.S. government audit our claimed indirect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(DCAA), routinely audit our claimed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claimed indirect costs for any audit, inquiry, or investigation of which it is aware that may be subject to any reductions and/or penalties. As of December 31, 2020 and March 31, 2020, the Company had recorded liabilities of approximately $248.2 million and $224.6 million, respectively, for estimated adjustments to claimed indirect costs based on its historical DCAA audit results, including the final resolution of such audits with the Defense Contract Management Agency, for claimed indirect costs incurred subsequent to fiscal 2011, and for contracts not yet closed that are subject to audit and final resolution.</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2020 and March 31, 2020, there were no material amounts accrued in the condensed consolidated financial statements related to these proceedings.</w:t>
      </w:r>
    </w:p>
    <w:p>
      <w:pPr>
        <w:spacing w:after="0" w:line="8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8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81"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and November 23, 2020,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Authorization</w:t>
      </w:r>
    </w:p>
    <w:p>
      <w:pPr>
        <w:spacing w:after="0" w:line="11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On January 27, 2021, the Board of Directors approved an increase to our share repurchase authorization from $1,310.0 million to $1,710.0 million. As of January 27, 2021, and giving into effect to the increase in the share repurchase authorization, the Company had approximately $746.5 million of remaining capacity under its share repurchase program.</w:t>
      </w:r>
    </w:p>
    <w:p>
      <w:pPr>
        <w:spacing w:after="0" w:line="3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1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2020 filed with the Securities and Exchange Commission on May 26, 2020,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28" w:lineRule="exact"/>
        <w:rPr>
          <w:sz w:val="20"/>
          <w:szCs w:val="20"/>
          <w:color w:val="auto"/>
        </w:rPr>
      </w:pPr>
    </w:p>
    <w:p>
      <w:pPr>
        <w:ind w:right="920"/>
        <w:spacing w:after="0" w:line="284" w:lineRule="auto"/>
        <w:rPr>
          <w:sz w:val="20"/>
          <w:szCs w:val="20"/>
          <w:color w:val="auto"/>
        </w:rPr>
      </w:pPr>
      <w:r>
        <w:rPr>
          <w:rFonts w:ascii="Times New Roman" w:cs="Times New Roman" w:eastAsia="Times New Roman" w:hAnsi="Times New Roman"/>
          <w:sz w:val="18"/>
          <w:szCs w:val="18"/>
          <w:i w:val="1"/>
          <w:iCs w:val="1"/>
          <w:color w:val="auto"/>
        </w:rPr>
        <w:t>Our fiscal year ends March 31 and, unless otherwise noted, references to years or fiscal are for fiscal years ended March 31. See “—Results of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8"/>
          <w:szCs w:val="18"/>
          <w:color w:val="auto"/>
        </w:rPr>
        <w:t>We are a leading provider of management and technology consulting, analytics, engineering, digital solutions, mission operations, and cyber services to U.S. and international governments, major corporations, and not-for-profit organizations. Our ability to deliver value to our clients has always been, and continues to be, a product of the strong character, expertise and tremendous passion of our people. Our approximately 27,600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75"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Through our dedication to our clients' missions, and a commitment to evolving our business to address their client needs, we have longstanding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aerospace, financial services, health and life sciences, energy, and transportation. Our international clients are primarily in Europe, the Middle East and Southeast Asia.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Other Highlights</w:t>
      </w:r>
    </w:p>
    <w:p>
      <w:pPr>
        <w:spacing w:after="0" w:line="67" w:lineRule="exact"/>
        <w:rPr>
          <w:sz w:val="20"/>
          <w:szCs w:val="20"/>
          <w:color w:val="auto"/>
        </w:rPr>
      </w:pPr>
    </w:p>
    <w:p>
      <w:pPr>
        <w:ind w:right="500" w:firstLine="405"/>
        <w:spacing w:after="0" w:line="281" w:lineRule="auto"/>
        <w:rPr>
          <w:sz w:val="20"/>
          <w:szCs w:val="20"/>
          <w:color w:val="auto"/>
        </w:rPr>
      </w:pPr>
      <w:r>
        <w:rPr>
          <w:rFonts w:ascii="Times New Roman" w:cs="Times New Roman" w:eastAsia="Times New Roman" w:hAnsi="Times New Roman"/>
          <w:sz w:val="18"/>
          <w:szCs w:val="18"/>
          <w:color w:val="auto"/>
        </w:rPr>
        <w:t>During the third quarter of fiscal 2021, the Company generated year over year revenue growth, delivered improved earnings over the prior year period, and increased client staff headcount.</w:t>
      </w:r>
    </w:p>
    <w:p>
      <w:pPr>
        <w:spacing w:after="0" w:line="1" w:lineRule="exact"/>
        <w:rPr>
          <w:sz w:val="20"/>
          <w:szCs w:val="20"/>
          <w:color w:val="auto"/>
        </w:rPr>
      </w:pPr>
    </w:p>
    <w:p>
      <w:pPr>
        <w:ind w:firstLine="405"/>
        <w:spacing w:after="0" w:line="238" w:lineRule="auto"/>
        <w:rPr>
          <w:sz w:val="20"/>
          <w:szCs w:val="20"/>
          <w:color w:val="auto"/>
        </w:rPr>
      </w:pPr>
      <w:r>
        <w:rPr>
          <w:rFonts w:ascii="Times New Roman" w:cs="Times New Roman" w:eastAsia="Times New Roman" w:hAnsi="Times New Roman"/>
          <w:sz w:val="18"/>
          <w:szCs w:val="18"/>
          <w:color w:val="auto"/>
        </w:rPr>
        <w:t>Revenue increased 3.0% from the three months ended December 31, 2019 to the three months ended December 31, 2020, and increased 7.0% from the nine months ended December 31, 2019 to the nine months ended December 31, 2020. Growth in both periods was primarily driven by growth in client demand and headcount to meet that demand. The Company also benefited from higher staff utilization over the prior year periods driven by fewer paid time off (PTO) days taken by our employees which resulted in increases in our direct labor and corresponding generation of revenue growth. Revenue growth for the quarter was negatively impacted by lower billable expenses, while the year-to-date period benefited from an overall increase in billable expenses. For the three months ended December 31, 2020 billable expenses declined primarily due to lower subcontractor costs driven by the timing of client needs and lower direct cost purchases for clients, including COVID-19 related travel. For the nine months ended December 31, 2020, the increase in billable expenses was primarily attributable to an increase in use of subcontractors driven by client demand, partially offset by decreases in expenses from contracts which require the Company to incur direct and travel expenses on behalf of clients. The impact of COVID-19 drove volatility in the timing and magnitude of billable expenses.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405"/>
        <w:spacing w:after="0" w:line="238" w:lineRule="auto"/>
        <w:rPr>
          <w:sz w:val="20"/>
          <w:szCs w:val="20"/>
          <w:color w:val="auto"/>
        </w:rPr>
      </w:pPr>
      <w:r>
        <w:rPr>
          <w:rFonts w:ascii="Times New Roman" w:cs="Times New Roman" w:eastAsia="Times New Roman" w:hAnsi="Times New Roman"/>
          <w:sz w:val="18"/>
          <w:szCs w:val="18"/>
          <w:color w:val="auto"/>
        </w:rPr>
        <w:t>Operating income increased 9.0% to $184.3 million in the three months ended December 31, 2020 from $169.0 million in the three months ended December 31, 2019, which reflects an increase in operating margin to 9.7% from 9.1%. Operating income increased 12.2% to $583.4 million in the nine months ended December 31, 2020 from $520.1 million in the nine months ended December 31, 2019, while operating margin increased from 9.5% to 9.9%. The increases in the operating income for three months and nine months ended December 31, 2020 were primarily driven by the same factors as growth in revenue, strong contract level performance, ongoing cost management efforts, and reductions in certain types of expenses, like travel and meetings. These were partially offset by the inability to recognize revenue on, or bill for, fee on certain contracts involving a ready workforce of approximately $2.0 million for the three months ended December 31, 2020 and approximately $21.0 million for the nine months ended December 31, 2020. The Company also incurred incremental legal costs during the three and nine months ended December 31, 2020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24"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We are monitoring the evolving situation related to the COVID-19 outbreak and vaccine rollout and we continue to work with our stakeholders to assess further possible implications to our business and to take actions in an effort to mitigate adverse consequences. To protect employee health and safety while COVID-19 remains a threat, we plan to continue to deliver a majority of our services to clients via telework for the foreseeable future. In cases where telework options or effectiveness are limited, we are working closely with clients to achieve safe return plans guided by federal, state and local policies and advice from other experts. We are also working closely with our clients, where classified work is concentrated, to retain continuity of service and ensure a ready workforce. We expect to continue to be impacted by the inability of certain employees to perform their contract requirements at their designated work locations due to facility closures or restrictions as a result of COVID-19 and cannot perform such work remotely. While the CARES Act contains a provision that allows federal contractors to seek specified reimbursement for certain employees who are unable to perform their contract requirements due to government restrictions and we have been reimbursed for certain of these costs, such provision does not require the government to reimburse a contractor and reimbursements are also subject to limitations and do not currently extend past March 31, 2021. As a result, we believe that some of our costs incurred prior to the passage of the CARES Act for certain employees who are unable to perform their contract requirements due to government restrictions will not be reimbursed. However, going forward we do not expect such non-reimbursed fees to have a material impact on earnings as the majority of our affected workforce have returned to client site offices or may do so prior to March 31, 2021. Through December 31, 2020, we have withheld recognition of revenue associated with these amounts at risk of not being reimbursed. Although we cannot currently predict the overall impact of the COVID-19 outbreak and vaccine rollout, the longer the duration of the event, the more likely it is that it could have an adverse effect on our business, financial position, results of operations, billable expenses, and/or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right="20" w:firstLine="405"/>
        <w:spacing w:after="0" w:line="251" w:lineRule="auto"/>
        <w:rPr>
          <w:sz w:val="20"/>
          <w:szCs w:val="20"/>
          <w:color w:val="auto"/>
        </w:rPr>
      </w:pPr>
      <w:r>
        <w:rPr>
          <w:rFonts w:ascii="Times New Roman" w:cs="Times New Roman" w:eastAsia="Times New Roman" w:hAnsi="Times New Roman"/>
          <w:sz w:val="18"/>
          <w:szCs w:val="18"/>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EPS,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96" w:lineRule="exact"/>
        <w:rPr>
          <w:sz w:val="20"/>
          <w:szCs w:val="20"/>
          <w:color w:val="auto"/>
        </w:rPr>
      </w:pPr>
    </w:p>
    <w:p>
      <w:pPr>
        <w:ind w:left="1300" w:hanging="644"/>
        <w:spacing w:after="0" w:line="261"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71" w:lineRule="exact"/>
        <w:rPr>
          <w:rFonts w:ascii="Times New Roman" w:cs="Times New Roman" w:eastAsia="Times New Roman" w:hAnsi="Times New Roman"/>
          <w:sz w:val="18"/>
          <w:szCs w:val="18"/>
          <w:color w:val="auto"/>
        </w:rPr>
      </w:pPr>
    </w:p>
    <w:p>
      <w:pPr>
        <w:ind w:left="1300" w:right="120" w:hanging="644"/>
        <w:spacing w:after="0" w:line="261"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represents operating income before transaction costs, fees, losses, and expenses, including fees associated with debt prepayments and supplemental employee benefits due to the COVID-19 outbreak.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71" w:lineRule="exact"/>
        <w:rPr>
          <w:rFonts w:ascii="Times New Roman" w:cs="Times New Roman" w:eastAsia="Times New Roman" w:hAnsi="Times New Roman"/>
          <w:sz w:val="18"/>
          <w:szCs w:val="18"/>
          <w:color w:val="auto"/>
        </w:rPr>
      </w:pPr>
    </w:p>
    <w:p>
      <w:pPr>
        <w:ind w:left="1300" w:right="60" w:hanging="644"/>
        <w:spacing w:after="0" w:line="254"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net income before income taxes, net interest and other expense and depreciation and amortization and before certain other items, including transaction costs, fees, losses, and expenses, including fees associated with debt prepayments and supplemental employee benefits due to the COVID-19 outbreak.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83"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represents net income before: (i) transaction costs, fees, losses, and expenses, including fees associated with debt prepayments, (ii) supplemental employee benefits due to the COVID-19 outbreak, (iii) research and development tax credit, (iv) release of income tax reserves, (v) loss on debt extinguishment and (vi) amortization of debt issuance costs, in each case net of the tax effect where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300" w:right="40"/>
        <w:spacing w:after="0" w:line="266" w:lineRule="auto"/>
        <w:rPr>
          <w:sz w:val="20"/>
          <w:szCs w:val="20"/>
          <w:color w:val="auto"/>
        </w:rPr>
      </w:pPr>
      <w:r>
        <w:rPr>
          <w:rFonts w:ascii="Times New Roman" w:cs="Times New Roman" w:eastAsia="Times New Roman" w:hAnsi="Times New Roman"/>
          <w:sz w:val="18"/>
          <w:szCs w:val="18"/>
          <w:color w:val="auto"/>
        </w:rPr>
        <w:t>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68" w:lineRule="exact"/>
        <w:rPr>
          <w:sz w:val="20"/>
          <w:szCs w:val="20"/>
          <w:color w:val="auto"/>
        </w:rPr>
      </w:pPr>
    </w:p>
    <w:p>
      <w:pPr>
        <w:jc w:val="both"/>
        <w:ind w:left="1300" w:hanging="644"/>
        <w:spacing w:after="0" w:line="266"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67"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represents the net cash generated from operating activities less the impact of purchases of property, equipment and software.</w:t>
      </w:r>
    </w:p>
    <w:p>
      <w:pPr>
        <w:spacing w:after="0" w:line="200" w:lineRule="exact"/>
        <w:rPr>
          <w:sz w:val="20"/>
          <w:szCs w:val="20"/>
          <w:color w:val="auto"/>
        </w:rPr>
      </w:pPr>
    </w:p>
    <w:p>
      <w:pPr>
        <w:spacing w:after="0" w:line="205"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3000" w:type="dxa"/>
            <w:vAlign w:val="bottom"/>
            <w:gridSpan w:val="4"/>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3000" w:type="dxa"/>
            <w:vAlign w:val="bottom"/>
            <w:gridSpan w:val="4"/>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left="9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left="9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 Excluding Billable Expenses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1,904,020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1,849,441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5,879,658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5,494,194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Billable expenses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577,059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600,522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1,729,788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1,691,543</w:t>
            </w:r>
          </w:p>
        </w:tc>
        <w:tc>
          <w:tcPr>
            <w:tcW w:w="0" w:type="dxa"/>
            <w:vAlign w:val="bottom"/>
          </w:tcPr>
          <w:p>
            <w:pPr>
              <w:spacing w:after="0"/>
              <w:rPr>
                <w:sz w:val="1"/>
                <w:szCs w:val="1"/>
                <w:color w:val="auto"/>
              </w:rPr>
            </w:pPr>
          </w:p>
        </w:tc>
      </w:tr>
      <w:tr>
        <w:trPr>
          <w:trHeight w:val="223"/>
        </w:trPr>
        <w:tc>
          <w:tcPr>
            <w:tcW w:w="4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Revenue, Excluding Billable Expenses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1,326,961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1,248,919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4,149,870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3,802,651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184,257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169,045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583,365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520,126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 expenses (a)</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COVID-19 supplemental employee benefits (b)</w:t>
            </w:r>
          </w:p>
        </w:tc>
        <w:tc>
          <w:tcPr>
            <w:tcW w:w="22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184,325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170,114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583,942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521,195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240" w:type="dxa"/>
            <w:vAlign w:val="bottom"/>
            <w:gridSpan w:val="3"/>
          </w:tcPr>
          <w:p>
            <w:pPr>
              <w:ind w:left="20"/>
              <w:spacing w:after="0" w:line="123" w:lineRule="exact"/>
              <w:rPr>
                <w:sz w:val="20"/>
                <w:szCs w:val="20"/>
                <w:color w:val="auto"/>
              </w:rPr>
            </w:pPr>
            <w:r>
              <w:rPr>
                <w:rFonts w:ascii="Times New Roman" w:cs="Times New Roman" w:eastAsia="Times New Roman" w:hAnsi="Times New Roman"/>
                <w:sz w:val="13"/>
                <w:szCs w:val="13"/>
                <w:b w:val="1"/>
                <w:bCs w:val="1"/>
                <w:i w:val="1"/>
                <w:iCs w:val="1"/>
                <w:color w:val="auto"/>
              </w:rPr>
              <w:t>EBITDA, Adjusted EBITDA, Adjusted EBITDA Margin on Revenue &amp; Adjusted</w:t>
            </w:r>
          </w:p>
        </w:tc>
        <w:tc>
          <w:tcPr>
            <w:tcW w:w="1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EBITDA Margin on Revenue, Excluding Billable Expenses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144,371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112,026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409,781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343,737</w:t>
            </w: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21,612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34,697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102,418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106,993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other, net (c)</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18,274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22,322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71,166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69,396</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21,113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20,655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62,860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60,308</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205,370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189,700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646,225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580,434</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 expenses (a)</w:t>
            </w:r>
          </w:p>
        </w:tc>
        <w:tc>
          <w:tcPr>
            <w:tcW w:w="22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COVID-19 supplemental employee benefits (b)</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205,438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190,769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646,802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581,503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Adjusted EBITDA Margin on Revenue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175"/>
        </w:trPr>
        <w:tc>
          <w:tcPr>
            <w:tcW w:w="47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Adjusted EBITDA Margin on Revenue, Excluding</w:t>
            </w:r>
          </w:p>
        </w:tc>
        <w:tc>
          <w:tcPr>
            <w:tcW w:w="2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29"/>
        </w:trPr>
        <w:tc>
          <w:tcPr>
            <w:tcW w:w="4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Billable Expenses</w:t>
            </w:r>
          </w:p>
        </w:tc>
        <w:tc>
          <w:tcPr>
            <w:tcW w:w="2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144,371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112,026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409,781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343,737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expenses (a)</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COVID-19 supplemental employee benefits (b)</w:t>
            </w:r>
          </w:p>
        </w:tc>
        <w:tc>
          <w:tcPr>
            <w:tcW w:w="22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 (d)</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Release of income tax reserves (e)</w:t>
            </w:r>
          </w:p>
        </w:tc>
        <w:tc>
          <w:tcPr>
            <w:tcW w:w="22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debt extinguishment (f)</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13,239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7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Amortization and write-off of debt issuance costs and debt</w:t>
            </w:r>
          </w:p>
        </w:tc>
        <w:tc>
          <w:tcPr>
            <w:tcW w:w="220" w:type="dxa"/>
            <w:vAlign w:val="bottom"/>
          </w:tcPr>
          <w:p>
            <w:pPr>
              <w:spacing w:after="0"/>
              <w:rPr>
                <w:sz w:val="15"/>
                <w:szCs w:val="15"/>
                <w:color w:val="auto"/>
              </w:rPr>
            </w:pPr>
          </w:p>
        </w:tc>
        <w:tc>
          <w:tcPr>
            <w:tcW w:w="1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discount</w:t>
            </w:r>
          </w:p>
        </w:tc>
        <w:tc>
          <w:tcPr>
            <w:tcW w:w="2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for tax effect (g)</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(4,040)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23"/>
        </w:trPr>
        <w:tc>
          <w:tcPr>
            <w:tcW w:w="4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Adjusted 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144,943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113,472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418,322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345,967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Diluted Earnings Per Share</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Weighted-average number of diluted shares outstanding</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138,886,119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97"/>
              </w:rPr>
              <w:t>141,558,427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138,932,125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97"/>
              </w:rPr>
              <w:t>141,348,635</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Net Income Per Diluted Share (h)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232,935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99,780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798,959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366,459</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Purchases of property, equipment and software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(15,949)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(30,734)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(54,033)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(90,712)</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216,986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69,046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744,926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275,747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2020 debt refinancing costs incurred in connection with the refinancing transactions consummated on November 26, 2019.</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supplemental contribution to employees' dependent care FSA accounts in response to the COVID-19 outbreak.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combination of Interest expense and Other (expense) income, net from the condensed consolidated statement of operations.</w:t>
      </w:r>
    </w:p>
    <w:p>
      <w:pPr>
        <w:spacing w:after="0" w:line="117"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tax credits, net of reserves for uncertain tax positions, recognized in fiscal 2021 related to an increase in research and development credits available for fiscal years 2016 to 2019.</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pre-acquisition income tax reserves assumed by the Company in connection with the Carlyle acquisition.</w:t>
      </w:r>
    </w:p>
    <w:p>
      <w:pPr>
        <w:spacing w:after="0" w:line="117" w:lineRule="exact"/>
        <w:rPr>
          <w:rFonts w:ascii="Times New Roman" w:cs="Times New Roman" w:eastAsia="Times New Roman" w:hAnsi="Times New Roman"/>
          <w:sz w:val="18"/>
          <w:szCs w:val="18"/>
          <w:color w:val="auto"/>
        </w:rPr>
      </w:pPr>
    </w:p>
    <w:p>
      <w:pPr>
        <w:jc w:val="both"/>
        <w:ind w:left="660" w:right="100" w:hanging="652"/>
        <w:spacing w:after="0" w:line="266" w:lineRule="auto"/>
        <w:tabs>
          <w:tab w:leader="none" w:pos="6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loss on debt extinguishment resulting from the redemption of Booz Allen Hamilton Inc.'s 5.125% Senior Notes due 2025 (the "2017 Senior Notes"), including $9.0 million of the premium paid at redemption, and write-off of the unamortized debt issuance cost. See Note 8 to our condensed consolidated financial statements for more information.</w:t>
      </w:r>
    </w:p>
    <w:p>
      <w:pPr>
        <w:spacing w:after="0" w:line="67" w:lineRule="exact"/>
        <w:rPr>
          <w:rFonts w:ascii="Times New Roman" w:cs="Times New Roman" w:eastAsia="Times New Roman" w:hAnsi="Times New Roman"/>
          <w:sz w:val="18"/>
          <w:szCs w:val="18"/>
          <w:color w:val="auto"/>
        </w:rPr>
      </w:pPr>
    </w:p>
    <w:p>
      <w:pPr>
        <w:ind w:left="660" w:right="360" w:hanging="652"/>
        <w:spacing w:after="0" w:line="282"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 of adjustments at an assumed effective tax rate of 26%, which approximates the blended federal and state tax rates, and consistently excludes the impact of other tax credits and incentive benefits realized.</w:t>
      </w:r>
    </w:p>
    <w:p>
      <w:pPr>
        <w:spacing w:after="0" w:line="53"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adjustments of approximately $0.9 million and $2.3 million of net earnings for the three and nine months ended December 31, 2020, respectively, and excludes adjustments of approximately $0.6 million and $1.8 million of net earnings for the three and nine months ended December 31, 2019, respectively associated with the application of the two-class method for computing diluted earnings per share.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21"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 and Key Trends in Our Markets</w:t>
      </w:r>
    </w:p>
    <w:p>
      <w:pPr>
        <w:spacing w:after="0" w:line="12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We believe that the following trends and developments in the U.S. government services industry and our markets may influence our future results of operations:</w:t>
      </w:r>
    </w:p>
    <w:p>
      <w:pPr>
        <w:spacing w:after="0" w:line="54" w:lineRule="exact"/>
        <w:rPr>
          <w:sz w:val="20"/>
          <w:szCs w:val="20"/>
          <w:color w:val="auto"/>
        </w:rPr>
      </w:pPr>
    </w:p>
    <w:p>
      <w:pPr>
        <w:ind w:left="1300" w:hanging="644"/>
        <w:spacing w:after="0" w:line="25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and address the ability of Congress to determine how to allocate the available budget authority and pass appropriations bills to fund both U.S. government departments and agencies that are, and those that are not, subject to the caps;</w:t>
      </w:r>
    </w:p>
    <w:p>
      <w:pPr>
        <w:spacing w:after="0" w:line="79"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53" w:lineRule="exact"/>
        <w:rPr>
          <w:rFonts w:ascii="Times New Roman" w:cs="Times New Roman" w:eastAsia="Times New Roman" w:hAnsi="Times New Roman"/>
          <w:sz w:val="18"/>
          <w:szCs w:val="18"/>
          <w:color w:val="auto"/>
        </w:rPr>
      </w:pPr>
    </w:p>
    <w:p>
      <w:pPr>
        <w:ind w:left="1300" w:right="40" w:hanging="644"/>
        <w:spacing w:after="0" w:line="271" w:lineRule="auto"/>
        <w:tabs>
          <w:tab w:leader="none" w:pos="129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65" w:lineRule="exact"/>
        <w:rPr>
          <w:rFonts w:ascii="Times New Roman" w:cs="Times New Roman" w:eastAsia="Times New Roman" w:hAnsi="Times New Roman"/>
          <w:sz w:val="17"/>
          <w:szCs w:val="17"/>
          <w:color w:val="auto"/>
        </w:rPr>
      </w:pPr>
    </w:p>
    <w:p>
      <w:pPr>
        <w:ind w:left="1300" w:right="40" w:hanging="644"/>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completion of future U.S. government’s budget processes, which have in the past and could in the future delay procurement of the products, services, and solutions we provide;</w:t>
      </w:r>
    </w:p>
    <w:p>
      <w:pPr>
        <w:spacing w:after="0" w:line="53" w:lineRule="exact"/>
        <w:rPr>
          <w:rFonts w:ascii="Times New Roman" w:cs="Times New Roman" w:eastAsia="Times New Roman" w:hAnsi="Times New Roman"/>
          <w:sz w:val="18"/>
          <w:szCs w:val="18"/>
          <w:color w:val="auto"/>
        </w:rPr>
      </w:pPr>
    </w:p>
    <w:p>
      <w:pPr>
        <w:ind w:left="1300" w:right="260" w:hanging="644"/>
        <w:spacing w:after="0" w:line="261"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U.S. presidential election;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right="10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nature and effect of the COVID-19 outbreak, including the impact on federal budgets, current and pending procurements, supply chains, demand for services, deployment and productivity of our employees and the economic and societal impact of a pandemic, and the expected continued volatility in billable expenses;</w:t>
      </w:r>
    </w:p>
    <w:p>
      <w:pPr>
        <w:spacing w:after="0" w:line="67"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the U.S. government to address organizational conflicts of interest and related issues and the impact of those efforts on us and our competitors;</w:t>
      </w:r>
    </w:p>
    <w:p>
      <w:pPr>
        <w:spacing w:after="0" w:line="53"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53"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67"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53"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agencies awarding contracts on a technically acceptable/lowest cost basis, which could have a negative impact on our ability to win certain contracts;</w:t>
      </w:r>
    </w:p>
    <w:p>
      <w:pPr>
        <w:spacing w:after="0" w:line="53"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67" w:lineRule="exact"/>
        <w:rPr>
          <w:rFonts w:ascii="Times New Roman" w:cs="Times New Roman" w:eastAsia="Times New Roman" w:hAnsi="Times New Roman"/>
          <w:sz w:val="18"/>
          <w:szCs w:val="18"/>
          <w:color w:val="auto"/>
        </w:rPr>
      </w:pPr>
    </w:p>
    <w:p>
      <w:pPr>
        <w:ind w:left="1300" w:right="40" w:hanging="644"/>
        <w:spacing w:after="0" w:line="289" w:lineRule="auto"/>
        <w:tabs>
          <w:tab w:leader="none" w:pos="129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49" w:lineRule="exact"/>
        <w:rPr>
          <w:rFonts w:ascii="Times New Roman" w:cs="Times New Roman" w:eastAsia="Times New Roman" w:hAnsi="Times New Roman"/>
          <w:sz w:val="17"/>
          <w:szCs w:val="17"/>
          <w:color w:val="auto"/>
        </w:rPr>
      </w:pPr>
    </w:p>
    <w:p>
      <w:pPr>
        <w:ind w:left="1300" w:right="36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53"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67" w:lineRule="exact"/>
        <w:rPr>
          <w:rFonts w:ascii="Times New Roman" w:cs="Times New Roman" w:eastAsia="Times New Roman" w:hAnsi="Times New Roman"/>
          <w:sz w:val="18"/>
          <w:szCs w:val="18"/>
          <w:color w:val="auto"/>
        </w:rPr>
      </w:pPr>
    </w:p>
    <w:p>
      <w:pPr>
        <w:jc w:val="both"/>
        <w:ind w:left="1300" w:right="4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21"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(as amended by the American Taxpayer Relief Act of 2012, the Bipartisan Budget Act of 2013, the Bipartisan Budget Act of 2015, the Bipartisan Budget Act of 2018 and the Bipartisan Budget Act of 2019), provides for automatic spending cuts (referred to as sequestration) totaling approximately $1.2 trillion between 2013 and 2021, including an estimated $500 billion in federal defense spending cuts over this time period. The Bipartisan Budget Act of 2019 raised BCA spending caps on defense spending by $90 billion for government fiscal 2020, and $81 billion for government fiscal 2021. For</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non-defense funding, the Bipartisan Budget Act of 2019 raised BCA spending caps by $78 billion for government fiscal 2020 and $72 billion for government fiscal 2021. While the American Taxpayer Relief Act of 2012, the Bipartisan Budget Act of 2013, the Bipartisan Budget Act of 2015, the Bipartisan Budget Act of 2018 and the Bipartisan Budget Act of 2019 all negated and raised budget limits put in place by the BCA for both defense and non-defense spending, there can be no assurance that any spending cuts implemented in the future would be similarly negated.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 Types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generate revenue under the following three basic types of contracts:</w:t>
      </w:r>
    </w:p>
    <w:p>
      <w:pPr>
        <w:spacing w:after="0" w:line="115" w:lineRule="exact"/>
        <w:rPr>
          <w:sz w:val="20"/>
          <w:szCs w:val="20"/>
          <w:color w:val="auto"/>
        </w:rPr>
      </w:pPr>
    </w:p>
    <w:p>
      <w:pPr>
        <w:ind w:left="1960" w:right="20" w:hanging="656"/>
        <w:spacing w:after="0" w:line="254" w:lineRule="auto"/>
        <w:tabs>
          <w:tab w:leader="none" w:pos="19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Cost-Reimbursable Contracts. </w:t>
      </w:r>
      <w:r>
        <w:rPr>
          <w:rFonts w:ascii="Times New Roman" w:cs="Times New Roman" w:eastAsia="Times New Roman" w:hAnsi="Times New Roman"/>
          <w:sz w:val="18"/>
          <w:szCs w:val="18"/>
          <w:color w:val="auto"/>
        </w:rPr>
        <w:t>Cost-reimbursable contracts provide for the payment of allowable costs incurred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the contract, up 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80" w:lineRule="exact"/>
        <w:rPr>
          <w:rFonts w:ascii="Times New Roman" w:cs="Times New Roman" w:eastAsia="Times New Roman" w:hAnsi="Times New Roman"/>
          <w:sz w:val="18"/>
          <w:szCs w:val="18"/>
          <w:i w:val="1"/>
          <w:iCs w:val="1"/>
          <w:color w:val="auto"/>
        </w:rPr>
      </w:pPr>
    </w:p>
    <w:p>
      <w:pPr>
        <w:ind w:left="1960" w:hanging="656"/>
        <w:spacing w:after="0" w:line="257" w:lineRule="auto"/>
        <w:tabs>
          <w:tab w:leader="none" w:pos="19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Time-and-Materials Contracts. </w:t>
      </w:r>
      <w:r>
        <w:rPr>
          <w:rFonts w:ascii="Times New Roman" w:cs="Times New Roman" w:eastAsia="Times New Roman" w:hAnsi="Times New Roman"/>
          <w:sz w:val="18"/>
          <w:szCs w:val="18"/>
          <w:color w:val="auto"/>
        </w:rPr>
        <w:t>Under contracts in this category, we are paid a fixed hourly rate for each direct labor hour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expended, and we are 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74" w:lineRule="exact"/>
        <w:rPr>
          <w:rFonts w:ascii="Times New Roman" w:cs="Times New Roman" w:eastAsia="Times New Roman" w:hAnsi="Times New Roman"/>
          <w:sz w:val="18"/>
          <w:szCs w:val="18"/>
          <w:i w:val="1"/>
          <w:iCs w:val="1"/>
          <w:color w:val="auto"/>
        </w:rPr>
      </w:pPr>
    </w:p>
    <w:p>
      <w:pPr>
        <w:ind w:left="1960" w:hanging="656"/>
        <w:spacing w:after="0" w:line="257" w:lineRule="auto"/>
        <w:tabs>
          <w:tab w:leader="none" w:pos="19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Under a fixed-price contract, we agree to perform the specified work for a predetermined price.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76"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percentage of total revenue for each type of contract: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30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80" w:type="dxa"/>
            <w:vAlign w:val="bottom"/>
            <w:gridSpan w:val="4"/>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2000" w:type="dxa"/>
            <w:vAlign w:val="bottom"/>
            <w:gridSpan w:val="3"/>
          </w:tcPr>
          <w:p>
            <w:pPr>
              <w:jc w:val="center"/>
              <w:ind w:right="8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3"/>
        </w:trPr>
        <w:tc>
          <w:tcPr>
            <w:tcW w:w="5220" w:type="dxa"/>
            <w:vAlign w:val="bottom"/>
          </w:tcPr>
          <w:p>
            <w:pPr>
              <w:spacing w:after="0"/>
              <w:rPr>
                <w:sz w:val="15"/>
                <w:szCs w:val="15"/>
                <w:color w:val="auto"/>
              </w:rPr>
            </w:pPr>
          </w:p>
        </w:tc>
        <w:tc>
          <w:tcPr>
            <w:tcW w:w="960" w:type="dxa"/>
            <w:vAlign w:val="bottom"/>
            <w:tcBorders>
              <w:top w:val="single" w:sz="8" w:color="auto"/>
            </w:tcBorders>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980" w:type="dxa"/>
            <w:vAlign w:val="bottom"/>
            <w:tcBorders>
              <w:top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980" w:type="dxa"/>
            <w:vAlign w:val="bottom"/>
            <w:tcBorders>
              <w:top w:val="single" w:sz="8" w:color="auto"/>
            </w:tcBorders>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0" w:type="dxa"/>
            <w:vAlign w:val="bottom"/>
            <w:tcBorders>
              <w:top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Cost-reimbursable</w:t>
            </w:r>
          </w:p>
        </w:tc>
        <w:tc>
          <w:tcPr>
            <w:tcW w:w="960" w:type="dxa"/>
            <w:vAlign w:val="bottom"/>
            <w:tcBorders>
              <w:top w:val="single" w:sz="8" w:color="auto"/>
            </w:tcBorders>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rPr>
              <w:t>57%</w:t>
            </w: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rPr>
              <w:t>56%</w:t>
            </w: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57%</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960" w:type="dxa"/>
            <w:vAlign w:val="bottom"/>
          </w:tcPr>
          <w:p>
            <w:pPr>
              <w:jc w:val="center"/>
              <w:ind w:left="377"/>
              <w:spacing w:after="0"/>
              <w:rPr>
                <w:sz w:val="20"/>
                <w:szCs w:val="20"/>
                <w:color w:val="auto"/>
              </w:rPr>
            </w:pPr>
            <w:r>
              <w:rPr>
                <w:rFonts w:ascii="Times New Roman" w:cs="Times New Roman" w:eastAsia="Times New Roman" w:hAnsi="Times New Roman"/>
                <w:sz w:val="18"/>
                <w:szCs w:val="18"/>
                <w:color w:val="auto"/>
              </w:rPr>
              <w:t>24%</w:t>
            </w:r>
          </w:p>
        </w:tc>
        <w:tc>
          <w:tcPr>
            <w:tcW w:w="1980" w:type="dxa"/>
            <w:vAlign w:val="bottom"/>
            <w:gridSpan w:val="3"/>
          </w:tcPr>
          <w:p>
            <w:pPr>
              <w:jc w:val="center"/>
              <w:ind w:left="479"/>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980" w:type="dxa"/>
            <w:vAlign w:val="bottom"/>
          </w:tcPr>
          <w:p>
            <w:pPr>
              <w:jc w:val="center"/>
              <w:ind w:left="397"/>
              <w:spacing w:after="0"/>
              <w:rPr>
                <w:sz w:val="20"/>
                <w:szCs w:val="20"/>
                <w:color w:val="auto"/>
              </w:rPr>
            </w:pPr>
            <w:r>
              <w:rPr>
                <w:rFonts w:ascii="Times New Roman" w:cs="Times New Roman" w:eastAsia="Times New Roman" w:hAnsi="Times New Roman"/>
                <w:sz w:val="18"/>
                <w:szCs w:val="18"/>
                <w:color w:val="auto"/>
              </w:rPr>
              <w:t>25%</w:t>
            </w:r>
          </w:p>
        </w:tc>
        <w:tc>
          <w:tcPr>
            <w:tcW w:w="2000" w:type="dxa"/>
            <w:vAlign w:val="bottom"/>
            <w:gridSpan w:val="3"/>
          </w:tcPr>
          <w:p>
            <w:pPr>
              <w:jc w:val="center"/>
              <w:ind w:left="479"/>
              <w:spacing w:after="0"/>
              <w:rPr>
                <w:sz w:val="20"/>
                <w:szCs w:val="20"/>
                <w:color w:val="auto"/>
              </w:rPr>
            </w:pPr>
            <w:r>
              <w:rPr>
                <w:rFonts w:ascii="Times New Roman" w:cs="Times New Roman" w:eastAsia="Times New Roman" w:hAnsi="Times New Roman"/>
                <w:sz w:val="18"/>
                <w:szCs w:val="18"/>
                <w:color w:val="auto"/>
                <w:w w:val="96"/>
              </w:rPr>
              <w:t>23%</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w:t>
            </w:r>
          </w:p>
        </w:tc>
        <w:tc>
          <w:tcPr>
            <w:tcW w:w="960" w:type="dxa"/>
            <w:vAlign w:val="bottom"/>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rPr>
              <w:t>19%</w:t>
            </w:r>
          </w:p>
        </w:tc>
        <w:tc>
          <w:tcPr>
            <w:tcW w:w="1980" w:type="dxa"/>
            <w:vAlign w:val="bottom"/>
            <w:gridSpan w:val="3"/>
            <w:shd w:val="clear" w:color="auto" w:fill="CCEEFF"/>
          </w:tcPr>
          <w:p>
            <w:pPr>
              <w:jc w:val="center"/>
              <w:ind w:left="479"/>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rPr>
              <w:t>19%</w:t>
            </w:r>
          </w:p>
        </w:tc>
        <w:tc>
          <w:tcPr>
            <w:tcW w:w="2000" w:type="dxa"/>
            <w:vAlign w:val="bottom"/>
            <w:gridSpan w:val="3"/>
            <w:shd w:val="clear" w:color="auto" w:fill="CCEEFF"/>
          </w:tcPr>
          <w:p>
            <w:pPr>
              <w:jc w:val="center"/>
              <w:ind w:left="479"/>
              <w:spacing w:after="0"/>
              <w:rPr>
                <w:sz w:val="20"/>
                <w:szCs w:val="20"/>
                <w:color w:val="auto"/>
              </w:rPr>
            </w:pPr>
            <w:r>
              <w:rPr>
                <w:rFonts w:ascii="Times New Roman" w:cs="Times New Roman" w:eastAsia="Times New Roman" w:hAnsi="Times New Roman"/>
                <w:sz w:val="18"/>
                <w:szCs w:val="18"/>
                <w:color w:val="auto"/>
                <w:w w:val="96"/>
              </w:rPr>
              <w:t>20%</w:t>
            </w:r>
          </w:p>
        </w:tc>
      </w:tr>
    </w:tbl>
    <w:p>
      <w:pPr>
        <w:spacing w:after="0" w:line="3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 Diversity and Revenue Mix</w:t>
      </w:r>
    </w:p>
    <w:p>
      <w:pPr>
        <w:spacing w:after="0" w:line="119"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w:t>
      </w:r>
    </w:p>
    <w:p>
      <w:pPr>
        <w:spacing w:after="0" w:line="79"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Our People</w:t>
      </w:r>
    </w:p>
    <w:p>
      <w:pPr>
        <w:spacing w:after="0" w:line="119" w:lineRule="exact"/>
        <w:rPr>
          <w:sz w:val="20"/>
          <w:szCs w:val="20"/>
          <w:color w:val="auto"/>
        </w:rPr>
      </w:pPr>
    </w:p>
    <w:p>
      <w:pPr>
        <w:ind w:right="80" w:firstLine="405"/>
        <w:spacing w:after="0" w:line="277" w:lineRule="auto"/>
        <w:rPr>
          <w:sz w:val="20"/>
          <w:szCs w:val="20"/>
          <w:color w:val="auto"/>
        </w:rPr>
      </w:pPr>
      <w:r>
        <w:rPr>
          <w:rFonts w:ascii="Times New Roman" w:cs="Times New Roman" w:eastAsia="Times New Roman" w:hAnsi="Times New Roman"/>
          <w:sz w:val="17"/>
          <w:szCs w:val="17"/>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December 31, 2020 and 2019, we employed approximately 27,600 and 27,200 people, respectively, of which approximately 24,700 and 24,300, respectively, were consulting staff.</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 Backlog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define backlog to include the following three components:</w:t>
      </w:r>
    </w:p>
    <w:p>
      <w:pPr>
        <w:spacing w:after="0" w:line="115" w:lineRule="exact"/>
        <w:rPr>
          <w:sz w:val="20"/>
          <w:szCs w:val="20"/>
          <w:color w:val="auto"/>
        </w:rPr>
      </w:pPr>
    </w:p>
    <w:p>
      <w:pPr>
        <w:ind w:left="1300" w:right="580" w:hanging="644"/>
        <w:spacing w:after="0" w:line="284" w:lineRule="auto"/>
        <w:tabs>
          <w:tab w:leader="none" w:pos="129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Funded Backlog. </w:t>
      </w:r>
      <w:r>
        <w:rPr>
          <w:rFonts w:ascii="Times New Roman" w:cs="Times New Roman" w:eastAsia="Times New Roman" w:hAnsi="Times New Roman"/>
          <w:sz w:val="18"/>
          <w:szCs w:val="18"/>
          <w:color w:val="auto"/>
        </w:rPr>
        <w:t>Funded backlog represents the revenue value of orders for services under existing contracts for which funding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appropriated or otherwise authorized less revenue previously recognized on these contracts.</w:t>
      </w:r>
    </w:p>
    <w:p>
      <w:pPr>
        <w:spacing w:after="0" w:line="50" w:lineRule="exact"/>
        <w:rPr>
          <w:rFonts w:ascii="Times New Roman" w:cs="Times New Roman" w:eastAsia="Times New Roman" w:hAnsi="Times New Roman"/>
          <w:sz w:val="18"/>
          <w:szCs w:val="18"/>
          <w:i w:val="1"/>
          <w:iCs w:val="1"/>
          <w:color w:val="auto"/>
        </w:rPr>
      </w:pPr>
    </w:p>
    <w:p>
      <w:pPr>
        <w:ind w:left="1300" w:right="480" w:hanging="644"/>
        <w:spacing w:after="0" w:line="284"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Unfunded Backlog. </w:t>
      </w:r>
      <w:r>
        <w:rPr>
          <w:rFonts w:ascii="Times New Roman" w:cs="Times New Roman" w:eastAsia="Times New Roman" w:hAnsi="Times New Roman"/>
          <w:sz w:val="18"/>
          <w:szCs w:val="18"/>
          <w:color w:val="auto"/>
        </w:rPr>
        <w:t>Unfunded backlog represents the revenue value of orders (including optional orders) for services under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for which funding has not been appropriated or otherwise authorized.</w:t>
      </w:r>
    </w:p>
    <w:p>
      <w:pPr>
        <w:spacing w:after="0" w:line="50" w:lineRule="exact"/>
        <w:rPr>
          <w:rFonts w:ascii="Times New Roman" w:cs="Times New Roman" w:eastAsia="Times New Roman" w:hAnsi="Times New Roman"/>
          <w:sz w:val="18"/>
          <w:szCs w:val="18"/>
          <w:color w:val="auto"/>
        </w:rPr>
      </w:pPr>
    </w:p>
    <w:p>
      <w:pPr>
        <w:ind w:left="1300" w:right="60" w:hanging="644"/>
        <w:spacing w:after="0" w:line="284"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Priced Options. </w:t>
      </w:r>
      <w:r>
        <w:rPr>
          <w:rFonts w:ascii="Times New Roman" w:cs="Times New Roman" w:eastAsia="Times New Roman" w:hAnsi="Times New Roman"/>
          <w:sz w:val="18"/>
          <w:szCs w:val="18"/>
          <w:color w:val="auto"/>
        </w:rPr>
        <w:t>Priced contract options represent 100% of the revenue value of all future contract option periods under existing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exercised at our clients’ option and for which funding has not been appropriated or otherwise authorized.</w:t>
      </w:r>
    </w:p>
    <w:p>
      <w:pPr>
        <w:spacing w:after="0" w:line="5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value of our contract backlog at the respective dates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8"/>
        </w:trPr>
        <w:tc>
          <w:tcPr>
            <w:tcW w:w="80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5"/>
                <w:szCs w:val="15"/>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Funded</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r>
      <w:tr>
        <w:trPr>
          <w:trHeight w:val="230"/>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Unfunded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r>
      <w:tr>
        <w:trPr>
          <w:trHeight w:val="229"/>
        </w:trPr>
        <w:tc>
          <w:tcPr>
            <w:tcW w:w="8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Priced options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13,128</w:t>
            </w:r>
          </w:p>
        </w:tc>
      </w:tr>
      <w:tr>
        <w:trPr>
          <w:trHeight w:val="248"/>
        </w:trPr>
        <w:tc>
          <w:tcPr>
            <w:tcW w:w="80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backlog</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firstLine="405"/>
        <w:spacing w:after="0" w:line="270" w:lineRule="auto"/>
        <w:rPr>
          <w:sz w:val="20"/>
          <w:szCs w:val="20"/>
          <w:color w:val="auto"/>
        </w:rPr>
      </w:pPr>
      <w:r>
        <w:rPr>
          <w:rFonts w:ascii="Times New Roman" w:cs="Times New Roman" w:eastAsia="Times New Roman" w:hAnsi="Times New Roman"/>
          <w:sz w:val="17"/>
          <w:szCs w:val="17"/>
          <w:color w:val="auto"/>
        </w:rPr>
        <w:t>Our total backlog consists of remaining performance obligations, certain orders under contracts for which the period of performance has expired, and unexercised option period and other unexercised optional orders. As of December 31, 2020 and March 31, 2020, the Company had $7.5 billion and $6.3 billion, respectively, of remaining performance obligations and we expect to recognize more than half of the remaining performance obligations at December 31, 2020 as revenue over the next 12 months, and approximately three quarters over the next 24 months. The remainder is expected to be recognized thereafter. However, given the uncertainties discussed below, as well as the risks described in "Item 1A. Risk Factors" of our Annual Report on Form 10-K for the fiscal year ended March 31, 2020,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6.1% from December 31, 2019 to December 31, 2020. Additions to funded backlog during the twelve months ended December 31, 2020 totaled $7.9 billion in comparison to $7.3 billion for the comparable period in 2019,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8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82"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5.3% of total backlog as of December 31, 2020 and any of the four preceding fiscal quarters.</w:t>
      </w:r>
    </w:p>
    <w:p>
      <w:pPr>
        <w:spacing w:after="0" w:line="75"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We expect to recognize revenue from a substantial portion of funded backlog as of December 31, 2020 within the next twelve months. However, given the uncertainties discussed above, as well as the risks described in Part I, Item 1A, of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 we can give no assurance that we will be able to convert our backlog into revenue in any particular period, if at all.</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21"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most significant operating costs and expenses are described below.</w:t>
      </w:r>
    </w:p>
    <w:p>
      <w:pPr>
        <w:spacing w:after="0" w:line="115" w:lineRule="exact"/>
        <w:rPr>
          <w:sz w:val="20"/>
          <w:szCs w:val="20"/>
          <w:color w:val="auto"/>
        </w:rPr>
      </w:pPr>
    </w:p>
    <w:p>
      <w:pPr>
        <w:ind w:left="1300" w:right="400" w:hanging="644"/>
        <w:spacing w:after="0" w:line="284"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includes direct labor, related employee benefits, and overhead. Overhead consists of indirect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indirect labor relating to infrastructure, management and administration, and other expenses.</w:t>
      </w:r>
    </w:p>
    <w:p>
      <w:pPr>
        <w:spacing w:after="0" w:line="50" w:lineRule="exact"/>
        <w:rPr>
          <w:rFonts w:ascii="Times New Roman" w:cs="Times New Roman" w:eastAsia="Times New Roman" w:hAnsi="Times New Roman"/>
          <w:sz w:val="18"/>
          <w:szCs w:val="18"/>
          <w:color w:val="auto"/>
        </w:rPr>
      </w:pPr>
    </w:p>
    <w:p>
      <w:pPr>
        <w:ind w:left="1300" w:right="220" w:hanging="644"/>
        <w:spacing w:after="0" w:line="284"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Billable Expenses. </w:t>
      </w:r>
      <w:r>
        <w:rPr>
          <w:rFonts w:ascii="Times New Roman" w:cs="Times New Roman" w:eastAsia="Times New Roman" w:hAnsi="Times New Roman"/>
          <w:sz w:val="18"/>
          <w:szCs w:val="18"/>
          <w:color w:val="auto"/>
        </w:rPr>
        <w:t>Billable expenses include direct subcontractor expenses, travel expenses, and other expenses incurred to perform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w:t>
      </w:r>
    </w:p>
    <w:p>
      <w:pPr>
        <w:spacing w:after="0" w:line="50" w:lineRule="exact"/>
        <w:rPr>
          <w:rFonts w:ascii="Times New Roman" w:cs="Times New Roman" w:eastAsia="Times New Roman" w:hAnsi="Times New Roman"/>
          <w:sz w:val="18"/>
          <w:szCs w:val="18"/>
          <w:color w:val="auto"/>
        </w:rPr>
      </w:pPr>
    </w:p>
    <w:p>
      <w:pPr>
        <w:ind w:left="1300" w:right="700" w:hanging="644"/>
        <w:spacing w:after="0" w:line="284"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indirect labor of executive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administrative functions, marketing and bid and proposal costs, and other discretionary spending.</w:t>
      </w:r>
    </w:p>
    <w:p>
      <w:pPr>
        <w:spacing w:after="0" w:line="50" w:lineRule="exact"/>
        <w:rPr>
          <w:rFonts w:ascii="Times New Roman" w:cs="Times New Roman" w:eastAsia="Times New Roman" w:hAnsi="Times New Roman"/>
          <w:sz w:val="18"/>
          <w:szCs w:val="18"/>
          <w:color w:val="auto"/>
        </w:rPr>
      </w:pPr>
    </w:p>
    <w:p>
      <w:pPr>
        <w:ind w:left="1300" w:right="20" w:hanging="644"/>
        <w:spacing w:after="0" w:line="267"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includes the depreciation of computers, leasehold improvements, furniture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 Seasonality is just one of a number of factors, many of which are outside of our control, which may affect our results in any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12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2020. There were no other material changes to our critical accounting policies, estimates or judgments that occurred in the quarterly period covered by this report.</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See Note 2 to our accompanying condensed consolidated financial statements for information related to our adoption of new accounting standards and for information on our anticipated adoption of recently issued accounting standards.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items from our condensed consolidated statements of operations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00" w:type="dxa"/>
            <w:vAlign w:val="bottom"/>
            <w:tcBorders>
              <w:right w:val="single" w:sz="8" w:color="auto"/>
            </w:tcBorders>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3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3"/>
                <w:szCs w:val="13"/>
                <w:color w:val="auto"/>
              </w:rPr>
            </w:pPr>
          </w:p>
        </w:tc>
        <w:tc>
          <w:tcPr>
            <w:tcW w:w="2200" w:type="dxa"/>
            <w:vAlign w:val="bottom"/>
            <w:tcBorders>
              <w:right w:val="single" w:sz="8" w:color="auto"/>
            </w:tcBorders>
            <w:gridSpan w:val="4"/>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c>
          <w:tcPr>
            <w:tcW w:w="10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right w:val="single" w:sz="8" w:color="auto"/>
            </w:tcBorders>
            <w:gridSpan w:val="4"/>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Borders>
              <w:right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5"/>
                <w:szCs w:val="15"/>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right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right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jc w:val="center"/>
              <w:ind w:left="7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Borders>
              <w:right w:val="single" w:sz="8" w:color="auto"/>
            </w:tcBorders>
            <w:gridSpan w:val="4"/>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1,904,020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1,849,441</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5,879,658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5,494,194</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813,500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2,498,096</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30"/>
        </w:trPr>
        <w:tc>
          <w:tcPr>
            <w:tcW w:w="2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Billable expenses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600,522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1,691,543</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245,719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724,121</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20,655</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60,308</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156"/>
        </w:trPr>
        <w:tc>
          <w:tcPr>
            <w:tcW w:w="2960" w:type="dxa"/>
            <w:vAlign w:val="bottom"/>
            <w:shd w:val="clear" w:color="auto" w:fill="CCEEFF"/>
          </w:tcPr>
          <w:p>
            <w:pPr>
              <w:ind w:left="480"/>
              <w:spacing w:after="0" w:line="156" w:lineRule="exact"/>
              <w:rPr>
                <w:sz w:val="20"/>
                <w:szCs w:val="20"/>
                <w:color w:val="auto"/>
              </w:rPr>
            </w:pPr>
            <w:r>
              <w:rPr>
                <w:rFonts w:ascii="Times New Roman" w:cs="Times New Roman" w:eastAsia="Times New Roman" w:hAnsi="Times New Roman"/>
                <w:sz w:val="18"/>
                <w:szCs w:val="18"/>
                <w:color w:val="auto"/>
              </w:rPr>
              <w:t>Total operating costs and</w:t>
            </w:r>
          </w:p>
        </w:tc>
        <w:tc>
          <w:tcPr>
            <w:tcW w:w="26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1,719,763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1,680,396</w:t>
            </w:r>
          </w:p>
        </w:tc>
        <w:tc>
          <w:tcPr>
            <w:tcW w:w="1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5,296,293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4,974,068</w:t>
            </w:r>
          </w:p>
        </w:tc>
        <w:tc>
          <w:tcPr>
            <w:tcW w:w="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169,045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520,126</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(75,281)</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5,885</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450,730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106,993</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343,737</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r>
        <w:rPr>
          <w:rFonts w:ascii="Times New Roman" w:cs="Times New Roman" w:eastAsia="Times New Roman" w:hAnsi="Times New Roman"/>
          <w:sz w:val="18"/>
          <w:szCs w:val="18"/>
          <w:i w:val="1"/>
          <w:iCs w:val="1"/>
          <w:color w:val="auto"/>
        </w:rPr>
        <w:t>.</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December 31, 2020 Compared to Three Months Ended December 31, 2019</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Revenue increased to $1,904.0 million from $1,849.4 million, or a 3.0% increase, primarily driven by growth in client demand and headcount to meet that demand. The Company also benefited from higher staff utilization over the prior year period driven by fewer PTO days taken by our employees which resulted in increases in our direct labor and corresponding generation of revenue growth. Total headcount as of December 31, 2020 increased approximately 390 as compared to December 31, 2019. Revenue growth for the quarter was negatively impacted by lower billable expenses.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06"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Cost of revenue increased to $866.8 million from $813.5 million, or a 6.5% increase. The increase was primarily due to increases in salaries and salary-related benefits of $55.3 million, driven by increased headcount and annual base salary increases. Cost of revenue as a percentage of revenue was 45.5% and 44.0% for the three months ended December 31, 2020 and 2019, respectively.</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Billable Expenses</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Billable expenses decreased to $577.1 million from $600.5 million, or a 3.9% decrease, primarily attributable to a decrease in the use of subcontractors driven by client demand and timing of client needs, and decreases in expenses from contracts which require the Company to incur travel and other direct expenses on behalf of clients as compared to the prior year period. The impact of COVID-19, including on travel, drove volatility in the timing and magnitude of billable expenses. Billable expenses as a percentage of revenue were 30.3% and 32.5% for the three months ended December 31, 2020 and 2019, respectively.</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to $254.8 million from $245.7 million, or a 3.7% increase, primarily due to increases in salaries and salary-related benefits of $12.4 million, partially offset by decreases in other business expenses and professional fees of $8.9 million. General and administrative expenses as a percentage of revenue were 13.4% and 13.3% for the three months ended December 31, 2020 and 2019, respectively.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to $21.1 million from $20.7 million, or a 2.2% increase, primarily due to increases in depreciation expense resulting from the effects of higher capital expenditures in fiscal 2020.</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Interest expense decreased to $20.9 million from $24.2 million, or a 13.8% decrease, primarily due to a decrease in 1 Month LIBOR, the benchmark interest rate under our Secured Credit Facility, and a reduction in expense of $2.0 million as a result of the repayment of the remaining Deferred Payment Obligation balance in December 2019.</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Other expense (Income), net increased to a $2.6 million net other income from a $1.9 million net other income primarily due to the net gain of $3.1 million recognized from the sale of certain company assets.</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Income tax expense decreased to $21.6 million from $34.7 million, primarily due to the release of $10.2 million in reserves for uncertain tax positions related to the acquisition of eGov Holdings, Inc. (d/b/a/ Aquilent), established in the fourth quarter of fiscal 2017, due to the expiration of the statute of limitations. This was partially offset by an increase in pre-tax income as compared to the prior year period. The effective tax rate decreased to 13.0% for the three months ended December 31, 2020 from 23.6% for the three months ended December 31, 2019.</w:t>
      </w:r>
    </w:p>
    <w:p>
      <w:pPr>
        <w:spacing w:after="0" w:line="68" w:lineRule="exact"/>
        <w:rPr>
          <w:sz w:val="20"/>
          <w:szCs w:val="20"/>
          <w:color w:val="auto"/>
        </w:rPr>
      </w:pPr>
    </w:p>
    <w:p>
      <w:pPr>
        <w:ind w:left="260" w:right="3840" w:firstLine="162"/>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Nine Months Ended December 31, 2020 Compared to Nine Months Ended December 31, 2019 </w:t>
      </w:r>
      <w:r>
        <w:rPr>
          <w:rFonts w:ascii="Times New Roman" w:cs="Times New Roman" w:eastAsia="Times New Roman" w:hAnsi="Times New Roman"/>
          <w:sz w:val="18"/>
          <w:szCs w:val="18"/>
          <w:i w:val="1"/>
          <w:iCs w:val="1"/>
          <w:color w:val="auto"/>
        </w:rPr>
        <w:t>Revenue</w:t>
      </w:r>
    </w:p>
    <w:p>
      <w:pPr>
        <w:spacing w:after="0" w:line="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Revenue increased to $5,879.7 million from $5,494.2 million, or a 7.0% increase, primarily driven by growth in client demand and headcount to meet that demand. The Company also benefited from higher staff utilization over the prior year periods driven by fewer PTO days taken by our employees which resulted in increases in our direct labor and corresponding generation of revenue growth. Revenue growth for the year-to-date period benefited from an overall increase in billable expenses.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Cost of revenue increased to $2,758.3 million from $2,498.1 million, or a 10.4% increase. The increase was primarily due to increases in salaries and salary-related benefits of $198.8 million primarily driven by increased headcount and annual base salary increases. Cost of revenue as a percentage of revenue was 46.9% and 45.5% for the nine months ended December 31, 2020 and 2019, respectively.</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Billable Expenses</w:t>
      </w:r>
    </w:p>
    <w:p>
      <w:pPr>
        <w:spacing w:after="0" w:line="11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Billable expenses increased to $1,729.8 million from $1,691.5 million, or a 2.3% increase, primarily attributable to an increase in use of subcontractors driven by client demand. The increase was partially offset by decreases in expenses from contracts which require the Company to incur direct and travel expenses on behalf of clients compared to the prior year period. The impact of COVID-19 drove volatility in the timing and magnitude of billable expenses. Billable expenses as a percentage of revenue were 29.4% and 30.8% for the nine months ended December 31, 2020 and 2019, respectively.</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to $745.4 million from $724.1 million, or a 2.9% increase primarily due to increases in salary and salary related benefits of $23.1 million, partially offset by decreases in other business expenses and professional fees of $10.0 million. General and administrative expenses as a percentage of revenue were 12.7% and 13.2% for the nine months ended December 31, 2020 and 2019, respectively.</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to $62.9 million from $60.3 million, or a 4.2% increase, primarily due to increases in depreciation expense resulting from the effects of higher capital expenditures in fiscal 2020.</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Interest expense decreased to $60.9 million from $75.3 million, or a 19.1% decrease, primarily due to a decrease in 1 Month LIBOR, the benchmark interest rate under our Secured Credit Facility, and a reduction in expense of $6.0 million as a result of the repayment of the remaining Deferred Payment Obligation balance in December 2019.</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Other expense (Income), net decreased to a $10.3 million net other expense from a $5.9 million net other income, primarily due to the loss on debt extinguishment resulting from the redemption of the 2017 Senior Notes, including $9.0 million of the premium paid at redemption, and write-off of the unamortized debt issuance cost. This was partially offset by net gains of $5.1 million recognized from the Company's sale of certain customer contracts and other assets.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Income tax expense decreased to $102.4 million from $107.0 million, primarily due to the release of $10.2 million in reserves for uncertain tax positions related to the acquisition of eGov Holdings, Inc. (d/b/a/ Aquilent), established in the fourth quarter of fiscal 2017, due to the expiration of the statute of limitations. This was partially offset by an increase in pre-tax income as compared to the prior year period. The effective tax rate decreased to 20.0% for the nine months ended December 31, 2020 from 23.7% for the nine months ended December 31, 2019.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as of December 31, 2020 and March 31, 2020 and for the first nine months of fiscal 2021 and 2020:</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3"/>
                <w:szCs w:val="13"/>
                <w:color w:val="auto"/>
              </w:rPr>
            </w:pPr>
          </w:p>
        </w:tc>
        <w:tc>
          <w:tcPr>
            <w:tcW w:w="1380" w:type="dxa"/>
            <w:vAlign w:val="bottom"/>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9"/>
        </w:trPr>
        <w:tc>
          <w:tcPr>
            <w:tcW w:w="7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7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5"/>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gridSpan w:val="3"/>
          </w:tcPr>
          <w:p>
            <w:pPr>
              <w:jc w:val="center"/>
              <w:ind w:left="10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6"/>
                <w:szCs w:val="16"/>
                <w:color w:val="auto"/>
              </w:rPr>
            </w:pPr>
          </w:p>
        </w:tc>
      </w:tr>
      <w:tr>
        <w:trPr>
          <w:trHeight w:val="23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1,341,301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741,901</w:t>
            </w:r>
          </w:p>
        </w:tc>
      </w:t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Pr>
          <w:p>
            <w:pPr>
              <w:spacing w:after="0"/>
              <w:rPr>
                <w:sz w:val="20"/>
                <w:szCs w:val="20"/>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2,375,007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2,185,844</w:t>
            </w:r>
          </w:p>
        </w:tc>
      </w:tr>
      <w:tr>
        <w:trPr>
          <w:trHeight w:val="387"/>
        </w:trPr>
        <w:tc>
          <w:tcPr>
            <w:tcW w:w="7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gridSpan w:val="4"/>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7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left="10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Borders>
              <w:bottom w:val="single" w:sz="8" w:color="auto"/>
            </w:tcBorders>
          </w:tcPr>
          <w:p>
            <w:pPr>
              <w:spacing w:after="0"/>
              <w:rPr>
                <w:sz w:val="16"/>
                <w:szCs w:val="16"/>
                <w:color w:val="auto"/>
              </w:rPr>
            </w:pPr>
          </w:p>
        </w:tc>
      </w:tr>
      <w:tr>
        <w:trPr>
          <w:trHeight w:val="183"/>
        </w:trPr>
        <w:tc>
          <w:tcPr>
            <w:tcW w:w="7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71"/>
        </w:trPr>
        <w:tc>
          <w:tcPr>
            <w:tcW w:w="7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5"/>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gridSpan w:val="3"/>
          </w:tcPr>
          <w:p>
            <w:pPr>
              <w:jc w:val="center"/>
              <w:ind w:left="10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6"/>
                <w:szCs w:val="16"/>
                <w:color w:val="auto"/>
              </w:rPr>
            </w:pPr>
          </w:p>
        </w:tc>
      </w:tr>
      <w:tr>
        <w:trPr>
          <w:trHeight w:val="23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798,959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366,459</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(90,712)</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137,084</w:t>
            </w: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in cash and cash equivalents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599,400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412,831</w:t>
            </w: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the opinion of management, we will be able to meet our liquidity and cash needs through a combination of cash flows from operating activities, available cash balances, and available borrowing under the Revolving Credit Facility.</w:t>
      </w:r>
    </w:p>
    <w:p>
      <w:pPr>
        <w:spacing w:after="0" w:line="7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7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the Revolving Credit Facility will be sufficient to meet our anticipated cash requirements for the next twelve months, which primarily include: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including salaries;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to fund the growth of our business;</w:t>
      </w:r>
    </w:p>
    <w:p>
      <w:pPr>
        <w:spacing w:after="0" w:line="117"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which primarily relate to the purchase of computers, business systems, furniture and leasehold improvements to support our operations;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build-out, testing, and potential implementation and operation of new financial management systems;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other discretionary investments;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for borrowings under our Secured Credit Facility and interest payments for the Senior Notes;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taxes to be paid.</w:t>
      </w:r>
    </w:p>
    <w:p>
      <w:pPr>
        <w:spacing w:after="0" w:line="11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ability to fund our operating needs depends, in part, on our ability to continue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79"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Cash Flow</w:t>
      </w:r>
    </w:p>
    <w:p>
      <w:pPr>
        <w:spacing w:after="0" w:line="119" w:lineRule="exact"/>
        <w:rPr>
          <w:sz w:val="20"/>
          <w:szCs w:val="20"/>
          <w:color w:val="auto"/>
        </w:rPr>
      </w:pPr>
    </w:p>
    <w:p>
      <w:pPr>
        <w:ind w:right="40" w:firstLine="243"/>
        <w:spacing w:after="0" w:line="255" w:lineRule="auto"/>
        <w:rPr>
          <w:sz w:val="20"/>
          <w:szCs w:val="20"/>
          <w:color w:val="auto"/>
        </w:rPr>
      </w:pPr>
      <w:r>
        <w:rPr>
          <w:rFonts w:ascii="Times New Roman" w:cs="Times New Roman" w:eastAsia="Times New Roman" w:hAnsi="Times New Roman"/>
          <w:sz w:val="18"/>
          <w:szCs w:val="18"/>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provided by operations was $799.0 million in the nine months ended December 31, 2020 compared to $366.5 million in the prior year period, or a 118.0% increase. The increase in operating cash flows was primarily due to strong cash collections of our revenue growth, working capital management, and lower cash taxes due to the carryover of research and development credits claimed in fiscal 2020. Lower cash disbursements also contributed to third quarter performance, driven by cost management and lower expenses primarily attributable to COVID-19.</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Investing Cash Flow</w:t>
      </w:r>
    </w:p>
    <w:p>
      <w:pPr>
        <w:spacing w:after="0" w:line="29" w:lineRule="exact"/>
        <w:rPr>
          <w:sz w:val="20"/>
          <w:szCs w:val="20"/>
          <w:color w:val="auto"/>
        </w:rPr>
      </w:pPr>
    </w:p>
    <w:p>
      <w:pPr>
        <w:ind w:right="40" w:firstLine="405"/>
        <w:spacing w:after="0" w:line="237" w:lineRule="auto"/>
        <w:rPr>
          <w:sz w:val="20"/>
          <w:szCs w:val="20"/>
          <w:color w:val="auto"/>
        </w:rPr>
      </w:pPr>
      <w:r>
        <w:rPr>
          <w:rFonts w:ascii="Times New Roman" w:cs="Times New Roman" w:eastAsia="Times New Roman" w:hAnsi="Times New Roman"/>
          <w:sz w:val="18"/>
          <w:szCs w:val="18"/>
          <w:color w:val="auto"/>
        </w:rPr>
        <w:t>Net cash used in investing activities was $122.9 million in the nine months ended December 31, 2020 compared to $90.7 million in the prior year period, or a 35.4% increase. The increase in net cash used in investing activities was due to a $72.2 million strategic minority investment made by the Company during the three months ended December 31, 2020. This was partially offset by a decrease in capital expenditures over the prior period as well as proceeds from the sale of certain Company assets. The decrease in capital expenditures reflects a shift away from facilities investment towards technology and tools needed to support the virtual work environment. Additionally, we continue to modernize our corporate information technology infrastructure and are in the rigorous testing phase prior to the implementation of a new financial management system.</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Financing Cash Flow</w:t>
      </w:r>
    </w:p>
    <w:p>
      <w:pPr>
        <w:spacing w:after="0" w:line="11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$76.7 million in the nine months ended December 31, 2020 compared to $137.1 million in net cash provided by financing activities in the prior year period. The increase in net cash used in financing activities was primarily due to the following:</w:t>
      </w:r>
    </w:p>
    <w:p>
      <w:pPr>
        <w:spacing w:after="0" w:line="5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share repurchases of $106.2 million as compared to the prior year period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dividends paid of $26.9 million as compared to the prior year period</w:t>
      </w:r>
    </w:p>
    <w:p>
      <w:pPr>
        <w:spacing w:after="0" w:line="117" w:lineRule="exact"/>
        <w:rPr>
          <w:rFonts w:ascii="Times New Roman" w:cs="Times New Roman" w:eastAsia="Times New Roman" w:hAnsi="Times New Roman"/>
          <w:sz w:val="18"/>
          <w:szCs w:val="18"/>
          <w:color w:val="auto"/>
        </w:rPr>
      </w:pPr>
    </w:p>
    <w:p>
      <w:pPr>
        <w:ind w:right="1000" w:firstLine="332"/>
        <w:spacing w:after="0" w:line="375" w:lineRule="auto"/>
        <w:tabs>
          <w:tab w:leader="none" w:pos="6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$400.0 million from drawing down on our Delayed Draw Facility in the prior year period, not present in the current year The above were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$341.5 million received from the issuance of the Senior Notes during the second quarter of fiscal 2021</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the remaining deferred payment obligation balance of $80.0 million in the prior year period, not present in the current year</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Share Repurchases</w:t>
      </w:r>
    </w:p>
    <w:p>
      <w:pPr>
        <w:spacing w:after="0" w:line="121"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On January 29, 2021, the Company announced a regular quarterly cash dividend in the amount of $0.37 per share. The quarterly dividend is payable on March 2, 2021 to stockholders of record on February 12, 2021.</w:t>
      </w:r>
    </w:p>
    <w:p>
      <w:pPr>
        <w:spacing w:after="0" w:line="54"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December 31, 2020, quarterly dividends of $0.31 and $0.93 per share, respectively, were declared and paid totaling $43.0 million and $129.9 million, respectively. During the three and nine months ended December 31, 2019, quarterly dividends of $0.27 and $0.73 per share, respectively, were declared and paid totaling $38.1 million and $102.9 million, respectively.</w:t>
      </w:r>
    </w:p>
    <w:p>
      <w:pPr>
        <w:spacing w:after="0" w:line="68" w:lineRule="exact"/>
        <w:rPr>
          <w:sz w:val="20"/>
          <w:szCs w:val="20"/>
          <w:color w:val="auto"/>
        </w:rPr>
      </w:pPr>
    </w:p>
    <w:p>
      <w:pPr>
        <w:ind w:right="40" w:firstLine="405"/>
        <w:spacing w:after="0"/>
        <w:rPr>
          <w:sz w:val="20"/>
          <w:szCs w:val="20"/>
          <w:color w:val="auto"/>
        </w:rPr>
      </w:pPr>
      <w:r>
        <w:rPr>
          <w:rFonts w:ascii="Times New Roman" w:cs="Times New Roman" w:eastAsia="Times New Roman" w:hAnsi="Times New Roman"/>
          <w:sz w:val="18"/>
          <w:szCs w:val="18"/>
          <w:color w:val="auto"/>
        </w:rPr>
        <w:t>On December 12, 2011, the Board of Directors approved a $30.0 million share repurchase program, which was further increased by the Board of Directors on (i) January 27, 2015 to $180.0 million, (ii) January 25, 2017 to $410.0 million, (iii) November 2, 2017 to $610.0 million, (iv) May 24, 2018 to $910.0 million, and (v) May 23, 2019 to $1,310.0 million. On January 27, 2021, the Board of Directors approved an additional increase to our share repurchase authorization of $400.0 million to $1,710.0 million. The Company may repurchase shares pursuant to the program by means of open market repurchases, directly negotiated repurchases or through agents acting pursuant to negotiated repurchase agreements. During fiscal 2021, the Company purchased 1.6 million shares of the Company's Class A Common Stock for an aggregate of $123.4 million. As of January 27, 2021, giving effect to the increase in the share repurchase authorization, the Company had approximately 746500000 of remaining capacity under its repurchase program.</w:t>
      </w:r>
    </w:p>
    <w:p>
      <w:pPr>
        <w:spacing w:after="0" w:line="77"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On November 26, 2019 (the "Amendment Effective Date"), Booz Allen Hamilton Inc. ("Booz Allen Hamilton") and Booz Allen Hamilton Investor Corporation ("Investor"), and certain wholly-owned subsidiaries of Booz Allen Hamilton, entered into the Seventh Amendment (the “Seventh Amendment”) to the Credit Agreement, dated as of July 31, 2012, as amended (the “Credit Agreement”) with certain institutional lenders, and Bank of America, N.A., as Administrative and Collateral Agents. The Seventh Amendment reduced the applicable margin applicable to the Term Loan B ("Term Loan B" and, together with the Term Loan A, the "Term Loans") from 2.00% to 1.75% for LIBOR loans and from 1.00% to 0.75% for base rate loans and extended the maturity of the Term Loan B to November 26, 2026. The applicable margin and maturity date applicable to the Term Loan A (the "Term Loan A") remained unchanged.</w:t>
      </w:r>
    </w:p>
    <w:p>
      <w:pPr>
        <w:spacing w:after="0" w:line="81"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Prior to the Seventh Amendment, approximately $389.0 million was outstanding under Term Loan B. Pursuant to the Seventh Amendment, certain lenders converted their existing Term Loan B loans into a new tranche of Term Loan B loans in an aggregate amount, along with Term Loan B loans advanced by certain new lenders, of approximately $389.0 million (the “New Refinancing Tranche B Term Loans”). The proceeds from the new lenders were used to prepay in full all of the existing Term Loan B loans that were not converted into the new Term Loan B tranche. Voluntary prepayments of the New Refinancing Tranche B Term Loans are permitted at any time, in minimum principal amounts, without premium or penalty. The other terms of the New Refinancing Tranche B Term Loans are generally the same as the existing Term Loan B prior to the Seventh Amendment.</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As of December 31, 2020, the Credit Agreement provided Booz Allen Hamilton with a $1,308.3 million Term Loan A, a $385.2 million Term Loan B, and $500.0 million in New Revolving Commitments with a sub-limit for letters of credit of $100.0 million (collectively, the "Secured Credit Facility"). As of December 31, 2020, the maturity date of Term Loan A and the termination date for the Revolving Credit Facility was July 23, 2023 and the maturity date of Term Loan B was November 26, 2026.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8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right="20" w:firstLine="8"/>
        <w:spacing w:after="0" w:line="25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1.75% for LIBOR loans and 0.75% for base rate loans. Unused commitments under the Revolving Credit Facility are subject to a quarterly fee ranging from 0.20% to 0.35% based on Booz Allen Hamilton’s consolidated total net leverage ratio.</w:t>
      </w:r>
    </w:p>
    <w:p>
      <w:pPr>
        <w:spacing w:after="0" w:line="8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Booz Allen Hamilton occasionally borrows under the Revolving Credit Facility in anticipation of cash demands. During the first, second and third quarters of fiscal 2021 and 2020, Booz Allen Hamilton accessed no amounts of its $500.0 million Revolving Credit Facility. As of March 31, 2020, $100.0 million was outstanding on the Revolving Credit Facility which was repaid in June 2020. As of December 31, 2020, no amounts were outstanding on the Revolving Credit Facility.</w:t>
      </w:r>
    </w:p>
    <w:p>
      <w:pPr>
        <w:spacing w:after="0" w:line="72"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5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Booz Allen Hamilton also has agreed to pay customary letter of credit and agency fees. As of December 31, 2020 and March 31, 2020, Booz Allen Hamilton was contingently liable under open standby letters of credit and bank guarantees issued by its banks in favor of third parties that totaled $10.3 million and $9.7 million, respectively. These letters of credit and bank guarantees primarily support insurance and bid and performance obligations. For both December 31, 2020 and March 31, 2020, approximately $0.9 million, of these instruments reduced the available borrowings under the Revolving Credit Facility. The remainder is guaranteed under a separate $20.0 million facility of which $10.5 million and $6.2 million, respectively, was available to Booz Allen Hamilton at December 31, 2020 and March 31, 2020. As of December 31, 2020, Booz Allen Hamilton had $499.0 million of capacity available for additional borrowings under the Revolving Credit Facility.</w:t>
      </w:r>
    </w:p>
    <w:p>
      <w:pPr>
        <w:spacing w:after="0" w:line="81" w:lineRule="exact"/>
        <w:rPr>
          <w:sz w:val="20"/>
          <w:szCs w:val="20"/>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spacing w:after="0" w:line="1"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(vi) transactions with affiliates; (vii) change in fiscal periods; (viii) negative pledges; (ix) restrictive agreements; (x) line of business; and</w:t>
      </w:r>
    </w:p>
    <w:p>
      <w:pPr>
        <w:spacing w:after="0" w:line="9" w:lineRule="exact"/>
        <w:rPr>
          <w:rFonts w:ascii="Times New Roman" w:cs="Times New Roman" w:eastAsia="Times New Roman" w:hAnsi="Times New Roman"/>
          <w:sz w:val="18"/>
          <w:szCs w:val="18"/>
          <w:color w:val="auto"/>
        </w:rPr>
      </w:pPr>
    </w:p>
    <w:p>
      <w:pPr>
        <w:ind w:right="120" w:firstLine="8"/>
        <w:spacing w:after="0" w:line="265" w:lineRule="auto"/>
        <w:tabs>
          <w:tab w:leader="none" w:pos="30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w:t>
      </w:r>
    </w:p>
    <w:p>
      <w:pPr>
        <w:ind w:right="1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Booz Allen Hamilton is required to meet certain financial covenants at each quarter end, namely Consolidated Net Total Leverage and Consolidated Net Interest Coverage Ratios. As of December 31, 2020 and March 31, 2020, we were compliant with these covenants.</w:t>
      </w:r>
    </w:p>
    <w:p>
      <w:pPr>
        <w:spacing w:after="0" w:line="81"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2020 and 2019, interest payments of $5.6 million and $12.0 million were made for Term Loan A and $1.9 million and $3.7 million were made for Term Loan B, respectively. For the nine months ended December 31, 2020 and 2019, interest payments of $18.3 million and $39.2 million were made for Term Loan A and $6.0 million and $12.5 million were made for Term Loan B, respectively.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August 24, 2020, Booz Allen Hamilton issued $700 million aggregate principal amount of its 3.875% Senior Notes due 2028 (the “Senior Notes”) under an Indenture, dated as of August 24, 2020, among Booz Allen Hamilton, certain subsidiaries of Booz Allen Hamilton, as guarantors (the “Subsidiary Guarantors”), and Wilmington Trust, National Association as trustee (the “Trustee”), as supplemented by the First Supplemental Indenture, dated as of August 24, 2020, among Booz Allen Hamilton, the Subsidiary Guarantors and the Trustee. A portion of the net proceeds from the sale of the Senior Notes was used to redeem in full $350 million aggregate principal amount of the outstanding 2017 Senior Notes at a redemption price of 102.56% of the principal amount thereof, plus accrued and unpaid interest thereon to (but excluding) the redemption date, and to pay all fees and expenses related to the foregoing. Booz Allen Hamilton intends to use the remaining net proceeds from the sale of the Senior Notes for working capital and other general corporate purposes. (See Note 8 in our condensed consolidated financial statements).</w:t>
      </w:r>
    </w:p>
    <w:p>
      <w:pPr>
        <w:spacing w:after="0" w:line="8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Borrowings under the Term Loans and, if used, the Revolving Credit Facility, incur interest at a variable rate. In accordance with Booz Allen Hamilton's risk management strategy, Booz Allen Hamilton executed a series of interest rate swaps. As of December 31, 2020, Booz Allen Hamilton had interest rate swaps with an aggregate notional amount of $1.0 billion. These instruments hedge the variability of cash outflows for interest payments on the floating portion of the Company's debt. The Company's objectives in using cash flow hedges are to reduce volatility due to interest rate movements and to add stability to interest expense (See Note 9 to our condensed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and Resources</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stockholders’ equity amounted to $1,073.3 million as of December 31, 2020, an increase of $216.9 million compared to stockholders’ equity of $856.4 million as of March 31, 2020. The increase was primarily due to net income of $409.8 million for the nine months ended December 31, 2020, stock-based compensation expense of $41.0 million, and issuance of common stock of $13.4 million, partially offset by $129.9 million in quarterly dividend payments and $132.6 million in treasury stock resulting from the repurchase of shares of our Class A Common Stock during the nine months ended December 31, 2020.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2020, we did not have any material off-balance sheet arrangements.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the nine months ended December 31, 2020 and 2019 were $54.0 million and $90.7 million, respectively. The decrease in capital expenditures reflects a shift away from facilities investment towards technology and tools needed to support the virtual work environment. Additionally, we continue to modernize our corporate information technology infrastructure and are in the rigorous testing phase prior to the implementation of a new financial management system. We believe we are on track for a successful implementation in the next fiscal year, which will support the Company's growth into the future. Given the uncertainty surrounding the COVID-19 outbreak, we may adjust our capital expenditures in fiscal 2021 to support our business operations as we further develop our long term strategy on a safe return to work.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are subject to a number of reviews, investigations, claims, lawsuits, and other uncertainties related to our business. For a discussion of these items, refer to Note 18 to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121"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84" w:lineRule="exact"/>
        <w:rPr>
          <w:sz w:val="20"/>
          <w:szCs w:val="20"/>
          <w:color w:val="auto"/>
        </w:rPr>
      </w:pPr>
    </w:p>
    <w:p>
      <w:pPr>
        <w:ind w:left="660" w:right="50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180" w:hanging="328"/>
        <w:spacing w:after="0" w:line="250" w:lineRule="auto"/>
        <w:tabs>
          <w:tab w:leader="none" w:pos="655" w:val="left"/>
        </w:tabs>
        <w:numPr>
          <w:ilvl w:val="0"/>
          <w:numId w:val="34"/>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the U.S. presidential election;</w:t>
      </w:r>
    </w:p>
    <w:p>
      <w:pPr>
        <w:spacing w:after="0" w:line="6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Congress and other U.S. government bodies to reduce U.S. government spending and address budgetary constraints and the U.S. deficit, as well as associated uncertainty around the timing, extent, nature and effect of such efforts;</w:t>
      </w:r>
    </w:p>
    <w:p>
      <w:pPr>
        <w:spacing w:after="0" w:line="5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funding of our contracts due to uncertainty relating to funding of the U.S. government and a possible failure of Congressional efforts to approve such funding and to craft a long-term agreement on the U.S. government’s ability to incur indebtedness in excess of its current limits, or changes in the pattern or timing of government funding and spending;</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shutdowns, as a result of the failure by elected officials to fund the government;</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5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outbreak, and other pandemics or widespread health epidemics, including disruptions to our workforce and the impact on government spending and demand for our solutions;</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the competitive bidding process and delays or losses of contract awards caused by competitors' protests of major contract awards received by us;</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purchasing patterns under U.S. government GSA schedules, blanket purchase agreements and indefinite delivery, indefinite quantity, or IDIQ contracts;</w:t>
      </w:r>
    </w:p>
    <w:p>
      <w:pPr>
        <w:spacing w:after="0" w:line="53"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General Services Administration Multiple Award schedule contracts, or GSA schedules, or our position as prime contractor on government-wide acquisition contract vehicles, or GWACs;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our contracts and our ability to accurately estimate or otherwise recover expenses, time, and resources for our contracts;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used in recognizing revenue;</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full value of and replenish our backlog, generate revenue under certain of our contracts, and the timing of our receipt of revenue under contracts included in backlog;</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system or service failures and security breaches, including, but not limited to, those resulting from external or internal cyber attacks on our network and internal systems;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potential implementation and operation of new financial management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train, or retain employees with the requisite skills and experience;</w:t>
      </w:r>
    </w:p>
    <w:p>
      <w:pPr>
        <w:spacing w:after="0" w:line="11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timely hire, assimilate and effectively utilize our employees, ensure that employees obtain and maintain necessary security clearances and/or effectively manage our cost structure;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members of senior management or failure to develop new leaders;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 or other improper activities from our employees or subcontractors, including the improper use or release of our clients' sensitive or classified information;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companies in our industry;</w:t>
      </w:r>
    </w:p>
    <w:p>
      <w:pPr>
        <w:spacing w:after="0" w:line="11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53"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special U.S. government laws and regulations relating to our international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increased competition, new relationships, clients, capabilities, and service offerings in our U.S. and international businesses;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48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to our operating structure, capabilities, or strategy intended to address client needs, grow our business or respond to market developments;</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by the U.S. government of new laws, rules, and regulations, such as those relating to organizational conflicts of interest issues or limits;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completed and future acquisitions, including our ability to realize the expected benefits from such acquisitions;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tax liabilities, including as a result of changes in tax laws or management judgments involving complex tax matters;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the government contracting environment;</w:t>
      </w:r>
    </w:p>
    <w:p>
      <w:pPr>
        <w:spacing w:after="0" w:line="11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efforts to change how the U.S. government reimburses compensation related costs and other expenses or otherwise limit such reimbursements and an increased risk of compensation being deemed unreasonable and unallowable or payments being withheld as a result of U.S. government audit, review, or investigation;</w:t>
      </w:r>
    </w:p>
    <w:p>
      <w:pPr>
        <w:spacing w:after="0" w:line="6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addressable markets and the amount of U.S. government spending on private contractors;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 and credit facilities which contain financial and operating covenants;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listed under “Item 1A. Risk Factors” and elsewhere in this Quarterly Report.</w:t>
      </w:r>
    </w:p>
    <w:p>
      <w:pPr>
        <w:spacing w:after="0" w:line="117"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2020 filed with the Securities and Exchange Commission on May 26, 2020.</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2020 and March 31, 2020, there were no material amounts accrued in the condensed consolidated financial statements related to these proceedings.</w:t>
      </w:r>
    </w:p>
    <w:p>
      <w:pPr>
        <w:spacing w:after="0" w:line="82"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86" w:lineRule="exact"/>
        <w:rPr>
          <w:sz w:val="20"/>
          <w:szCs w:val="20"/>
          <w:color w:val="auto"/>
        </w:rPr>
      </w:pPr>
    </w:p>
    <w:p>
      <w:pPr>
        <w:ind w:firstLine="405"/>
        <w:spacing w:after="0" w:line="271" w:lineRule="auto"/>
        <w:rPr>
          <w:sz w:val="20"/>
          <w:szCs w:val="20"/>
          <w:color w:val="auto"/>
        </w:rPr>
      </w:pPr>
      <w:r>
        <w:rPr>
          <w:rFonts w:ascii="Times New Roman" w:cs="Times New Roman" w:eastAsia="Times New Roman" w:hAnsi="Times New Roman"/>
          <w:sz w:val="17"/>
          <w:szCs w:val="17"/>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65"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and November 23, 2020,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on Form 10-Q to the risk factors disclosed in Part I, Item 1A, of our Annual Report on Form 10-K for the fiscal year ended March 31, 2020 filed with the Securities and Exchange Commission on May 26, 2020.</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share repurchase activity during the three months ended December 31,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4"/>
                <w:szCs w:val="14"/>
                <w:color w:val="auto"/>
              </w:rPr>
            </w:pPr>
          </w:p>
        </w:tc>
        <w:tc>
          <w:tcPr>
            <w:tcW w:w="1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8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 May</w:t>
            </w:r>
          </w:p>
        </w:tc>
        <w:tc>
          <w:tcPr>
            <w:tcW w:w="0" w:type="dxa"/>
            <w:vAlign w:val="bottom"/>
          </w:tcPr>
          <w:p>
            <w:pPr>
              <w:spacing w:after="0"/>
              <w:rPr>
                <w:sz w:val="1"/>
                <w:szCs w:val="1"/>
                <w:color w:val="auto"/>
              </w:rPr>
            </w:pPr>
          </w:p>
        </w:tc>
      </w:tr>
      <w:tr>
        <w:trPr>
          <w:trHeight w:val="162"/>
        </w:trPr>
        <w:tc>
          <w:tcPr>
            <w:tcW w:w="372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8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214"/>
        </w:trPr>
        <w:tc>
          <w:tcPr>
            <w:tcW w:w="3720" w:type="dxa"/>
            <w:vAlign w:val="bottom"/>
            <w:gridSpan w:val="2"/>
            <w:vMerge w:val="continue"/>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00" w:type="dxa"/>
            <w:vAlign w:val="bottom"/>
          </w:tcPr>
          <w:p>
            <w:pPr>
              <w:spacing w:after="0"/>
              <w:rPr>
                <w:sz w:val="18"/>
                <w:szCs w:val="18"/>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 Plans or Programs (1)</w:t>
            </w:r>
          </w:p>
        </w:tc>
        <w:tc>
          <w:tcPr>
            <w:tcW w:w="0" w:type="dxa"/>
            <w:vAlign w:val="bottom"/>
          </w:tcPr>
          <w:p>
            <w:pPr>
              <w:spacing w:after="0"/>
              <w:rPr>
                <w:sz w:val="1"/>
                <w:szCs w:val="1"/>
                <w:color w:val="auto"/>
              </w:rPr>
            </w:pPr>
          </w:p>
        </w:tc>
      </w:tr>
      <w:tr>
        <w:trPr>
          <w:trHeight w:val="225"/>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151,708</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151,708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376,554,700</w:t>
            </w: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1,176</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$79.84</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1,176</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376,460,802</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2020</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169,681</w:t>
            </w:r>
          </w:p>
        </w:tc>
        <w:tc>
          <w:tcPr>
            <w:tcW w:w="1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169,681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361,460,814</w:t>
            </w:r>
          </w:p>
        </w:tc>
        <w:tc>
          <w:tcPr>
            <w:tcW w:w="0" w:type="dxa"/>
            <w:vAlign w:val="bottom"/>
          </w:tcPr>
          <w:p>
            <w:pPr>
              <w:spacing w:after="0"/>
              <w:rPr>
                <w:sz w:val="1"/>
                <w:szCs w:val="1"/>
                <w:color w:val="auto"/>
              </w:rPr>
            </w:pPr>
          </w:p>
        </w:tc>
      </w:tr>
      <w:tr>
        <w:trPr>
          <w:trHeight w:val="223"/>
        </w:trPr>
        <w:tc>
          <w:tcPr>
            <w:tcW w:w="37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322,565</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322,565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40" w:hanging="652"/>
        <w:spacing w:after="0" w:line="241"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2011, the Board of Directors approved a $30.0 million share repurchase program, which was further increased by the Board of Directors on (i) January 27, 2015 to $180.0 million, (ii) January 25, 2017 to $410.0 million, (iii) November 2, 2017 to $610.0 million, (iv) May 24, 2018 to $910.0 million, and (v) May 23, 2019 to $1,310.0 million. On January 27, 2021, the Board of Directors approved an additional increase to our share repurchase authorization of $400.0 million to $1,710.0 million.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39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31"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On January 27, 2021, the Board of Directors amended and restated the Company’s bylaws (the “Bylaws”) to change the voting standard for any amendments to the Bylaws from a vote of 2/3 of the votes entitled to vote at any annual or special meeting of the Company’s shareholders to a majority of the Company’s outstanding voting shares. The foregoing description of the Bylaws does not purport to be complete and is qualified in its entirety by reference to the full text of the Bylaws, a copy of which is filed as Exhibit 3.2 to this Quarterly Report on Form 10-Q and is incorporated herein by reference.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200" w:type="dxa"/>
            <w:vAlign w:val="bottom"/>
          </w:tcPr>
          <w:p>
            <w:pPr>
              <w:spacing w:after="0"/>
              <w:rPr>
                <w:sz w:val="23"/>
                <w:szCs w:val="23"/>
                <w:color w:val="auto"/>
              </w:rPr>
            </w:pPr>
          </w:p>
        </w:tc>
        <w:tc>
          <w:tcPr>
            <w:tcW w:w="101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3"/>
                <w:szCs w:val="13"/>
                <w:color w:val="auto"/>
                <w:w w:val="93"/>
              </w:rPr>
              <w:t>Number</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1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5"/>
          </w:tcPr>
          <w:p>
            <w:pPr>
              <w:ind w:left="2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Fifth Amended and Restated Bylaws of Booz Allen Hamilton Holding Corporation*</w:t>
              </w:r>
            </w:hyperlink>
          </w:p>
        </w:tc>
        <w:tc>
          <w:tcPr>
            <w:tcW w:w="0" w:type="dxa"/>
            <w:vAlign w:val="bottom"/>
          </w:tcPr>
          <w:p>
            <w:pPr>
              <w:spacing w:after="0"/>
              <w:rPr>
                <w:sz w:val="1"/>
                <w:szCs w:val="1"/>
                <w:color w:val="auto"/>
              </w:rPr>
            </w:pPr>
          </w:p>
        </w:tc>
      </w:tr>
      <w:tr>
        <w:trPr>
          <w:trHeight w:val="283"/>
        </w:trPr>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5"/>
          </w:tcPr>
          <w:p>
            <w:pPr>
              <w:ind w:left="20"/>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Rule 13a-14(a)/15d-14(a) Certification of the Chief Executive Officer*</w:t>
              </w:r>
            </w:hyperlink>
          </w:p>
        </w:tc>
        <w:tc>
          <w:tcPr>
            <w:tcW w:w="0" w:type="dxa"/>
            <w:vAlign w:val="bottom"/>
          </w:tcPr>
          <w:p>
            <w:pPr>
              <w:spacing w:after="0"/>
              <w:rPr>
                <w:sz w:val="1"/>
                <w:szCs w:val="1"/>
                <w:color w:val="auto"/>
              </w:rPr>
            </w:pPr>
          </w:p>
        </w:tc>
      </w:tr>
      <w:tr>
        <w:trPr>
          <w:trHeight w:val="283"/>
        </w:trPr>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5"/>
          </w:tcPr>
          <w:p>
            <w:pPr>
              <w:ind w:left="20"/>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Rule 13a-14(a)/15d-14(a) Certification of the Chief Financial Officer*</w:t>
              </w:r>
            </w:hyperlink>
          </w:p>
        </w:tc>
        <w:tc>
          <w:tcPr>
            <w:tcW w:w="0" w:type="dxa"/>
            <w:vAlign w:val="bottom"/>
          </w:tcPr>
          <w:p>
            <w:pPr>
              <w:spacing w:after="0"/>
              <w:rPr>
                <w:sz w:val="1"/>
                <w:szCs w:val="1"/>
                <w:color w:val="auto"/>
              </w:rPr>
            </w:pPr>
          </w:p>
        </w:tc>
      </w:tr>
      <w:tr>
        <w:trPr>
          <w:trHeight w:val="243"/>
        </w:trPr>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100" w:type="dxa"/>
            <w:vAlign w:val="bottom"/>
            <w:gridSpan w:val="5"/>
          </w:tcPr>
          <w:p>
            <w:pPr>
              <w:ind w:left="20"/>
              <w:spacing w:after="0"/>
              <w:rPr>
                <w:rFonts w:ascii="Times New Roman" w:cs="Times New Roman" w:eastAsia="Times New Roman" w:hAnsi="Times New Roman"/>
                <w:sz w:val="18"/>
                <w:szCs w:val="18"/>
                <w:color w:val="0000FF"/>
                <w:w w:val="99"/>
              </w:rPr>
            </w:pPr>
            <w:hyperlink w:anchor="page84">
              <w:r>
                <w:rPr>
                  <w:rFonts w:ascii="Times New Roman" w:cs="Times New Roman" w:eastAsia="Times New Roman" w:hAnsi="Times New Roman"/>
                  <w:sz w:val="18"/>
                  <w:szCs w:val="18"/>
                  <w:color w:val="0000FF"/>
                  <w:w w:val="99"/>
                </w:rPr>
                <w:t>Certification of the Chief Executive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80" w:type="dxa"/>
            <w:vAlign w:val="bottom"/>
            <w:tcBorders>
              <w:top w:val="single" w:sz="8" w:color="0000FF"/>
            </w:tcBorders>
            <w:gridSpan w:val="4"/>
          </w:tcPr>
          <w:p>
            <w:pPr>
              <w:ind w:left="20"/>
              <w:spacing w:after="0" w:line="156" w:lineRule="exact"/>
              <w:rPr>
                <w:rFonts w:ascii="Times New Roman" w:cs="Times New Roman" w:eastAsia="Times New Roman" w:hAnsi="Times New Roman"/>
                <w:sz w:val="18"/>
                <w:szCs w:val="18"/>
                <w:color w:val="0000FF"/>
              </w:rPr>
            </w:pPr>
            <w:hyperlink w:anchor="page84">
              <w:r>
                <w:rPr>
                  <w:rFonts w:ascii="Times New Roman" w:cs="Times New Roman" w:eastAsia="Times New Roman" w:hAnsi="Times New Roman"/>
                  <w:sz w:val="18"/>
                  <w:szCs w:val="18"/>
                  <w:color w:val="0000FF"/>
                </w:rPr>
                <w:t>United States Code (18 U.S.C. 1350)*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100" w:type="dxa"/>
            <w:vAlign w:val="bottom"/>
            <w:gridSpan w:val="5"/>
          </w:tcPr>
          <w:p>
            <w:pPr>
              <w:ind w:left="20"/>
              <w:spacing w:after="0"/>
              <w:rPr>
                <w:rFonts w:ascii="Times New Roman" w:cs="Times New Roman" w:eastAsia="Times New Roman" w:hAnsi="Times New Roman"/>
                <w:sz w:val="18"/>
                <w:szCs w:val="18"/>
                <w:color w:val="0000FF"/>
              </w:rPr>
            </w:pPr>
            <w:hyperlink w:anchor="page85">
              <w:r>
                <w:rPr>
                  <w:rFonts w:ascii="Times New Roman" w:cs="Times New Roman" w:eastAsia="Times New Roman" w:hAnsi="Times New Roman"/>
                  <w:sz w:val="18"/>
                  <w:szCs w:val="18"/>
                  <w:color w:val="0000FF"/>
                </w:rPr>
                <w:t>Certification of the Chief Financial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40" w:type="dxa"/>
            <w:vAlign w:val="bottom"/>
            <w:tcBorders>
              <w:top w:val="single" w:sz="8" w:color="0000FF"/>
            </w:tcBorders>
            <w:gridSpan w:val="3"/>
          </w:tcPr>
          <w:p>
            <w:pPr>
              <w:ind w:left="20"/>
              <w:spacing w:after="0" w:line="156" w:lineRule="exact"/>
              <w:rPr>
                <w:rFonts w:ascii="Times New Roman" w:cs="Times New Roman" w:eastAsia="Times New Roman" w:hAnsi="Times New Roman"/>
                <w:sz w:val="18"/>
                <w:szCs w:val="18"/>
                <w:color w:val="0000FF"/>
              </w:rPr>
            </w:pPr>
            <w:hyperlink w:anchor="page85">
              <w:r>
                <w:rPr>
                  <w:rFonts w:ascii="Times New Roman" w:cs="Times New Roman" w:eastAsia="Times New Roman" w:hAnsi="Times New Roman"/>
                  <w:sz w:val="18"/>
                  <w:szCs w:val="18"/>
                  <w:color w:val="0000FF"/>
                </w:rPr>
                <w:t>United States Code (18 U.S.C. 1350)*</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900" w:hanging="874"/>
        <w:spacing w:after="0" w:line="214"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Booz Allen Hamilton Holding Corporation’s Quarterly Report on Form 10-Q for the three and nine months ended December 31, 2020 formatted in Inline XBRL (eXtensible Business Reporting Language): (i) Condensed Consolidated Balance Sheets at December 31, 2020 and March 31, 2020; (ii) Condensed Consolidated Statements of Operations for the three and nine months ended December 31, 2020 and 2019; (iii) Condensed Consolidated Statements of Comprehensive Income for the three and nine months ended December 31, 2020 and 2019; (iv) Condensed Consolidated Statements of Cash Flows for the nine months ended December 31, 2020 and 2019; and (v) Notes to Condensed Consolidated Financial Statements.</w:t>
      </w:r>
    </w:p>
    <w:p>
      <w:pPr>
        <w:spacing w:after="0" w:line="54" w:lineRule="exact"/>
        <w:rPr>
          <w:sz w:val="20"/>
          <w:szCs w:val="20"/>
          <w:color w:val="auto"/>
        </w:rPr>
      </w:pPr>
    </w:p>
    <w:p>
      <w:pPr>
        <w:ind w:left="900" w:hanging="874"/>
        <w:spacing w:after="0"/>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9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w:t>
      </w:r>
    </w:p>
    <w:p>
      <w:pPr>
        <w:spacing w:after="0" w:line="6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81"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u w:val="single" w:color="auto"/>
          <w:color w:val="auto"/>
        </w:rPr>
        <w:t>Booz Allen Hamilton Holding Corporation</w:t>
      </w:r>
    </w:p>
    <w:p>
      <w:pPr>
        <w:spacing w:after="0" w:line="27"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4780" w:val="left"/>
          <w:tab w:leader="none" w:pos="5240" w:val="left"/>
        </w:tabs>
        <w:rPr>
          <w:sz w:val="20"/>
          <w:szCs w:val="20"/>
          <w:color w:val="auto"/>
        </w:rPr>
      </w:pPr>
      <w:r>
        <w:rPr>
          <w:rFonts w:ascii="Times New Roman" w:cs="Times New Roman" w:eastAsia="Times New Roman" w:hAnsi="Times New Roman"/>
          <w:sz w:val="18"/>
          <w:szCs w:val="18"/>
          <w:color w:val="auto"/>
        </w:rPr>
        <w:t>Date: January 29,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17145</wp:posOffset>
            </wp:positionV>
            <wp:extent cx="37890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Lloyd W. Howell, Jr.</w:t>
      </w:r>
    </w:p>
    <w:p>
      <w:pPr>
        <w:ind w:left="5260"/>
        <w:spacing w:after="0" w:line="203" w:lineRule="auto"/>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ind w:left="52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40"/>
          </w:cols>
          <w:pgMar w:left="320" w:top="121" w:right="8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69862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1400810</wp:posOffset>
            </wp:positionV>
            <wp:extent cx="69862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BOOZ ALLEN HAMILTON HOLDING CORPORATION</w:t>
      </w:r>
    </w:p>
    <w:p>
      <w:pPr>
        <w:sectPr>
          <w:pgSz w:w="11900" w:h="16838" w:orient="portrait"/>
          <w:cols w:equalWidth="0" w:num="1">
            <w:col w:w="9019"/>
          </w:cols>
          <w:pgMar w:left="1440" w:top="1440"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FIFTH AMENDED AND RESTATED BYLAWS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As Adopted on January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233680</wp:posOffset>
            </wp:positionV>
            <wp:extent cx="69862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259715</wp:posOffset>
            </wp:positionV>
            <wp:extent cx="69862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Article I MEETINGS OF STOCKHOLDERS</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w:t>
              </w:r>
            </w:hyperlink>
          </w:p>
        </w:tc>
      </w:tr>
      <w:tr>
        <w:trPr>
          <w:trHeight w:val="474"/>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1.01 Annual Meetings</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w:t>
              </w:r>
            </w:hyperlink>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7"/>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1.02 Special Meetings</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w:t>
              </w:r>
            </w:hyperlink>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7"/>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1.03 Participation in Meetings by Remote Communication</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w:t>
              </w:r>
            </w:hyperlink>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6"/>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1.04 Notice of Meetings; Waiver of Notice</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w:t>
              </w:r>
            </w:hyperlink>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7"/>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1.05 Proxies</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w:t>
              </w:r>
            </w:hyperlink>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7"/>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1.06 Voting Lists</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w:t>
              </w:r>
            </w:hyperlink>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6"/>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1.07 Quorum</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3</w:t>
              </w:r>
            </w:hyperlink>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7"/>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1.08 Voting</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3</w:t>
              </w:r>
            </w:hyperlink>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6"/>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1.09 Adjournment</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3</w:t>
              </w:r>
            </w:hyperlink>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7"/>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1.10 Organization; Procedure; Inspection of Elections</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4</w:t>
              </w:r>
            </w:hyperlink>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6"/>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1.11 Stockholder Action by Written Consent</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4</w:t>
              </w:r>
            </w:hyperlink>
          </w:p>
        </w:tc>
      </w:tr>
      <w:tr>
        <w:trPr>
          <w:trHeight w:val="20"/>
        </w:trPr>
        <w:tc>
          <w:tcPr>
            <w:tcW w:w="1140" w:type="dxa"/>
            <w:vAlign w:val="bottom"/>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940" w:type="dxa"/>
            <w:vAlign w:val="bottom"/>
            <w:tcBorders>
              <w:left w:val="single" w:sz="8" w:color="auto"/>
            </w:tcBorders>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7"/>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1.12 Notice of Stockholder Proposals and Nominations</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5</w:t>
              </w:r>
            </w:hyperlink>
          </w:p>
        </w:tc>
      </w:tr>
      <w:tr>
        <w:trPr>
          <w:trHeight w:val="20"/>
        </w:trPr>
        <w:tc>
          <w:tcPr>
            <w:tcW w:w="116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940" w:type="dxa"/>
            <w:vAlign w:val="bottom"/>
            <w:tcBorders>
              <w:left w:val="single" w:sz="8" w:color="auto"/>
            </w:tcBorders>
            <w:gridSpan w:val="2"/>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59"/>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Article II BOARD OF DIRECTORS</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9</w:t>
              </w:r>
            </w:hyperlink>
          </w:p>
        </w:tc>
      </w:tr>
      <w:tr>
        <w:trPr>
          <w:trHeight w:val="474"/>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2.01 General Powers</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9</w:t>
              </w:r>
            </w:hyperlink>
          </w:p>
        </w:tc>
      </w:tr>
      <w:tr>
        <w:trPr>
          <w:trHeight w:val="20"/>
        </w:trPr>
        <w:tc>
          <w:tcPr>
            <w:tcW w:w="116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6"/>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2.02 Number and Term of Office</w:t>
            </w:r>
          </w:p>
        </w:tc>
        <w:tc>
          <w:tcPr>
            <w:tcW w:w="2520" w:type="dxa"/>
            <w:vAlign w:val="bottom"/>
          </w:tcPr>
          <w:p>
            <w:pPr>
              <w:ind w:left="2300"/>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9</w:t>
              </w:r>
            </w:hyperlink>
          </w:p>
        </w:tc>
      </w:tr>
      <w:tr>
        <w:trPr>
          <w:trHeight w:val="20"/>
        </w:trPr>
        <w:tc>
          <w:tcPr>
            <w:tcW w:w="116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7"/>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2.03 Regular Meetings</w:t>
            </w:r>
          </w:p>
        </w:tc>
        <w:tc>
          <w:tcPr>
            <w:tcW w:w="2520" w:type="dxa"/>
            <w:vAlign w:val="bottom"/>
          </w:tcPr>
          <w:p>
            <w:pPr>
              <w:ind w:left="23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10</w:t>
              </w:r>
            </w:hyperlink>
          </w:p>
        </w:tc>
      </w:tr>
      <w:tr>
        <w:trPr>
          <w:trHeight w:val="20"/>
        </w:trPr>
        <w:tc>
          <w:tcPr>
            <w:tcW w:w="116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6"/>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2.04 Special Meetings</w:t>
            </w:r>
          </w:p>
        </w:tc>
        <w:tc>
          <w:tcPr>
            <w:tcW w:w="2520" w:type="dxa"/>
            <w:vAlign w:val="bottom"/>
          </w:tcPr>
          <w:p>
            <w:pPr>
              <w:ind w:left="23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10</w:t>
              </w:r>
            </w:hyperlink>
          </w:p>
        </w:tc>
      </w:tr>
      <w:tr>
        <w:trPr>
          <w:trHeight w:val="20"/>
        </w:trPr>
        <w:tc>
          <w:tcPr>
            <w:tcW w:w="116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6"/>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2.05 Notice of Meetings; Waiver of Notice</w:t>
            </w:r>
          </w:p>
        </w:tc>
        <w:tc>
          <w:tcPr>
            <w:tcW w:w="2520" w:type="dxa"/>
            <w:vAlign w:val="bottom"/>
          </w:tcPr>
          <w:p>
            <w:pPr>
              <w:ind w:left="23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10</w:t>
              </w:r>
            </w:hyperlink>
          </w:p>
        </w:tc>
      </w:tr>
      <w:tr>
        <w:trPr>
          <w:trHeight w:val="20"/>
        </w:trPr>
        <w:tc>
          <w:tcPr>
            <w:tcW w:w="116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6"/>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2.06 Quorum; Voting</w:t>
            </w:r>
          </w:p>
        </w:tc>
        <w:tc>
          <w:tcPr>
            <w:tcW w:w="2520" w:type="dxa"/>
            <w:vAlign w:val="bottom"/>
          </w:tcPr>
          <w:p>
            <w:pPr>
              <w:ind w:left="23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10</w:t>
              </w:r>
            </w:hyperlink>
          </w:p>
        </w:tc>
      </w:tr>
      <w:tr>
        <w:trPr>
          <w:trHeight w:val="20"/>
        </w:trPr>
        <w:tc>
          <w:tcPr>
            <w:tcW w:w="116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6"/>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2.07 Action by Telephonic Communications</w:t>
            </w:r>
          </w:p>
        </w:tc>
        <w:tc>
          <w:tcPr>
            <w:tcW w:w="2520" w:type="dxa"/>
            <w:vAlign w:val="bottom"/>
          </w:tcPr>
          <w:p>
            <w:pPr>
              <w:ind w:left="23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10</w:t>
              </w:r>
            </w:hyperlink>
          </w:p>
        </w:tc>
      </w:tr>
      <w:tr>
        <w:trPr>
          <w:trHeight w:val="20"/>
        </w:trPr>
        <w:tc>
          <w:tcPr>
            <w:tcW w:w="116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840" w:type="dxa"/>
            <w:vAlign w:val="bottom"/>
            <w:tcBorders>
              <w:left w:val="single" w:sz="8" w:color="auto"/>
            </w:tcBorders>
            <w:gridSpan w:val="6"/>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gridSpan w:val="3"/>
            <w:shd w:val="clear" w:color="auto" w:fill="000000"/>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6"/>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2.08 Adjournment</w:t>
            </w:r>
          </w:p>
        </w:tc>
        <w:tc>
          <w:tcPr>
            <w:tcW w:w="2520" w:type="dxa"/>
            <w:vAlign w:val="bottom"/>
          </w:tcPr>
          <w:p>
            <w:pPr>
              <w:ind w:left="23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10</w:t>
              </w:r>
            </w:hyperlink>
          </w:p>
        </w:tc>
      </w:tr>
      <w:tr>
        <w:trPr>
          <w:trHeight w:val="20"/>
        </w:trPr>
        <w:tc>
          <w:tcPr>
            <w:tcW w:w="116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6"/>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2.09 Action Without a Meeting</w:t>
            </w:r>
          </w:p>
        </w:tc>
        <w:tc>
          <w:tcPr>
            <w:tcW w:w="2520" w:type="dxa"/>
            <w:vAlign w:val="bottom"/>
          </w:tcPr>
          <w:p>
            <w:pPr>
              <w:ind w:left="23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11</w:t>
              </w:r>
            </w:hyperlink>
          </w:p>
        </w:tc>
      </w:tr>
      <w:tr>
        <w:trPr>
          <w:trHeight w:val="20"/>
        </w:trPr>
        <w:tc>
          <w:tcPr>
            <w:tcW w:w="116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840" w:type="dxa"/>
            <w:vAlign w:val="bottom"/>
            <w:tcBorders>
              <w:left w:val="single" w:sz="8" w:color="auto"/>
            </w:tcBorders>
            <w:gridSpan w:val="6"/>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720" w:type="dxa"/>
            <w:vAlign w:val="bottom"/>
            <w:tcBorders>
              <w:left w:val="single" w:sz="8" w:color="auto"/>
            </w:tcBorders>
            <w:gridSpan w:val="7"/>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6"/>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2.10 Regulations</w:t>
            </w:r>
          </w:p>
        </w:tc>
        <w:tc>
          <w:tcPr>
            <w:tcW w:w="2520" w:type="dxa"/>
            <w:vAlign w:val="bottom"/>
          </w:tcPr>
          <w:p>
            <w:pPr>
              <w:ind w:left="23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11</w:t>
              </w:r>
            </w:hyperlink>
          </w:p>
        </w:tc>
      </w:tr>
      <w:tr>
        <w:trPr>
          <w:trHeight w:val="20"/>
        </w:trPr>
        <w:tc>
          <w:tcPr>
            <w:tcW w:w="116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6"/>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2.11 Resignations of Directors</w:t>
            </w:r>
          </w:p>
        </w:tc>
        <w:tc>
          <w:tcPr>
            <w:tcW w:w="2520" w:type="dxa"/>
            <w:vAlign w:val="bottom"/>
          </w:tcPr>
          <w:p>
            <w:pPr>
              <w:ind w:left="23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11</w:t>
              </w:r>
            </w:hyperlink>
          </w:p>
        </w:tc>
      </w:tr>
      <w:tr>
        <w:trPr>
          <w:trHeight w:val="20"/>
        </w:trPr>
        <w:tc>
          <w:tcPr>
            <w:tcW w:w="1140" w:type="dxa"/>
            <w:vAlign w:val="bottom"/>
          </w:tcPr>
          <w:p>
            <w:pPr>
              <w:spacing w:after="0" w:line="20" w:lineRule="exact"/>
              <w:rPr>
                <w:sz w:val="1"/>
                <w:szCs w:val="1"/>
                <w:color w:val="auto"/>
              </w:rPr>
            </w:pPr>
          </w:p>
        </w:tc>
        <w:tc>
          <w:tcPr>
            <w:tcW w:w="1880" w:type="dxa"/>
            <w:vAlign w:val="bottom"/>
            <w:gridSpan w:val="10"/>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6"/>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2.12 Removal of Directors</w:t>
            </w:r>
          </w:p>
        </w:tc>
        <w:tc>
          <w:tcPr>
            <w:tcW w:w="2520" w:type="dxa"/>
            <w:vAlign w:val="bottom"/>
          </w:tcPr>
          <w:p>
            <w:pPr>
              <w:ind w:left="23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11</w:t>
              </w:r>
            </w:hyperlink>
          </w:p>
        </w:tc>
      </w:tr>
      <w:tr>
        <w:trPr>
          <w:trHeight w:val="20"/>
        </w:trPr>
        <w:tc>
          <w:tcPr>
            <w:tcW w:w="1160" w:type="dxa"/>
            <w:vAlign w:val="bottom"/>
            <w:gridSpan w:val="2"/>
          </w:tcPr>
          <w:p>
            <w:pPr>
              <w:spacing w:after="0" w:line="20" w:lineRule="exact"/>
              <w:rPr>
                <w:sz w:val="1"/>
                <w:szCs w:val="1"/>
                <w:color w:val="auto"/>
              </w:rPr>
            </w:pPr>
          </w:p>
        </w:tc>
        <w:tc>
          <w:tcPr>
            <w:tcW w:w="1860" w:type="dxa"/>
            <w:vAlign w:val="bottom"/>
            <w:gridSpan w:val="9"/>
            <w:shd w:val="clear" w:color="auto" w:fill="000000"/>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46"/>
        </w:trPr>
        <w:tc>
          <w:tcPr>
            <w:tcW w:w="80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Section 2 13 Vacancies and Newly Created Directorships</w:t>
            </w:r>
          </w:p>
        </w:tc>
        <w:tc>
          <w:tcPr>
            <w:tcW w:w="2520" w:type="dxa"/>
            <w:vAlign w:val="bottom"/>
          </w:tcPr>
          <w:p>
            <w:pPr>
              <w:ind w:left="2300"/>
              <w:spacing w:after="0"/>
              <w:rPr>
                <w:rFonts w:ascii="Times New Roman" w:cs="Times New Roman" w:eastAsia="Times New Roman" w:hAnsi="Times New Roman"/>
                <w:sz w:val="22"/>
                <w:szCs w:val="22"/>
                <w:color w:val="auto"/>
                <w:w w:val="90"/>
              </w:rPr>
            </w:pPr>
            <w:hyperlink w:anchor="page58">
              <w:r>
                <w:rPr>
                  <w:rFonts w:ascii="Times New Roman" w:cs="Times New Roman" w:eastAsia="Times New Roman" w:hAnsi="Times New Roman"/>
                  <w:sz w:val="22"/>
                  <w:szCs w:val="22"/>
                  <w:color w:val="auto"/>
                  <w:w w:val="90"/>
                </w:rPr>
                <w:t>11</w:t>
              </w:r>
            </w:hyperlink>
          </w:p>
        </w:tc>
      </w:tr>
    </w:tbl>
    <w:p>
      <w:pPr>
        <w:sectPr>
          <w:pgSz w:w="11900" w:h="17038" w:orient="portrait"/>
          <w:cols w:equalWidth="0" w:num="1">
            <w:col w:w="11220"/>
          </w:cols>
          <w:pgMar w:left="340" w:top="1440" w:right="33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60" w:type="dxa"/>
            <w:vAlign w:val="bottom"/>
            <w:gridSpan w:val="10"/>
          </w:tcPr>
          <w:p>
            <w:pPr>
              <w:spacing w:after="0" w:line="221" w:lineRule="exact"/>
              <w:rPr>
                <w:sz w:val="20"/>
                <w:szCs w:val="20"/>
                <w:color w:val="auto"/>
              </w:rPr>
            </w:pPr>
            <w:r>
              <w:rPr>
                <w:rFonts w:ascii="Times New Roman" w:cs="Times New Roman" w:eastAsia="Times New Roman" w:hAnsi="Times New Roman"/>
                <w:sz w:val="22"/>
                <w:szCs w:val="22"/>
                <w:color w:val="auto"/>
              </w:rPr>
              <w:t>Section 2.13 Vacancies and Newly Created Directorships</w:t>
            </w:r>
          </w:p>
        </w:tc>
        <w:tc>
          <w:tcPr>
            <w:tcW w:w="2920" w:type="dxa"/>
            <w:vAlign w:val="bottom"/>
          </w:tcPr>
          <w:p>
            <w:pPr>
              <w:ind w:left="2700"/>
              <w:spacing w:after="0" w:line="221" w:lineRule="exact"/>
              <w:rPr>
                <w:sz w:val="20"/>
                <w:szCs w:val="20"/>
                <w:color w:val="auto"/>
              </w:rPr>
            </w:pPr>
            <w:r>
              <w:rPr>
                <w:rFonts w:ascii="Times New Roman" w:cs="Times New Roman" w:eastAsia="Times New Roman" w:hAnsi="Times New Roman"/>
                <w:sz w:val="22"/>
                <w:szCs w:val="22"/>
                <w:u w:val="single" w:color="auto"/>
                <w:color w:val="auto"/>
                <w:w w:val="90"/>
              </w:rPr>
              <w:t>11</w:t>
            </w:r>
          </w:p>
        </w:tc>
      </w:tr>
      <w:tr>
        <w:trPr>
          <w:trHeight w:val="20"/>
        </w:trPr>
        <w:tc>
          <w:tcPr>
            <w:tcW w:w="1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07"/>
        </w:trPr>
        <w:tc>
          <w:tcPr>
            <w:tcW w:w="766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Section 2.14 Director Fees and Expenses</w:t>
            </w:r>
          </w:p>
        </w:tc>
        <w:tc>
          <w:tcPr>
            <w:tcW w:w="2920" w:type="dxa"/>
            <w:vAlign w:val="bottom"/>
          </w:tcPr>
          <w:p>
            <w:pPr>
              <w:ind w:left="27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12</w:t>
              </w:r>
            </w:hyperlink>
          </w:p>
        </w:tc>
      </w:tr>
      <w:tr>
        <w:trPr>
          <w:trHeight w:val="20"/>
        </w:trPr>
        <w:tc>
          <w:tcPr>
            <w:tcW w:w="1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06"/>
        </w:trPr>
        <w:tc>
          <w:tcPr>
            <w:tcW w:w="766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Section 2.15 Reliance on Accounts and Reports, etc</w:t>
            </w:r>
          </w:p>
        </w:tc>
        <w:tc>
          <w:tcPr>
            <w:tcW w:w="2920" w:type="dxa"/>
            <w:vAlign w:val="bottom"/>
          </w:tcPr>
          <w:p>
            <w:pPr>
              <w:ind w:left="27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12</w:t>
              </w:r>
            </w:hyperlink>
          </w:p>
        </w:tc>
      </w:tr>
      <w:tr>
        <w:trPr>
          <w:trHeight w:val="20"/>
        </w:trPr>
        <w:tc>
          <w:tcPr>
            <w:tcW w:w="1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59"/>
        </w:trPr>
        <w:tc>
          <w:tcPr>
            <w:tcW w:w="766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Article III COMMITTEES</w:t>
            </w:r>
          </w:p>
        </w:tc>
        <w:tc>
          <w:tcPr>
            <w:tcW w:w="2920" w:type="dxa"/>
            <w:vAlign w:val="bottom"/>
          </w:tcPr>
          <w:p>
            <w:pPr>
              <w:ind w:left="27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12</w:t>
              </w:r>
            </w:hyperlink>
          </w:p>
        </w:tc>
      </w:tr>
      <w:tr>
        <w:trPr>
          <w:trHeight w:val="474"/>
        </w:trPr>
        <w:tc>
          <w:tcPr>
            <w:tcW w:w="766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Section 3.01 Designation of Committees</w:t>
            </w:r>
          </w:p>
        </w:tc>
        <w:tc>
          <w:tcPr>
            <w:tcW w:w="2920" w:type="dxa"/>
            <w:vAlign w:val="bottom"/>
          </w:tcPr>
          <w:p>
            <w:pPr>
              <w:ind w:left="27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12</w:t>
              </w:r>
            </w:hyperlink>
          </w:p>
        </w:tc>
      </w:tr>
      <w:tr>
        <w:trPr>
          <w:trHeight w:val="20"/>
        </w:trPr>
        <w:tc>
          <w:tcPr>
            <w:tcW w:w="1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07"/>
        </w:trPr>
        <w:tc>
          <w:tcPr>
            <w:tcW w:w="766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Section 3.02 Members and Alternate Members</w:t>
            </w:r>
          </w:p>
        </w:tc>
        <w:tc>
          <w:tcPr>
            <w:tcW w:w="2920" w:type="dxa"/>
            <w:vAlign w:val="bottom"/>
          </w:tcPr>
          <w:p>
            <w:pPr>
              <w:ind w:left="27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12</w:t>
              </w:r>
            </w:hyperlink>
          </w:p>
        </w:tc>
      </w:tr>
      <w:tr>
        <w:trPr>
          <w:trHeight w:val="506"/>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3.03</w:t>
            </w:r>
          </w:p>
        </w:tc>
        <w:tc>
          <w:tcPr>
            <w:tcW w:w="19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7"/>
              </w:rPr>
              <w:t>Committee Procedures</w:t>
            </w:r>
          </w:p>
        </w:tc>
        <w:tc>
          <w:tcPr>
            <w:tcW w:w="920" w:type="dxa"/>
            <w:vAlign w:val="bottom"/>
            <w:tcBorders>
              <w:top w:val="single" w:sz="8" w:color="auto"/>
            </w:tcBorders>
            <w:gridSpan w:val="3"/>
          </w:tcPr>
          <w:p>
            <w:pPr>
              <w:spacing w:after="0"/>
              <w:rPr>
                <w:sz w:val="24"/>
                <w:szCs w:val="24"/>
                <w:color w:val="auto"/>
              </w:rPr>
            </w:pPr>
          </w:p>
        </w:tc>
        <w:tc>
          <w:tcPr>
            <w:tcW w:w="3620" w:type="dxa"/>
            <w:vAlign w:val="bottom"/>
            <w:gridSpan w:val="4"/>
          </w:tcPr>
          <w:p>
            <w:pPr>
              <w:spacing w:after="0"/>
              <w:rPr>
                <w:sz w:val="24"/>
                <w:szCs w:val="24"/>
                <w:color w:val="auto"/>
              </w:rPr>
            </w:pPr>
          </w:p>
        </w:tc>
        <w:tc>
          <w:tcPr>
            <w:tcW w:w="2920" w:type="dxa"/>
            <w:vAlign w:val="bottom"/>
          </w:tcPr>
          <w:p>
            <w:pPr>
              <w:ind w:left="27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12</w:t>
              </w:r>
            </w:hyperlink>
          </w:p>
        </w:tc>
      </w:tr>
      <w:tr>
        <w:trPr>
          <w:trHeight w:val="50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3.04</w:t>
            </w:r>
          </w:p>
        </w:tc>
        <w:tc>
          <w:tcPr>
            <w:tcW w:w="652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Meetings and Actions of Committees</w:t>
            </w:r>
          </w:p>
        </w:tc>
        <w:tc>
          <w:tcPr>
            <w:tcW w:w="2920" w:type="dxa"/>
            <w:vAlign w:val="bottom"/>
          </w:tcPr>
          <w:p>
            <w:pPr>
              <w:ind w:left="27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13</w:t>
              </w:r>
            </w:hyperlink>
          </w:p>
        </w:tc>
      </w:tr>
      <w:tr>
        <w:trPr>
          <w:trHeight w:val="50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3.05</w:t>
            </w:r>
          </w:p>
        </w:tc>
        <w:tc>
          <w:tcPr>
            <w:tcW w:w="24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7"/>
              </w:rPr>
              <w:t>Resignations and Removals</w:t>
            </w:r>
          </w:p>
        </w:tc>
        <w:tc>
          <w:tcPr>
            <w:tcW w:w="800" w:type="dxa"/>
            <w:vAlign w:val="bottom"/>
            <w:tcBorders>
              <w:top w:val="single" w:sz="8" w:color="auto"/>
            </w:tcBorders>
            <w:gridSpan w:val="2"/>
          </w:tcPr>
          <w:p>
            <w:pPr>
              <w:spacing w:after="0"/>
              <w:rPr>
                <w:sz w:val="24"/>
                <w:szCs w:val="24"/>
                <w:color w:val="auto"/>
              </w:rPr>
            </w:pPr>
          </w:p>
        </w:tc>
        <w:tc>
          <w:tcPr>
            <w:tcW w:w="3300" w:type="dxa"/>
            <w:vAlign w:val="bottom"/>
            <w:gridSpan w:val="3"/>
          </w:tcPr>
          <w:p>
            <w:pPr>
              <w:spacing w:after="0"/>
              <w:rPr>
                <w:sz w:val="24"/>
                <w:szCs w:val="24"/>
                <w:color w:val="auto"/>
              </w:rPr>
            </w:pPr>
          </w:p>
        </w:tc>
        <w:tc>
          <w:tcPr>
            <w:tcW w:w="2920" w:type="dxa"/>
            <w:vAlign w:val="bottom"/>
          </w:tcPr>
          <w:p>
            <w:pPr>
              <w:ind w:left="27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13</w:t>
              </w:r>
            </w:hyperlink>
          </w:p>
        </w:tc>
      </w:tr>
      <w:tr>
        <w:trPr>
          <w:trHeight w:val="50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3.06</w:t>
            </w:r>
          </w:p>
        </w:tc>
        <w:tc>
          <w:tcPr>
            <w:tcW w:w="652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Vacancies</w:t>
            </w:r>
          </w:p>
        </w:tc>
        <w:tc>
          <w:tcPr>
            <w:tcW w:w="2920" w:type="dxa"/>
            <w:vAlign w:val="bottom"/>
          </w:tcPr>
          <w:p>
            <w:pPr>
              <w:ind w:left="2700"/>
              <w:spacing w:after="0"/>
              <w:rPr>
                <w:rFonts w:ascii="Times New Roman" w:cs="Times New Roman" w:eastAsia="Times New Roman" w:hAnsi="Times New Roman"/>
                <w:sz w:val="22"/>
                <w:szCs w:val="22"/>
                <w:u w:val="single" w:color="auto"/>
                <w:color w:val="auto"/>
                <w:w w:val="90"/>
              </w:rPr>
            </w:pPr>
            <w:hyperlink w:anchor="page58">
              <w:r>
                <w:rPr>
                  <w:rFonts w:ascii="Times New Roman" w:cs="Times New Roman" w:eastAsia="Times New Roman" w:hAnsi="Times New Roman"/>
                  <w:sz w:val="22"/>
                  <w:szCs w:val="22"/>
                  <w:u w:val="single" w:color="auto"/>
                  <w:color w:val="auto"/>
                  <w:w w:val="90"/>
                </w:rPr>
                <w:t>13</w:t>
              </w:r>
            </w:hyperlink>
          </w:p>
        </w:tc>
      </w:tr>
      <w:tr>
        <w:trPr>
          <w:trHeight w:val="20"/>
        </w:trPr>
        <w:tc>
          <w:tcPr>
            <w:tcW w:w="1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ectPr>
          <w:pgSz w:w="11900" w:h="16838" w:orient="portrait"/>
          <w:cols w:equalWidth="0" w:num="1">
            <w:col w:w="10580"/>
          </w:cols>
          <w:pgMar w:left="340" w:top="0" w:right="979" w:bottom="1440" w:gutter="0" w:footer="0" w:header="0"/>
        </w:sectPr>
      </w:pPr>
    </w:p>
    <w:bookmarkStart w:id="56" w:name="page57"/>
    <w:bookmarkEnd w:id="56"/>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Article IV OFFICERS</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13</w:t>
              </w:r>
            </w:hyperlink>
          </w:p>
        </w:tc>
      </w:tr>
      <w:tr>
        <w:trPr>
          <w:trHeight w:val="474"/>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4.01 Officers</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13</w:t>
              </w:r>
            </w:hyperlink>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6"/>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4.02 Election</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14</w:t>
              </w:r>
            </w:hyperlink>
          </w:p>
        </w:tc>
      </w:tr>
      <w:tr>
        <w:trPr>
          <w:trHeight w:val="20"/>
        </w:trPr>
        <w:tc>
          <w:tcPr>
            <w:tcW w:w="11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7"/>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4.03 Compensation</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14</w:t>
              </w:r>
            </w:hyperlink>
          </w:p>
        </w:tc>
      </w:tr>
      <w:tr>
        <w:trPr>
          <w:trHeight w:val="20"/>
        </w:trPr>
        <w:tc>
          <w:tcPr>
            <w:tcW w:w="114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7"/>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4.04 Removal and Resignation; Vacancies</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14</w:t>
              </w:r>
            </w:hyperlink>
          </w:p>
        </w:tc>
      </w:tr>
      <w:tr>
        <w:trPr>
          <w:trHeight w:val="20"/>
        </w:trPr>
        <w:tc>
          <w:tcPr>
            <w:tcW w:w="114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7"/>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4.05 Authority and Duties of Officers</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14</w:t>
              </w:r>
            </w:hyperlink>
          </w:p>
        </w:tc>
      </w:tr>
      <w:tr>
        <w:trPr>
          <w:trHeight w:val="20"/>
        </w:trPr>
        <w:tc>
          <w:tcPr>
            <w:tcW w:w="114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6"/>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4.06 President</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14</w:t>
              </w:r>
            </w:hyperlink>
          </w:p>
        </w:tc>
      </w:tr>
      <w:tr>
        <w:trPr>
          <w:trHeight w:val="20"/>
        </w:trPr>
        <w:tc>
          <w:tcPr>
            <w:tcW w:w="114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7"/>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4.07 Vice Presidents</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15</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7"/>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4.08 Secretary</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15</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7"/>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4.09 Treasurer</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6"/>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4.10 Security</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17</w:t>
              </w:r>
            </w:hyperlink>
          </w:p>
        </w:tc>
      </w:tr>
      <w:tr>
        <w:trPr>
          <w:trHeight w:val="20"/>
        </w:trPr>
        <w:tc>
          <w:tcPr>
            <w:tcW w:w="11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59"/>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Article V CAPITAL STOCK</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17</w:t>
              </w:r>
            </w:hyperlink>
          </w:p>
        </w:tc>
      </w:tr>
      <w:tr>
        <w:trPr>
          <w:trHeight w:val="474"/>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5.01 Certificates of Stock; Uncertificated Shares</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17</w:t>
              </w:r>
            </w:hyperlink>
          </w:p>
        </w:tc>
      </w:tr>
      <w:tr>
        <w:trPr>
          <w:trHeight w:val="20"/>
        </w:trPr>
        <w:tc>
          <w:tcPr>
            <w:tcW w:w="1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6"/>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5.02 Facsimile Signatures</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17</w:t>
              </w:r>
            </w:hyperlink>
          </w:p>
        </w:tc>
      </w:tr>
      <w:tr>
        <w:trPr>
          <w:trHeight w:val="20"/>
        </w:trPr>
        <w:tc>
          <w:tcPr>
            <w:tcW w:w="1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7"/>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5.03 Lost, Stolen or Destroyed Certificates</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17</w:t>
              </w:r>
            </w:hyperlink>
          </w:p>
        </w:tc>
      </w:tr>
      <w:tr>
        <w:trPr>
          <w:trHeight w:val="20"/>
        </w:trPr>
        <w:tc>
          <w:tcPr>
            <w:tcW w:w="1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6"/>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5.04 Transfer of Stock</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17</w:t>
              </w:r>
            </w:hyperlink>
          </w:p>
        </w:tc>
      </w:tr>
      <w:tr>
        <w:trPr>
          <w:trHeight w:val="20"/>
        </w:trPr>
        <w:tc>
          <w:tcPr>
            <w:tcW w:w="1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7"/>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5.05 Registered Stockholders</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18</w:t>
              </w:r>
            </w:hyperlink>
          </w:p>
        </w:tc>
      </w:tr>
      <w:tr>
        <w:trPr>
          <w:trHeight w:val="20"/>
        </w:trPr>
        <w:tc>
          <w:tcPr>
            <w:tcW w:w="1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6"/>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5.06 Transfer Agent and Registrar</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18</w:t>
              </w:r>
            </w:hyperlink>
          </w:p>
        </w:tc>
      </w:tr>
      <w:tr>
        <w:trPr>
          <w:trHeight w:val="20"/>
        </w:trPr>
        <w:tc>
          <w:tcPr>
            <w:tcW w:w="1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59"/>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Article VI INDEMNIFICATION</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18</w:t>
              </w:r>
            </w:hyperlink>
          </w:p>
        </w:tc>
      </w:tr>
      <w:tr>
        <w:trPr>
          <w:trHeight w:val="474"/>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6.01 Indemnification</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18</w:t>
              </w:r>
            </w:hyperlink>
          </w:p>
        </w:tc>
      </w:tr>
      <w:tr>
        <w:trPr>
          <w:trHeight w:val="20"/>
        </w:trPr>
        <w:tc>
          <w:tcPr>
            <w:tcW w:w="1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6"/>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6.02 Advance of Expenses</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19</w:t>
              </w:r>
            </w:hyperlink>
          </w:p>
        </w:tc>
      </w:tr>
      <w:tr>
        <w:trPr>
          <w:trHeight w:val="20"/>
        </w:trPr>
        <w:tc>
          <w:tcPr>
            <w:tcW w:w="1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6"/>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6.03 Procedure for Indemnification</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19</w:t>
              </w:r>
            </w:hyperlink>
          </w:p>
        </w:tc>
      </w:tr>
      <w:tr>
        <w:trPr>
          <w:trHeight w:val="20"/>
        </w:trPr>
        <w:tc>
          <w:tcPr>
            <w:tcW w:w="1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6"/>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6.04 Burden of Proof</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20</w:t>
              </w:r>
            </w:hyperlink>
          </w:p>
        </w:tc>
      </w:tr>
      <w:tr>
        <w:trPr>
          <w:trHeight w:val="20"/>
        </w:trPr>
        <w:tc>
          <w:tcPr>
            <w:tcW w:w="1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6"/>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6.05 Contract Right; Non-Exclusivity; Survival</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20</w:t>
              </w:r>
            </w:hyperlink>
          </w:p>
        </w:tc>
      </w:tr>
      <w:tr>
        <w:trPr>
          <w:trHeight w:val="20"/>
        </w:trPr>
        <w:tc>
          <w:tcPr>
            <w:tcW w:w="1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320" w:type="dxa"/>
            <w:vAlign w:val="bottom"/>
            <w:gridSpan w:val="6"/>
            <w:shd w:val="clear" w:color="auto" w:fill="000000"/>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6"/>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6.06 Insurance</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20</w:t>
              </w:r>
            </w:hyperlink>
          </w:p>
        </w:tc>
      </w:tr>
      <w:tr>
        <w:trPr>
          <w:trHeight w:val="20"/>
        </w:trPr>
        <w:tc>
          <w:tcPr>
            <w:tcW w:w="114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6"/>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6.07 Employees and Agents</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21</w:t>
              </w:r>
            </w:hyperlink>
          </w:p>
        </w:tc>
      </w:tr>
      <w:tr>
        <w:trPr>
          <w:trHeight w:val="20"/>
        </w:trPr>
        <w:tc>
          <w:tcPr>
            <w:tcW w:w="1140" w:type="dxa"/>
            <w:vAlign w:val="bottom"/>
          </w:tcPr>
          <w:p>
            <w:pPr>
              <w:spacing w:after="0" w:line="20" w:lineRule="exact"/>
              <w:rPr>
                <w:sz w:val="1"/>
                <w:szCs w:val="1"/>
                <w:color w:val="auto"/>
              </w:rPr>
            </w:pPr>
          </w:p>
        </w:tc>
        <w:tc>
          <w:tcPr>
            <w:tcW w:w="1500" w:type="dxa"/>
            <w:vAlign w:val="bottom"/>
            <w:gridSpan w:val="10"/>
            <w:shd w:val="clear" w:color="auto" w:fill="000000"/>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06"/>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6.08 Interpretation; Severability</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21</w:t>
              </w:r>
            </w:hyperlink>
          </w:p>
        </w:tc>
      </w:tr>
      <w:tr>
        <w:trPr>
          <w:trHeight w:val="20"/>
        </w:trPr>
        <w:tc>
          <w:tcPr>
            <w:tcW w:w="1140" w:type="dxa"/>
            <w:vAlign w:val="bottom"/>
          </w:tcPr>
          <w:p>
            <w:pPr>
              <w:spacing w:after="0" w:line="20" w:lineRule="exact"/>
              <w:rPr>
                <w:sz w:val="1"/>
                <w:szCs w:val="1"/>
                <w:color w:val="auto"/>
              </w:rPr>
            </w:pPr>
          </w:p>
        </w:tc>
        <w:tc>
          <w:tcPr>
            <w:tcW w:w="1500" w:type="dxa"/>
            <w:vAlign w:val="bottom"/>
            <w:gridSpan w:val="10"/>
            <w:shd w:val="clear" w:color="auto" w:fill="000000"/>
          </w:tcPr>
          <w:p>
            <w:pPr>
              <w:spacing w:after="0" w:line="20" w:lineRule="exact"/>
              <w:rPr>
                <w:sz w:val="1"/>
                <w:szCs w:val="1"/>
                <w:color w:val="auto"/>
              </w:rPr>
            </w:pPr>
          </w:p>
        </w:tc>
        <w:tc>
          <w:tcPr>
            <w:tcW w:w="840" w:type="dxa"/>
            <w:vAlign w:val="bottom"/>
            <w:tcBorders>
              <w:left w:val="single" w:sz="8" w:color="auto"/>
            </w:tcBorders>
            <w:gridSpan w:val="5"/>
            <w:shd w:val="clear" w:color="auto" w:fill="000000"/>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59"/>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Article VII OFFICES</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21</w:t>
              </w:r>
            </w:hyperlink>
          </w:p>
        </w:tc>
      </w:tr>
      <w:tr>
        <w:trPr>
          <w:trHeight w:val="474"/>
        </w:trPr>
        <w:tc>
          <w:tcPr>
            <w:tcW w:w="762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Section 7.01 Registered Office</w:t>
            </w:r>
          </w:p>
        </w:tc>
        <w:tc>
          <w:tcPr>
            <w:tcW w:w="296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21</w:t>
              </w:r>
            </w:hyperlink>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ectPr>
          <w:pgSz w:w="11900" w:h="16838" w:orient="portrait"/>
          <w:cols w:equalWidth="0" w:num="1">
            <w:col w:w="10580"/>
          </w:cols>
          <w:pgMar w:left="340" w:top="1440" w:right="979"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Section 7.02 Other Offices</w:t>
            </w:r>
          </w:p>
        </w:tc>
        <w:tc>
          <w:tcPr>
            <w:tcW w:w="348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21</w:t>
              </w:r>
            </w:hyperlink>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559"/>
        </w:trPr>
        <w:tc>
          <w:tcPr>
            <w:tcW w:w="71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Article VIII GENERAL PROVISIONS</w:t>
            </w:r>
          </w:p>
        </w:tc>
        <w:tc>
          <w:tcPr>
            <w:tcW w:w="348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21</w:t>
              </w:r>
            </w:hyperlink>
          </w:p>
        </w:tc>
      </w:tr>
      <w:tr>
        <w:trPr>
          <w:trHeight w:val="474"/>
        </w:trPr>
        <w:tc>
          <w:tcPr>
            <w:tcW w:w="71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Section 8.01 Dividends</w:t>
            </w:r>
          </w:p>
        </w:tc>
        <w:tc>
          <w:tcPr>
            <w:tcW w:w="348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21</w:t>
              </w:r>
            </w:hyperlink>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507"/>
        </w:trPr>
        <w:tc>
          <w:tcPr>
            <w:tcW w:w="71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Section 8.02 Reserves</w:t>
            </w:r>
          </w:p>
        </w:tc>
        <w:tc>
          <w:tcPr>
            <w:tcW w:w="348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21</w:t>
              </w:r>
            </w:hyperlink>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507"/>
        </w:trPr>
        <w:tc>
          <w:tcPr>
            <w:tcW w:w="71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Section 8.03 Execution of Instruments</w:t>
            </w:r>
          </w:p>
        </w:tc>
        <w:tc>
          <w:tcPr>
            <w:tcW w:w="348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22</w:t>
              </w:r>
            </w:hyperlink>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506"/>
        </w:trPr>
        <w:tc>
          <w:tcPr>
            <w:tcW w:w="71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Section 8.04 Voting as Stockholder</w:t>
            </w:r>
          </w:p>
        </w:tc>
        <w:tc>
          <w:tcPr>
            <w:tcW w:w="348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22</w:t>
              </w:r>
            </w:hyperlink>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507"/>
        </w:trPr>
        <w:tc>
          <w:tcPr>
            <w:tcW w:w="71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Section 8.05 Fiscal Year</w:t>
            </w:r>
          </w:p>
        </w:tc>
        <w:tc>
          <w:tcPr>
            <w:tcW w:w="348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22</w:t>
              </w:r>
            </w:hyperlink>
          </w:p>
        </w:tc>
      </w:tr>
      <w:tr>
        <w:trPr>
          <w:trHeight w:val="50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8.06</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4"/>
              </w:rPr>
              <w:t>Seal</w:t>
            </w:r>
          </w:p>
        </w:tc>
        <w:tc>
          <w:tcPr>
            <w:tcW w:w="580" w:type="dxa"/>
            <w:vAlign w:val="bottom"/>
            <w:tcBorders>
              <w:top w:val="single" w:sz="8" w:color="auto"/>
            </w:tcBorders>
            <w:gridSpan w:val="3"/>
          </w:tcPr>
          <w:p>
            <w:pPr>
              <w:spacing w:after="0"/>
              <w:rPr>
                <w:sz w:val="24"/>
                <w:szCs w:val="24"/>
                <w:color w:val="auto"/>
              </w:rPr>
            </w:pPr>
          </w:p>
        </w:tc>
        <w:tc>
          <w:tcPr>
            <w:tcW w:w="5000" w:type="dxa"/>
            <w:vAlign w:val="bottom"/>
            <w:gridSpan w:val="7"/>
          </w:tcPr>
          <w:p>
            <w:pPr>
              <w:spacing w:after="0"/>
              <w:rPr>
                <w:sz w:val="24"/>
                <w:szCs w:val="24"/>
                <w:color w:val="auto"/>
              </w:rPr>
            </w:pPr>
          </w:p>
        </w:tc>
        <w:tc>
          <w:tcPr>
            <w:tcW w:w="348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22</w:t>
              </w:r>
            </w:hyperlink>
          </w:p>
        </w:tc>
      </w:tr>
      <w:tr>
        <w:trPr>
          <w:trHeight w:val="50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8.07</w:t>
            </w:r>
          </w:p>
        </w:tc>
        <w:tc>
          <w:tcPr>
            <w:tcW w:w="270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22"/>
                <w:szCs w:val="22"/>
                <w:color w:val="auto"/>
                <w:w w:val="97"/>
              </w:rPr>
              <w:t>Books and Records; Inspection</w:t>
            </w:r>
          </w:p>
        </w:tc>
        <w:tc>
          <w:tcPr>
            <w:tcW w:w="3260" w:type="dxa"/>
            <w:vAlign w:val="bottom"/>
          </w:tcPr>
          <w:p>
            <w:pPr>
              <w:spacing w:after="0"/>
              <w:rPr>
                <w:sz w:val="24"/>
                <w:szCs w:val="24"/>
                <w:color w:val="auto"/>
              </w:rPr>
            </w:pPr>
          </w:p>
        </w:tc>
        <w:tc>
          <w:tcPr>
            <w:tcW w:w="348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22</w:t>
              </w:r>
            </w:hyperlink>
          </w:p>
        </w:tc>
      </w:tr>
      <w:tr>
        <w:trPr>
          <w:trHeight w:val="506"/>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8.08</w:t>
            </w:r>
          </w:p>
        </w:tc>
        <w:tc>
          <w:tcPr>
            <w:tcW w:w="21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w w:val="96"/>
              </w:rPr>
              <w:t>Electronic Transmission</w:t>
            </w:r>
          </w:p>
        </w:tc>
        <w:tc>
          <w:tcPr>
            <w:tcW w:w="3860" w:type="dxa"/>
            <w:vAlign w:val="bottom"/>
            <w:gridSpan w:val="3"/>
          </w:tcPr>
          <w:p>
            <w:pPr>
              <w:spacing w:after="0"/>
              <w:rPr>
                <w:sz w:val="24"/>
                <w:szCs w:val="24"/>
                <w:color w:val="auto"/>
              </w:rPr>
            </w:pPr>
          </w:p>
        </w:tc>
        <w:tc>
          <w:tcPr>
            <w:tcW w:w="348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22</w:t>
              </w:r>
            </w:hyperlink>
          </w:p>
        </w:tc>
      </w:tr>
      <w:tr>
        <w:trPr>
          <w:trHeight w:val="559"/>
        </w:trPr>
        <w:tc>
          <w:tcPr>
            <w:tcW w:w="71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Article IX AMENDMENT OF BYLAWS</w:t>
            </w:r>
          </w:p>
        </w:tc>
        <w:tc>
          <w:tcPr>
            <w:tcW w:w="348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22</w:t>
              </w:r>
            </w:hyperlink>
          </w:p>
        </w:tc>
      </w:tr>
      <w:tr>
        <w:trPr>
          <w:trHeight w:val="47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Section 9.01</w:t>
            </w:r>
          </w:p>
        </w:tc>
        <w:tc>
          <w:tcPr>
            <w:tcW w:w="596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Amendment</w:t>
            </w:r>
          </w:p>
        </w:tc>
        <w:tc>
          <w:tcPr>
            <w:tcW w:w="3480" w:type="dxa"/>
            <w:vAlign w:val="bottom"/>
          </w:tcPr>
          <w:p>
            <w:pPr>
              <w:jc w:val="right"/>
              <w:spacing w:after="0"/>
              <w:rPr>
                <w:rFonts w:ascii="Times New Roman" w:cs="Times New Roman" w:eastAsia="Times New Roman" w:hAnsi="Times New Roman"/>
                <w:sz w:val="22"/>
                <w:szCs w:val="22"/>
                <w:u w:val="single" w:color="auto"/>
                <w:color w:val="auto"/>
              </w:rPr>
            </w:pPr>
            <w:hyperlink w:anchor="page58">
              <w:r>
                <w:rPr>
                  <w:rFonts w:ascii="Times New Roman" w:cs="Times New Roman" w:eastAsia="Times New Roman" w:hAnsi="Times New Roman"/>
                  <w:sz w:val="22"/>
                  <w:szCs w:val="22"/>
                  <w:u w:val="single" w:color="auto"/>
                  <w:color w:val="auto"/>
                </w:rPr>
                <w:t>22</w:t>
              </w:r>
            </w:hyperlink>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bl>
    <w:p>
      <w:pPr>
        <w:sectPr>
          <w:pgSz w:w="11900" w:h="16838" w:orient="portrait"/>
          <w:cols w:equalWidth="0" w:num="1">
            <w:col w:w="10580"/>
          </w:cols>
          <w:pgMar w:left="340" w:top="143" w:right="979" w:bottom="1440" w:gutter="0" w:footer="0" w:header="0"/>
        </w:sectPr>
      </w:pPr>
    </w:p>
    <w:bookmarkStart w:id="58" w:name="page59"/>
    <w:bookmarkEnd w:id="58"/>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BOOZ ALLEN HAMILTON HOLDING CORPORATION</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u w:val="single" w:color="auto"/>
          <w:color w:val="auto"/>
        </w:rPr>
        <w:t>FIFTH AMENDED AND RESTATED BYLAWS</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As adopted on January 27, 2021</w:t>
      </w:r>
    </w:p>
    <w:p>
      <w:pPr>
        <w:spacing w:after="0" w:line="220" w:lineRule="exact"/>
        <w:rPr>
          <w:sz w:val="20"/>
          <w:szCs w:val="20"/>
          <w:color w:val="auto"/>
        </w:rPr>
      </w:pPr>
    </w:p>
    <w:p>
      <w:pPr>
        <w:ind w:left="3480"/>
        <w:spacing w:after="0"/>
        <w:tabs>
          <w:tab w:leader="none" w:pos="4760" w:val="left"/>
        </w:tabs>
        <w:rPr>
          <w:sz w:val="20"/>
          <w:szCs w:val="20"/>
          <w:color w:val="auto"/>
        </w:rPr>
      </w:pPr>
      <w:r>
        <w:rPr>
          <w:rFonts w:ascii="Times New Roman" w:cs="Times New Roman" w:eastAsia="Times New Roman" w:hAnsi="Times New Roman"/>
          <w:sz w:val="22"/>
          <w:szCs w:val="22"/>
          <w:color w:val="auto"/>
        </w:rPr>
        <w:t>Article I.</w:t>
      </w:r>
      <w:r>
        <w:rPr>
          <w:sz w:val="20"/>
          <w:szCs w:val="20"/>
          <w:color w:val="auto"/>
        </w:rPr>
        <w:tab/>
      </w:r>
      <w:r>
        <w:rPr>
          <w:rFonts w:ascii="Times New Roman" w:cs="Times New Roman" w:eastAsia="Times New Roman" w:hAnsi="Times New Roman"/>
          <w:sz w:val="21"/>
          <w:szCs w:val="21"/>
          <w:u w:val="single" w:color="auto"/>
          <w:color w:val="auto"/>
        </w:rPr>
        <w:t>MEETINGS OF STOCKHOLDERS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ion i.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 The annual meeting of the stockholders of the Booz Allen Hamilton Holding Corporation (the</w:t>
      </w:r>
    </w:p>
    <w:p>
      <w:pPr>
        <w:spacing w:after="0" w:line="28" w:lineRule="exact"/>
        <w:rPr>
          <w:sz w:val="20"/>
          <w:szCs w:val="20"/>
          <w:color w:val="auto"/>
        </w:rPr>
      </w:pPr>
    </w:p>
    <w:p>
      <w:pPr>
        <w:ind w:left="100"/>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for the election of directors (each, a “</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and for the transaction of such other business as properly may come before such meeting shall be held each year either within or without the State of Delaware at such place, if any, and on such date and at such time, as may be fixed from time to time by resolution of the Corporation’s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set forth in the notice or waiver of notice of the meeting, unless, subject to Section 1.11 of these bylaws and the certificate of incorporation of the Corporation, the stockholders have acted by written consent to elect Directors as permitted by the General Corporation Law of the State of Delaware, as amended from time to time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ind w:left="100" w:hanging="107"/>
        <w:spacing w:after="0" w:line="250" w:lineRule="auto"/>
        <w:rPr>
          <w:sz w:val="20"/>
          <w:szCs w:val="20"/>
          <w:color w:val="auto"/>
        </w:rPr>
      </w:pPr>
      <w:r>
        <w:rPr>
          <w:rFonts w:ascii="Times New Roman" w:cs="Times New Roman" w:eastAsia="Times New Roman" w:hAnsi="Times New Roman"/>
          <w:sz w:val="22"/>
          <w:szCs w:val="22"/>
          <w:color w:val="auto"/>
        </w:rPr>
        <w:t xml:space="preserve">on ii.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A special meeting of the stockholders for any purpose may be called at any time only by or at the direction of the Board pursuant to a resolution of the Board adopted by a majority of the total number of Directors then in office. Any special meeting of the stockholders shall be held at such place, if any, within or without the State of Delaware, and on such date and at such time, as shall be specified in such resolution. The stockholders of the Corporation do not have the power to call a special meeting.</w:t>
      </w:r>
    </w:p>
    <w:p>
      <w:pPr>
        <w:spacing w:after="0" w:line="181" w:lineRule="exact"/>
        <w:rPr>
          <w:sz w:val="20"/>
          <w:szCs w:val="20"/>
          <w:color w:val="auto"/>
        </w:rPr>
      </w:pPr>
    </w:p>
    <w:p>
      <w:pPr>
        <w:ind w:left="100" w:right="160" w:hanging="107"/>
        <w:spacing w:after="0" w:line="248" w:lineRule="auto"/>
        <w:rPr>
          <w:sz w:val="20"/>
          <w:szCs w:val="20"/>
          <w:color w:val="auto"/>
        </w:rPr>
      </w:pPr>
      <w:r>
        <w:rPr>
          <w:rFonts w:ascii="Times New Roman" w:cs="Times New Roman" w:eastAsia="Times New Roman" w:hAnsi="Times New Roman"/>
          <w:sz w:val="22"/>
          <w:szCs w:val="22"/>
          <w:color w:val="auto"/>
        </w:rPr>
        <w:t xml:space="preserve">on iii. </w:t>
      </w:r>
      <w:r>
        <w:rPr>
          <w:rFonts w:ascii="Times New Roman" w:cs="Times New Roman" w:eastAsia="Times New Roman" w:hAnsi="Times New Roman"/>
          <w:sz w:val="22"/>
          <w:szCs w:val="22"/>
          <w:u w:val="single" w:color="auto"/>
          <w:color w:val="auto"/>
        </w:rPr>
        <w:t>Participation in Meetings by Remote Communication</w:t>
      </w:r>
      <w:r>
        <w:rPr>
          <w:rFonts w:ascii="Times New Roman" w:cs="Times New Roman" w:eastAsia="Times New Roman" w:hAnsi="Times New Roman"/>
          <w:sz w:val="22"/>
          <w:szCs w:val="22"/>
          <w:color w:val="auto"/>
        </w:rPr>
        <w:t>. The Board, acting in its sole discretion, may establish guidelines and procedures in accordance with applicable provisions of the DGCL and any other applicable law for the participation by stockholders and proxyholders in a meeting of stockholders by means of remote communications, and may determine that any meeting of stockholders will not be held at any place but will be held solely 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by means of remote communication.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on iv. </w:t>
      </w:r>
      <w:r>
        <w:rPr>
          <w:rFonts w:ascii="Times New Roman" w:cs="Times New Roman" w:eastAsia="Times New Roman" w:hAnsi="Times New Roman"/>
          <w:sz w:val="22"/>
          <w:szCs w:val="22"/>
          <w:u w:val="single" w:color="auto"/>
          <w:color w:val="auto"/>
        </w:rPr>
        <w:t>Notice of Meetings; Waiver of Notice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00" w:right="60" w:firstLine="980"/>
        <w:spacing w:after="0" w:line="262" w:lineRule="auto"/>
        <w:tabs>
          <w:tab w:leader="none" w:pos="1985"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Secretary or any Assistant Secretary shall cause notice of each meeting of stockholders to be given in writing in a manner permitted by the DGCL not less than 10 days nor more than 60 days prior to the meeting to each stockholder of record entitled to vote at such meeting, subject to such exclusions as are then permitted by the DGCL. The notice shall specify</w:t>
      </w:r>
    </w:p>
    <w:p>
      <w:pPr>
        <w:spacing w:after="0" w:line="2" w:lineRule="exact"/>
        <w:rPr>
          <w:rFonts w:ascii="Times New Roman" w:cs="Times New Roman" w:eastAsia="Times New Roman" w:hAnsi="Times New Roman"/>
          <w:sz w:val="21"/>
          <w:szCs w:val="21"/>
          <w:color w:val="auto"/>
        </w:rPr>
      </w:pPr>
    </w:p>
    <w:p>
      <w:pPr>
        <w:ind w:left="100" w:right="100" w:firstLine="8"/>
        <w:spacing w:after="0" w:line="245" w:lineRule="auto"/>
        <w:tabs>
          <w:tab w:leader="none" w:pos="35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place, if any, date and time of such meeting, (ii) the means of remote communications, if any, by which stockholders and proxy holders may be deemed to be present in person and vote at such meeting, (iii) in the case of a special meeting, the purpose or purposes for which such meeting is called and (iv) such other information as may be required by law or as may be deemed appropriate by the Board, the President or the Secretary of the Corporation. If</w:t>
      </w:r>
    </w:p>
    <w:p>
      <w:pPr>
        <w:sectPr>
          <w:pgSz w:w="11900" w:h="16838" w:orient="portrait"/>
          <w:cols w:equalWidth="0" w:num="1">
            <w:col w:w="11320"/>
          </w:cols>
          <w:pgMar w:left="220" w:top="1440" w:right="359" w:bottom="1440" w:gutter="0" w:footer="0" w:header="0"/>
        </w:sectPr>
      </w:pPr>
    </w:p>
    <w:bookmarkStart w:id="59" w:name="page60"/>
    <w:bookmarkEnd w:id="59"/>
    <w:p>
      <w:pPr>
        <w:spacing w:after="0" w:line="198" w:lineRule="exact"/>
        <w:rPr>
          <w:sz w:val="20"/>
          <w:szCs w:val="20"/>
          <w:color w:val="auto"/>
        </w:rPr>
      </w:pPr>
    </w:p>
    <w:p>
      <w:pPr>
        <w:jc w:val="both"/>
        <w:ind w:left="100" w:right="100"/>
        <w:spacing w:after="0" w:line="275" w:lineRule="auto"/>
        <w:rPr>
          <w:sz w:val="20"/>
          <w:szCs w:val="20"/>
          <w:color w:val="auto"/>
        </w:rPr>
      </w:pPr>
      <w:r>
        <w:rPr>
          <w:rFonts w:ascii="Times New Roman" w:cs="Times New Roman" w:eastAsia="Times New Roman" w:hAnsi="Times New Roman"/>
          <w:sz w:val="21"/>
          <w:szCs w:val="21"/>
          <w:color w:val="auto"/>
        </w:rPr>
        <w:t>the stockholder list referred to in Section 1.06 of these bylaws is made accessible on an electronic network, the notice of meeting must indicate how the stockholder list can be accessed. If the meeting of stockholders is to be held solely by means of electronic communications, the notice of meeting must provide the information required to access such stockholder list during the meeting.</w:t>
      </w:r>
    </w:p>
    <w:p>
      <w:pPr>
        <w:spacing w:after="0" w:line="155" w:lineRule="exact"/>
        <w:rPr>
          <w:sz w:val="20"/>
          <w:szCs w:val="20"/>
          <w:color w:val="auto"/>
        </w:rPr>
      </w:pPr>
    </w:p>
    <w:p>
      <w:pPr>
        <w:ind w:left="100" w:right="160" w:firstLine="980"/>
        <w:spacing w:after="0" w:line="248" w:lineRule="auto"/>
        <w:tabs>
          <w:tab w:leader="none" w:pos="198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waiver of notice of meeting signed by a stockholder or a waiver by electronic transmission by a stockholder, whether given before or after the meeting time stated in such notice, is deemed equivalent to notice. Neither the business to be transacted at, nor the purpose of, any regular or special meeting of the stockholders need be specified in a waiver of notice. Attendance of a stockholder at a meeting is a waiver of notice of such meeting, except when the stockholder attends a meeting for the express purpose of objecting at the beginning of the meeting to the transaction of any business at the meeting on the ground that the meeting is not lawfully called or convened.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on v. </w:t>
      </w:r>
      <w:r>
        <w:rPr>
          <w:rFonts w:ascii="Times New Roman" w:cs="Times New Roman" w:eastAsia="Times New Roman" w:hAnsi="Times New Roman"/>
          <w:sz w:val="22"/>
          <w:szCs w:val="22"/>
          <w:u w:val="single" w:color="auto"/>
          <w:color w:val="auto"/>
        </w:rPr>
        <w:t>Proxies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00" w:right="540" w:firstLine="980"/>
        <w:spacing w:after="0" w:line="295" w:lineRule="auto"/>
        <w:tabs>
          <w:tab w:leader="none" w:pos="198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stockholder entitled to vote at a meeting of stockholders or to express consent to or dissent from corporate action in writing without a meeting may authorize another person or persons to act for such stockholder by proxy.</w:t>
      </w:r>
    </w:p>
    <w:p>
      <w:pPr>
        <w:spacing w:after="0" w:line="135" w:lineRule="exact"/>
        <w:rPr>
          <w:rFonts w:ascii="Times New Roman" w:cs="Times New Roman" w:eastAsia="Times New Roman" w:hAnsi="Times New Roman"/>
          <w:sz w:val="21"/>
          <w:szCs w:val="21"/>
          <w:color w:val="auto"/>
        </w:rPr>
      </w:pPr>
    </w:p>
    <w:p>
      <w:pPr>
        <w:ind w:left="100" w:firstLine="980"/>
        <w:spacing w:after="0" w:line="260" w:lineRule="auto"/>
        <w:tabs>
          <w:tab w:leader="none" w:pos="198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may authorize a valid proxy by executing a written instrument signed by such stockholder, or by causing his or her signature to be affixed to such writing by any reasonable means, including but not limited to by facsimile signature, or by transmitting or authorizing an electronic transmission (as defined in Section 8.08 of these bylaws) setting forth an authorization to act as proxy to the person designated as the holder of the proxy, a proxy solicitation firm or a like authorized agent. Proxies by electronic transmission must either set forth, or be submitted with, information from which it can be determined that the electronic transmission was authorized by the stockholder. Any copy, facsimile telecommunication or other reliable reproduction of a writing or transmission created pursuant to this section may be substituted or used in lieu of the original writing or transmission for any and all purposes for which the original writing or transmission could be used if such copy, facsimile telecommunication or other reproduction is a complete reproduction of the entire original writing or transmission.</w:t>
      </w:r>
    </w:p>
    <w:p>
      <w:pPr>
        <w:spacing w:after="0" w:line="170" w:lineRule="exact"/>
        <w:rPr>
          <w:rFonts w:ascii="Times New Roman" w:cs="Times New Roman" w:eastAsia="Times New Roman" w:hAnsi="Times New Roman"/>
          <w:sz w:val="21"/>
          <w:szCs w:val="21"/>
          <w:color w:val="auto"/>
        </w:rPr>
      </w:pPr>
    </w:p>
    <w:p>
      <w:pPr>
        <w:jc w:val="both"/>
        <w:ind w:left="100" w:right="60" w:firstLine="980"/>
        <w:spacing w:after="0" w:line="250" w:lineRule="auto"/>
        <w:tabs>
          <w:tab w:leader="none" w:pos="198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proxy may be voted or acted upon after the expiration of three years from the date of such proxy, unless such proxy provides for a longer period. Every proxy is revocable at the pleasure of the stockholder executing it unless the proxy states that it is irrevocable and applicable law makes it irrevocable. A stockholder may revoke any proxy that is not irrevocable by attending the meeting and voting in person or by filing an instrument in writing revoking the proxy or by filing another duly executed proxy bearing a later date with the Secretary.</w:t>
      </w:r>
    </w:p>
    <w:p>
      <w:pPr>
        <w:spacing w:after="0" w:line="181" w:lineRule="exact"/>
        <w:rPr>
          <w:sz w:val="20"/>
          <w:szCs w:val="20"/>
          <w:color w:val="auto"/>
        </w:rPr>
      </w:pPr>
    </w:p>
    <w:p>
      <w:pPr>
        <w:jc w:val="both"/>
        <w:ind w:left="100" w:right="180" w:hanging="107"/>
        <w:spacing w:after="0" w:line="257" w:lineRule="auto"/>
        <w:rPr>
          <w:sz w:val="20"/>
          <w:szCs w:val="20"/>
          <w:color w:val="auto"/>
        </w:rPr>
      </w:pPr>
      <w:r>
        <w:rPr>
          <w:rFonts w:ascii="Times New Roman" w:cs="Times New Roman" w:eastAsia="Times New Roman" w:hAnsi="Times New Roman"/>
          <w:sz w:val="22"/>
          <w:szCs w:val="22"/>
          <w:color w:val="auto"/>
        </w:rPr>
        <w:t xml:space="preserve">on vi. </w:t>
      </w:r>
      <w:r>
        <w:rPr>
          <w:rFonts w:ascii="Times New Roman" w:cs="Times New Roman" w:eastAsia="Times New Roman" w:hAnsi="Times New Roman"/>
          <w:sz w:val="22"/>
          <w:szCs w:val="22"/>
          <w:u w:val="single" w:color="auto"/>
          <w:color w:val="auto"/>
        </w:rPr>
        <w:t>Voting Lists</w:t>
      </w:r>
      <w:r>
        <w:rPr>
          <w:rFonts w:ascii="Times New Roman" w:cs="Times New Roman" w:eastAsia="Times New Roman" w:hAnsi="Times New Roman"/>
          <w:sz w:val="22"/>
          <w:szCs w:val="22"/>
          <w:color w:val="auto"/>
        </w:rPr>
        <w:t>. The officer of the Corporation who has charge of the stock ledger of the Corporation shall prepare, at least 10 days before every meeting of the stockholders (and before any adjournment thereof for which a new record date has been set), a complete list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340"/>
          </w:cols>
          <w:pgMar w:left="220" w:top="1440" w:right="339" w:bottom="1440" w:gutter="0" w:footer="0" w:header="0"/>
        </w:sectPr>
      </w:pPr>
    </w:p>
    <w:bookmarkStart w:id="60" w:name="page61"/>
    <w:bookmarkEnd w:id="60"/>
    <w:p>
      <w:pPr>
        <w:spacing w:after="0" w:line="19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stockholders of record entitled to vote at the meeting, arranged in alphabetical order and showing the address of each stockholder and the number of shares registered in the name of each stockholder. This list, which may be in any format including electronic format, shall be open to the examination of any stockholder prior to and during the meeting for any purpose germane to the meeting in the manner required by the DGCL and other applicable law. The stock ledger shall be the only evidence as to who are the stockholders entitled by this section to examine the list required by this section or to vote in person or by proxy at any meeting of stockholders.</w:t>
      </w:r>
    </w:p>
    <w:p>
      <w:pPr>
        <w:spacing w:after="0" w:line="187" w:lineRule="exact"/>
        <w:rPr>
          <w:sz w:val="20"/>
          <w:szCs w:val="20"/>
          <w:color w:val="auto"/>
        </w:rPr>
      </w:pPr>
    </w:p>
    <w:p>
      <w:pPr>
        <w:ind w:right="20" w:hanging="107"/>
        <w:spacing w:after="0" w:line="248" w:lineRule="auto"/>
        <w:rPr>
          <w:sz w:val="20"/>
          <w:szCs w:val="20"/>
          <w:color w:val="auto"/>
        </w:rPr>
      </w:pPr>
      <w:r>
        <w:rPr>
          <w:rFonts w:ascii="Times New Roman" w:cs="Times New Roman" w:eastAsia="Times New Roman" w:hAnsi="Times New Roman"/>
          <w:sz w:val="22"/>
          <w:szCs w:val="22"/>
          <w:color w:val="auto"/>
        </w:rPr>
        <w:t xml:space="preserve">n vii.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xml:space="preserve">. Except as otherwise provided in the certificate of incorporation or by law, the presence in person or by proxy of the holders of record of a majority of the shares entitled to vote at a meeting of stockholders shall constitute a quorum for the transaction of business at such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where a separate vote by a class or series is required, the holders of a majority in voting power of all issued and outstanding stock of such class or series entitled to vote on such matter, present in person or represented by proxy, shall constitute a quorum entitled to take action with respect to such matter. In the absence of a quorum, the stockholders so present may, by a majority in voting power thereof, adjourn the meeting from time to time in the manner provided in Section 1.09 of these bylaws until a quorum shall attend.</w:t>
      </w:r>
    </w:p>
    <w:p>
      <w:pPr>
        <w:spacing w:after="0" w:line="182" w:lineRule="exact"/>
        <w:rPr>
          <w:sz w:val="20"/>
          <w:szCs w:val="20"/>
          <w:color w:val="auto"/>
        </w:rPr>
      </w:pPr>
    </w:p>
    <w:p>
      <w:pPr>
        <w:ind w:hanging="107"/>
        <w:spacing w:after="0" w:line="246" w:lineRule="auto"/>
        <w:rPr>
          <w:sz w:val="20"/>
          <w:szCs w:val="20"/>
          <w:color w:val="auto"/>
        </w:rPr>
      </w:pPr>
      <w:r>
        <w:rPr>
          <w:rFonts w:ascii="Times New Roman" w:cs="Times New Roman" w:eastAsia="Times New Roman" w:hAnsi="Times New Roman"/>
          <w:sz w:val="22"/>
          <w:szCs w:val="22"/>
          <w:color w:val="auto"/>
        </w:rPr>
        <w:t xml:space="preserve">n viii.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Except as otherwise provided in the certificate of incorporation or by law, every holder of record of shares entitled to vote at a meeting of stockholders is entitled to one vote for each share outstanding in his or her name on the books of the Corporation (x) at the close of business on the record date for such meeting, or (y) if no record date has been fixed, at the close of business on the day next preceding the day on which notice of the meeting is given, or if notice is waived, at the close of business on the day next preceding the day on which the meeting is held. Except as otherwise required by law, the certificate of incorporation, these bylaws, the rules and regulations of any stock exchange applicable to the Corporation or pursuant to any other rule or regulation applicable to the Corporation or its stockholders, the vote of a majority of the shares entitled to vote at a meeting of stockholders on the subject matter in question represented in person or by proxy at any meeting at which a quorum is present shall be sufficient for the transaction of any business at such meeting. The stockholders do not have the right to cumulate their votes for the election of Directors.</w:t>
      </w:r>
    </w:p>
    <w:p>
      <w:pPr>
        <w:spacing w:after="0" w:line="188" w:lineRule="exact"/>
        <w:rPr>
          <w:sz w:val="20"/>
          <w:szCs w:val="20"/>
          <w:color w:val="auto"/>
        </w:rPr>
      </w:pPr>
    </w:p>
    <w:p>
      <w:pPr>
        <w:ind w:hanging="107"/>
        <w:spacing w:after="0" w:line="260" w:lineRule="auto"/>
        <w:rPr>
          <w:sz w:val="20"/>
          <w:szCs w:val="20"/>
          <w:color w:val="auto"/>
        </w:rPr>
      </w:pPr>
      <w:r>
        <w:rPr>
          <w:rFonts w:ascii="Times New Roman" w:cs="Times New Roman" w:eastAsia="Times New Roman" w:hAnsi="Times New Roman"/>
          <w:sz w:val="21"/>
          <w:szCs w:val="21"/>
          <w:color w:val="auto"/>
        </w:rPr>
        <w:t xml:space="preserve">on ix. </w:t>
      </w:r>
      <w:r>
        <w:rPr>
          <w:rFonts w:ascii="Times New Roman" w:cs="Times New Roman" w:eastAsia="Times New Roman" w:hAnsi="Times New Roman"/>
          <w:sz w:val="21"/>
          <w:szCs w:val="21"/>
          <w:u w:val="single" w:color="auto"/>
          <w:color w:val="auto"/>
        </w:rPr>
        <w:t>Adjournment</w:t>
      </w:r>
      <w:r>
        <w:rPr>
          <w:rFonts w:ascii="Times New Roman" w:cs="Times New Roman" w:eastAsia="Times New Roman" w:hAnsi="Times New Roman"/>
          <w:sz w:val="21"/>
          <w:szCs w:val="21"/>
          <w:color w:val="auto"/>
        </w:rPr>
        <w:t>. Any meeting of stockholders may be adjourned from time to time, by the chairperson of the meeting or by the vote of a majority of the shares of stock present in person or represented by proxy at the meeting, to reconvene at the same or some other place, and notice need not be given of any such adjourned meeting if the place, if any, and date and time thereof (and the means of remote communication, if any, by which stockholders and proxy holders may be deemed to be present in person and vote at such meeting) are announced at the meeting at which the adjournment is taken unless the adjournment is for more than 30 days or a new record date is fixed for the adjourned meeting after the adjournment, in which case notice of the adjourned meeting in accordance with Section 1.04 of these bylaws shall be given to each stockholder of record entitled to vote at the meeting. At the adjourned meeting, the Corporation may transact any business that might have been transacted at the original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40" w:right="379" w:bottom="1440" w:gutter="0" w:footer="0" w:header="0"/>
        </w:sectPr>
      </w:pPr>
    </w:p>
    <w:bookmarkStart w:id="61" w:name="page62"/>
    <w:bookmarkEnd w:id="6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on x. </w:t>
      </w:r>
      <w:r>
        <w:rPr>
          <w:rFonts w:ascii="Times New Roman" w:cs="Times New Roman" w:eastAsia="Times New Roman" w:hAnsi="Times New Roman"/>
          <w:sz w:val="22"/>
          <w:szCs w:val="22"/>
          <w:u w:val="single" w:color="auto"/>
          <w:color w:val="auto"/>
        </w:rPr>
        <w:t>Organization; Procedure; Inspection of Elections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00" w:firstLine="980"/>
        <w:spacing w:after="0" w:line="244" w:lineRule="auto"/>
        <w:tabs>
          <w:tab w:leader="none" w:pos="198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every meeting of stockholders the presiding officer shall be the Chairman of the Board, or in the event of his or her absence or disability, a presiding officer chosen by resolution of the Board. The Secretary, or in the event of his or her absence or disability, the Assistant Secretary, if any, or if there be no Assistant Secretary, in the absence of the Secretary, an appointee of the presiding officer, shall act as secretary of the meeting. The Board may make such rules or regulations for the conduct of meetings of stockholders as it shall deem necessary, appropriate or convenient. Subject to any such rules and regulations, the presiding officer of any meeting shall have the right and authority to prescribe rules, regulations and procedures for such meeting and to take all such actions as in the judgment of the presiding officer are appropriate for the proper conduct of such meetings. Such rules, regulations or procedures, whether adopted by the Board or prescribed by the presiding officer of the meeting, may include, without limitation, the following: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the establishment of an agenda or order of business for the meeting;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rules and procedures for maintaining order at the meeting and the safety of those present;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limitations on attendance at or participation in the meeting to stockholders of record of the Corporation, their duly authorized and constituted proxies or such other persons as the presiding person of the meeting shall determine;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restrictions on entry to the meeting after the time fixed for the commencement thereof;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of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202" w:lineRule="exact"/>
        <w:rPr>
          <w:rFonts w:ascii="Times New Roman" w:cs="Times New Roman" w:eastAsia="Times New Roman" w:hAnsi="Times New Roman"/>
          <w:sz w:val="22"/>
          <w:szCs w:val="22"/>
          <w:color w:val="auto"/>
        </w:rPr>
      </w:pPr>
    </w:p>
    <w:p>
      <w:pPr>
        <w:ind w:left="100" w:right="140" w:firstLine="980"/>
        <w:spacing w:after="0" w:line="247" w:lineRule="auto"/>
        <w:tabs>
          <w:tab w:leader="none" w:pos="198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Preceding any meeting of the stockholders, the Board may, and when required by law shall, appoint one or more persons to act as inspectors of elections, and may designate one or more alternate inspectors. If no inspector or alternate so appointed by the Board is able to act, or if no inspector or alternate has been appointed and the appointment of an inspector is required by law, the person presiding at the meeting shall appoint one or more inspectors to act at the meeting. No Director or nominee for the office of Director shall be appointed as an inspector of elections. Each inspector, before entering upon the discharge of the duties of an inspector, shall take and sign an oath faithfully to execute the duties of inspector with strict impartiality and according to the best of his or her ability. The inspectors shall discharge their duties in accordance with the requirements of applicable law.</w:t>
      </w:r>
    </w:p>
    <w:p>
      <w:pPr>
        <w:spacing w:after="0" w:line="185" w:lineRule="exact"/>
        <w:rPr>
          <w:sz w:val="20"/>
          <w:szCs w:val="20"/>
          <w:color w:val="auto"/>
        </w:rPr>
      </w:pPr>
    </w:p>
    <w:p>
      <w:pPr>
        <w:jc w:val="both"/>
        <w:ind w:left="100" w:right="80" w:hanging="107"/>
        <w:spacing w:after="0" w:line="275" w:lineRule="auto"/>
        <w:rPr>
          <w:sz w:val="20"/>
          <w:szCs w:val="20"/>
          <w:color w:val="auto"/>
        </w:rPr>
      </w:pPr>
      <w:r>
        <w:rPr>
          <w:rFonts w:ascii="Times New Roman" w:cs="Times New Roman" w:eastAsia="Times New Roman" w:hAnsi="Times New Roman"/>
          <w:sz w:val="21"/>
          <w:szCs w:val="21"/>
          <w:color w:val="auto"/>
        </w:rPr>
        <w:t xml:space="preserve">on xi. </w:t>
      </w:r>
      <w:r>
        <w:rPr>
          <w:rFonts w:ascii="Times New Roman" w:cs="Times New Roman" w:eastAsia="Times New Roman" w:hAnsi="Times New Roman"/>
          <w:sz w:val="21"/>
          <w:szCs w:val="21"/>
          <w:u w:val="single" w:color="auto"/>
          <w:color w:val="auto"/>
        </w:rPr>
        <w:t>Stockholder Action by Written Consent</w:t>
      </w:r>
      <w:r>
        <w:rPr>
          <w:rFonts w:ascii="Times New Roman" w:cs="Times New Roman" w:eastAsia="Times New Roman" w:hAnsi="Times New Roman"/>
          <w:sz w:val="21"/>
          <w:szCs w:val="21"/>
          <w:color w:val="auto"/>
        </w:rPr>
        <w:t>. Except as otherwise provided in the certificate of incorporation, any action required or permitted to be taken at any annual or special meeting of stockholders of the Corporation may be taken only upon the vote of the stockholders at an annual or special meeting duly called and may not be taken by written consent of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340"/>
          </w:cols>
          <w:pgMar w:left="220" w:top="1440" w:right="339" w:bottom="1440" w:gutter="0" w:footer="0" w:header="0"/>
        </w:sectPr>
      </w:pPr>
    </w:p>
    <w:bookmarkStart w:id="62" w:name="page63"/>
    <w:bookmarkEnd w:id="62"/>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n xii. </w:t>
      </w:r>
      <w:r>
        <w:rPr>
          <w:rFonts w:ascii="Times New Roman" w:cs="Times New Roman" w:eastAsia="Times New Roman" w:hAnsi="Times New Roman"/>
          <w:sz w:val="22"/>
          <w:szCs w:val="22"/>
          <w:u w:val="single" w:color="auto"/>
          <w:color w:val="auto"/>
        </w:rPr>
        <w:t>Notice of Stockholder Proposals and Nominations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000" w:hanging="920"/>
        <w:spacing w:after="0"/>
        <w:tabs>
          <w:tab w:leader="none" w:pos="20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00" w:right="40" w:firstLine="980"/>
        <w:spacing w:after="0" w:line="263" w:lineRule="auto"/>
        <w:tabs>
          <w:tab w:leader="none" w:pos="1987"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Nominations of persons for election to the Board and proposals of business to be considered by the stockholders at an annual meeting of stockholders may be made only (x) as specified in the Corporation’s notice of meeting (or any notice supplemental thereto), (y) by or at the direction of the Board, or a committee appointed by the Board for such purpose, or (z) by any stockholder of the Corporation who or which (1) is entitled to vote at the meeting, (2) complies in a timely manner with all notice procedures set forth in this Section 1.12, and (3) is a stockholder of record when the required notice is delivered and at the date of the meeting. A stockholder proposal must constitute a proper matter for corporate action under the DGCL.</w:t>
      </w:r>
    </w:p>
    <w:p>
      <w:pPr>
        <w:spacing w:after="0" w:line="167" w:lineRule="exact"/>
        <w:rPr>
          <w:rFonts w:ascii="Times New Roman" w:cs="Times New Roman" w:eastAsia="Times New Roman" w:hAnsi="Times New Roman"/>
          <w:sz w:val="21"/>
          <w:szCs w:val="21"/>
          <w:color w:val="auto"/>
        </w:rPr>
      </w:pPr>
    </w:p>
    <w:p>
      <w:pPr>
        <w:ind w:left="100" w:firstLine="980"/>
        <w:spacing w:after="0" w:line="245" w:lineRule="auto"/>
        <w:tabs>
          <w:tab w:leader="none" w:pos="198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 in writing of a stockholder nomination or stockholder proposal must be delivered to the attention of the Secretary at the principal place of business of the Corporation not fewer than 90 days nor more than 120 days prior to the first anniversary of the preceding year’s annual meeting (which anniversary date, in the case of the first annual meeting of stockholders following the closing of the Corporation’s initial underwritten public offering of common stock, shall be deemed to be August 15, 2011);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date of the annual meeting is advanced by more than 30 days or delayed by more than 70 days from such anniversary date of the preceding year’s annual meeting, notice by the stockholder to be timely must be so delivered not earlier than 120 days prior to such annual meeting and not later than the close of business on the later of the 90th day prior to such annual meeting or the 10th day following the day on which public announcement of the date of such meeting is first made. If the number of Directors to be elected to the Board at an annual meeting is increased, and if the Corporation does not make a public announcement naming all of the nominees for Director or specifying the size of the increased Board at least 100 days prior to the first anniversary of the preceding year’s annual meeting, then any stockholder nomination in respect of the increased number of positions shall be considered timely if delivered not later than the close of business on the 10th day following the day on which a public announcement naming all nominees or specifying the size of the increased Board is first made by the Corporation.</w:t>
      </w:r>
    </w:p>
    <w:p>
      <w:pPr>
        <w:spacing w:after="0" w:line="191" w:lineRule="exact"/>
        <w:rPr>
          <w:rFonts w:ascii="Times New Roman" w:cs="Times New Roman" w:eastAsia="Times New Roman" w:hAnsi="Times New Roman"/>
          <w:sz w:val="22"/>
          <w:szCs w:val="22"/>
          <w:color w:val="auto"/>
        </w:rPr>
      </w:pPr>
    </w:p>
    <w:p>
      <w:pPr>
        <w:ind w:left="100" w:right="40" w:firstLine="980"/>
        <w:spacing w:after="0" w:line="246" w:lineRule="auto"/>
        <w:tabs>
          <w:tab w:leader="none" w:pos="198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a stockholder nomination shall include, as to each person whom the stockholder proposes to nominate for election or re-election as a Director, all information relating to such person required to be disclosed in solicitations of proxies for election of Directors or is otherwise required, in each case pursuant to and in accordance with Section 14(a)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rules and regulations promulgated thereunder, including such person’s written consent to being named in the proxy statement as a nominee and to serving as a Director if elected. Notice of a stockholder proposal shall include a brief description of the business desired to be brought before the meeting, the text of the proposal (including the text of any resolutions proposed for consideration and if such business includes proposed amendments to the certificate of incorporation and/or bylaws of the Corporation, the text of the proposed amendments), the reasons for conducting such business at the meeting and any material interest in such business of such stockholder and the beneficial owner, if any, on whose behalf the proposal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340"/>
          </w:cols>
          <w:pgMar w:left="220" w:top="1440" w:right="339" w:bottom="1440" w:gutter="0" w:footer="0" w:header="0"/>
        </w:sectPr>
      </w:pPr>
    </w:p>
    <w:bookmarkStart w:id="63" w:name="page64"/>
    <w:bookmarkEnd w:id="63"/>
    <w:p>
      <w:pPr>
        <w:spacing w:after="0" w:line="198" w:lineRule="exact"/>
        <w:rPr>
          <w:sz w:val="20"/>
          <w:szCs w:val="20"/>
          <w:color w:val="auto"/>
        </w:rPr>
      </w:pPr>
    </w:p>
    <w:p>
      <w:pPr>
        <w:ind w:right="180" w:firstLine="980"/>
        <w:spacing w:after="0" w:line="271" w:lineRule="auto"/>
        <w:tabs>
          <w:tab w:leader="none" w:pos="1885"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a stockholder nomination or proposal shall also set forth, as to the stockholder giving the notice and the beneficial owner, if any, on whose behalf the nomination or proposal is made:</w:t>
      </w:r>
    </w:p>
    <w:p>
      <w:pPr>
        <w:spacing w:after="0" w:line="157" w:lineRule="exact"/>
        <w:rPr>
          <w:rFonts w:ascii="Times New Roman" w:cs="Times New Roman" w:eastAsia="Times New Roman" w:hAnsi="Times New Roman"/>
          <w:sz w:val="22"/>
          <w:szCs w:val="22"/>
          <w:color w:val="auto"/>
        </w:rPr>
      </w:pPr>
    </w:p>
    <w:p>
      <w:pPr>
        <w:ind w:right="460" w:firstLine="758"/>
        <w:spacing w:after="0" w:line="271" w:lineRule="auto"/>
        <w:tabs>
          <w:tab w:leader="none" w:pos="124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such stockholder, as they appear on the Corporation’s books and records, and of such beneficial owner;</w:t>
      </w:r>
    </w:p>
    <w:p>
      <w:pPr>
        <w:spacing w:after="0" w:line="157" w:lineRule="exact"/>
        <w:rPr>
          <w:rFonts w:ascii="Times New Roman" w:cs="Times New Roman" w:eastAsia="Times New Roman" w:hAnsi="Times New Roman"/>
          <w:sz w:val="22"/>
          <w:szCs w:val="22"/>
          <w:color w:val="auto"/>
        </w:rPr>
      </w:pPr>
    </w:p>
    <w:p>
      <w:pPr>
        <w:ind w:right="300" w:firstLine="698"/>
        <w:spacing w:after="0" w:line="271" w:lineRule="auto"/>
        <w:tabs>
          <w:tab w:leader="none" w:pos="124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or series and number of shares of capital stock of the Corporation which are owned beneficially and of record by such stockholder and such beneficial owner;</w:t>
      </w:r>
    </w:p>
    <w:p>
      <w:pPr>
        <w:spacing w:after="0" w:line="157" w:lineRule="exact"/>
        <w:rPr>
          <w:rFonts w:ascii="Times New Roman" w:cs="Times New Roman" w:eastAsia="Times New Roman" w:hAnsi="Times New Roman"/>
          <w:sz w:val="22"/>
          <w:szCs w:val="22"/>
          <w:color w:val="auto"/>
        </w:rPr>
      </w:pPr>
    </w:p>
    <w:p>
      <w:pPr>
        <w:ind w:right="240" w:firstLine="638"/>
        <w:spacing w:after="0" w:line="257" w:lineRule="auto"/>
        <w:tabs>
          <w:tab w:leader="none" w:pos="124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agreement, arrangement or understanding between or among such stockholder and any such beneficial owner, any of their respective affiliates or associates, and any other person or persons (including their names) in connection with the proposal of such nomination or other business;</w:t>
      </w:r>
    </w:p>
    <w:p>
      <w:pPr>
        <w:spacing w:after="0" w:line="172" w:lineRule="exact"/>
        <w:rPr>
          <w:rFonts w:ascii="Times New Roman" w:cs="Times New Roman" w:eastAsia="Times New Roman" w:hAnsi="Times New Roman"/>
          <w:sz w:val="22"/>
          <w:szCs w:val="22"/>
          <w:color w:val="auto"/>
        </w:rPr>
      </w:pPr>
    </w:p>
    <w:p>
      <w:pPr>
        <w:ind w:right="60" w:firstLine="650"/>
        <w:spacing w:after="0" w:line="263" w:lineRule="auto"/>
        <w:tabs>
          <w:tab w:leader="none" w:pos="122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stockholder or any such beneficial owner or any such nominee with respect to the Corporation’s securities (a “</w:t>
      </w:r>
      <w:r>
        <w:rPr>
          <w:rFonts w:ascii="Times New Roman" w:cs="Times New Roman" w:eastAsia="Times New Roman" w:hAnsi="Times New Roman"/>
          <w:sz w:val="21"/>
          <w:szCs w:val="21"/>
          <w:u w:val="single" w:color="auto"/>
          <w:color w:val="auto"/>
        </w:rPr>
        <w:t>Derivative Instrument</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ind w:firstLine="710"/>
        <w:spacing w:after="0" w:line="250" w:lineRule="auto"/>
        <w:tabs>
          <w:tab w:leader="none" w:pos="122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disclosed pursuant to clause (4) above, the principal amount of any indebtedness of the Corporation or any of its subsidiaries beneficially owned by such stockholder or by any such beneficial owner, together with the title of the instrument under which such indebtedness was issued and a description of any Derivative Instrument entered into by or on behalf of such stockholder or such beneficial owner relating to the value or payment of any indebtedness of the Corporation or any such subsidiary;</w:t>
      </w:r>
    </w:p>
    <w:p>
      <w:pPr>
        <w:spacing w:after="0" w:line="180" w:lineRule="exact"/>
        <w:rPr>
          <w:rFonts w:ascii="Times New Roman" w:cs="Times New Roman" w:eastAsia="Times New Roman" w:hAnsi="Times New Roman"/>
          <w:sz w:val="22"/>
          <w:szCs w:val="22"/>
          <w:color w:val="auto"/>
        </w:rPr>
      </w:pPr>
    </w:p>
    <w:p>
      <w:pPr>
        <w:ind w:right="620" w:firstLine="650"/>
        <w:spacing w:after="0" w:line="271" w:lineRule="auto"/>
        <w:tabs>
          <w:tab w:leader="none" w:pos="124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stockholder is a holder of record of stock of the Corporation entitled to vote at such meeting and intends to appear in person or by proxy at the meeting to propose such business or nomination; and</w:t>
      </w:r>
    </w:p>
    <w:p>
      <w:pPr>
        <w:spacing w:after="0" w:line="157" w:lineRule="exact"/>
        <w:rPr>
          <w:rFonts w:ascii="Times New Roman" w:cs="Times New Roman" w:eastAsia="Times New Roman" w:hAnsi="Times New Roman"/>
          <w:sz w:val="22"/>
          <w:szCs w:val="22"/>
          <w:color w:val="auto"/>
        </w:rPr>
      </w:pPr>
    </w:p>
    <w:p>
      <w:pPr>
        <w:ind w:right="80" w:firstLine="590"/>
        <w:spacing w:after="0" w:line="252" w:lineRule="auto"/>
        <w:tabs>
          <w:tab w:leader="none" w:pos="124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as to whether the stockholder or the beneficial owner, if any, intends or is part of a group which intends (x) to deliver a proxy statement and/or form of proxy to holders of at least the percentage of the Corporation’s outstanding capital stock required to elect the nominee or to approve or adopt the proposal and/or (y) otherwise to solicit proxies from stockholders in support of such nomination or proposal.</w:t>
      </w:r>
    </w:p>
    <w:p>
      <w:pPr>
        <w:spacing w:after="0" w:line="17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2"/>
          <w:szCs w:val="22"/>
          <w:color w:val="auto"/>
        </w:rPr>
        <w:t>If requested by the Corporation, the information required under clauses (iv)(2), (3), (4) and (5) of the preceding sentence of this Section 1.12(a) shall be supplemented by such stockholder and any such beneficial owner not later than 10 days after the record date for notice of the meeting to disclose such information as of such record date. The foregoing notice requirements of this Section 1.12(a) shall be deemed satisfied by a stockholder with respect to business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40" w:right="379" w:bottom="1440" w:gutter="0" w:footer="0" w:header="0"/>
        </w:sectPr>
      </w:pPr>
    </w:p>
    <w:bookmarkStart w:id="64" w:name="page65"/>
    <w:bookmarkEnd w:id="64"/>
    <w:p>
      <w:pPr>
        <w:spacing w:after="0" w:line="19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2"/>
          <w:szCs w:val="22"/>
          <w:color w:val="auto"/>
        </w:rPr>
        <w:t>nomination if the stockholder has notified the Corporation of his or her intention to present a proposal or make a nomination at an annual meeting in compliance with the applicable rules and regulations promulgated under the Exchange Act and such stockholder’s proposal or nomination has been included in a proxy statement that has been prepared by the Corporation to solicit proxies for such annual meeting.</w:t>
      </w:r>
    </w:p>
    <w:p>
      <w:pPr>
        <w:spacing w:after="0" w:line="179" w:lineRule="exact"/>
        <w:rPr>
          <w:sz w:val="20"/>
          <w:szCs w:val="20"/>
          <w:color w:val="auto"/>
        </w:rPr>
      </w:pPr>
    </w:p>
    <w:p>
      <w:pPr>
        <w:ind w:left="1900" w:hanging="920"/>
        <w:spacing w:after="0"/>
        <w:tabs>
          <w:tab w:leader="none" w:pos="19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Meetings.</w:t>
      </w:r>
    </w:p>
    <w:p>
      <w:pPr>
        <w:spacing w:after="0" w:line="220" w:lineRule="exact"/>
        <w:rPr>
          <w:sz w:val="20"/>
          <w:szCs w:val="20"/>
          <w:color w:val="auto"/>
        </w:rPr>
      </w:pPr>
    </w:p>
    <w:p>
      <w:pPr>
        <w:ind w:right="80" w:firstLine="980"/>
        <w:spacing w:after="0" w:line="246" w:lineRule="auto"/>
        <w:tabs>
          <w:tab w:leader="none" w:pos="188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such business shall be conducted at a special meeting of stockholders as shall have been brought before the meeting pursuant to the Corporation’s notice of meeting pursuant to Section 1.04 of these bylaws. Nominations of persons for election to the Board at a special meeting of stockholders may be made only (x) as specified in the Corporation’s notice of meeting (or any supplement thereto), (y) by or at the direction of the Board, or a committee appointed by the Board for such purpose, if the Corporation’s notice of meeting indicated that the purposes of meeting included the election of Directors and specified the number of Directors to be elected, or (z) subject to the provisions of these bylaws, by any stockholder of the Corporation. A stockholder may nominate persons for election to the board (a “</w:t>
      </w:r>
      <w:r>
        <w:rPr>
          <w:rFonts w:ascii="Times New Roman" w:cs="Times New Roman" w:eastAsia="Times New Roman" w:hAnsi="Times New Roman"/>
          <w:sz w:val="22"/>
          <w:szCs w:val="22"/>
          <w:u w:val="single" w:color="auto"/>
          <w:color w:val="auto"/>
        </w:rPr>
        <w:t>stockholder nomination</w:t>
      </w:r>
      <w:r>
        <w:rPr>
          <w:rFonts w:ascii="Times New Roman" w:cs="Times New Roman" w:eastAsia="Times New Roman" w:hAnsi="Times New Roman"/>
          <w:sz w:val="22"/>
          <w:szCs w:val="22"/>
          <w:color w:val="auto"/>
        </w:rPr>
        <w:t>”) at a special meeting only if the stockholder (1) is entitled to vote at the meeting, (2) complies in a timely manner with the notice procedures set forth in paragraph (ii) of this Section 1.12(b), and (3) is a stockholder of record when the required notice is delivered and at the date of the meeting.</w:t>
      </w:r>
    </w:p>
    <w:p>
      <w:pPr>
        <w:spacing w:after="0" w:line="187" w:lineRule="exact"/>
        <w:rPr>
          <w:rFonts w:ascii="Times New Roman" w:cs="Times New Roman" w:eastAsia="Times New Roman" w:hAnsi="Times New Roman"/>
          <w:sz w:val="22"/>
          <w:szCs w:val="22"/>
          <w:color w:val="auto"/>
        </w:rPr>
      </w:pPr>
    </w:p>
    <w:p>
      <w:pPr>
        <w:ind w:firstLine="980"/>
        <w:spacing w:after="0" w:line="246" w:lineRule="auto"/>
        <w:tabs>
          <w:tab w:leader="none" w:pos="188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in writing of a stockholder nomination must be delivered to the attention of the Secretary at the principal place of business of the Corporation not more than 120 days prior to the date of the meeting and not later than the close of business on the later of the 90th day prior to the meeting or the 10th day following the last to occur of the public announcement by the Corporation of the date of such meeting and the public announcement by the Corporation of the nominees proposed by the Board to be elected at such meeting, and must comply with the provisions of Sections 1.12(a)(iii) and (iv) of these bylaws. The foregoing notice requirements of this Section 1.12(b) shall be deemed satisfied by a stockholder with respect to a nomination if the stockholder has notified the Corporation of his or her intention to present a nomination at such special meeting in compliance with the applicable rules and regulations promulgated under the Exchange Act and such stockholder’s nomination has been included in a proxy statement that has been prepared by the Corporation to solicit proxies for such special meeting.</w:t>
      </w:r>
    </w:p>
    <w:p>
      <w:pPr>
        <w:spacing w:after="0" w:line="188" w:lineRule="exact"/>
        <w:rPr>
          <w:sz w:val="20"/>
          <w:szCs w:val="20"/>
          <w:color w:val="auto"/>
        </w:rPr>
      </w:pPr>
    </w:p>
    <w:p>
      <w:pPr>
        <w:ind w:left="1900" w:hanging="920"/>
        <w:spacing w:after="0"/>
        <w:tabs>
          <w:tab w:leader="none" w:pos="19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980"/>
        <w:spacing w:after="0" w:line="248" w:lineRule="auto"/>
        <w:tabs>
          <w:tab w:leader="none" w:pos="188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in any applicable rule or regulation promulgated under the Exchange Act, only such persons who are nominated in accordance with the procedures set forth in this Section 1.12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1.12. Except as otherwise provided by law, the certificate of incorporation or these bylaws, the presiding officer of a meeting of stockholders shall have the power and duty (x) to determine whether a nomination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98"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22"/>
          <w:szCs w:val="22"/>
          <w:color w:val="auto"/>
        </w:rPr>
        <w:t>any business proposed to be brought before the meeting was made in accordance with the procedures set forth in this Section 1.12, and (y) if any proposed nomination or business is not in compliance with this Section 1.12, to declare that such defective nomination shall be disregarded or that such proposed business shall not be transacted.</w:t>
      </w:r>
    </w:p>
    <w:p>
      <w:pPr>
        <w:spacing w:after="0" w:line="173" w:lineRule="exact"/>
        <w:rPr>
          <w:sz w:val="20"/>
          <w:szCs w:val="20"/>
          <w:color w:val="auto"/>
        </w:rPr>
      </w:pPr>
    </w:p>
    <w:p>
      <w:pPr>
        <w:ind w:firstLine="980"/>
        <w:spacing w:after="0" w:line="246" w:lineRule="auto"/>
        <w:tabs>
          <w:tab w:leader="none" w:pos="188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require any proposed stockholder nominee for Director to furnish such other information as it may reasonably require to determine the eligibility of such proposed nominee to serve as a Director of the Corporation. If the stockholder (or a qualified representative of the stockholder) making a nomination or proposal under this Section 1.12 does not appear at a meeting of stockholders to present such nomination or proposal, the nomination shall be disregarded and/or the proposed business shall not be transacted, as the case may be, notwithstanding that proxies in favor thereof may have been received by the Corporation. For purposes of this Section 1.12,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87" w:lineRule="exact"/>
        <w:rPr>
          <w:rFonts w:ascii="Times New Roman" w:cs="Times New Roman" w:eastAsia="Times New Roman" w:hAnsi="Times New Roman"/>
          <w:sz w:val="22"/>
          <w:szCs w:val="22"/>
          <w:color w:val="auto"/>
        </w:rPr>
      </w:pPr>
    </w:p>
    <w:p>
      <w:pPr>
        <w:ind w:right="120" w:firstLine="980"/>
        <w:spacing w:after="0" w:line="275" w:lineRule="auto"/>
        <w:tabs>
          <w:tab w:leader="none" w:pos="1887"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1.12, “</w:t>
      </w:r>
      <w:r>
        <w:rPr>
          <w:rFonts w:ascii="Times New Roman" w:cs="Times New Roman" w:eastAsia="Times New Roman" w:hAnsi="Times New Roman"/>
          <w:sz w:val="21"/>
          <w:szCs w:val="21"/>
          <w:u w:val="single" w:color="auto"/>
          <w:color w:val="auto"/>
        </w:rPr>
        <w:t>public announcement</w:t>
      </w:r>
      <w:r>
        <w:rPr>
          <w:rFonts w:ascii="Times New Roman" w:cs="Times New Roman" w:eastAsia="Times New Roman" w:hAnsi="Times New Roman"/>
          <w:sz w:val="21"/>
          <w:szCs w:val="21"/>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55" w:lineRule="exact"/>
        <w:rPr>
          <w:rFonts w:ascii="Times New Roman" w:cs="Times New Roman" w:eastAsia="Times New Roman" w:hAnsi="Times New Roman"/>
          <w:sz w:val="21"/>
          <w:szCs w:val="21"/>
          <w:color w:val="auto"/>
        </w:rPr>
      </w:pPr>
    </w:p>
    <w:p>
      <w:pPr>
        <w:ind w:right="20" w:firstLine="980"/>
        <w:spacing w:after="0" w:line="258" w:lineRule="auto"/>
        <w:tabs>
          <w:tab w:leader="none" w:pos="188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provisions of this Section 1.12, a stockholder shall also comply with all applicable requirements of the Exchange Act and the rules and regulations thereunder with respect to the matters set forth in this Section 1.12;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1.12 and compliance with paragraphs (a) and (b) of this Section 1.12 shall be the exclusive means for a stockholder to make nominations or submit other business (other than, as provided in the last sentences of paragraphs (a) and (b) hereof, business or nominations brought properly under and in compliance with Rule 14a-8 or Rule 14a-11 of the Exchange Act, as such Rules may be amended from time to time). Nothing in this Section 1.12 shall be deemed to affect any rights of (x) stockholders to request inclusion of proposals in the Corporation’s proxy statement pursuant to Rule 14a-8 under the Exchange Act or (y) the holders of any series of preferred stock to elect Directors pursuant to any applicable provisions of the certificate of incorporation or of the relevant preferred stock certificate or designation.</w:t>
      </w:r>
    </w:p>
    <w:p>
      <w:pPr>
        <w:spacing w:after="0" w:line="181" w:lineRule="exact"/>
        <w:rPr>
          <w:rFonts w:ascii="Times New Roman" w:cs="Times New Roman" w:eastAsia="Times New Roman" w:hAnsi="Times New Roman"/>
          <w:sz w:val="21"/>
          <w:szCs w:val="21"/>
          <w:color w:val="auto"/>
        </w:rPr>
      </w:pPr>
    </w:p>
    <w:p>
      <w:pPr>
        <w:ind w:right="20" w:firstLine="980"/>
        <w:spacing w:after="0" w:line="257" w:lineRule="auto"/>
        <w:tabs>
          <w:tab w:leader="none" w:pos="188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announcement of an adjournment or postponement of an annual or special meeting does not commence a new time period (and does not extend any time period) for the giving of notice of a stockholder nomination or a stockholder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66" w:name="page67"/>
    <w:bookmarkEnd w:id="66"/>
    <w:p>
      <w:pPr>
        <w:spacing w:after="0" w:line="90" w:lineRule="exact"/>
        <w:rPr>
          <w:sz w:val="20"/>
          <w:szCs w:val="20"/>
          <w:color w:val="auto"/>
        </w:rPr>
      </w:pPr>
    </w:p>
    <w:p>
      <w:pPr>
        <w:jc w:val="center"/>
        <w:ind w:right="-19"/>
        <w:spacing w:after="0"/>
        <w:tabs>
          <w:tab w:leader="none" w:pos="420" w:val="left"/>
        </w:tabs>
        <w:rPr>
          <w:sz w:val="20"/>
          <w:szCs w:val="20"/>
          <w:color w:val="auto"/>
        </w:rPr>
      </w:pPr>
      <w:r>
        <w:rPr>
          <w:rFonts w:ascii="Times New Roman" w:cs="Times New Roman" w:eastAsia="Times New Roman" w:hAnsi="Times New Roman"/>
          <w:sz w:val="22"/>
          <w:szCs w:val="22"/>
          <w:color w:val="auto"/>
        </w:rPr>
        <w:t>Article II.</w:t>
      </w:r>
      <w:r>
        <w:rPr>
          <w:sz w:val="20"/>
          <w:szCs w:val="20"/>
          <w:color w:val="auto"/>
        </w:rPr>
        <w:tab/>
      </w:r>
      <w:r>
        <w:rPr>
          <w:rFonts w:ascii="Times New Roman" w:cs="Times New Roman" w:eastAsia="Times New Roman" w:hAnsi="Times New Roman"/>
          <w:sz w:val="21"/>
          <w:szCs w:val="21"/>
          <w:u w:val="single" w:color="auto"/>
          <w:color w:val="auto"/>
        </w:rPr>
        <w:t>BOARD OF DIRECTORS</w:t>
      </w:r>
    </w:p>
    <w:p>
      <w:pPr>
        <w:spacing w:after="0" w:line="220" w:lineRule="exact"/>
        <w:rPr>
          <w:sz w:val="20"/>
          <w:szCs w:val="20"/>
          <w:color w:val="auto"/>
        </w:rPr>
      </w:pPr>
    </w:p>
    <w:p>
      <w:pPr>
        <w:ind w:right="180" w:hanging="107"/>
        <w:spacing w:after="0" w:line="275" w:lineRule="auto"/>
        <w:rPr>
          <w:sz w:val="20"/>
          <w:szCs w:val="20"/>
          <w:color w:val="auto"/>
        </w:rPr>
      </w:pPr>
      <w:r>
        <w:rPr>
          <w:rFonts w:ascii="Times New Roman" w:cs="Times New Roman" w:eastAsia="Times New Roman" w:hAnsi="Times New Roman"/>
          <w:sz w:val="21"/>
          <w:szCs w:val="21"/>
          <w:color w:val="auto"/>
        </w:rPr>
        <w:t xml:space="preserve">ion i. </w:t>
      </w:r>
      <w:r>
        <w:rPr>
          <w:rFonts w:ascii="Times New Roman" w:cs="Times New Roman" w:eastAsia="Times New Roman" w:hAnsi="Times New Roman"/>
          <w:sz w:val="21"/>
          <w:szCs w:val="21"/>
          <w:u w:val="single" w:color="auto"/>
          <w:color w:val="auto"/>
        </w:rPr>
        <w:t>General Powers</w:t>
      </w:r>
      <w:r>
        <w:rPr>
          <w:rFonts w:ascii="Times New Roman" w:cs="Times New Roman" w:eastAsia="Times New Roman" w:hAnsi="Times New Roman"/>
          <w:sz w:val="21"/>
          <w:szCs w:val="21"/>
          <w:color w:val="auto"/>
        </w:rPr>
        <w:t>. Except as may otherwise be provided by law or by the certificate of incorporation, the affairs and business of the Corporation shall be managed by or under the direction of the Board and the Board may exercise all the powers and authority of the Corporation. The Directors shall act only as a Board, and the individual Directors shall have no power as such.</w:t>
      </w:r>
    </w:p>
    <w:p>
      <w:pPr>
        <w:spacing w:after="0" w:line="155" w:lineRule="exact"/>
        <w:rPr>
          <w:sz w:val="20"/>
          <w:szCs w:val="20"/>
          <w:color w:val="auto"/>
        </w:rPr>
      </w:pPr>
    </w:p>
    <w:p>
      <w:pPr>
        <w:ind w:right="140" w:hanging="107"/>
        <w:spacing w:after="0" w:line="259" w:lineRule="auto"/>
        <w:rPr>
          <w:sz w:val="20"/>
          <w:szCs w:val="20"/>
          <w:color w:val="auto"/>
        </w:rPr>
      </w:pPr>
      <w:r>
        <w:rPr>
          <w:rFonts w:ascii="Times New Roman" w:cs="Times New Roman" w:eastAsia="Times New Roman" w:hAnsi="Times New Roman"/>
          <w:sz w:val="21"/>
          <w:szCs w:val="21"/>
          <w:color w:val="auto"/>
        </w:rPr>
        <w:t xml:space="preserve">on ii. </w:t>
      </w:r>
      <w:r>
        <w:rPr>
          <w:rFonts w:ascii="Times New Roman" w:cs="Times New Roman" w:eastAsia="Times New Roman" w:hAnsi="Times New Roman"/>
          <w:sz w:val="21"/>
          <w:szCs w:val="21"/>
          <w:u w:val="single" w:color="auto"/>
          <w:color w:val="auto"/>
        </w:rPr>
        <w:t>Number and Term of Office</w:t>
      </w:r>
      <w:r>
        <w:rPr>
          <w:rFonts w:ascii="Times New Roman" w:cs="Times New Roman" w:eastAsia="Times New Roman" w:hAnsi="Times New Roman"/>
          <w:sz w:val="21"/>
          <w:szCs w:val="21"/>
          <w:color w:val="auto"/>
        </w:rPr>
        <w:t xml:space="preserve">. Subject to the provisions of the certificate of incorporation, and any rights of the holders of shares of any class or series of preferred stock, if any, to elect additional Directors, at each meeting of stockholders for the election of Directors, provided a quorum is present, each Director who is standing for election shall be elected by the vote of the majority of the votes cast with respect to that Director’s election;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the Directors shall be elected by the vote of a plurality of votes cast in connection with the election of Directors at any meeting of stockholders with respect to which</w:t>
      </w:r>
    </w:p>
    <w:p>
      <w:pPr>
        <w:spacing w:after="0" w:line="4" w:lineRule="exact"/>
        <w:rPr>
          <w:sz w:val="20"/>
          <w:szCs w:val="20"/>
          <w:color w:val="auto"/>
        </w:rPr>
      </w:pPr>
    </w:p>
    <w:p>
      <w:pPr>
        <w:ind w:right="100" w:firstLine="8"/>
        <w:spacing w:after="0" w:line="233" w:lineRule="auto"/>
        <w:tabs>
          <w:tab w:leader="none" w:pos="25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has nominated a person for election to the Board in compliance with the requirements for stockholder nominees for director set forth in Section 1.12 of these bylaws, and (ii) such nomination has not been withdrawn by such stockholder prior to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preceding the date the Corporation first mails its notice of meeting for such meeting to the stockholders (a “</w:t>
      </w:r>
      <w:r>
        <w:rPr>
          <w:rFonts w:ascii="Times New Roman" w:cs="Times New Roman" w:eastAsia="Times New Roman" w:hAnsi="Times New Roman"/>
          <w:sz w:val="22"/>
          <w:szCs w:val="22"/>
          <w:u w:val="single" w:color="auto"/>
          <w:color w:val="auto"/>
        </w:rPr>
        <w:t>Contested Election</w:t>
      </w:r>
      <w:r>
        <w:rPr>
          <w:rFonts w:ascii="Times New Roman" w:cs="Times New Roman" w:eastAsia="Times New Roman" w:hAnsi="Times New Roman"/>
          <w:sz w:val="22"/>
          <w:szCs w:val="22"/>
          <w:color w:val="auto"/>
        </w:rPr>
        <w:t>”). For purposes of this Section, “a majority of the votes cast” means that the number of shares voted “for” a nominee’s election exceeds the number of shares voted “against” such nominee’s election (with “abstentions” and “broker nonvotes” not counted as a vote cast either “for” or “against” that Director’s election).</w:t>
      </w:r>
    </w:p>
    <w:p>
      <w:pPr>
        <w:spacing w:after="0" w:line="19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Any nominee who is an incumbent Director and does not receive a majority of the votes cast in an election that is not a Contested Election must promptly tender his or her resignation contingent on the acceptance of that resignation by the Board to the Chairman of the Board following certification of the election results. In the event that such a resignation is tendered, the Nominating and Corporate Governance Committee, or another duly authorized committee designated by the Board, shall recommend to the Board whether to accept or reject the tendered resignation or whether other action should be taken. The Board shall act on the resignation, considering the Nominating and Corporate Governance Committee’s recommendation no later than at its first regularly scheduled meeting following certification of the election results and shall publicly disclose the Board’s decision (including, if applicable, the reasons for rejecting the tendered resignation) in a periodic or current report filed with the Securities and Exchange Commission.</w:t>
      </w:r>
    </w:p>
    <w:p>
      <w:pPr>
        <w:spacing w:after="0" w:line="191"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22"/>
          <w:szCs w:val="22"/>
          <w:color w:val="auto"/>
        </w:rPr>
        <w:t>If one or more Directors’ resignations are accepted by the Board, or if a nominee for director who is not an incumbent Director is not elected, the Board may fill the resulting vacancy or vacancies pursuant to Section 2.13 of these bylaws or reduce the size of the Board pursuant to Section 2.02 of these bylaws.</w:t>
      </w:r>
    </w:p>
    <w:p>
      <w:pPr>
        <w:spacing w:after="0" w:line="17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Any Director who tenders his or her resignation pursuant to this provision will not participate in the Nominating and Corporate Governance Committee’s recommendation or Board’s decision regarding the tendered resignation. If a majority of the members of the Nominating and Corporate Governance Committee failed to receive a majority vote at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98" w:lineRule="exact"/>
        <w:rPr>
          <w:sz w:val="20"/>
          <w:szCs w:val="20"/>
          <w:color w:val="auto"/>
        </w:rPr>
      </w:pPr>
    </w:p>
    <w:p>
      <w:pPr>
        <w:ind w:left="100" w:right="560"/>
        <w:spacing w:after="0" w:line="257" w:lineRule="auto"/>
        <w:rPr>
          <w:sz w:val="20"/>
          <w:szCs w:val="20"/>
          <w:color w:val="auto"/>
        </w:rPr>
      </w:pPr>
      <w:r>
        <w:rPr>
          <w:rFonts w:ascii="Times New Roman" w:cs="Times New Roman" w:eastAsia="Times New Roman" w:hAnsi="Times New Roman"/>
          <w:sz w:val="22"/>
          <w:szCs w:val="22"/>
          <w:color w:val="auto"/>
        </w:rPr>
        <w:t>election, then the Board will appoint a Board committee solely for the purpose of considering the tendered resignations, consisting of one or more of the Directors who were not required to tender a resignation pursuant to this provision, and will recommend to the Board whether to accept or reject them.</w:t>
      </w:r>
    </w:p>
    <w:p>
      <w:pPr>
        <w:spacing w:after="0" w:line="173" w:lineRule="exact"/>
        <w:rPr>
          <w:sz w:val="20"/>
          <w:szCs w:val="20"/>
          <w:color w:val="auto"/>
        </w:rPr>
      </w:pPr>
    </w:p>
    <w:p>
      <w:pPr>
        <w:ind w:left="100" w:right="40" w:hanging="107"/>
        <w:spacing w:after="0" w:line="271" w:lineRule="auto"/>
        <w:rPr>
          <w:sz w:val="20"/>
          <w:szCs w:val="20"/>
          <w:color w:val="auto"/>
        </w:rPr>
      </w:pPr>
      <w:r>
        <w:rPr>
          <w:rFonts w:ascii="Times New Roman" w:cs="Times New Roman" w:eastAsia="Times New Roman" w:hAnsi="Times New Roman"/>
          <w:sz w:val="22"/>
          <w:szCs w:val="22"/>
          <w:color w:val="auto"/>
        </w:rPr>
        <w:t xml:space="preserve">on iii.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Regular meetings of the Board shall be held on such dates, and at such times and places as are determined from time to time by resolution of the Board.</w:t>
      </w:r>
    </w:p>
    <w:p>
      <w:pPr>
        <w:spacing w:after="0" w:line="158" w:lineRule="exact"/>
        <w:rPr>
          <w:sz w:val="20"/>
          <w:szCs w:val="20"/>
          <w:color w:val="auto"/>
        </w:rPr>
      </w:pPr>
    </w:p>
    <w:p>
      <w:pPr>
        <w:ind w:left="100" w:right="60" w:hanging="107"/>
        <w:spacing w:after="0" w:line="275" w:lineRule="auto"/>
        <w:rPr>
          <w:sz w:val="20"/>
          <w:szCs w:val="20"/>
          <w:color w:val="auto"/>
        </w:rPr>
      </w:pPr>
      <w:r>
        <w:rPr>
          <w:rFonts w:ascii="Times New Roman" w:cs="Times New Roman" w:eastAsia="Times New Roman" w:hAnsi="Times New Roman"/>
          <w:sz w:val="21"/>
          <w:szCs w:val="21"/>
          <w:color w:val="auto"/>
        </w:rPr>
        <w:t xml:space="preserve">on iv. </w:t>
      </w:r>
      <w:r>
        <w:rPr>
          <w:rFonts w:ascii="Times New Roman" w:cs="Times New Roman" w:eastAsia="Times New Roman" w:hAnsi="Times New Roman"/>
          <w:sz w:val="21"/>
          <w:szCs w:val="21"/>
          <w:u w:val="single" w:color="auto"/>
          <w:color w:val="auto"/>
        </w:rPr>
        <w:t>Special Meetings</w:t>
      </w:r>
      <w:r>
        <w:rPr>
          <w:rFonts w:ascii="Times New Roman" w:cs="Times New Roman" w:eastAsia="Times New Roman" w:hAnsi="Times New Roman"/>
          <w:sz w:val="21"/>
          <w:szCs w:val="21"/>
          <w:color w:val="auto"/>
        </w:rPr>
        <w:t>. Special meetings of the Board shall be held whenever called by the President or, in the event of his or her absence or disability, by any Vice President, or by a majority of the Directors then in office, at such place, date and time as may be specified in the respective notices or waivers of notice of such meetings. Any business may be conducted at a special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on v. </w:t>
      </w:r>
      <w:r>
        <w:rPr>
          <w:rFonts w:ascii="Times New Roman" w:cs="Times New Roman" w:eastAsia="Times New Roman" w:hAnsi="Times New Roman"/>
          <w:sz w:val="22"/>
          <w:szCs w:val="22"/>
          <w:u w:val="single" w:color="auto"/>
          <w:color w:val="auto"/>
        </w:rPr>
        <w:t>Notice of Meetings; Waiver of Notice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00" w:firstLine="980"/>
        <w:spacing w:after="0" w:line="248" w:lineRule="auto"/>
        <w:tabs>
          <w:tab w:leader="none" w:pos="198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of special meetings shall be given to each Director, and notice of each resolution or other action affecting the date, time or place of one or more regular meetings shall be given to each Director not present at the meeting adopting such resolution or other action, subject to Section 2.08 of these bylaws. Notices shall be given personally, or by telephone confirmed by facsimile or email dispatched promptly thereafter, or by facsimile or email confirmed by a writing delivered by a recognized overnight courier service, directed to each Director at the address from time to time designated by such Director to the Secretary. Each such notice and confirmation must be given (received in the case of personal service or delivery of written confirmation) at least 24 hours prior to the time of a meeting.</w:t>
      </w:r>
    </w:p>
    <w:p>
      <w:pPr>
        <w:spacing w:after="0" w:line="181" w:lineRule="exact"/>
        <w:rPr>
          <w:rFonts w:ascii="Times New Roman" w:cs="Times New Roman" w:eastAsia="Times New Roman" w:hAnsi="Times New Roman"/>
          <w:sz w:val="22"/>
          <w:szCs w:val="22"/>
          <w:color w:val="auto"/>
        </w:rPr>
      </w:pPr>
    </w:p>
    <w:p>
      <w:pPr>
        <w:ind w:left="100" w:right="20" w:firstLine="980"/>
        <w:spacing w:after="0" w:line="250" w:lineRule="auto"/>
        <w:tabs>
          <w:tab w:leader="none" w:pos="198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waiver of notice of meeting signed by a Director or a waiver by electronic transmission by a Director, whether given before or after the meeting time stated in such notice, is deemed equivalent to notice. Attendance of a Director at a meeting is a waiver of notice of such meeting, except when the Director attends a meeting for the express purpose of objecting at the beginning of the meeting to the transaction of any business at the meeting on the ground that the meeting is not lawfully called or convened.</w:t>
      </w:r>
    </w:p>
    <w:p>
      <w:pPr>
        <w:spacing w:after="0" w:line="181" w:lineRule="exact"/>
        <w:rPr>
          <w:sz w:val="20"/>
          <w:szCs w:val="20"/>
          <w:color w:val="auto"/>
        </w:rPr>
      </w:pPr>
    </w:p>
    <w:p>
      <w:pPr>
        <w:ind w:left="100" w:right="120" w:hanging="107"/>
        <w:spacing w:after="0" w:line="275" w:lineRule="auto"/>
        <w:rPr>
          <w:sz w:val="20"/>
          <w:szCs w:val="20"/>
          <w:color w:val="auto"/>
        </w:rPr>
      </w:pPr>
      <w:r>
        <w:rPr>
          <w:rFonts w:ascii="Times New Roman" w:cs="Times New Roman" w:eastAsia="Times New Roman" w:hAnsi="Times New Roman"/>
          <w:sz w:val="21"/>
          <w:szCs w:val="21"/>
          <w:color w:val="auto"/>
        </w:rPr>
        <w:t xml:space="preserve">on vi. </w:t>
      </w:r>
      <w:r>
        <w:rPr>
          <w:rFonts w:ascii="Times New Roman" w:cs="Times New Roman" w:eastAsia="Times New Roman" w:hAnsi="Times New Roman"/>
          <w:sz w:val="21"/>
          <w:szCs w:val="21"/>
          <w:u w:val="single" w:color="auto"/>
          <w:color w:val="auto"/>
        </w:rPr>
        <w:t>Quorum; Voting</w:t>
      </w:r>
      <w:r>
        <w:rPr>
          <w:rFonts w:ascii="Times New Roman" w:cs="Times New Roman" w:eastAsia="Times New Roman" w:hAnsi="Times New Roman"/>
          <w:sz w:val="21"/>
          <w:szCs w:val="21"/>
          <w:color w:val="auto"/>
        </w:rPr>
        <w:t>. At all meetings of the Board, the presence of a majority of the total authorized number of Directors shall constitute a quorum for the transaction of business. Except as otherwise provided by law, the certificate of incorporation or these bylaws, the vote of a majority of the Directors present at any meeting at which a quorum is present shall be the act of the Board.</w:t>
      </w:r>
    </w:p>
    <w:p>
      <w:pPr>
        <w:spacing w:after="0" w:line="155" w:lineRule="exact"/>
        <w:rPr>
          <w:sz w:val="20"/>
          <w:szCs w:val="20"/>
          <w:color w:val="auto"/>
        </w:rPr>
      </w:pPr>
    </w:p>
    <w:p>
      <w:pPr>
        <w:ind w:left="100" w:right="160" w:hanging="107"/>
        <w:spacing w:after="0" w:line="257" w:lineRule="auto"/>
        <w:rPr>
          <w:sz w:val="20"/>
          <w:szCs w:val="20"/>
          <w:color w:val="auto"/>
        </w:rPr>
      </w:pPr>
      <w:r>
        <w:rPr>
          <w:rFonts w:ascii="Times New Roman" w:cs="Times New Roman" w:eastAsia="Times New Roman" w:hAnsi="Times New Roman"/>
          <w:sz w:val="22"/>
          <w:szCs w:val="22"/>
          <w:color w:val="auto"/>
        </w:rPr>
        <w:t xml:space="preserve">n vii. </w:t>
      </w:r>
      <w:r>
        <w:rPr>
          <w:rFonts w:ascii="Times New Roman" w:cs="Times New Roman" w:eastAsia="Times New Roman" w:hAnsi="Times New Roman"/>
          <w:sz w:val="22"/>
          <w:szCs w:val="22"/>
          <w:u w:val="single" w:color="auto"/>
          <w:color w:val="auto"/>
        </w:rPr>
        <w:t>Action by Telephonic Communications</w:t>
      </w:r>
      <w:r>
        <w:rPr>
          <w:rFonts w:ascii="Times New Roman" w:cs="Times New Roman" w:eastAsia="Times New Roman" w:hAnsi="Times New Roman"/>
          <w:sz w:val="22"/>
          <w:szCs w:val="22"/>
          <w:color w:val="auto"/>
        </w:rPr>
        <w:t>. Members of the Board may participate in a meeting of the Board by means of conference telephone or similar communications equipment by means of which all persons participating in the meeting can hear each other, and participation in a meeting pursuant to this provision shall constitute presence in person at such meeting.</w:t>
      </w:r>
    </w:p>
    <w:p>
      <w:pPr>
        <w:spacing w:after="0" w:line="173" w:lineRule="exact"/>
        <w:rPr>
          <w:sz w:val="20"/>
          <w:szCs w:val="20"/>
          <w:color w:val="auto"/>
        </w:rPr>
      </w:pPr>
    </w:p>
    <w:p>
      <w:pPr>
        <w:ind w:left="100" w:right="540" w:hanging="107"/>
        <w:spacing w:after="0" w:line="271" w:lineRule="auto"/>
        <w:rPr>
          <w:sz w:val="20"/>
          <w:szCs w:val="20"/>
          <w:color w:val="auto"/>
        </w:rPr>
      </w:pPr>
      <w:r>
        <w:rPr>
          <w:rFonts w:ascii="Times New Roman" w:cs="Times New Roman" w:eastAsia="Times New Roman" w:hAnsi="Times New Roman"/>
          <w:sz w:val="22"/>
          <w:szCs w:val="22"/>
          <w:color w:val="auto"/>
        </w:rPr>
        <w:t xml:space="preserve">n viii. </w:t>
      </w:r>
      <w:r>
        <w:rPr>
          <w:rFonts w:ascii="Times New Roman" w:cs="Times New Roman" w:eastAsia="Times New Roman" w:hAnsi="Times New Roman"/>
          <w:sz w:val="22"/>
          <w:szCs w:val="22"/>
          <w:u w:val="single" w:color="auto"/>
          <w:color w:val="auto"/>
        </w:rPr>
        <w:t>Adjournment</w:t>
      </w:r>
      <w:r>
        <w:rPr>
          <w:rFonts w:ascii="Times New Roman" w:cs="Times New Roman" w:eastAsia="Times New Roman" w:hAnsi="Times New Roman"/>
          <w:sz w:val="22"/>
          <w:szCs w:val="22"/>
          <w:color w:val="auto"/>
        </w:rPr>
        <w:t>. A majority of the Directors present may adjourn any meeting of the Board to another date, time or place, whether or not a quorum is present. No notice need be given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340"/>
          </w:cols>
          <w:pgMar w:left="220" w:top="1440" w:right="339" w:bottom="1440" w:gutter="0" w:footer="0" w:header="0"/>
        </w:sectPr>
      </w:pPr>
    </w:p>
    <w:bookmarkStart w:id="68" w:name="page69"/>
    <w:bookmarkEnd w:id="68"/>
    <w:p>
      <w:pPr>
        <w:spacing w:after="0" w:line="198" w:lineRule="exact"/>
        <w:rPr>
          <w:sz w:val="20"/>
          <w:szCs w:val="20"/>
          <w:color w:val="auto"/>
        </w:rPr>
      </w:pPr>
    </w:p>
    <w:p>
      <w:pPr>
        <w:ind w:left="100"/>
        <w:spacing w:after="0" w:line="252" w:lineRule="auto"/>
        <w:rPr>
          <w:sz w:val="20"/>
          <w:szCs w:val="20"/>
          <w:color w:val="auto"/>
        </w:rPr>
      </w:pPr>
      <w:r>
        <w:rPr>
          <w:rFonts w:ascii="Times New Roman" w:cs="Times New Roman" w:eastAsia="Times New Roman" w:hAnsi="Times New Roman"/>
          <w:sz w:val="22"/>
          <w:szCs w:val="22"/>
          <w:color w:val="auto"/>
        </w:rPr>
        <w:t>any adjourned meeting unless (a) the date, time and place of the adjourned meeting are not announced at the time of adjournment, in which case notice conforming to the requirements of Section 2.05 of these bylaws shall be given to each Director, or (b) the meeting is adjourned for more than 24 hours, in which case the notice referred to in clause (a) shall be given to those Directors not present at the announcement of the date, time and place of the adjourned meeting.</w:t>
      </w:r>
    </w:p>
    <w:p>
      <w:pPr>
        <w:spacing w:after="0" w:line="179" w:lineRule="exact"/>
        <w:rPr>
          <w:sz w:val="20"/>
          <w:szCs w:val="20"/>
          <w:color w:val="auto"/>
        </w:rPr>
      </w:pPr>
    </w:p>
    <w:p>
      <w:pPr>
        <w:ind w:left="100" w:right="100" w:hanging="107"/>
        <w:spacing w:after="0" w:line="252" w:lineRule="auto"/>
        <w:rPr>
          <w:sz w:val="20"/>
          <w:szCs w:val="20"/>
          <w:color w:val="auto"/>
        </w:rPr>
      </w:pPr>
      <w:r>
        <w:rPr>
          <w:rFonts w:ascii="Times New Roman" w:cs="Times New Roman" w:eastAsia="Times New Roman" w:hAnsi="Times New Roman"/>
          <w:sz w:val="22"/>
          <w:szCs w:val="22"/>
          <w:color w:val="auto"/>
        </w:rPr>
        <w:t xml:space="preserve">on ix. </w:t>
      </w:r>
      <w:r>
        <w:rPr>
          <w:rFonts w:ascii="Times New Roman" w:cs="Times New Roman" w:eastAsia="Times New Roman" w:hAnsi="Times New Roman"/>
          <w:sz w:val="22"/>
          <w:szCs w:val="22"/>
          <w:u w:val="single" w:color="auto"/>
          <w:color w:val="auto"/>
        </w:rPr>
        <w:t>Action Without a Meeting</w:t>
      </w:r>
      <w:r>
        <w:rPr>
          <w:rFonts w:ascii="Times New Roman" w:cs="Times New Roman" w:eastAsia="Times New Roman" w:hAnsi="Times New Roman"/>
          <w:sz w:val="22"/>
          <w:szCs w:val="22"/>
          <w:color w:val="auto"/>
        </w:rPr>
        <w:t>. Any action required or permitted to be taken at any meeting of the Board may be taken without a meeting if all members of the Board consent thereto in writing or by electronic transmission, and such writing or writings or electronic transmissions are filed with the minutes of proceedings of the Board.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ind w:left="100" w:right="200" w:hanging="106"/>
        <w:spacing w:after="0" w:line="268" w:lineRule="auto"/>
        <w:rPr>
          <w:sz w:val="20"/>
          <w:szCs w:val="20"/>
          <w:color w:val="auto"/>
        </w:rPr>
      </w:pPr>
      <w:r>
        <w:rPr>
          <w:rFonts w:ascii="Times New Roman" w:cs="Times New Roman" w:eastAsia="Times New Roman" w:hAnsi="Times New Roman"/>
          <w:sz w:val="21"/>
          <w:szCs w:val="21"/>
          <w:color w:val="auto"/>
        </w:rPr>
        <w:t xml:space="preserve">on x. </w:t>
      </w:r>
      <w:r>
        <w:rPr>
          <w:rFonts w:ascii="Times New Roman" w:cs="Times New Roman" w:eastAsia="Times New Roman" w:hAnsi="Times New Roman"/>
          <w:sz w:val="21"/>
          <w:szCs w:val="21"/>
          <w:u w:val="single" w:color="auto"/>
          <w:color w:val="auto"/>
        </w:rPr>
        <w:t>Regulations</w:t>
      </w:r>
      <w:r>
        <w:rPr>
          <w:rFonts w:ascii="Times New Roman" w:cs="Times New Roman" w:eastAsia="Times New Roman" w:hAnsi="Times New Roman"/>
          <w:sz w:val="21"/>
          <w:szCs w:val="21"/>
          <w:color w:val="auto"/>
        </w:rPr>
        <w:t>. To the extent consistent with applicable law, the certificate of incorporation and these bylaws, the Board may adopt such rules and regulations for the conduct of meetings of the Board and for the management of the affairs and business of the Corporation as the Board may deem appropriate. The Board may elect from among its members a chairperson and one or more vice-chairpersons to preside over meetings and to perform such other duties as may be designated by the Board.</w:t>
      </w:r>
    </w:p>
    <w:p>
      <w:pPr>
        <w:spacing w:after="0" w:line="163" w:lineRule="exact"/>
        <w:rPr>
          <w:sz w:val="20"/>
          <w:szCs w:val="20"/>
          <w:color w:val="auto"/>
        </w:rPr>
      </w:pPr>
    </w:p>
    <w:p>
      <w:pPr>
        <w:jc w:val="both"/>
        <w:ind w:left="100" w:right="220" w:hanging="107"/>
        <w:spacing w:after="0" w:line="252" w:lineRule="auto"/>
        <w:rPr>
          <w:sz w:val="20"/>
          <w:szCs w:val="20"/>
          <w:color w:val="auto"/>
        </w:rPr>
      </w:pPr>
      <w:r>
        <w:rPr>
          <w:rFonts w:ascii="Times New Roman" w:cs="Times New Roman" w:eastAsia="Times New Roman" w:hAnsi="Times New Roman"/>
          <w:sz w:val="22"/>
          <w:szCs w:val="22"/>
          <w:color w:val="auto"/>
        </w:rPr>
        <w:t xml:space="preserve">on xi. </w:t>
      </w:r>
      <w:r>
        <w:rPr>
          <w:rFonts w:ascii="Times New Roman" w:cs="Times New Roman" w:eastAsia="Times New Roman" w:hAnsi="Times New Roman"/>
          <w:sz w:val="22"/>
          <w:szCs w:val="22"/>
          <w:u w:val="single" w:color="auto"/>
          <w:color w:val="auto"/>
        </w:rPr>
        <w:t>Resignations of Directors</w:t>
      </w:r>
      <w:r>
        <w:rPr>
          <w:rFonts w:ascii="Times New Roman" w:cs="Times New Roman" w:eastAsia="Times New Roman" w:hAnsi="Times New Roman"/>
          <w:sz w:val="22"/>
          <w:szCs w:val="22"/>
          <w:color w:val="auto"/>
        </w:rPr>
        <w:t>. Any Director may resign at any time by submitting an electronic transmission or by delivering a written notice of resignation, signed by such Director, to the President or the Secretary. Such resignation shall take effect upon delivery unless the resignation specifies a later effective date or an effective date determined upon the happening of a specified event.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n xii. </w:t>
      </w:r>
      <w:r>
        <w:rPr>
          <w:rFonts w:ascii="Times New Roman" w:cs="Times New Roman" w:eastAsia="Times New Roman" w:hAnsi="Times New Roman"/>
          <w:sz w:val="22"/>
          <w:szCs w:val="22"/>
          <w:u w:val="single" w:color="auto"/>
          <w:color w:val="auto"/>
        </w:rPr>
        <w:t>Removal of Directors</w:t>
      </w:r>
      <w:r>
        <w:rPr>
          <w:rFonts w:ascii="Times New Roman" w:cs="Times New Roman" w:eastAsia="Times New Roman" w:hAnsi="Times New Roman"/>
          <w:sz w:val="22"/>
          <w:szCs w:val="22"/>
          <w:color w:val="auto"/>
        </w:rPr>
        <w:t>. Directors may only be removed as set forth in the certificate of incorporation.</w:t>
      </w:r>
    </w:p>
    <w:p>
      <w:pPr>
        <w:spacing w:after="0" w:line="220" w:lineRule="exact"/>
        <w:rPr>
          <w:sz w:val="20"/>
          <w:szCs w:val="20"/>
          <w:color w:val="auto"/>
        </w:rPr>
      </w:pPr>
    </w:p>
    <w:p>
      <w:pPr>
        <w:ind w:left="100" w:right="120" w:hanging="107"/>
        <w:spacing w:after="0" w:line="246" w:lineRule="auto"/>
        <w:rPr>
          <w:sz w:val="20"/>
          <w:szCs w:val="20"/>
          <w:color w:val="auto"/>
        </w:rPr>
      </w:pPr>
      <w:r>
        <w:rPr>
          <w:rFonts w:ascii="Times New Roman" w:cs="Times New Roman" w:eastAsia="Times New Roman" w:hAnsi="Times New Roman"/>
          <w:sz w:val="22"/>
          <w:szCs w:val="22"/>
          <w:color w:val="auto"/>
        </w:rPr>
        <w:t xml:space="preserve">n xiii. </w:t>
      </w:r>
      <w:r>
        <w:rPr>
          <w:rFonts w:ascii="Times New Roman" w:cs="Times New Roman" w:eastAsia="Times New Roman" w:hAnsi="Times New Roman"/>
          <w:sz w:val="22"/>
          <w:szCs w:val="22"/>
          <w:u w:val="single" w:color="auto"/>
          <w:color w:val="auto"/>
        </w:rPr>
        <w:t>Vacancies and Newly Created Directorships</w:t>
      </w:r>
      <w:r>
        <w:rPr>
          <w:rFonts w:ascii="Times New Roman" w:cs="Times New Roman" w:eastAsia="Times New Roman" w:hAnsi="Times New Roman"/>
          <w:sz w:val="22"/>
          <w:szCs w:val="22"/>
          <w:color w:val="auto"/>
        </w:rPr>
        <w:t>. Subject to the rights of the holders of shares of any class or series of preferred stock, if any, to elect additional Directors pursuant to the certificate of incorporation (including any certificate of designation thereunder), any vacancy in the Board that results from the death, disability, resignation, disqualification or removal of any Director or from any other cause shall be filled solely by the affirmative vote of a majority of the total number of Directors then in office, even if less than a quorum, or by a sole remaining Director. Until the election of Directors at the annual meeting of the stockholders to be held in 2023, a Director elected to fill a vacancy or a newly created directorship shall hold office for the remainder of the term of his or her predecessor or, in the case of a newly created directorship, for the remainder of the terms of the class of Directors to which he or she is elected and until his or her successor has been elected and qualified or until his or her death, disability, resignation, disqualification or removal. Thereafter, a Director elected to fill a vacancy or a newly created directorship shall hold office until the next succeeding annual meeting of stockholders and until his or her successor has been elected and qualified or until his or her death, disability, resignation, disqualification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340"/>
          </w:cols>
          <w:pgMar w:left="220" w:top="1440" w:right="339" w:bottom="1440" w:gutter="0" w:footer="0" w:header="0"/>
        </w:sectPr>
      </w:pPr>
    </w:p>
    <w:bookmarkStart w:id="69" w:name="page70"/>
    <w:bookmarkEnd w:id="69"/>
    <w:p>
      <w:pPr>
        <w:spacing w:after="0" w:line="198" w:lineRule="exact"/>
        <w:rPr>
          <w:sz w:val="20"/>
          <w:szCs w:val="20"/>
          <w:color w:val="auto"/>
        </w:rPr>
      </w:pPr>
    </w:p>
    <w:p>
      <w:pPr>
        <w:jc w:val="both"/>
        <w:ind w:right="200" w:hanging="107"/>
        <w:spacing w:after="0" w:line="252" w:lineRule="auto"/>
        <w:rPr>
          <w:sz w:val="20"/>
          <w:szCs w:val="20"/>
          <w:color w:val="auto"/>
        </w:rPr>
      </w:pPr>
      <w:r>
        <w:rPr>
          <w:rFonts w:ascii="Times New Roman" w:cs="Times New Roman" w:eastAsia="Times New Roman" w:hAnsi="Times New Roman"/>
          <w:sz w:val="22"/>
          <w:szCs w:val="22"/>
          <w:color w:val="auto"/>
        </w:rPr>
        <w:t xml:space="preserve">n xiv. </w:t>
      </w:r>
      <w:r>
        <w:rPr>
          <w:rFonts w:ascii="Times New Roman" w:cs="Times New Roman" w:eastAsia="Times New Roman" w:hAnsi="Times New Roman"/>
          <w:sz w:val="22"/>
          <w:szCs w:val="22"/>
          <w:u w:val="single" w:color="auto"/>
          <w:color w:val="auto"/>
        </w:rPr>
        <w:t>Director Fees and Expenses</w:t>
      </w:r>
      <w:r>
        <w:rPr>
          <w:rFonts w:ascii="Times New Roman" w:cs="Times New Roman" w:eastAsia="Times New Roman" w:hAnsi="Times New Roman"/>
          <w:sz w:val="22"/>
          <w:szCs w:val="22"/>
          <w:color w:val="auto"/>
        </w:rPr>
        <w:t>. The amount, if any, which each Director shall be entitled to receive as compensation for his or her services shall be fixed from time to time by the Board. The Corporation will cause each non-employee Director serving on the Board to be reimbursed for all reasonable out-of-pocket costs and expenses incurred by him or her in connection with such service.</w:t>
      </w:r>
    </w:p>
    <w:p>
      <w:pPr>
        <w:spacing w:after="0" w:line="179" w:lineRule="exact"/>
        <w:rPr>
          <w:sz w:val="20"/>
          <w:szCs w:val="20"/>
          <w:color w:val="auto"/>
        </w:rPr>
      </w:pPr>
    </w:p>
    <w:p>
      <w:pPr>
        <w:ind w:right="120" w:hanging="106"/>
        <w:spacing w:after="0" w:line="248" w:lineRule="auto"/>
        <w:rPr>
          <w:sz w:val="20"/>
          <w:szCs w:val="20"/>
          <w:color w:val="auto"/>
        </w:rPr>
      </w:pPr>
      <w:r>
        <w:rPr>
          <w:rFonts w:ascii="Times New Roman" w:cs="Times New Roman" w:eastAsia="Times New Roman" w:hAnsi="Times New Roman"/>
          <w:sz w:val="22"/>
          <w:szCs w:val="22"/>
          <w:color w:val="auto"/>
        </w:rPr>
        <w:t xml:space="preserve">n xv. </w:t>
      </w:r>
      <w:r>
        <w:rPr>
          <w:rFonts w:ascii="Times New Roman" w:cs="Times New Roman" w:eastAsia="Times New Roman" w:hAnsi="Times New Roman"/>
          <w:sz w:val="22"/>
          <w:szCs w:val="22"/>
          <w:u w:val="single" w:color="auto"/>
          <w:color w:val="auto"/>
        </w:rPr>
        <w:t>Reliance on Accounts and Reports, etc</w:t>
      </w:r>
      <w:r>
        <w:rPr>
          <w:rFonts w:ascii="Times New Roman" w:cs="Times New Roman" w:eastAsia="Times New Roman" w:hAnsi="Times New Roman"/>
          <w:sz w:val="22"/>
          <w:szCs w:val="22"/>
          <w:color w:val="auto"/>
        </w:rPr>
        <w:t>. A Director, as such or as a member of any committee designated by the Board, shall in the performance of his or her duties be fully protected in relying in good faith upon the records of the Corporation and upon information, opinions, reports or statements presented to the Corporation by any of the Corporation’s officers or employees, or committees designated by the Board, or by any other person as to the matters the member reasonably believes are within such other person’s professional or expert competence and who has been selected with reasonable care by or on behalf of the Corporation.</w:t>
      </w:r>
    </w:p>
    <w:p>
      <w:pPr>
        <w:spacing w:after="0" w:line="187" w:lineRule="exact"/>
        <w:rPr>
          <w:sz w:val="20"/>
          <w:szCs w:val="20"/>
          <w:color w:val="auto"/>
        </w:rPr>
      </w:pPr>
    </w:p>
    <w:p>
      <w:pPr>
        <w:jc w:val="center"/>
        <w:ind w:right="-39"/>
        <w:spacing w:after="0"/>
        <w:tabs>
          <w:tab w:leader="none" w:pos="340" w:val="left"/>
        </w:tabs>
        <w:rPr>
          <w:sz w:val="20"/>
          <w:szCs w:val="20"/>
          <w:color w:val="auto"/>
        </w:rPr>
      </w:pPr>
      <w:r>
        <w:rPr>
          <w:rFonts w:ascii="Times New Roman" w:cs="Times New Roman" w:eastAsia="Times New Roman" w:hAnsi="Times New Roman"/>
          <w:sz w:val="22"/>
          <w:szCs w:val="22"/>
          <w:color w:val="auto"/>
        </w:rPr>
        <w:t>Article III.</w:t>
      </w:r>
      <w:r>
        <w:rPr>
          <w:sz w:val="20"/>
          <w:szCs w:val="20"/>
          <w:color w:val="auto"/>
        </w:rPr>
        <w:tab/>
      </w:r>
      <w:r>
        <w:rPr>
          <w:rFonts w:ascii="Times New Roman" w:cs="Times New Roman" w:eastAsia="Times New Roman" w:hAnsi="Times New Roman"/>
          <w:sz w:val="21"/>
          <w:szCs w:val="21"/>
          <w:u w:val="single" w:color="auto"/>
          <w:color w:val="auto"/>
        </w:rPr>
        <w:t>COMMITTEES</w:t>
      </w:r>
    </w:p>
    <w:p>
      <w:pPr>
        <w:spacing w:after="0" w:line="220" w:lineRule="exact"/>
        <w:rPr>
          <w:sz w:val="20"/>
          <w:szCs w:val="20"/>
          <w:color w:val="auto"/>
        </w:rPr>
      </w:pPr>
    </w:p>
    <w:p>
      <w:pPr>
        <w:ind w:hanging="107"/>
        <w:spacing w:after="0" w:line="246" w:lineRule="auto"/>
        <w:rPr>
          <w:sz w:val="20"/>
          <w:szCs w:val="20"/>
          <w:color w:val="auto"/>
        </w:rPr>
      </w:pPr>
      <w:r>
        <w:rPr>
          <w:rFonts w:ascii="Times New Roman" w:cs="Times New Roman" w:eastAsia="Times New Roman" w:hAnsi="Times New Roman"/>
          <w:sz w:val="22"/>
          <w:szCs w:val="22"/>
          <w:color w:val="auto"/>
        </w:rPr>
        <w:t xml:space="preserve">ion i. </w:t>
      </w:r>
      <w:r>
        <w:rPr>
          <w:rFonts w:ascii="Times New Roman" w:cs="Times New Roman" w:eastAsia="Times New Roman" w:hAnsi="Times New Roman"/>
          <w:sz w:val="22"/>
          <w:szCs w:val="22"/>
          <w:u w:val="single" w:color="auto"/>
          <w:color w:val="auto"/>
        </w:rPr>
        <w:t>Designation of Committees</w:t>
      </w:r>
      <w:r>
        <w:rPr>
          <w:rFonts w:ascii="Times New Roman" w:cs="Times New Roman" w:eastAsia="Times New Roman" w:hAnsi="Times New Roman"/>
          <w:sz w:val="22"/>
          <w:szCs w:val="22"/>
          <w:color w:val="auto"/>
        </w:rPr>
        <w:t>. The Board shall designate such committees as may be required by applicable laws, regulations or stock exchange rules, and may designate such additional committees as it deems necessary or appropriate. Each committee shall consist of such number of Directors, with such qualifications, as may be required by applicable laws, regulations or stock exchange rules, or as from time to time may be fixed by the Board and shall have and may exercise all the powers and authority of the Board in the management of the business and affairs of the Corporation to the extent delegated to such committee by resolution of the Board, which delegation shall include all such powers and authority as may be required by applicable laws, regulations or stock exchange rules. No committee shall have any power or authority as to (a) approving or adopting, or recommending to the stockholders, any action or matter (other than the election or removal of directors) expressly required by the DGCL to be submitted to stockholders for approval, (b) adopting, amending or repealing any of these bylaws or (c) as may otherwise be excluded by law or by the certificate of incorporation, and no committee may delegate any of its power or authority to a subcommittee unless so authorized by the Board.</w:t>
      </w:r>
    </w:p>
    <w:p>
      <w:pPr>
        <w:spacing w:after="0" w:line="185" w:lineRule="exact"/>
        <w:rPr>
          <w:sz w:val="20"/>
          <w:szCs w:val="20"/>
          <w:color w:val="auto"/>
        </w:rPr>
      </w:pPr>
    </w:p>
    <w:p>
      <w:pPr>
        <w:ind w:right="80" w:hanging="107"/>
        <w:spacing w:after="0" w:line="248" w:lineRule="auto"/>
        <w:rPr>
          <w:sz w:val="20"/>
          <w:szCs w:val="20"/>
          <w:color w:val="auto"/>
        </w:rPr>
      </w:pPr>
      <w:r>
        <w:rPr>
          <w:rFonts w:ascii="Times New Roman" w:cs="Times New Roman" w:eastAsia="Times New Roman" w:hAnsi="Times New Roman"/>
          <w:sz w:val="22"/>
          <w:szCs w:val="22"/>
          <w:color w:val="auto"/>
        </w:rPr>
        <w:t xml:space="preserve">on ii. </w:t>
      </w:r>
      <w:r>
        <w:rPr>
          <w:rFonts w:ascii="Times New Roman" w:cs="Times New Roman" w:eastAsia="Times New Roman" w:hAnsi="Times New Roman"/>
          <w:sz w:val="22"/>
          <w:szCs w:val="22"/>
          <w:u w:val="single" w:color="auto"/>
          <w:color w:val="auto"/>
        </w:rPr>
        <w:t>Members and Alternate Members</w:t>
      </w:r>
      <w:r>
        <w:rPr>
          <w:rFonts w:ascii="Times New Roman" w:cs="Times New Roman" w:eastAsia="Times New Roman" w:hAnsi="Times New Roman"/>
          <w:sz w:val="22"/>
          <w:szCs w:val="22"/>
          <w:color w:val="auto"/>
        </w:rPr>
        <w:t>. The members of each committee and any alternate members shall be selected by the Board. The Board may provide that the members and alternate members serve at the pleasure of the Board. An alternate member may replace any absent or disqualified member at any meeting of the committee. An alternate member shall be given all notices of committee meetings, may attend any meeting of the committee, but may count towards a quorum and vote only if a member for whom such person is an alternate is absent or disqualified. Each member (and each alternate member) of any committee shall hold office only until the time he or she shall cease for any reason to be a Director, or until his or her earlier death, resignation or removal.</w:t>
      </w:r>
    </w:p>
    <w:p>
      <w:pPr>
        <w:spacing w:after="0" w:line="182" w:lineRule="exact"/>
        <w:rPr>
          <w:sz w:val="20"/>
          <w:szCs w:val="20"/>
          <w:color w:val="auto"/>
        </w:rPr>
      </w:pPr>
    </w:p>
    <w:p>
      <w:pPr>
        <w:ind w:hanging="107"/>
        <w:spacing w:after="0" w:line="252" w:lineRule="auto"/>
        <w:rPr>
          <w:sz w:val="20"/>
          <w:szCs w:val="20"/>
          <w:color w:val="auto"/>
        </w:rPr>
      </w:pPr>
      <w:r>
        <w:rPr>
          <w:rFonts w:ascii="Times New Roman" w:cs="Times New Roman" w:eastAsia="Times New Roman" w:hAnsi="Times New Roman"/>
          <w:sz w:val="22"/>
          <w:szCs w:val="22"/>
          <w:color w:val="auto"/>
        </w:rPr>
        <w:t xml:space="preserve">on iii. </w:t>
      </w:r>
      <w:r>
        <w:rPr>
          <w:rFonts w:ascii="Times New Roman" w:cs="Times New Roman" w:eastAsia="Times New Roman" w:hAnsi="Times New Roman"/>
          <w:sz w:val="22"/>
          <w:szCs w:val="22"/>
          <w:u w:val="single" w:color="auto"/>
          <w:color w:val="auto"/>
        </w:rPr>
        <w:t>Committee Procedures</w:t>
      </w:r>
      <w:r>
        <w:rPr>
          <w:rFonts w:ascii="Times New Roman" w:cs="Times New Roman" w:eastAsia="Times New Roman" w:hAnsi="Times New Roman"/>
          <w:sz w:val="22"/>
          <w:szCs w:val="22"/>
          <w:color w:val="auto"/>
        </w:rPr>
        <w:t>. A quorum for each committee shall be a majority of its members, unless the committee has only one or two members, in which case a quorum shall be one member, or unless a greater quorum is established by the Board. The vote of a majority of the committee members present at a meeting at which a quorum is present shall be the act of the committee. Each committee shall keep regular minutes of its meetings and report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40" w:right="359" w:bottom="1440" w:gutter="0" w:footer="0" w:header="0"/>
        </w:sectPr>
      </w:pPr>
    </w:p>
    <w:bookmarkStart w:id="70" w:name="page71"/>
    <w:bookmarkEnd w:id="70"/>
    <w:p>
      <w:pPr>
        <w:spacing w:after="0" w:line="19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2"/>
          <w:szCs w:val="22"/>
          <w:color w:val="auto"/>
        </w:rPr>
        <w:t>when required. The Board shall adopt a charter for each committee for which a charter is required by applicable laws, regulations or stock exchange rules, may adopt a charter for any other committee, and may adopt other rules and regulations for the government of any committee not inconsistent with the provisions of these bylaws or any such charter, and each committee may adopt its own rules and regulations of government, to the extent not inconsistent with these bylaws or any charter or other rules and regulations adopted by the Board.</w:t>
      </w:r>
    </w:p>
    <w:p>
      <w:pPr>
        <w:spacing w:after="0" w:line="181" w:lineRule="exact"/>
        <w:rPr>
          <w:sz w:val="20"/>
          <w:szCs w:val="20"/>
          <w:color w:val="auto"/>
        </w:rPr>
      </w:pPr>
    </w:p>
    <w:p>
      <w:pPr>
        <w:ind w:right="20" w:hanging="107"/>
        <w:spacing w:after="0" w:line="252" w:lineRule="auto"/>
        <w:rPr>
          <w:sz w:val="20"/>
          <w:szCs w:val="20"/>
          <w:color w:val="auto"/>
        </w:rPr>
      </w:pPr>
      <w:r>
        <w:rPr>
          <w:rFonts w:ascii="Times New Roman" w:cs="Times New Roman" w:eastAsia="Times New Roman" w:hAnsi="Times New Roman"/>
          <w:sz w:val="22"/>
          <w:szCs w:val="22"/>
          <w:color w:val="auto"/>
        </w:rPr>
        <w:t xml:space="preserve">on iv. </w:t>
      </w:r>
      <w:r>
        <w:rPr>
          <w:rFonts w:ascii="Times New Roman" w:cs="Times New Roman" w:eastAsia="Times New Roman" w:hAnsi="Times New Roman"/>
          <w:sz w:val="22"/>
          <w:szCs w:val="22"/>
          <w:u w:val="single" w:color="auto"/>
          <w:color w:val="auto"/>
        </w:rPr>
        <w:t>Meetings and Actions of Committees</w:t>
      </w:r>
      <w:r>
        <w:rPr>
          <w:rFonts w:ascii="Times New Roman" w:cs="Times New Roman" w:eastAsia="Times New Roman" w:hAnsi="Times New Roman"/>
          <w:sz w:val="22"/>
          <w:szCs w:val="22"/>
          <w:color w:val="auto"/>
        </w:rPr>
        <w:t>. Except to the extent that the same may be inconsistent with the terms of any committee charter required by applicable laws, regulations or stock exchange rules, meetings and actions of each committee shall be governed by, and held and taken in accordance with, the provisions of the following sections of these bylaws, with such bylaws being deemed to refer to the committee and its members in lieu of the Board and its members:</w:t>
      </w:r>
    </w:p>
    <w:p>
      <w:pPr>
        <w:spacing w:after="0" w:line="179" w:lineRule="exact"/>
        <w:rPr>
          <w:sz w:val="20"/>
          <w:szCs w:val="20"/>
          <w:color w:val="auto"/>
        </w:rPr>
      </w:pPr>
    </w:p>
    <w:p>
      <w:pPr>
        <w:ind w:left="1900" w:hanging="920"/>
        <w:spacing w:after="0"/>
        <w:tabs>
          <w:tab w:leader="none" w:pos="19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2.03 (to the extent relating to place and time of regular meetings);</w:t>
      </w:r>
    </w:p>
    <w:p>
      <w:pPr>
        <w:spacing w:after="0" w:line="219" w:lineRule="exact"/>
        <w:rPr>
          <w:rFonts w:ascii="Times New Roman" w:cs="Times New Roman" w:eastAsia="Times New Roman" w:hAnsi="Times New Roman"/>
          <w:sz w:val="22"/>
          <w:szCs w:val="22"/>
          <w:color w:val="auto"/>
        </w:rPr>
      </w:pPr>
    </w:p>
    <w:p>
      <w:pPr>
        <w:ind w:left="1900" w:hanging="920"/>
        <w:spacing w:after="0"/>
        <w:tabs>
          <w:tab w:leader="none" w:pos="19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2.04 (relating to special meetings);</w:t>
      </w:r>
    </w:p>
    <w:p>
      <w:pPr>
        <w:spacing w:after="0" w:line="219" w:lineRule="exact"/>
        <w:rPr>
          <w:rFonts w:ascii="Times New Roman" w:cs="Times New Roman" w:eastAsia="Times New Roman" w:hAnsi="Times New Roman"/>
          <w:sz w:val="22"/>
          <w:szCs w:val="22"/>
          <w:color w:val="auto"/>
        </w:rPr>
      </w:pPr>
    </w:p>
    <w:p>
      <w:pPr>
        <w:ind w:left="1900" w:hanging="920"/>
        <w:spacing w:after="0"/>
        <w:tabs>
          <w:tab w:leader="none" w:pos="19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2.05 (relating to notice and waiver of notice);</w:t>
      </w:r>
    </w:p>
    <w:p>
      <w:pPr>
        <w:spacing w:after="0" w:line="219" w:lineRule="exact"/>
        <w:rPr>
          <w:rFonts w:ascii="Times New Roman" w:cs="Times New Roman" w:eastAsia="Times New Roman" w:hAnsi="Times New Roman"/>
          <w:sz w:val="22"/>
          <w:szCs w:val="22"/>
          <w:color w:val="auto"/>
        </w:rPr>
      </w:pPr>
    </w:p>
    <w:p>
      <w:pPr>
        <w:ind w:left="1900" w:hanging="920"/>
        <w:spacing w:after="0"/>
        <w:tabs>
          <w:tab w:leader="none" w:pos="19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2.07 and 2.09 (relating to telephonic communication and action without a meeting); and</w:t>
      </w:r>
    </w:p>
    <w:p>
      <w:pPr>
        <w:spacing w:after="0" w:line="219" w:lineRule="exact"/>
        <w:rPr>
          <w:rFonts w:ascii="Times New Roman" w:cs="Times New Roman" w:eastAsia="Times New Roman" w:hAnsi="Times New Roman"/>
          <w:sz w:val="22"/>
          <w:szCs w:val="22"/>
          <w:color w:val="auto"/>
        </w:rPr>
      </w:pPr>
    </w:p>
    <w:p>
      <w:pPr>
        <w:ind w:left="1900" w:hanging="920"/>
        <w:spacing w:after="0"/>
        <w:tabs>
          <w:tab w:leader="none" w:pos="19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2.08 (relating to adjournment and notice of adjournment).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Special meetings of committees may also be called by resolution of the Board.</w:t>
      </w:r>
    </w:p>
    <w:p>
      <w:pPr>
        <w:spacing w:after="0" w:line="220" w:lineRule="exact"/>
        <w:rPr>
          <w:sz w:val="20"/>
          <w:szCs w:val="20"/>
          <w:color w:val="auto"/>
        </w:rPr>
      </w:pPr>
    </w:p>
    <w:p>
      <w:pPr>
        <w:ind w:hanging="106"/>
        <w:spacing w:after="0" w:line="250" w:lineRule="auto"/>
        <w:rPr>
          <w:sz w:val="20"/>
          <w:szCs w:val="20"/>
          <w:color w:val="auto"/>
        </w:rPr>
      </w:pPr>
      <w:r>
        <w:rPr>
          <w:rFonts w:ascii="Times New Roman" w:cs="Times New Roman" w:eastAsia="Times New Roman" w:hAnsi="Times New Roman"/>
          <w:sz w:val="22"/>
          <w:szCs w:val="22"/>
          <w:color w:val="auto"/>
        </w:rPr>
        <w:t xml:space="preserve">on v. </w:t>
      </w:r>
      <w:r>
        <w:rPr>
          <w:rFonts w:ascii="Times New Roman" w:cs="Times New Roman" w:eastAsia="Times New Roman" w:hAnsi="Times New Roman"/>
          <w:sz w:val="22"/>
          <w:szCs w:val="22"/>
          <w:u w:val="single" w:color="auto"/>
          <w:color w:val="auto"/>
        </w:rPr>
        <w:t>Resignations and Removals</w:t>
      </w:r>
      <w:r>
        <w:rPr>
          <w:rFonts w:ascii="Times New Roman" w:cs="Times New Roman" w:eastAsia="Times New Roman" w:hAnsi="Times New Roman"/>
          <w:sz w:val="22"/>
          <w:szCs w:val="22"/>
          <w:color w:val="auto"/>
        </w:rPr>
        <w:t>. Any member (and any alternate member) of any committee may resign from such position at any time by submitting an electronic transmission or by delivering a written notice of resignation, signed by such member, to the President or the Secretary. Such resignation shall take effect upon delivery unless the resignation specifies a later effective date or an effective date determined upon the happening of a specified event. Any member (and any alternate member) of any committee may be removed from such position by the Board at any time, either for or without cause.</w:t>
      </w:r>
    </w:p>
    <w:p>
      <w:pPr>
        <w:spacing w:after="0" w:line="181" w:lineRule="exact"/>
        <w:rPr>
          <w:sz w:val="20"/>
          <w:szCs w:val="20"/>
          <w:color w:val="auto"/>
        </w:rPr>
      </w:pPr>
    </w:p>
    <w:p>
      <w:pPr>
        <w:ind w:right="260" w:hanging="107"/>
        <w:spacing w:after="0" w:line="271" w:lineRule="auto"/>
        <w:rPr>
          <w:sz w:val="20"/>
          <w:szCs w:val="20"/>
          <w:color w:val="auto"/>
        </w:rPr>
      </w:pPr>
      <w:r>
        <w:rPr>
          <w:rFonts w:ascii="Times New Roman" w:cs="Times New Roman" w:eastAsia="Times New Roman" w:hAnsi="Times New Roman"/>
          <w:sz w:val="22"/>
          <w:szCs w:val="22"/>
          <w:color w:val="auto"/>
        </w:rPr>
        <w:t xml:space="preserve">on vi.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If a vacancy occurs in any committee for any reason, the remaining members (and any alternate members) may continue to act if a quorum is present. A committee vacancy may be filled only by the Board.</w:t>
      </w:r>
    </w:p>
    <w:p>
      <w:pPr>
        <w:spacing w:after="0" w:line="158" w:lineRule="exact"/>
        <w:rPr>
          <w:sz w:val="20"/>
          <w:szCs w:val="20"/>
          <w:color w:val="auto"/>
        </w:rPr>
      </w:pPr>
    </w:p>
    <w:p>
      <w:pPr>
        <w:jc w:val="center"/>
        <w:ind w:right="-39"/>
        <w:spacing w:after="0"/>
        <w:tabs>
          <w:tab w:leader="none" w:pos="320" w:val="left"/>
        </w:tabs>
        <w:rPr>
          <w:sz w:val="20"/>
          <w:szCs w:val="20"/>
          <w:color w:val="auto"/>
        </w:rPr>
      </w:pPr>
      <w:r>
        <w:rPr>
          <w:rFonts w:ascii="Times New Roman" w:cs="Times New Roman" w:eastAsia="Times New Roman" w:hAnsi="Times New Roman"/>
          <w:sz w:val="22"/>
          <w:szCs w:val="22"/>
          <w:color w:val="auto"/>
        </w:rPr>
        <w:t>Article IV.</w:t>
      </w:r>
      <w:r>
        <w:rPr>
          <w:sz w:val="20"/>
          <w:szCs w:val="20"/>
          <w:color w:val="auto"/>
        </w:rPr>
        <w:tab/>
      </w:r>
      <w:r>
        <w:rPr>
          <w:rFonts w:ascii="Times New Roman" w:cs="Times New Roman" w:eastAsia="Times New Roman" w:hAnsi="Times New Roman"/>
          <w:sz w:val="21"/>
          <w:szCs w:val="21"/>
          <w:u w:val="single" w:color="auto"/>
          <w:color w:val="auto"/>
        </w:rPr>
        <w:t>OFFICERS</w:t>
      </w:r>
    </w:p>
    <w:p>
      <w:pPr>
        <w:spacing w:after="0" w:line="220" w:lineRule="exact"/>
        <w:rPr>
          <w:sz w:val="20"/>
          <w:szCs w:val="20"/>
          <w:color w:val="auto"/>
        </w:rPr>
      </w:pPr>
    </w:p>
    <w:p>
      <w:pPr>
        <w:ind w:right="60" w:hanging="107"/>
        <w:spacing w:after="0" w:line="250" w:lineRule="auto"/>
        <w:rPr>
          <w:sz w:val="20"/>
          <w:szCs w:val="20"/>
          <w:color w:val="auto"/>
        </w:rPr>
      </w:pPr>
      <w:r>
        <w:rPr>
          <w:rFonts w:ascii="Times New Roman" w:cs="Times New Roman" w:eastAsia="Times New Roman" w:hAnsi="Times New Roman"/>
          <w:sz w:val="22"/>
          <w:szCs w:val="22"/>
          <w:color w:val="auto"/>
        </w:rPr>
        <w:t xml:space="preserve">ion i. </w:t>
      </w:r>
      <w:r>
        <w:rPr>
          <w:rFonts w:ascii="Times New Roman" w:cs="Times New Roman" w:eastAsia="Times New Roman" w:hAnsi="Times New Roman"/>
          <w:sz w:val="22"/>
          <w:szCs w:val="22"/>
          <w:u w:val="single" w:color="auto"/>
          <w:color w:val="auto"/>
        </w:rPr>
        <w:t>Officers</w:t>
      </w:r>
      <w:r>
        <w:rPr>
          <w:rFonts w:ascii="Times New Roman" w:cs="Times New Roman" w:eastAsia="Times New Roman" w:hAnsi="Times New Roman"/>
          <w:sz w:val="22"/>
          <w:szCs w:val="22"/>
          <w:color w:val="auto"/>
        </w:rPr>
        <w:t>. The Board shall elect a President and a Secretary as officers of the Corporation. The Board may also elect a Treasurer, one or more Vice Presidents (any one or more of whom may be designated an Executive Vice President or Senior Vice President), Assistant Secretaries and Assistant Treasurers, and such other officers and agents as the Board may determine. In addition, the Board from time to time may delegate to any officer the power to appoint subordinate officers or agents and to prescribe their respective rights, terms of office,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20"/>
          </w:cols>
          <w:pgMar w:left="320" w:top="1440" w:right="359" w:bottom="1440" w:gutter="0" w:footer="0" w:header="0"/>
        </w:sectPr>
      </w:pPr>
    </w:p>
    <w:bookmarkStart w:id="71" w:name="page72"/>
    <w:bookmarkEnd w:id="71"/>
    <w:p>
      <w:pPr>
        <w:spacing w:after="0" w:line="19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and duties. Any action by an appointing officer may be superseded by action by the Board. Any number of offices may be held by the same person, except that one person may not hold both the office of President and the office of Secretary. No officer need be a Director of the Corporation. For the avoidance of doubt, the term Vice President shall refer to an officer elected by the Board as Vice President and shall not include any employees of the Corporation whose employment title is “Vice President” unless such individual has been elected as a Vice President of the Corporation in accordance with these bylaws.</w:t>
      </w:r>
    </w:p>
    <w:p>
      <w:pPr>
        <w:spacing w:after="0" w:line="181" w:lineRule="exact"/>
        <w:rPr>
          <w:sz w:val="20"/>
          <w:szCs w:val="20"/>
          <w:color w:val="auto"/>
        </w:rPr>
      </w:pPr>
    </w:p>
    <w:p>
      <w:pPr>
        <w:ind w:hanging="107"/>
        <w:spacing w:after="0" w:line="248" w:lineRule="auto"/>
        <w:rPr>
          <w:sz w:val="20"/>
          <w:szCs w:val="20"/>
          <w:color w:val="auto"/>
        </w:rPr>
      </w:pPr>
      <w:r>
        <w:rPr>
          <w:rFonts w:ascii="Times New Roman" w:cs="Times New Roman" w:eastAsia="Times New Roman" w:hAnsi="Times New Roman"/>
          <w:sz w:val="22"/>
          <w:szCs w:val="22"/>
          <w:color w:val="auto"/>
        </w:rPr>
        <w:t xml:space="preserve">on ii.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Unless otherwise determined by the Board, the officers of the Corporation need not be elected for a specified term but shall serve at the pleasure of the Board or for such terms as may be agreed in the individual case by each officer and the Board. Officers and agents appointed pursuant to delegated authority as provided in Section 4.01 (or, in the case of agents, as provided in Section 4.06) shall hold their offices for such terms as may be determined from time to time by the appointing officer. Each officer shall hold office until his or her successor has been elected or appointed and qualified, or until his or her earlier death, resignation or removal. A failure to elect officers shall not dissolve or otherwise affect the Corporation.</w:t>
      </w:r>
    </w:p>
    <w:p>
      <w:pPr>
        <w:spacing w:after="0" w:line="187" w:lineRule="exact"/>
        <w:rPr>
          <w:sz w:val="20"/>
          <w:szCs w:val="20"/>
          <w:color w:val="auto"/>
        </w:rPr>
      </w:pPr>
    </w:p>
    <w:p>
      <w:pPr>
        <w:ind w:right="100" w:hanging="107"/>
        <w:spacing w:after="0" w:line="271" w:lineRule="auto"/>
        <w:rPr>
          <w:sz w:val="20"/>
          <w:szCs w:val="20"/>
          <w:color w:val="auto"/>
        </w:rPr>
      </w:pPr>
      <w:r>
        <w:rPr>
          <w:rFonts w:ascii="Times New Roman" w:cs="Times New Roman" w:eastAsia="Times New Roman" w:hAnsi="Times New Roman"/>
          <w:sz w:val="22"/>
          <w:szCs w:val="22"/>
          <w:color w:val="auto"/>
        </w:rPr>
        <w:t xml:space="preserve">on iii.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salaries and other compensation of all officers and agents of the Corporation shall be fixed by the Board or in the manner established by the Board.</w:t>
      </w:r>
    </w:p>
    <w:p>
      <w:pPr>
        <w:spacing w:after="0" w:line="158" w:lineRule="exact"/>
        <w:rPr>
          <w:sz w:val="20"/>
          <w:szCs w:val="20"/>
          <w:color w:val="auto"/>
        </w:rPr>
      </w:pPr>
    </w:p>
    <w:p>
      <w:pPr>
        <w:ind w:right="340" w:hanging="107"/>
        <w:spacing w:after="0" w:line="248" w:lineRule="auto"/>
        <w:rPr>
          <w:sz w:val="20"/>
          <w:szCs w:val="20"/>
          <w:color w:val="auto"/>
        </w:rPr>
      </w:pPr>
      <w:r>
        <w:rPr>
          <w:rFonts w:ascii="Times New Roman" w:cs="Times New Roman" w:eastAsia="Times New Roman" w:hAnsi="Times New Roman"/>
          <w:sz w:val="22"/>
          <w:szCs w:val="22"/>
          <w:color w:val="auto"/>
        </w:rPr>
        <w:t xml:space="preserve">on iv. </w:t>
      </w:r>
      <w:r>
        <w:rPr>
          <w:rFonts w:ascii="Times New Roman" w:cs="Times New Roman" w:eastAsia="Times New Roman" w:hAnsi="Times New Roman"/>
          <w:sz w:val="22"/>
          <w:szCs w:val="22"/>
          <w:u w:val="single" w:color="auto"/>
          <w:color w:val="auto"/>
        </w:rPr>
        <w:t>Removal and Resignation; Vacancies</w:t>
      </w:r>
      <w:r>
        <w:rPr>
          <w:rFonts w:ascii="Times New Roman" w:cs="Times New Roman" w:eastAsia="Times New Roman" w:hAnsi="Times New Roman"/>
          <w:sz w:val="22"/>
          <w:szCs w:val="22"/>
          <w:color w:val="auto"/>
        </w:rPr>
        <w:t>. Any officer may be removed for or without cause at any time by the Board. Any officer granted the power to appoint subordinate officers and agents as provided in Section 4.01 may remove any subordinate officer or agent appointed by such officer, at any time, for or without cause. Any officer or agent may resign at any time by delivering notice of resignation, either in writing signed by such officer or by electronic transmission, to the Board or the President. Unless otherwise specified therein, such resignation shall take effect upon delivery. Any vacancy occurring in any office of the Corporation by death, resignation, removal or otherwise, may be filled by the Board or by the officer, if any, who appointed the person formerly holding such office.</w:t>
      </w:r>
    </w:p>
    <w:p>
      <w:pPr>
        <w:spacing w:after="0" w:line="182" w:lineRule="exact"/>
        <w:rPr>
          <w:sz w:val="20"/>
          <w:szCs w:val="20"/>
          <w:color w:val="auto"/>
        </w:rPr>
      </w:pPr>
    </w:p>
    <w:p>
      <w:pPr>
        <w:ind w:right="20" w:hanging="106"/>
        <w:spacing w:after="0" w:line="250" w:lineRule="auto"/>
        <w:rPr>
          <w:sz w:val="20"/>
          <w:szCs w:val="20"/>
          <w:color w:val="auto"/>
        </w:rPr>
      </w:pPr>
      <w:r>
        <w:rPr>
          <w:rFonts w:ascii="Times New Roman" w:cs="Times New Roman" w:eastAsia="Times New Roman" w:hAnsi="Times New Roman"/>
          <w:sz w:val="22"/>
          <w:szCs w:val="22"/>
          <w:color w:val="auto"/>
        </w:rPr>
        <w:t xml:space="preserve">on v. </w:t>
      </w:r>
      <w:r>
        <w:rPr>
          <w:rFonts w:ascii="Times New Roman" w:cs="Times New Roman" w:eastAsia="Times New Roman" w:hAnsi="Times New Roman"/>
          <w:sz w:val="22"/>
          <w:szCs w:val="22"/>
          <w:u w:val="single" w:color="auto"/>
          <w:color w:val="auto"/>
        </w:rPr>
        <w:t>Authority and Duties of Officers</w:t>
      </w:r>
      <w:r>
        <w:rPr>
          <w:rFonts w:ascii="Times New Roman" w:cs="Times New Roman" w:eastAsia="Times New Roman" w:hAnsi="Times New Roman"/>
          <w:sz w:val="22"/>
          <w:szCs w:val="22"/>
          <w:color w:val="auto"/>
        </w:rPr>
        <w:t>. An officer of the Corporation shall have such authority and shall exercise such powers and perform such duties (a) as may be required by law, (b) to the extent not inconsistent with law, as are specified in these bylaws, (c) to the extent not inconsistent with law or these bylaws, as may be specified by resolution of the Board, and (d) to the extent not inconsistent with any of the foregoing, as may be specified by the appointing officer with respect to a subordinate officer appointed pursuant to delegated authority under Section 4.01.</w:t>
      </w:r>
    </w:p>
    <w:p>
      <w:pPr>
        <w:spacing w:after="0" w:line="181" w:lineRule="exact"/>
        <w:rPr>
          <w:sz w:val="20"/>
          <w:szCs w:val="20"/>
          <w:color w:val="auto"/>
        </w:rPr>
      </w:pPr>
    </w:p>
    <w:p>
      <w:pPr>
        <w:ind w:right="80" w:hanging="107"/>
        <w:spacing w:after="0" w:line="263" w:lineRule="auto"/>
        <w:rPr>
          <w:sz w:val="20"/>
          <w:szCs w:val="20"/>
          <w:color w:val="auto"/>
        </w:rPr>
      </w:pPr>
      <w:r>
        <w:rPr>
          <w:rFonts w:ascii="Times New Roman" w:cs="Times New Roman" w:eastAsia="Times New Roman" w:hAnsi="Times New Roman"/>
          <w:sz w:val="21"/>
          <w:szCs w:val="21"/>
          <w:color w:val="auto"/>
        </w:rPr>
        <w:t xml:space="preserve">on vi. </w:t>
      </w:r>
      <w:r>
        <w:rPr>
          <w:rFonts w:ascii="Times New Roman" w:cs="Times New Roman" w:eastAsia="Times New Roman" w:hAnsi="Times New Roman"/>
          <w:sz w:val="21"/>
          <w:szCs w:val="21"/>
          <w:u w:val="single" w:color="auto"/>
          <w:color w:val="auto"/>
        </w:rPr>
        <w:t>President</w:t>
      </w:r>
      <w:r>
        <w:rPr>
          <w:rFonts w:ascii="Times New Roman" w:cs="Times New Roman" w:eastAsia="Times New Roman" w:hAnsi="Times New Roman"/>
          <w:sz w:val="21"/>
          <w:szCs w:val="21"/>
          <w:color w:val="auto"/>
        </w:rPr>
        <w:t>. The President shall preside at all meetings of the stockholders and Directors at which he or she is present, shall be the chief executive officer of the Corporation, shall have general control and supervision of the policies and operations of the Corporation and shall see that all orders and resolutions of the Board are carried into effect. He or she shall manage and administer the Corporation’s business and affairs and shall also perform all duties and exercise all powers usually pertaining to the office of a chief executive officer of a corporation, including, without limitation under the DGCL. He or she shall have the authority to sign, in the name and on behalf of the Corporation, checks, orders, contracts, leases, notes, drafts and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98" w:lineRule="exact"/>
        <w:rPr>
          <w:sz w:val="20"/>
          <w:szCs w:val="20"/>
          <w:color w:val="auto"/>
        </w:rPr>
      </w:pPr>
    </w:p>
    <w:p>
      <w:pPr>
        <w:ind w:left="100" w:right="40"/>
        <w:spacing w:after="0" w:line="248" w:lineRule="auto"/>
        <w:rPr>
          <w:sz w:val="20"/>
          <w:szCs w:val="20"/>
          <w:color w:val="auto"/>
        </w:rPr>
      </w:pPr>
      <w:r>
        <w:rPr>
          <w:rFonts w:ascii="Times New Roman" w:cs="Times New Roman" w:eastAsia="Times New Roman" w:hAnsi="Times New Roman"/>
          <w:sz w:val="22"/>
          <w:szCs w:val="22"/>
          <w:color w:val="auto"/>
        </w:rPr>
        <w:t>documents and instruments in connection with the business of the Corporation. Except as otherwise determined by the Board, he or she shall have the authority to cause the employment or appointment of such employees (other than the President) or agents of the Corporation as the conduct of the business of the Corporation may require, to fix their compensation, and to remove or suspend such employee or any agent employed or appointed by any officer or to suspend any agent appointed by the Board. The President shall have the duties and powers of the Treasurer if no Treasurer is elected and shall have such other duties and powers as the Board may from time to time prescribe.</w:t>
      </w:r>
    </w:p>
    <w:p>
      <w:pPr>
        <w:spacing w:after="0" w:line="187" w:lineRule="exact"/>
        <w:rPr>
          <w:sz w:val="20"/>
          <w:szCs w:val="20"/>
          <w:color w:val="auto"/>
        </w:rPr>
      </w:pPr>
    </w:p>
    <w:p>
      <w:pPr>
        <w:ind w:left="100" w:right="40" w:hanging="107"/>
        <w:spacing w:after="0" w:line="250" w:lineRule="auto"/>
        <w:rPr>
          <w:sz w:val="20"/>
          <w:szCs w:val="20"/>
          <w:color w:val="auto"/>
        </w:rPr>
      </w:pPr>
      <w:r>
        <w:rPr>
          <w:rFonts w:ascii="Times New Roman" w:cs="Times New Roman" w:eastAsia="Times New Roman" w:hAnsi="Times New Roman"/>
          <w:sz w:val="22"/>
          <w:szCs w:val="22"/>
          <w:color w:val="auto"/>
        </w:rPr>
        <w:t xml:space="preserve">n vii. </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Unless otherwise determined by the Board, if one or more Vice Presidents have been elected, each Vice President shall perform such duties and exercise such powers as may be assigned to him or her from time to time by the Board or the President. In the event of absence or disability of the President, the duties of the President shall be performed, and his or her powers may be exercised, by such Vice President as shall be designated by the Board or, failing such designation, by the Vice President in order of seniority of election to that office.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n viii.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Unless otherwise determined by the Board, the Secretary shall have the following powers and duties:</w:t>
      </w:r>
    </w:p>
    <w:p>
      <w:pPr>
        <w:spacing w:after="0" w:line="220" w:lineRule="exact"/>
        <w:rPr>
          <w:sz w:val="20"/>
          <w:szCs w:val="20"/>
          <w:color w:val="auto"/>
        </w:rPr>
      </w:pPr>
    </w:p>
    <w:p>
      <w:pPr>
        <w:ind w:left="100" w:right="900" w:firstLine="980"/>
        <w:spacing w:after="0" w:line="271" w:lineRule="auto"/>
        <w:tabs>
          <w:tab w:leader="none" w:pos="198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Secretary shall keep or cause to be kept a record of all the proceedings of the meetings of the stockholders, the Board and any committees thereof in books provided for that purpose.</w:t>
      </w:r>
    </w:p>
    <w:p>
      <w:pPr>
        <w:spacing w:after="0" w:line="157" w:lineRule="exact"/>
        <w:rPr>
          <w:rFonts w:ascii="Times New Roman" w:cs="Times New Roman" w:eastAsia="Times New Roman" w:hAnsi="Times New Roman"/>
          <w:sz w:val="22"/>
          <w:szCs w:val="22"/>
          <w:color w:val="auto"/>
        </w:rPr>
      </w:pPr>
    </w:p>
    <w:p>
      <w:pPr>
        <w:ind w:left="2000" w:hanging="920"/>
        <w:spacing w:after="0"/>
        <w:tabs>
          <w:tab w:leader="none" w:pos="200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Secretary shall cause all notices to be duly given in accordance with the provisions of these bylaws and</w:t>
      </w:r>
    </w:p>
    <w:p>
      <w:pPr>
        <w:spacing w:after="0" w:line="39" w:lineRule="exact"/>
        <w:rPr>
          <w:rFonts w:ascii="Times New Roman" w:cs="Times New Roman" w:eastAsia="Times New Roman" w:hAnsi="Times New Roman"/>
          <w:sz w:val="21"/>
          <w:szCs w:val="21"/>
          <w:color w:val="auto"/>
        </w:rPr>
      </w:pPr>
    </w:p>
    <w:p>
      <w:pPr>
        <w:ind w:left="1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required by law.</w:t>
      </w:r>
    </w:p>
    <w:p>
      <w:pPr>
        <w:spacing w:after="0" w:line="195" w:lineRule="exact"/>
        <w:rPr>
          <w:rFonts w:ascii="Times New Roman" w:cs="Times New Roman" w:eastAsia="Times New Roman" w:hAnsi="Times New Roman"/>
          <w:sz w:val="21"/>
          <w:szCs w:val="21"/>
          <w:color w:val="auto"/>
        </w:rPr>
      </w:pPr>
    </w:p>
    <w:p>
      <w:pPr>
        <w:ind w:left="100" w:right="540" w:firstLine="980"/>
        <w:spacing w:after="0" w:line="271" w:lineRule="auto"/>
        <w:tabs>
          <w:tab w:leader="none" w:pos="198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any committee shall be appointed pursuant to a resolution of the Board, the Secretary shall furnish a copy of such resolution to the members of such committee.</w:t>
      </w:r>
    </w:p>
    <w:p>
      <w:pPr>
        <w:spacing w:after="0" w:line="157" w:lineRule="exact"/>
        <w:rPr>
          <w:rFonts w:ascii="Times New Roman" w:cs="Times New Roman" w:eastAsia="Times New Roman" w:hAnsi="Times New Roman"/>
          <w:sz w:val="22"/>
          <w:szCs w:val="22"/>
          <w:color w:val="auto"/>
        </w:rPr>
      </w:pPr>
    </w:p>
    <w:p>
      <w:pPr>
        <w:ind w:left="100" w:right="80" w:firstLine="980"/>
        <w:spacing w:after="0" w:line="250" w:lineRule="auto"/>
        <w:tabs>
          <w:tab w:leader="none" w:pos="198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Secretary shall be the custodian of the records and of the seal of the Corporation and cause such seal (or a facsimile thereof) to be affixed to all certificates representing shares of the Corporation prior to the issuance thereof and to all documents and instruments that the Board or any officer of the Corporation has determined should be executed under seal, may sign (together with any other authorized officer) any such document or instrument, and when the seal is so affixed he or she may attest the same.</w:t>
      </w:r>
    </w:p>
    <w:p>
      <w:pPr>
        <w:spacing w:after="0" w:line="180" w:lineRule="exact"/>
        <w:rPr>
          <w:rFonts w:ascii="Times New Roman" w:cs="Times New Roman" w:eastAsia="Times New Roman" w:hAnsi="Times New Roman"/>
          <w:sz w:val="22"/>
          <w:szCs w:val="22"/>
          <w:color w:val="auto"/>
        </w:rPr>
      </w:pPr>
    </w:p>
    <w:p>
      <w:pPr>
        <w:ind w:left="100" w:right="580" w:firstLine="980"/>
        <w:spacing w:after="0" w:line="271" w:lineRule="auto"/>
        <w:tabs>
          <w:tab w:leader="none" w:pos="198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Secretary shall properly maintain and file all books, reports, statements, certificates and all other documents and records required by law, the certificate of incorporation or these bylaws.</w:t>
      </w:r>
    </w:p>
    <w:p>
      <w:pPr>
        <w:spacing w:after="0" w:line="157" w:lineRule="exact"/>
        <w:rPr>
          <w:rFonts w:ascii="Times New Roman" w:cs="Times New Roman" w:eastAsia="Times New Roman" w:hAnsi="Times New Roman"/>
          <w:sz w:val="22"/>
          <w:szCs w:val="22"/>
          <w:color w:val="auto"/>
        </w:rPr>
      </w:pPr>
    </w:p>
    <w:p>
      <w:pPr>
        <w:ind w:left="100" w:right="40" w:firstLine="980"/>
        <w:spacing w:after="0" w:line="275" w:lineRule="auto"/>
        <w:tabs>
          <w:tab w:leader="none" w:pos="1985"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Secretary shall have charge of the stock books and ledgers of the Corporation and shall cause the stock and transfer books to be kept in such manner as to show at any time the number of shares of stock of the Corporation of each class issued and outstanding, the names (alphabetically arranged) and the addresses of the holders of record of such shares,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300"/>
          </w:cols>
          <w:pgMar w:left="220" w:top="1440" w:right="379" w:bottom="1440" w:gutter="0" w:footer="0" w:header="0"/>
        </w:sectPr>
      </w:pPr>
    </w:p>
    <w:bookmarkStart w:id="73" w:name="page74"/>
    <w:bookmarkEnd w:id="73"/>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number of shares held by each holder and the date as of which each such holder became a holder of record.</w:t>
      </w:r>
    </w:p>
    <w:p>
      <w:pPr>
        <w:spacing w:after="0" w:line="220" w:lineRule="exact"/>
        <w:rPr>
          <w:sz w:val="20"/>
          <w:szCs w:val="20"/>
          <w:color w:val="auto"/>
        </w:rPr>
      </w:pPr>
    </w:p>
    <w:p>
      <w:pPr>
        <w:ind w:left="100" w:right="240" w:firstLine="980"/>
        <w:spacing w:after="0" w:line="295" w:lineRule="auto"/>
        <w:tabs>
          <w:tab w:leader="none" w:pos="198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Secretary shall sign (unless the Treasurer, an Assistant Treasurer or an Assistant Secretary shall have signed) certificates representing shares of the Corporation the issuance of which shall have been authorized by the Board.</w:t>
      </w:r>
    </w:p>
    <w:p>
      <w:pPr>
        <w:spacing w:after="0" w:line="135" w:lineRule="exact"/>
        <w:rPr>
          <w:rFonts w:ascii="Times New Roman" w:cs="Times New Roman" w:eastAsia="Times New Roman" w:hAnsi="Times New Roman"/>
          <w:sz w:val="21"/>
          <w:szCs w:val="21"/>
          <w:color w:val="auto"/>
        </w:rPr>
      </w:pPr>
    </w:p>
    <w:p>
      <w:pPr>
        <w:ind w:left="100" w:right="20" w:firstLine="980"/>
        <w:spacing w:after="0" w:line="271" w:lineRule="auto"/>
        <w:tabs>
          <w:tab w:leader="none" w:pos="198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Secretary shall perform, in general, all duties incident to the office of secretary and such other duties as may be specified in these bylaws or as may be assigned to the Secretary from time to time by the Board or the President.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on ix. </w:t>
      </w:r>
      <w:r>
        <w:rPr>
          <w:rFonts w:ascii="Times New Roman" w:cs="Times New Roman" w:eastAsia="Times New Roman" w:hAnsi="Times New Roman"/>
          <w:sz w:val="21"/>
          <w:szCs w:val="21"/>
          <w:u w:val="single" w:color="auto"/>
          <w:color w:val="auto"/>
        </w:rPr>
        <w:t>Treasurer</w:t>
      </w:r>
      <w:r>
        <w:rPr>
          <w:rFonts w:ascii="Times New Roman" w:cs="Times New Roman" w:eastAsia="Times New Roman" w:hAnsi="Times New Roman"/>
          <w:sz w:val="21"/>
          <w:szCs w:val="21"/>
          <w:color w:val="auto"/>
        </w:rPr>
        <w:t>. Unless otherwise determined by the Board, the Treasurer, if there be one, shall be the chief financial officer of the</w:t>
      </w:r>
    </w:p>
    <w:p>
      <w:pPr>
        <w:spacing w:after="0" w:line="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Corporation and shall have the following powers and duties:</w:t>
      </w:r>
    </w:p>
    <w:p>
      <w:pPr>
        <w:spacing w:after="0" w:line="196" w:lineRule="exact"/>
        <w:rPr>
          <w:sz w:val="20"/>
          <w:szCs w:val="20"/>
          <w:color w:val="auto"/>
        </w:rPr>
      </w:pPr>
    </w:p>
    <w:p>
      <w:pPr>
        <w:ind w:left="100" w:firstLine="980"/>
        <w:spacing w:after="0" w:line="271" w:lineRule="auto"/>
        <w:tabs>
          <w:tab w:leader="none" w:pos="198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Treasurer shall have charge and supervision over and be responsible for the moneys, securities, receipts and disbursements of the Corporation, and shall keep or cause to be kept full and accurate records thereof.</w:t>
      </w:r>
    </w:p>
    <w:p>
      <w:pPr>
        <w:spacing w:after="0" w:line="157" w:lineRule="exact"/>
        <w:rPr>
          <w:rFonts w:ascii="Times New Roman" w:cs="Times New Roman" w:eastAsia="Times New Roman" w:hAnsi="Times New Roman"/>
          <w:sz w:val="22"/>
          <w:szCs w:val="22"/>
          <w:color w:val="auto"/>
        </w:rPr>
      </w:pPr>
    </w:p>
    <w:p>
      <w:pPr>
        <w:ind w:left="100" w:right="140" w:firstLine="980"/>
        <w:spacing w:after="0" w:line="252" w:lineRule="auto"/>
        <w:tabs>
          <w:tab w:leader="none" w:pos="198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Treasurer shall cause the moneys and other valuable effects of the Corporation to be deposited in the name and to the credit of the Corporation in such banks or trust companies or with such bankers or other depositaries as shall be determined by the Board or the President, or by such other officers of the Corporation as may be authorized by the Board or the President to make such determinations.</w:t>
      </w:r>
    </w:p>
    <w:p>
      <w:pPr>
        <w:spacing w:after="0" w:line="179" w:lineRule="exact"/>
        <w:rPr>
          <w:rFonts w:ascii="Times New Roman" w:cs="Times New Roman" w:eastAsia="Times New Roman" w:hAnsi="Times New Roman"/>
          <w:sz w:val="22"/>
          <w:szCs w:val="22"/>
          <w:color w:val="auto"/>
        </w:rPr>
      </w:pPr>
    </w:p>
    <w:p>
      <w:pPr>
        <w:ind w:left="100" w:right="420" w:firstLine="980"/>
        <w:spacing w:after="0" w:line="252" w:lineRule="auto"/>
        <w:tabs>
          <w:tab w:leader="none" w:pos="198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Treasurer shall cause the moneys of the Corporation to be disbursed by checks or drafts (signed by such officer or officers or such agent or agents of the Corporation, and in such manner, as the Board or the President may determine from time to time) upon the authorized depositaries of the Corporation and cause to be taken and preserved proper vouchers for all moneys disbursed.</w:t>
      </w:r>
    </w:p>
    <w:p>
      <w:pPr>
        <w:spacing w:after="0" w:line="179" w:lineRule="exact"/>
        <w:rPr>
          <w:rFonts w:ascii="Times New Roman" w:cs="Times New Roman" w:eastAsia="Times New Roman" w:hAnsi="Times New Roman"/>
          <w:sz w:val="22"/>
          <w:szCs w:val="22"/>
          <w:color w:val="auto"/>
        </w:rPr>
      </w:pPr>
    </w:p>
    <w:p>
      <w:pPr>
        <w:ind w:left="100" w:right="40" w:firstLine="980"/>
        <w:spacing w:after="0" w:line="257" w:lineRule="auto"/>
        <w:tabs>
          <w:tab w:leader="none" w:pos="198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Treasurer shall render to the Board or the President, whenever requested, a statement of the financial condition of the Corporation and of the transactions of the Corporation, and render a full financial report at the annual meeting of the stockholders, if called upon to do so.</w:t>
      </w:r>
    </w:p>
    <w:p>
      <w:pPr>
        <w:spacing w:after="0" w:line="172" w:lineRule="exact"/>
        <w:rPr>
          <w:rFonts w:ascii="Times New Roman" w:cs="Times New Roman" w:eastAsia="Times New Roman" w:hAnsi="Times New Roman"/>
          <w:sz w:val="22"/>
          <w:szCs w:val="22"/>
          <w:color w:val="auto"/>
        </w:rPr>
      </w:pPr>
    </w:p>
    <w:p>
      <w:pPr>
        <w:jc w:val="both"/>
        <w:ind w:left="100" w:right="980" w:firstLine="980"/>
        <w:spacing w:after="0" w:line="257" w:lineRule="auto"/>
        <w:tabs>
          <w:tab w:leader="none" w:pos="198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Treasurer shall be empowered from time to time to require from all officers or agents of the Corporation reports or statements giving such information as he or she may desire with respect to any and all financial transactions of the Corporation.</w:t>
      </w:r>
    </w:p>
    <w:p>
      <w:pPr>
        <w:spacing w:after="0" w:line="172" w:lineRule="exact"/>
        <w:rPr>
          <w:rFonts w:ascii="Times New Roman" w:cs="Times New Roman" w:eastAsia="Times New Roman" w:hAnsi="Times New Roman"/>
          <w:sz w:val="22"/>
          <w:szCs w:val="22"/>
          <w:color w:val="auto"/>
        </w:rPr>
      </w:pPr>
    </w:p>
    <w:p>
      <w:pPr>
        <w:ind w:left="100" w:right="80" w:firstLine="980"/>
        <w:spacing w:after="0" w:line="257" w:lineRule="auto"/>
        <w:tabs>
          <w:tab w:leader="none" w:pos="198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Treasurer may sign (unless an Assistant Treasurer or the Secretary or an Assistant Secretary shall have signed) certificates representing shares of stock of the Corporation the issuance of which shall have been authorized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320"/>
          </w:cols>
          <w:pgMar w:left="220" w:top="1440" w:right="359" w:bottom="1440" w:gutter="0" w:footer="0" w:header="0"/>
        </w:sectPr>
      </w:pPr>
    </w:p>
    <w:bookmarkStart w:id="74" w:name="page75"/>
    <w:bookmarkEnd w:id="74"/>
    <w:p>
      <w:pPr>
        <w:spacing w:after="0" w:line="198" w:lineRule="exact"/>
        <w:rPr>
          <w:sz w:val="20"/>
          <w:szCs w:val="20"/>
          <w:color w:val="auto"/>
        </w:rPr>
      </w:pPr>
    </w:p>
    <w:p>
      <w:pPr>
        <w:ind w:left="100" w:right="20" w:firstLine="980"/>
        <w:spacing w:after="0" w:line="271" w:lineRule="auto"/>
        <w:tabs>
          <w:tab w:leader="none" w:pos="198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Treasurer shall perform, in general, all duties incident to the office of treasurer and such other duties as may be specified in these bylaws or as may be assigned to the Treasurer from time to time by the Board or the President.</w:t>
      </w:r>
    </w:p>
    <w:p>
      <w:pPr>
        <w:spacing w:after="0" w:line="158" w:lineRule="exact"/>
        <w:rPr>
          <w:sz w:val="20"/>
          <w:szCs w:val="20"/>
          <w:color w:val="auto"/>
        </w:rPr>
      </w:pPr>
    </w:p>
    <w:p>
      <w:pPr>
        <w:ind w:left="100" w:right="360" w:hanging="106"/>
        <w:spacing w:after="0" w:line="295" w:lineRule="auto"/>
        <w:rPr>
          <w:sz w:val="20"/>
          <w:szCs w:val="20"/>
          <w:color w:val="auto"/>
        </w:rPr>
      </w:pPr>
      <w:r>
        <w:rPr>
          <w:rFonts w:ascii="Times New Roman" w:cs="Times New Roman" w:eastAsia="Times New Roman" w:hAnsi="Times New Roman"/>
          <w:sz w:val="21"/>
          <w:szCs w:val="21"/>
          <w:color w:val="auto"/>
        </w:rPr>
        <w:t xml:space="preserve">on x. </w:t>
      </w:r>
      <w:r>
        <w:rPr>
          <w:rFonts w:ascii="Times New Roman" w:cs="Times New Roman" w:eastAsia="Times New Roman" w:hAnsi="Times New Roman"/>
          <w:sz w:val="21"/>
          <w:szCs w:val="21"/>
          <w:u w:val="single" w:color="auto"/>
          <w:color w:val="auto"/>
        </w:rPr>
        <w:t>Security</w:t>
      </w:r>
      <w:r>
        <w:rPr>
          <w:rFonts w:ascii="Times New Roman" w:cs="Times New Roman" w:eastAsia="Times New Roman" w:hAnsi="Times New Roman"/>
          <w:sz w:val="21"/>
          <w:szCs w:val="21"/>
          <w:color w:val="auto"/>
        </w:rPr>
        <w:t>. The Board may require any officer, agent or employee of the Corporation to provide security for the faithful performance of his or her duties, in such amount and of such character as may be determined from time to time by the Board.</w:t>
      </w:r>
    </w:p>
    <w:p>
      <w:pPr>
        <w:spacing w:after="0" w:line="135" w:lineRule="exact"/>
        <w:rPr>
          <w:sz w:val="20"/>
          <w:szCs w:val="20"/>
          <w:color w:val="auto"/>
        </w:rPr>
      </w:pPr>
    </w:p>
    <w:p>
      <w:pPr>
        <w:jc w:val="center"/>
        <w:ind w:right="-139"/>
        <w:spacing w:after="0"/>
        <w:tabs>
          <w:tab w:leader="none" w:pos="420" w:val="left"/>
        </w:tabs>
        <w:rPr>
          <w:sz w:val="20"/>
          <w:szCs w:val="20"/>
          <w:color w:val="auto"/>
        </w:rPr>
      </w:pPr>
      <w:r>
        <w:rPr>
          <w:rFonts w:ascii="Times New Roman" w:cs="Times New Roman" w:eastAsia="Times New Roman" w:hAnsi="Times New Roman"/>
          <w:sz w:val="22"/>
          <w:szCs w:val="22"/>
          <w:color w:val="auto"/>
        </w:rPr>
        <w:t>Article V.</w:t>
      </w:r>
      <w:r>
        <w:rPr>
          <w:sz w:val="20"/>
          <w:szCs w:val="20"/>
          <w:color w:val="auto"/>
        </w:rPr>
        <w:tab/>
      </w:r>
      <w:r>
        <w:rPr>
          <w:rFonts w:ascii="Times New Roman" w:cs="Times New Roman" w:eastAsia="Times New Roman" w:hAnsi="Times New Roman"/>
          <w:sz w:val="21"/>
          <w:szCs w:val="21"/>
          <w:u w:val="single" w:color="auto"/>
          <w:color w:val="auto"/>
        </w:rPr>
        <w:t>CAPITAL STOCK</w:t>
      </w:r>
    </w:p>
    <w:p>
      <w:pPr>
        <w:spacing w:after="0" w:line="220" w:lineRule="exact"/>
        <w:rPr>
          <w:sz w:val="20"/>
          <w:szCs w:val="20"/>
          <w:color w:val="auto"/>
        </w:rPr>
      </w:pPr>
    </w:p>
    <w:p>
      <w:pPr>
        <w:ind w:left="100" w:right="80" w:hanging="107"/>
        <w:spacing w:after="0" w:line="247" w:lineRule="auto"/>
        <w:rPr>
          <w:sz w:val="20"/>
          <w:szCs w:val="20"/>
          <w:color w:val="auto"/>
        </w:rPr>
      </w:pPr>
      <w:r>
        <w:rPr>
          <w:rFonts w:ascii="Times New Roman" w:cs="Times New Roman" w:eastAsia="Times New Roman" w:hAnsi="Times New Roman"/>
          <w:sz w:val="22"/>
          <w:szCs w:val="22"/>
          <w:color w:val="auto"/>
        </w:rPr>
        <w:t xml:space="preserve">ion i. </w:t>
      </w:r>
      <w:r>
        <w:rPr>
          <w:rFonts w:ascii="Times New Roman" w:cs="Times New Roman" w:eastAsia="Times New Roman" w:hAnsi="Times New Roman"/>
          <w:sz w:val="22"/>
          <w:szCs w:val="22"/>
          <w:u w:val="single" w:color="auto"/>
          <w:color w:val="auto"/>
        </w:rPr>
        <w:t>Certificates of Stock; Uncertificated Shares</w:t>
      </w:r>
      <w:r>
        <w:rPr>
          <w:rFonts w:ascii="Times New Roman" w:cs="Times New Roman" w:eastAsia="Times New Roman" w:hAnsi="Times New Roman"/>
          <w:sz w:val="22"/>
          <w:szCs w:val="22"/>
          <w:color w:val="auto"/>
        </w:rPr>
        <w:t>. The shares of the Corporation shall be represented by certificates, except to the extent that the Board has provided by resolution that some or all of any or all classes or series of the stock of the Corporation shall be uncertificated shares. Any such resolution shall not apply to shares represented by a certificate until such certificate is surrendered to the Corporation. Every holder of stock in the Corporation represented by certificates shall be entitled to have, and the Board may in its sole discretion permit a holder of uncertificated shares to receive upon request, a certificate signed by the President or a Vice President, and by the Treasurer or an Assistant Treasurer, or the Secretary or an Assistant Secretary, representing the number of shares registered in certificate form. Such certificate shall be in such form as the Board may determine, to the extent consistent with applicable law, the certificate of incorporation and these bylaws.</w:t>
      </w:r>
    </w:p>
    <w:p>
      <w:pPr>
        <w:spacing w:after="0" w:line="185" w:lineRule="exact"/>
        <w:rPr>
          <w:sz w:val="20"/>
          <w:szCs w:val="20"/>
          <w:color w:val="auto"/>
        </w:rPr>
      </w:pPr>
    </w:p>
    <w:p>
      <w:pPr>
        <w:ind w:left="100" w:right="40" w:hanging="107"/>
        <w:spacing w:after="0" w:line="250" w:lineRule="auto"/>
        <w:rPr>
          <w:sz w:val="20"/>
          <w:szCs w:val="20"/>
          <w:color w:val="auto"/>
        </w:rPr>
      </w:pPr>
      <w:r>
        <w:rPr>
          <w:rFonts w:ascii="Times New Roman" w:cs="Times New Roman" w:eastAsia="Times New Roman" w:hAnsi="Times New Roman"/>
          <w:sz w:val="22"/>
          <w:szCs w:val="22"/>
          <w:color w:val="auto"/>
        </w:rPr>
        <w:t xml:space="preserve">on ii. </w:t>
      </w:r>
      <w:r>
        <w:rPr>
          <w:rFonts w:ascii="Times New Roman" w:cs="Times New Roman" w:eastAsia="Times New Roman" w:hAnsi="Times New Roman"/>
          <w:sz w:val="22"/>
          <w:szCs w:val="22"/>
          <w:u w:val="single" w:color="auto"/>
          <w:color w:val="auto"/>
        </w:rPr>
        <w:t>Facsimile Signatures</w:t>
      </w:r>
      <w:r>
        <w:rPr>
          <w:rFonts w:ascii="Times New Roman" w:cs="Times New Roman" w:eastAsia="Times New Roman" w:hAnsi="Times New Roman"/>
          <w:sz w:val="22"/>
          <w:szCs w:val="22"/>
          <w:color w:val="auto"/>
        </w:rPr>
        <w:t>. Any or all signatures on the certificates referred to in Section 5.01 of these bylaws may be in facsimile form, to the extent permitted by law.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81" w:lineRule="exact"/>
        <w:rPr>
          <w:sz w:val="20"/>
          <w:szCs w:val="20"/>
          <w:color w:val="auto"/>
        </w:rPr>
      </w:pPr>
    </w:p>
    <w:p>
      <w:pPr>
        <w:ind w:left="100" w:right="20" w:hanging="107"/>
        <w:spacing w:after="0" w:line="248" w:lineRule="auto"/>
        <w:rPr>
          <w:sz w:val="20"/>
          <w:szCs w:val="20"/>
          <w:color w:val="auto"/>
        </w:rPr>
      </w:pPr>
      <w:r>
        <w:rPr>
          <w:rFonts w:ascii="Times New Roman" w:cs="Times New Roman" w:eastAsia="Times New Roman" w:hAnsi="Times New Roman"/>
          <w:sz w:val="22"/>
          <w:szCs w:val="22"/>
          <w:color w:val="auto"/>
        </w:rPr>
        <w:t xml:space="preserve">on iii. </w:t>
      </w:r>
      <w:r>
        <w:rPr>
          <w:rFonts w:ascii="Times New Roman" w:cs="Times New Roman" w:eastAsia="Times New Roman" w:hAnsi="Times New Roman"/>
          <w:sz w:val="22"/>
          <w:szCs w:val="22"/>
          <w:u w:val="single" w:color="auto"/>
          <w:color w:val="auto"/>
        </w:rPr>
        <w:t>Lost, Stolen or Destroyed Certificates</w:t>
      </w:r>
      <w:r>
        <w:rPr>
          <w:rFonts w:ascii="Times New Roman" w:cs="Times New Roman" w:eastAsia="Times New Roman" w:hAnsi="Times New Roman"/>
          <w:sz w:val="22"/>
          <w:szCs w:val="22"/>
          <w:color w:val="auto"/>
        </w:rPr>
        <w:t>. A new certificate may be issued in place of any certificate theretofore issued by the Corporation alleged to have been lost, stolen or destroyed only upon delivery to the Corporation of an affidavit of the owner or owners (or their legal representatives) of such certificate, setting forth such allegation, and a bond or other undertaking as may be satisfactory to a financial officer of the Corporation designated by the Board to indemnify the Corporation against any claim that may be made against it on account of the alleged loss, theft or destruction of any such certificate or the issuance of any such new certificate.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on iv. </w:t>
      </w:r>
      <w:r>
        <w:rPr>
          <w:rFonts w:ascii="Times New Roman" w:cs="Times New Roman" w:eastAsia="Times New Roman" w:hAnsi="Times New Roman"/>
          <w:sz w:val="22"/>
          <w:szCs w:val="22"/>
          <w:u w:val="single" w:color="auto"/>
          <w:color w:val="auto"/>
        </w:rPr>
        <w:t>Transfer of Stock</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00" w:firstLine="980"/>
        <w:spacing w:after="0" w:line="250" w:lineRule="auto"/>
        <w:tabs>
          <w:tab w:leader="none" w:pos="198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surrender to the Corporation or the transfer agent of the Corporation of a certificate for shares, duly endorsed or accompanied by appropriate evidence of succession, assignment or authority to transfer, the Corporation shall issue a new certificate to the person entitled thereto, cancel the old certificate and record the transaction upon its books. Within a reasonable time after the transfer of uncertificated stock, the Corporation shall send to the registered owner thereof a written notice containing the information required to be set forth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300"/>
          </w:cols>
          <w:pgMar w:left="220" w:top="1440" w:right="379" w:bottom="1440" w:gutter="0" w:footer="0" w:header="0"/>
        </w:sectPr>
      </w:pPr>
    </w:p>
    <w:bookmarkStart w:id="75" w:name="page76"/>
    <w:bookmarkEnd w:id="75"/>
    <w:p>
      <w:pPr>
        <w:spacing w:after="0" w:line="198" w:lineRule="exact"/>
        <w:rPr>
          <w:sz w:val="20"/>
          <w:szCs w:val="20"/>
          <w:color w:val="auto"/>
        </w:rPr>
      </w:pPr>
    </w:p>
    <w:p>
      <w:pPr>
        <w:ind w:left="100" w:right="160"/>
        <w:spacing w:after="0" w:line="257" w:lineRule="auto"/>
        <w:rPr>
          <w:sz w:val="20"/>
          <w:szCs w:val="20"/>
          <w:color w:val="auto"/>
        </w:rPr>
      </w:pPr>
      <w:r>
        <w:rPr>
          <w:rFonts w:ascii="Times New Roman" w:cs="Times New Roman" w:eastAsia="Times New Roman" w:hAnsi="Times New Roman"/>
          <w:sz w:val="22"/>
          <w:szCs w:val="22"/>
          <w:color w:val="auto"/>
        </w:rPr>
        <w:t>stated on certificates pursuant to Sections 151, 156, 202(a) or 218(a) of the DGCL. Subject to the provisions of the certificate of incorporation and these bylaws, the Board may prescribe such additional rules and regulations as it may deem appropriate relating to the issue, transfer and registration of shares of the Corporation.</w:t>
      </w:r>
    </w:p>
    <w:p>
      <w:pPr>
        <w:spacing w:after="0" w:line="173" w:lineRule="exact"/>
        <w:rPr>
          <w:sz w:val="20"/>
          <w:szCs w:val="20"/>
          <w:color w:val="auto"/>
        </w:rPr>
      </w:pPr>
    </w:p>
    <w:p>
      <w:pPr>
        <w:ind w:left="100" w:right="180" w:firstLine="980"/>
        <w:spacing w:after="0" w:line="271" w:lineRule="auto"/>
        <w:tabs>
          <w:tab w:leader="none" w:pos="198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enter into additional agreements with shareholders to restrict the transfer of stock of the Corporation in any manner not prohibited by the DGCL.</w:t>
      </w:r>
    </w:p>
    <w:p>
      <w:pPr>
        <w:spacing w:after="0" w:line="158" w:lineRule="exact"/>
        <w:rPr>
          <w:sz w:val="20"/>
          <w:szCs w:val="20"/>
          <w:color w:val="auto"/>
        </w:rPr>
      </w:pPr>
    </w:p>
    <w:p>
      <w:pPr>
        <w:ind w:left="100" w:right="160" w:hanging="106"/>
        <w:spacing w:after="0" w:line="247" w:lineRule="auto"/>
        <w:rPr>
          <w:sz w:val="20"/>
          <w:szCs w:val="20"/>
          <w:color w:val="auto"/>
        </w:rPr>
      </w:pPr>
      <w:r>
        <w:rPr>
          <w:rFonts w:ascii="Times New Roman" w:cs="Times New Roman" w:eastAsia="Times New Roman" w:hAnsi="Times New Roman"/>
          <w:sz w:val="22"/>
          <w:szCs w:val="22"/>
          <w:color w:val="auto"/>
        </w:rPr>
        <w:t xml:space="preserve">on v. </w:t>
      </w:r>
      <w:r>
        <w:rPr>
          <w:rFonts w:ascii="Times New Roman" w:cs="Times New Roman" w:eastAsia="Times New Roman" w:hAnsi="Times New Roman"/>
          <w:sz w:val="22"/>
          <w:szCs w:val="22"/>
          <w:u w:val="single" w:color="auto"/>
          <w:color w:val="auto"/>
        </w:rPr>
        <w:t>Registered Stockholders</w:t>
      </w:r>
      <w:r>
        <w:rPr>
          <w:rFonts w:ascii="Times New Roman" w:cs="Times New Roman" w:eastAsia="Times New Roman" w:hAnsi="Times New Roman"/>
          <w:sz w:val="22"/>
          <w:szCs w:val="22"/>
          <w:color w:val="auto"/>
        </w:rPr>
        <w:t>. Prior to due surrender of a certificate for registration of transfer, the Corporation may treat the registered owner as the person exclusively entitled to receive dividends and other distributions, to vote, to receive notice and otherwise to exercise all the rights and powers of the owner of the shares represented by such certificate, and the Corporation shall not be bound to recognize any equitable or legal claim to or interest in such shares on the part of any other person, whether or not the Corporation shall have notice of such claim or interests. If a transfer of shares is made for collateral security, and not absolutely, this fact shall be so expressed in the entry of the transfer if, when the certificates are presented to the Corporation for transfer or uncertificated shares are requested to be transferred, both the transferor and transferee request the Corporation to do so.</w:t>
      </w:r>
    </w:p>
    <w:p>
      <w:pPr>
        <w:spacing w:after="0" w:line="185" w:lineRule="exact"/>
        <w:rPr>
          <w:sz w:val="20"/>
          <w:szCs w:val="20"/>
          <w:color w:val="auto"/>
        </w:rPr>
      </w:pPr>
    </w:p>
    <w:p>
      <w:pPr>
        <w:ind w:left="100" w:right="600" w:hanging="107"/>
        <w:spacing w:after="0" w:line="271" w:lineRule="auto"/>
        <w:rPr>
          <w:sz w:val="20"/>
          <w:szCs w:val="20"/>
          <w:color w:val="auto"/>
        </w:rPr>
      </w:pPr>
      <w:r>
        <w:rPr>
          <w:rFonts w:ascii="Times New Roman" w:cs="Times New Roman" w:eastAsia="Times New Roman" w:hAnsi="Times New Roman"/>
          <w:sz w:val="22"/>
          <w:szCs w:val="22"/>
          <w:color w:val="auto"/>
        </w:rPr>
        <w:t xml:space="preserve">on vi. </w:t>
      </w:r>
      <w:r>
        <w:rPr>
          <w:rFonts w:ascii="Times New Roman" w:cs="Times New Roman" w:eastAsia="Times New Roman" w:hAnsi="Times New Roman"/>
          <w:sz w:val="22"/>
          <w:szCs w:val="22"/>
          <w:u w:val="single" w:color="auto"/>
          <w:color w:val="auto"/>
        </w:rPr>
        <w:t>Transfer Agent and Registrar</w:t>
      </w:r>
      <w:r>
        <w:rPr>
          <w:rFonts w:ascii="Times New Roman" w:cs="Times New Roman" w:eastAsia="Times New Roman" w:hAnsi="Times New Roman"/>
          <w:sz w:val="22"/>
          <w:szCs w:val="22"/>
          <w:color w:val="auto"/>
        </w:rPr>
        <w:t>. The Board may appoint one or more transfer agents and one or more registrars, and may require all certificates representing shares to bear the signature of any such transfer agents or registrars.</w:t>
      </w:r>
    </w:p>
    <w:p>
      <w:pPr>
        <w:spacing w:after="0" w:line="158" w:lineRule="exact"/>
        <w:rPr>
          <w:sz w:val="20"/>
          <w:szCs w:val="20"/>
          <w:color w:val="auto"/>
        </w:rPr>
      </w:pPr>
    </w:p>
    <w:p>
      <w:pPr>
        <w:jc w:val="center"/>
        <w:ind w:right="-99"/>
        <w:spacing w:after="0"/>
        <w:tabs>
          <w:tab w:leader="none" w:pos="320" w:val="left"/>
        </w:tabs>
        <w:rPr>
          <w:sz w:val="20"/>
          <w:szCs w:val="20"/>
          <w:color w:val="auto"/>
        </w:rPr>
      </w:pPr>
      <w:r>
        <w:rPr>
          <w:rFonts w:ascii="Times New Roman" w:cs="Times New Roman" w:eastAsia="Times New Roman" w:hAnsi="Times New Roman"/>
          <w:sz w:val="22"/>
          <w:szCs w:val="22"/>
          <w:color w:val="auto"/>
        </w:rPr>
        <w:t>Article VI.</w:t>
      </w:r>
      <w:r>
        <w:rPr>
          <w:sz w:val="20"/>
          <w:szCs w:val="20"/>
          <w:color w:val="auto"/>
        </w:rPr>
        <w:tab/>
      </w:r>
      <w:r>
        <w:rPr>
          <w:rFonts w:ascii="Times New Roman" w:cs="Times New Roman" w:eastAsia="Times New Roman" w:hAnsi="Times New Roman"/>
          <w:sz w:val="21"/>
          <w:szCs w:val="21"/>
          <w:u w:val="single" w:color="auto"/>
          <w:color w:val="auto"/>
        </w:rPr>
        <w:t>INDEMNIFICATION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ion i.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00" w:right="60" w:firstLine="980"/>
        <w:spacing w:after="0" w:line="260" w:lineRule="auto"/>
        <w:tabs>
          <w:tab w:leader="none" w:pos="1985"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 General</w:t>
      </w:r>
      <w:r>
        <w:rPr>
          <w:rFonts w:ascii="Times New Roman" w:cs="Times New Roman" w:eastAsia="Times New Roman" w:hAnsi="Times New Roman"/>
          <w:sz w:val="21"/>
          <w:szCs w:val="21"/>
          <w:color w:val="auto"/>
        </w:rPr>
        <w:t>. The Corporation shall indemnify, to the full extent permitted by the DGCL and other applicable law, any person who was or is a party or is threatened to be made a party to any threatened, pending or completed action, suit or proceeding, whether civil, criminal, administrative or investigative (each,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by reason of the fact that (x) such person is or was serving or has agreed to serve as a Director or officer of the Corporation, or (y) such person, while serving as a Director or officer of the Corporation, is or was serving or has agreed to serve at the request of the Corporation as a Director, officer, employee, manager or agent of another corporation, partnership, joint venture, trust or other enterprise or (z) such person is or was serving or has agreed to serve at the request of the Corporation as a Director, officer or manager of another corporation, partnership, joint venture, trust or other enterprise, or by reason of any action alleged to have been taken or omitted by such person in such capacity, and who satisfies the applicable standard of conduct set forth in the DGCL or other applicable law:</w:t>
      </w:r>
    </w:p>
    <w:p>
      <w:pPr>
        <w:spacing w:after="0" w:line="170" w:lineRule="exact"/>
        <w:rPr>
          <w:rFonts w:ascii="Times New Roman" w:cs="Times New Roman" w:eastAsia="Times New Roman" w:hAnsi="Times New Roman"/>
          <w:sz w:val="21"/>
          <w:szCs w:val="21"/>
          <w:color w:val="auto"/>
        </w:rPr>
      </w:pPr>
    </w:p>
    <w:p>
      <w:pPr>
        <w:ind w:left="100" w:firstLine="758"/>
        <w:spacing w:after="0" w:line="257" w:lineRule="auto"/>
        <w:tabs>
          <w:tab w:leader="none" w:pos="134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proceeding other than a proceeding by or in the right of the Corporation, against expenses (including attorneys’ fees), judgments, fines and amounts paid in settlement actually and reasonably incurred by such person or on such person’s behalf in connection with such proceeding and any appeal therefrom,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340"/>
          </w:cols>
          <w:pgMar w:left="220" w:top="1440" w:right="339" w:bottom="1440" w:gutter="0" w:footer="0" w:header="0"/>
        </w:sectPr>
      </w:pPr>
    </w:p>
    <w:bookmarkStart w:id="76" w:name="page77"/>
    <w:bookmarkEnd w:id="76"/>
    <w:p>
      <w:pPr>
        <w:spacing w:after="0" w:line="198" w:lineRule="exact"/>
        <w:rPr>
          <w:sz w:val="20"/>
          <w:szCs w:val="20"/>
          <w:color w:val="auto"/>
        </w:rPr>
      </w:pPr>
    </w:p>
    <w:p>
      <w:pPr>
        <w:ind w:right="60" w:firstLine="698"/>
        <w:spacing w:after="0" w:line="257" w:lineRule="auto"/>
        <w:tabs>
          <w:tab w:leader="none" w:pos="124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proceeding by or in the right of the Corporation to procure a judgment in its favor, against expenses (including attorneys’ fees) actually and reasonably incurred by such person or on such person’s behalf in connection with the defense or settlement of such proceeding and any appeal therefrom.</w:t>
      </w:r>
    </w:p>
    <w:p>
      <w:pPr>
        <w:spacing w:after="0" w:line="172" w:lineRule="exact"/>
        <w:rPr>
          <w:rFonts w:ascii="Times New Roman" w:cs="Times New Roman" w:eastAsia="Times New Roman" w:hAnsi="Times New Roman"/>
          <w:sz w:val="22"/>
          <w:szCs w:val="22"/>
          <w:color w:val="auto"/>
        </w:rPr>
      </w:pPr>
    </w:p>
    <w:p>
      <w:pPr>
        <w:jc w:val="both"/>
        <w:ind w:firstLine="980"/>
        <w:spacing w:after="0" w:line="252" w:lineRule="auto"/>
        <w:tabs>
          <w:tab w:leader="none" w:pos="188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in Respect of Successful Defense</w:t>
      </w:r>
      <w:r>
        <w:rPr>
          <w:rFonts w:ascii="Times New Roman" w:cs="Times New Roman" w:eastAsia="Times New Roman" w:hAnsi="Times New Roman"/>
          <w:sz w:val="22"/>
          <w:szCs w:val="22"/>
          <w:color w:val="auto"/>
        </w:rPr>
        <w:t>. To the extent that a present or former Director or officer of the Corporation has been successful on the merits or otherwise in defense of any proceeding referred to in Section 6.01(a) or in defense of any claim, issue or matter therein, such person shall be indemnified by the Corporation against expenses (including attorneys’ fees) actually and reasonably incurred by such person in connection therewith.</w:t>
      </w:r>
    </w:p>
    <w:p>
      <w:pPr>
        <w:spacing w:after="0" w:line="179" w:lineRule="exact"/>
        <w:rPr>
          <w:rFonts w:ascii="Times New Roman" w:cs="Times New Roman" w:eastAsia="Times New Roman" w:hAnsi="Times New Roman"/>
          <w:sz w:val="22"/>
          <w:szCs w:val="22"/>
          <w:color w:val="auto"/>
        </w:rPr>
      </w:pPr>
    </w:p>
    <w:p>
      <w:pPr>
        <w:jc w:val="both"/>
        <w:ind w:right="180" w:firstLine="980"/>
        <w:spacing w:after="0" w:line="252" w:lineRule="auto"/>
        <w:tabs>
          <w:tab w:leader="none" w:pos="188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in Respect of Proceedings Instituted by Indemnitee</w:t>
      </w:r>
      <w:r>
        <w:rPr>
          <w:rFonts w:ascii="Times New Roman" w:cs="Times New Roman" w:eastAsia="Times New Roman" w:hAnsi="Times New Roman"/>
          <w:sz w:val="22"/>
          <w:szCs w:val="22"/>
          <w:color w:val="auto"/>
        </w:rPr>
        <w:t>. Section 6.01(a) does not require the Corporation to indemnify a present or former Director or officer of the Corporation in respect of a proceeding (or part thereof) instituted by such person on his or her own behalf, unless such proceeding (or part thereof) has been authorized by the Board or the indemnification requested is pursuant to the last sentence of Section 6.03 of these bylaws.</w:t>
      </w:r>
    </w:p>
    <w:p>
      <w:pPr>
        <w:spacing w:after="0" w:line="179" w:lineRule="exact"/>
        <w:rPr>
          <w:sz w:val="20"/>
          <w:szCs w:val="20"/>
          <w:color w:val="auto"/>
        </w:rPr>
      </w:pPr>
    </w:p>
    <w:p>
      <w:pPr>
        <w:ind w:right="240" w:hanging="107"/>
        <w:spacing w:after="0" w:line="248" w:lineRule="auto"/>
        <w:rPr>
          <w:sz w:val="20"/>
          <w:szCs w:val="20"/>
          <w:color w:val="auto"/>
        </w:rPr>
      </w:pPr>
      <w:r>
        <w:rPr>
          <w:rFonts w:ascii="Times New Roman" w:cs="Times New Roman" w:eastAsia="Times New Roman" w:hAnsi="Times New Roman"/>
          <w:sz w:val="22"/>
          <w:szCs w:val="22"/>
          <w:color w:val="auto"/>
        </w:rPr>
        <w:t xml:space="preserve">on ii. </w:t>
      </w:r>
      <w:r>
        <w:rPr>
          <w:rFonts w:ascii="Times New Roman" w:cs="Times New Roman" w:eastAsia="Times New Roman" w:hAnsi="Times New Roman"/>
          <w:sz w:val="22"/>
          <w:szCs w:val="22"/>
          <w:u w:val="single" w:color="auto"/>
          <w:color w:val="auto"/>
        </w:rPr>
        <w:t>Advance of Expenses</w:t>
      </w:r>
      <w:r>
        <w:rPr>
          <w:rFonts w:ascii="Times New Roman" w:cs="Times New Roman" w:eastAsia="Times New Roman" w:hAnsi="Times New Roman"/>
          <w:sz w:val="22"/>
          <w:szCs w:val="22"/>
          <w:color w:val="auto"/>
        </w:rPr>
        <w:t>. The Corporation shall advance all expenses (including reasonable attorneys’ fees) incurred by a present or former Director or officer in defending any proceeding prior to the final disposition of such proceeding upon written request of such person and delivery of an undertaking by such person to repay such amount if it shall ultimately be determined that such person is not entitled to be indemnified by the Corporation. The Corporation may authorize any counsel for the Corporation to represent (subject to applicable conflict of interest considerations) such present or former Director or officer in any proceeding, whether or not the Corporation is a party to such proceeding</w:t>
      </w:r>
    </w:p>
    <w:p>
      <w:pPr>
        <w:spacing w:after="0" w:line="187" w:lineRule="exact"/>
        <w:rPr>
          <w:sz w:val="20"/>
          <w:szCs w:val="20"/>
          <w:color w:val="auto"/>
        </w:rPr>
      </w:pPr>
    </w:p>
    <w:p>
      <w:pPr>
        <w:ind w:right="60" w:hanging="107"/>
        <w:spacing w:after="0" w:line="258" w:lineRule="auto"/>
        <w:rPr>
          <w:sz w:val="20"/>
          <w:szCs w:val="20"/>
          <w:color w:val="auto"/>
        </w:rPr>
      </w:pPr>
      <w:r>
        <w:rPr>
          <w:rFonts w:ascii="Times New Roman" w:cs="Times New Roman" w:eastAsia="Times New Roman" w:hAnsi="Times New Roman"/>
          <w:sz w:val="21"/>
          <w:szCs w:val="21"/>
          <w:color w:val="auto"/>
        </w:rPr>
        <w:t xml:space="preserve">on iii. </w:t>
      </w:r>
      <w:r>
        <w:rPr>
          <w:rFonts w:ascii="Times New Roman" w:cs="Times New Roman" w:eastAsia="Times New Roman" w:hAnsi="Times New Roman"/>
          <w:sz w:val="21"/>
          <w:szCs w:val="21"/>
          <w:u w:val="single" w:color="auto"/>
          <w:color w:val="auto"/>
        </w:rPr>
        <w:t>Procedure for Indemnification</w:t>
      </w:r>
      <w:r>
        <w:rPr>
          <w:rFonts w:ascii="Times New Roman" w:cs="Times New Roman" w:eastAsia="Times New Roman" w:hAnsi="Times New Roman"/>
          <w:sz w:val="21"/>
          <w:szCs w:val="21"/>
          <w:color w:val="auto"/>
        </w:rPr>
        <w:t>. Any indemnification under Section 6.01 of these bylaws or any advance of expenses under Section 6.02 of these bylaws shall be made only against a written request therefor (together with supporting documentation) submitted by or on behalf of the person seeking indemnification or advance. Indemnification may be sought by a person under Section 6.01 of these bylaws in respect of a proceeding only to the extent that both the liabilities for which indemnification is sought and all portions of the proceeding relevant to the determination of whether the person has satisfied any appropriate standard of conduct have become final. A person seeking indemnification or advance of expenses may seek to enforce such person’s rights to indemnification or advance of expenses (as the case may be) in the Delaware Court of Chancery to the extent all or any portion of a requested indemnification has not been granted within 90 days of, or to the extent all or any portion of a requested advance of expenses has not been granted within 20 days of, the submission of such request. All expenses (including reasonable attorneys’ fees) incurred by such person in connection with successfully establishing such person’s right to indemnification or advancement of expenses under this Article, in whole or in part, shall also be indemnified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20"/>
          </w:cols>
          <w:pgMar w:left="320" w:top="1440" w:right="359" w:bottom="1440" w:gutter="0" w:footer="0" w:header="0"/>
        </w:sectPr>
      </w:pPr>
    </w:p>
    <w:bookmarkStart w:id="77" w:name="page78"/>
    <w:bookmarkEnd w:id="7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iv. Burden of Proof.</w:t>
      </w:r>
    </w:p>
    <w:p>
      <w:pPr>
        <w:spacing w:after="0" w:line="220" w:lineRule="exact"/>
        <w:rPr>
          <w:sz w:val="20"/>
          <w:szCs w:val="20"/>
          <w:color w:val="auto"/>
        </w:rPr>
      </w:pPr>
    </w:p>
    <w:p>
      <w:pPr>
        <w:ind w:left="100" w:firstLine="980"/>
        <w:spacing w:after="0" w:line="265" w:lineRule="auto"/>
        <w:tabs>
          <w:tab w:leader="none" w:pos="198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proceeding brought to enforce the right of a person to receive indemnification to which such person is entitled under Section 6.01 of these bylaws, the Corporation has the burden of demonstrating that the standard of conduct applicable under the DGCL or other applicable law was not met. A prior determination by the Corporation (including its Board or any committee thereof, its independent legal counsel, or its stockholders) that the claimant has not met such applicable standard of conduct does not itself constitute evidence that the claimant has not met the applicable standard of conduct.</w:t>
      </w:r>
    </w:p>
    <w:p>
      <w:pPr>
        <w:spacing w:after="0" w:line="165" w:lineRule="exact"/>
        <w:rPr>
          <w:rFonts w:ascii="Times New Roman" w:cs="Times New Roman" w:eastAsia="Times New Roman" w:hAnsi="Times New Roman"/>
          <w:sz w:val="21"/>
          <w:szCs w:val="21"/>
          <w:color w:val="auto"/>
        </w:rPr>
      </w:pPr>
    </w:p>
    <w:p>
      <w:pPr>
        <w:ind w:left="100" w:right="60" w:firstLine="980"/>
        <w:spacing w:after="0" w:line="257" w:lineRule="auto"/>
        <w:tabs>
          <w:tab w:leader="none" w:pos="198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proceeding brought to enforce a claim for advances to which a person is entitled under Section 6.02 of these bylaws, the person seeking an advance need only show that he or she has satisfied the requirements expressly set forth in Section 6.02 of these bylaws.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on v. </w:t>
      </w:r>
      <w:r>
        <w:rPr>
          <w:rFonts w:ascii="Times New Roman" w:cs="Times New Roman" w:eastAsia="Times New Roman" w:hAnsi="Times New Roman"/>
          <w:sz w:val="22"/>
          <w:szCs w:val="22"/>
          <w:u w:val="single" w:color="auto"/>
          <w:color w:val="auto"/>
        </w:rPr>
        <w:t>Contract Right; Non-Exclusivity; Survival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00" w:right="100" w:firstLine="980"/>
        <w:spacing w:after="0" w:line="261" w:lineRule="auto"/>
        <w:tabs>
          <w:tab w:leader="none" w:pos="198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to indemnification and advancement of expenses provided by this Article VI shall be deemed to be separate contract rights between the Corporation and each Director and officer who serves in any such capacity at any time while these provisions as well as the relevant provisions of the DGCL are in effect, and no repeal or modification of any of these provisions or any relevant provisions of the DGCL shall adversely affect any right or obligation of such Director or officer existing at the time of such repeal or modification with respect to any state of facts then or previously existing or any proceeding previously or thereafter brought or threatened based in whole or in part upon any such state of facts. Such “contract rights” may not be modified retroactively as to any present or former Director or officer without the consent of such Director or officer.</w:t>
      </w:r>
    </w:p>
    <w:p>
      <w:pPr>
        <w:spacing w:after="0" w:line="173" w:lineRule="exact"/>
        <w:rPr>
          <w:rFonts w:ascii="Times New Roman" w:cs="Times New Roman" w:eastAsia="Times New Roman" w:hAnsi="Times New Roman"/>
          <w:sz w:val="21"/>
          <w:szCs w:val="21"/>
          <w:color w:val="auto"/>
        </w:rPr>
      </w:pPr>
    </w:p>
    <w:p>
      <w:pPr>
        <w:ind w:left="100" w:right="20" w:firstLine="980"/>
        <w:spacing w:after="0" w:line="252" w:lineRule="auto"/>
        <w:tabs>
          <w:tab w:leader="none" w:pos="198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to indemnification and advancement of expenses provided by this Article VI shall not be deemed exclusive of any other indemnification or advancement of expenses to which a present or former Director or officer of the Corporation seeking indemnification or advancement of expenses may be entitled by any agreement, vote of stockholders or disinterested Directors, or otherwise.</w:t>
      </w:r>
    </w:p>
    <w:p>
      <w:pPr>
        <w:spacing w:after="0" w:line="179" w:lineRule="exact"/>
        <w:rPr>
          <w:rFonts w:ascii="Times New Roman" w:cs="Times New Roman" w:eastAsia="Times New Roman" w:hAnsi="Times New Roman"/>
          <w:sz w:val="22"/>
          <w:szCs w:val="22"/>
          <w:color w:val="auto"/>
        </w:rPr>
      </w:pPr>
    </w:p>
    <w:p>
      <w:pPr>
        <w:ind w:left="100" w:right="220" w:firstLine="980"/>
        <w:spacing w:after="0" w:line="295" w:lineRule="auto"/>
        <w:tabs>
          <w:tab w:leader="none" w:pos="198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to indemnification and advancement of expenses provided by this Article VI to any present or former Director or officer of the Corporation shall inure to the benefit of the heirs, executors and administrators of such person.</w:t>
      </w:r>
    </w:p>
    <w:p>
      <w:pPr>
        <w:spacing w:after="0" w:line="135" w:lineRule="exact"/>
        <w:rPr>
          <w:sz w:val="20"/>
          <w:szCs w:val="20"/>
          <w:color w:val="auto"/>
        </w:rPr>
      </w:pPr>
    </w:p>
    <w:p>
      <w:pPr>
        <w:ind w:left="100" w:right="60" w:hanging="107"/>
        <w:spacing w:after="0" w:line="265" w:lineRule="auto"/>
        <w:rPr>
          <w:sz w:val="20"/>
          <w:szCs w:val="20"/>
          <w:color w:val="auto"/>
        </w:rPr>
      </w:pPr>
      <w:r>
        <w:rPr>
          <w:rFonts w:ascii="Times New Roman" w:cs="Times New Roman" w:eastAsia="Times New Roman" w:hAnsi="Times New Roman"/>
          <w:sz w:val="21"/>
          <w:szCs w:val="21"/>
          <w:color w:val="auto"/>
        </w:rPr>
        <w:t xml:space="preserve">on vi.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The Corporation may purchase and maintain insurance on behalf of any person who is or was or has agreed to become a Director or officer of the Corporation, or is or was serving at the request of the Corporation as a Director or officer of another corporation, partnership, joint venture, trust or other enterprise against any liability asserted against such person and incurred by such person or on such person’s behalf in any such capacity, or arising out of such person’s status as such, whether or not the Corporation would have the power to indemnify such person against such liability under the provisions of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340"/>
          </w:cols>
          <w:pgMar w:left="220" w:top="1440" w:right="339" w:bottom="1440" w:gutter="0" w:footer="0" w:header="0"/>
        </w:sectPr>
      </w:pPr>
    </w:p>
    <w:bookmarkStart w:id="78" w:name="page79"/>
    <w:bookmarkEnd w:id="78"/>
    <w:p>
      <w:pPr>
        <w:spacing w:after="0" w:line="198" w:lineRule="exact"/>
        <w:rPr>
          <w:sz w:val="20"/>
          <w:szCs w:val="20"/>
          <w:color w:val="auto"/>
        </w:rPr>
      </w:pPr>
    </w:p>
    <w:p>
      <w:pPr>
        <w:ind w:left="100" w:right="40" w:hanging="107"/>
        <w:spacing w:after="0" w:line="257" w:lineRule="auto"/>
        <w:rPr>
          <w:sz w:val="20"/>
          <w:szCs w:val="20"/>
          <w:color w:val="auto"/>
        </w:rPr>
      </w:pPr>
      <w:r>
        <w:rPr>
          <w:rFonts w:ascii="Times New Roman" w:cs="Times New Roman" w:eastAsia="Times New Roman" w:hAnsi="Times New Roman"/>
          <w:sz w:val="22"/>
          <w:szCs w:val="22"/>
          <w:color w:val="auto"/>
        </w:rPr>
        <w:t xml:space="preserve">n vii. </w:t>
      </w:r>
      <w:r>
        <w:rPr>
          <w:rFonts w:ascii="Times New Roman" w:cs="Times New Roman" w:eastAsia="Times New Roman" w:hAnsi="Times New Roman"/>
          <w:sz w:val="22"/>
          <w:szCs w:val="22"/>
          <w:u w:val="single" w:color="auto"/>
          <w:color w:val="auto"/>
        </w:rPr>
        <w:t>Employees and Agents</w:t>
      </w:r>
      <w:r>
        <w:rPr>
          <w:rFonts w:ascii="Times New Roman" w:cs="Times New Roman" w:eastAsia="Times New Roman" w:hAnsi="Times New Roman"/>
          <w:sz w:val="22"/>
          <w:szCs w:val="22"/>
          <w:color w:val="auto"/>
        </w:rPr>
        <w:t>. The Board, or any officer authorized by the Board to make indemnification decisions, may cause the Corporation to indemnify any present or former employee or agent of the Corporation in such manner and for such liabilities as the Board may determine, up to the fullest extent permitted by the DGCL and other applicable law.</w:t>
      </w:r>
    </w:p>
    <w:p>
      <w:pPr>
        <w:spacing w:after="0" w:line="173" w:lineRule="exact"/>
        <w:rPr>
          <w:sz w:val="20"/>
          <w:szCs w:val="20"/>
          <w:color w:val="auto"/>
        </w:rPr>
      </w:pPr>
    </w:p>
    <w:p>
      <w:pPr>
        <w:ind w:left="100" w:right="20" w:hanging="107"/>
        <w:spacing w:after="0" w:line="248" w:lineRule="auto"/>
        <w:rPr>
          <w:sz w:val="20"/>
          <w:szCs w:val="20"/>
          <w:color w:val="auto"/>
        </w:rPr>
      </w:pPr>
      <w:r>
        <w:rPr>
          <w:rFonts w:ascii="Times New Roman" w:cs="Times New Roman" w:eastAsia="Times New Roman" w:hAnsi="Times New Roman"/>
          <w:sz w:val="22"/>
          <w:szCs w:val="22"/>
          <w:color w:val="auto"/>
        </w:rPr>
        <w:t xml:space="preserve">n viii. </w:t>
      </w:r>
      <w:r>
        <w:rPr>
          <w:rFonts w:ascii="Times New Roman" w:cs="Times New Roman" w:eastAsia="Times New Roman" w:hAnsi="Times New Roman"/>
          <w:sz w:val="22"/>
          <w:szCs w:val="22"/>
          <w:u w:val="single" w:color="auto"/>
          <w:color w:val="auto"/>
        </w:rPr>
        <w:t>Interpretation; Severability</w:t>
      </w:r>
      <w:r>
        <w:rPr>
          <w:rFonts w:ascii="Times New Roman" w:cs="Times New Roman" w:eastAsia="Times New Roman" w:hAnsi="Times New Roman"/>
          <w:sz w:val="22"/>
          <w:szCs w:val="22"/>
          <w:color w:val="auto"/>
        </w:rPr>
        <w:t xml:space="preserve">. Terms defined in Sections 145(h) or (i) of the DGCL have the meanings set forth in such sections when used in this Article VI. If this Article or any portion hereof shall be invalidated on any ground by any court of competent jurisdiction, then the Corporation shall nevertheless indemnify each Director or officer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to the fullest extent permitted by any applicable portion of this Article that shall not have been invalidated </w:t>
      </w:r>
      <w:r>
        <w:rPr>
          <w:rFonts w:ascii="Times New Roman" w:cs="Times New Roman" w:eastAsia="Times New Roman" w:hAnsi="Times New Roman"/>
          <w:sz w:val="22"/>
          <w:szCs w:val="22"/>
          <w:u w:val="single" w:color="auto"/>
          <w:color w:val="auto"/>
        </w:rPr>
        <w:t>and to the fullest extent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permitted by applicable law</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ind w:right="-119"/>
        <w:spacing w:after="0"/>
        <w:tabs>
          <w:tab w:leader="none" w:pos="260" w:val="left"/>
        </w:tabs>
        <w:rPr>
          <w:sz w:val="20"/>
          <w:szCs w:val="20"/>
          <w:color w:val="auto"/>
        </w:rPr>
      </w:pPr>
      <w:r>
        <w:rPr>
          <w:rFonts w:ascii="Times New Roman" w:cs="Times New Roman" w:eastAsia="Times New Roman" w:hAnsi="Times New Roman"/>
          <w:sz w:val="22"/>
          <w:szCs w:val="22"/>
          <w:color w:val="auto"/>
        </w:rPr>
        <w:t>Article VII.</w:t>
      </w:r>
      <w:r>
        <w:rPr>
          <w:sz w:val="20"/>
          <w:szCs w:val="20"/>
          <w:color w:val="auto"/>
        </w:rPr>
        <w:tab/>
      </w:r>
      <w:r>
        <w:rPr>
          <w:rFonts w:ascii="Times New Roman" w:cs="Times New Roman" w:eastAsia="Times New Roman" w:hAnsi="Times New Roman"/>
          <w:sz w:val="21"/>
          <w:szCs w:val="21"/>
          <w:u w:val="single" w:color="auto"/>
          <w:color w:val="auto"/>
        </w:rPr>
        <w:t>OFFICES</w:t>
      </w:r>
    </w:p>
    <w:p>
      <w:pPr>
        <w:spacing w:after="0" w:line="220" w:lineRule="exact"/>
        <w:rPr>
          <w:sz w:val="20"/>
          <w:szCs w:val="20"/>
          <w:color w:val="auto"/>
        </w:rPr>
      </w:pPr>
    </w:p>
    <w:p>
      <w:pPr>
        <w:ind w:left="100" w:right="120" w:hanging="107"/>
        <w:spacing w:after="0" w:line="271" w:lineRule="auto"/>
        <w:rPr>
          <w:sz w:val="20"/>
          <w:szCs w:val="20"/>
          <w:color w:val="auto"/>
        </w:rPr>
      </w:pPr>
      <w:r>
        <w:rPr>
          <w:rFonts w:ascii="Times New Roman" w:cs="Times New Roman" w:eastAsia="Times New Roman" w:hAnsi="Times New Roman"/>
          <w:sz w:val="22"/>
          <w:szCs w:val="22"/>
          <w:color w:val="auto"/>
        </w:rPr>
        <w:t xml:space="preserve">ion i.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 The registered office of the Corporation in the State of Delaware shall be located at the location provided in the Corporation’s certificate of incorporation.</w:t>
      </w:r>
    </w:p>
    <w:p>
      <w:pPr>
        <w:spacing w:after="0" w:line="158" w:lineRule="exact"/>
        <w:rPr>
          <w:sz w:val="20"/>
          <w:szCs w:val="20"/>
          <w:color w:val="auto"/>
        </w:rPr>
      </w:pPr>
    </w:p>
    <w:p>
      <w:pPr>
        <w:ind w:left="100" w:right="40" w:hanging="107"/>
        <w:spacing w:after="0" w:line="271" w:lineRule="auto"/>
        <w:rPr>
          <w:sz w:val="20"/>
          <w:szCs w:val="20"/>
          <w:color w:val="auto"/>
        </w:rPr>
      </w:pPr>
      <w:r>
        <w:rPr>
          <w:rFonts w:ascii="Times New Roman" w:cs="Times New Roman" w:eastAsia="Times New Roman" w:hAnsi="Times New Roman"/>
          <w:sz w:val="22"/>
          <w:szCs w:val="22"/>
          <w:color w:val="auto"/>
        </w:rPr>
        <w:t xml:space="preserve">on ii.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 The Corporation may maintain offices or places of business at such other locations within or without the State of Delaware as the Board may from time to time determine or as the business of the Corporation may require.</w:t>
      </w:r>
    </w:p>
    <w:p>
      <w:pPr>
        <w:spacing w:after="0" w:line="158" w:lineRule="exact"/>
        <w:rPr>
          <w:sz w:val="20"/>
          <w:szCs w:val="20"/>
          <w:color w:val="auto"/>
        </w:rPr>
      </w:pPr>
    </w:p>
    <w:p>
      <w:pPr>
        <w:jc w:val="center"/>
        <w:ind w:right="-119"/>
        <w:spacing w:after="0"/>
        <w:tabs>
          <w:tab w:leader="none" w:pos="200" w:val="left"/>
        </w:tabs>
        <w:rPr>
          <w:sz w:val="20"/>
          <w:szCs w:val="20"/>
          <w:color w:val="auto"/>
        </w:rPr>
      </w:pPr>
      <w:r>
        <w:rPr>
          <w:rFonts w:ascii="Times New Roman" w:cs="Times New Roman" w:eastAsia="Times New Roman" w:hAnsi="Times New Roman"/>
          <w:sz w:val="22"/>
          <w:szCs w:val="22"/>
          <w:color w:val="auto"/>
        </w:rPr>
        <w:t>Article VIII.</w:t>
      </w:r>
      <w:r>
        <w:rPr>
          <w:sz w:val="20"/>
          <w:szCs w:val="20"/>
          <w:color w:val="auto"/>
        </w:rPr>
        <w:tab/>
      </w:r>
      <w:r>
        <w:rPr>
          <w:rFonts w:ascii="Times New Roman" w:cs="Times New Roman" w:eastAsia="Times New Roman" w:hAnsi="Times New Roman"/>
          <w:sz w:val="21"/>
          <w:szCs w:val="21"/>
          <w:u w:val="single" w:color="auto"/>
          <w:color w:val="auto"/>
        </w:rPr>
        <w:t>GENERAL PROVISIONS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ion i. </w:t>
      </w: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00" w:firstLine="980"/>
        <w:spacing w:after="0" w:line="252" w:lineRule="auto"/>
        <w:tabs>
          <w:tab w:leader="none" w:pos="198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applicable provisions of law and the certificate of incorporation, dividends upon the shares of the Corporation may be declared by the Board at any regular or special meeting of the Board, or by written consent in accordance with the DGCL and these bylaws, and any such dividend may be paid in cash, property, or shares of the Corporation’s stock.</w:t>
      </w:r>
    </w:p>
    <w:p>
      <w:pPr>
        <w:spacing w:after="0" w:line="179" w:lineRule="exact"/>
        <w:rPr>
          <w:rFonts w:ascii="Times New Roman" w:cs="Times New Roman" w:eastAsia="Times New Roman" w:hAnsi="Times New Roman"/>
          <w:sz w:val="22"/>
          <w:szCs w:val="22"/>
          <w:color w:val="auto"/>
        </w:rPr>
      </w:pPr>
    </w:p>
    <w:p>
      <w:pPr>
        <w:ind w:left="100" w:right="40" w:firstLine="980"/>
        <w:spacing w:after="0" w:line="248" w:lineRule="auto"/>
        <w:tabs>
          <w:tab w:leader="none" w:pos="198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member of the Board, or a member of any committee designated by the Board shall be fully protected in relying in good faith upon the records of the Corporation and upon such information, opinions, reports or statements presented to the Corporation by any of its officers or employees, or committees of the Board, or by any other person as to matters the Director reasonably believes are within such other person’s professional or expert competence and who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w:t>
      </w:r>
    </w:p>
    <w:p>
      <w:pPr>
        <w:spacing w:after="0" w:line="182" w:lineRule="exact"/>
        <w:rPr>
          <w:sz w:val="20"/>
          <w:szCs w:val="20"/>
          <w:color w:val="auto"/>
        </w:rPr>
      </w:pPr>
    </w:p>
    <w:p>
      <w:pPr>
        <w:ind w:left="100" w:right="100" w:hanging="107"/>
        <w:spacing w:after="0" w:line="271" w:lineRule="auto"/>
        <w:rPr>
          <w:sz w:val="20"/>
          <w:szCs w:val="20"/>
          <w:color w:val="auto"/>
        </w:rPr>
      </w:pPr>
      <w:r>
        <w:rPr>
          <w:rFonts w:ascii="Times New Roman" w:cs="Times New Roman" w:eastAsia="Times New Roman" w:hAnsi="Times New Roman"/>
          <w:sz w:val="22"/>
          <w:szCs w:val="22"/>
          <w:color w:val="auto"/>
        </w:rPr>
        <w:t xml:space="preserve">on ii. </w:t>
      </w:r>
      <w:r>
        <w:rPr>
          <w:rFonts w:ascii="Times New Roman" w:cs="Times New Roman" w:eastAsia="Times New Roman" w:hAnsi="Times New Roman"/>
          <w:sz w:val="22"/>
          <w:szCs w:val="22"/>
          <w:u w:val="single" w:color="auto"/>
          <w:color w:val="auto"/>
        </w:rPr>
        <w:t>Reserves</w:t>
      </w:r>
      <w:r>
        <w:rPr>
          <w:rFonts w:ascii="Times New Roman" w:cs="Times New Roman" w:eastAsia="Times New Roman" w:hAnsi="Times New Roman"/>
          <w:sz w:val="22"/>
          <w:szCs w:val="22"/>
          <w:color w:val="auto"/>
        </w:rPr>
        <w:t>. There may be set apart out of any funds of the Corporation available for dividends such sum or sums as the Board from time to time may determine proper as a reserve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320"/>
          </w:cols>
          <w:pgMar w:left="220" w:top="1440" w:right="359" w:bottom="1440" w:gutter="0" w:footer="0" w:header="0"/>
        </w:sectPr>
      </w:pPr>
    </w:p>
    <w:bookmarkStart w:id="79" w:name="page80"/>
    <w:bookmarkEnd w:id="79"/>
    <w:p>
      <w:pPr>
        <w:spacing w:after="0" w:line="198" w:lineRule="exact"/>
        <w:rPr>
          <w:sz w:val="20"/>
          <w:szCs w:val="20"/>
          <w:color w:val="auto"/>
        </w:rPr>
      </w:pPr>
    </w:p>
    <w:p>
      <w:pPr>
        <w:ind w:left="100" w:right="120"/>
        <w:spacing w:after="0" w:line="257" w:lineRule="auto"/>
        <w:rPr>
          <w:sz w:val="20"/>
          <w:szCs w:val="20"/>
          <w:color w:val="auto"/>
        </w:rPr>
      </w:pPr>
      <w:r>
        <w:rPr>
          <w:rFonts w:ascii="Times New Roman" w:cs="Times New Roman" w:eastAsia="Times New Roman" w:hAnsi="Times New Roman"/>
          <w:sz w:val="22"/>
          <w:szCs w:val="22"/>
          <w:color w:val="auto"/>
        </w:rPr>
        <w:t>reserves for meeting contingencies, equalizing dividends, repairing or maintaining any property of the Corporation or for such other purpose or purposes as the Board may determine conducive to the interest of the Corporation, and the Board may similarly modify or abolish any such reserve.</w:t>
      </w:r>
    </w:p>
    <w:p>
      <w:pPr>
        <w:spacing w:after="0" w:line="173" w:lineRule="exact"/>
        <w:rPr>
          <w:sz w:val="20"/>
          <w:szCs w:val="20"/>
          <w:color w:val="auto"/>
        </w:rPr>
      </w:pPr>
    </w:p>
    <w:p>
      <w:pPr>
        <w:jc w:val="both"/>
        <w:ind w:left="100" w:hanging="107"/>
        <w:spacing w:after="0" w:line="252" w:lineRule="auto"/>
        <w:rPr>
          <w:sz w:val="20"/>
          <w:szCs w:val="20"/>
          <w:color w:val="auto"/>
        </w:rPr>
      </w:pPr>
      <w:r>
        <w:rPr>
          <w:rFonts w:ascii="Times New Roman" w:cs="Times New Roman" w:eastAsia="Times New Roman" w:hAnsi="Times New Roman"/>
          <w:sz w:val="22"/>
          <w:szCs w:val="22"/>
          <w:color w:val="auto"/>
        </w:rPr>
        <w:t xml:space="preserve">on iii. </w:t>
      </w:r>
      <w:r>
        <w:rPr>
          <w:rFonts w:ascii="Times New Roman" w:cs="Times New Roman" w:eastAsia="Times New Roman" w:hAnsi="Times New Roman"/>
          <w:sz w:val="22"/>
          <w:szCs w:val="22"/>
          <w:u w:val="single" w:color="auto"/>
          <w:color w:val="auto"/>
        </w:rPr>
        <w:t>Execution of Instruments</w:t>
      </w:r>
      <w:r>
        <w:rPr>
          <w:rFonts w:ascii="Times New Roman" w:cs="Times New Roman" w:eastAsia="Times New Roman" w:hAnsi="Times New Roman"/>
          <w:sz w:val="22"/>
          <w:szCs w:val="22"/>
          <w:color w:val="auto"/>
        </w:rPr>
        <w:t>. Except as otherwise required by law or the certificate of incorporation, the Board or any officer of the Corporation authorized by the Board may authorize any other officer or agent of the Corporation to enter into any contract or execute and deliver any instrument in the name and on behalf of the Corporation. Any such authorization must be in writing or by electronic transmission and may be general or limited to specific contracts or instruments.</w:t>
      </w:r>
    </w:p>
    <w:p>
      <w:pPr>
        <w:spacing w:after="0" w:line="179" w:lineRule="exact"/>
        <w:rPr>
          <w:sz w:val="20"/>
          <w:szCs w:val="20"/>
          <w:color w:val="auto"/>
        </w:rPr>
      </w:pPr>
    </w:p>
    <w:p>
      <w:pPr>
        <w:ind w:left="100" w:right="100" w:hanging="107"/>
        <w:spacing w:after="0" w:line="248" w:lineRule="auto"/>
        <w:rPr>
          <w:sz w:val="20"/>
          <w:szCs w:val="20"/>
          <w:color w:val="auto"/>
        </w:rPr>
      </w:pPr>
      <w:r>
        <w:rPr>
          <w:rFonts w:ascii="Times New Roman" w:cs="Times New Roman" w:eastAsia="Times New Roman" w:hAnsi="Times New Roman"/>
          <w:sz w:val="22"/>
          <w:szCs w:val="22"/>
          <w:color w:val="auto"/>
        </w:rPr>
        <w:t xml:space="preserve">on iv. </w:t>
      </w:r>
      <w:r>
        <w:rPr>
          <w:rFonts w:ascii="Times New Roman" w:cs="Times New Roman" w:eastAsia="Times New Roman" w:hAnsi="Times New Roman"/>
          <w:sz w:val="22"/>
          <w:szCs w:val="22"/>
          <w:u w:val="single" w:color="auto"/>
          <w:color w:val="auto"/>
        </w:rPr>
        <w:t>Voting as Stockholder</w:t>
      </w:r>
      <w:r>
        <w:rPr>
          <w:rFonts w:ascii="Times New Roman" w:cs="Times New Roman" w:eastAsia="Times New Roman" w:hAnsi="Times New Roman"/>
          <w:sz w:val="22"/>
          <w:szCs w:val="22"/>
          <w:color w:val="auto"/>
        </w:rPr>
        <w:t>. Unless otherwise determined by resolution of the Board, the President or any Vice President shall have full power and authority on behalf of the Corporation to attend any meeting of stockholders of any corporation in which the Corporation may hold stock, and to act, vote (or execute proxies to vote) and exercise in person or by proxy all other rights, powers and privileges incident to the ownership of such stock at any such meeting, or through action without a meeting. The Board may by resolution from time to time confer such power and authority (in general or confined to specific instances) upon any other person or persons.</w:t>
      </w:r>
    </w:p>
    <w:p>
      <w:pPr>
        <w:spacing w:after="0" w:line="187" w:lineRule="exact"/>
        <w:rPr>
          <w:sz w:val="20"/>
          <w:szCs w:val="20"/>
          <w:color w:val="auto"/>
        </w:rPr>
      </w:pPr>
    </w:p>
    <w:p>
      <w:pPr>
        <w:ind w:left="100" w:right="120" w:hanging="106"/>
        <w:spacing w:after="0" w:line="295" w:lineRule="auto"/>
        <w:rPr>
          <w:sz w:val="20"/>
          <w:szCs w:val="20"/>
          <w:color w:val="auto"/>
        </w:rPr>
      </w:pPr>
      <w:r>
        <w:rPr>
          <w:rFonts w:ascii="Times New Roman" w:cs="Times New Roman" w:eastAsia="Times New Roman" w:hAnsi="Times New Roman"/>
          <w:sz w:val="21"/>
          <w:szCs w:val="21"/>
          <w:color w:val="auto"/>
        </w:rPr>
        <w:t xml:space="preserve">on v. </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The fiscal year of the Corporation shall commence on the first day of April of each year (except for the Corporation’s first fiscal year which shall commence on the date of incorporation) and shall terminate in each case on March 31.</w:t>
      </w:r>
    </w:p>
    <w:p>
      <w:pPr>
        <w:spacing w:after="0" w:line="135" w:lineRule="exact"/>
        <w:rPr>
          <w:sz w:val="20"/>
          <w:szCs w:val="20"/>
          <w:color w:val="auto"/>
        </w:rPr>
      </w:pPr>
    </w:p>
    <w:p>
      <w:pPr>
        <w:ind w:left="100" w:right="140" w:hanging="107"/>
        <w:spacing w:after="0" w:line="252" w:lineRule="auto"/>
        <w:rPr>
          <w:sz w:val="20"/>
          <w:szCs w:val="20"/>
          <w:color w:val="auto"/>
        </w:rPr>
      </w:pPr>
      <w:r>
        <w:rPr>
          <w:rFonts w:ascii="Times New Roman" w:cs="Times New Roman" w:eastAsia="Times New Roman" w:hAnsi="Times New Roman"/>
          <w:sz w:val="22"/>
          <w:szCs w:val="22"/>
          <w:color w:val="auto"/>
        </w:rPr>
        <w:t xml:space="preserve">on vi. </w:t>
      </w:r>
      <w:r>
        <w:rPr>
          <w:rFonts w:ascii="Times New Roman" w:cs="Times New Roman" w:eastAsia="Times New Roman" w:hAnsi="Times New Roman"/>
          <w:sz w:val="22"/>
          <w:szCs w:val="22"/>
          <w:u w:val="single" w:color="auto"/>
          <w:color w:val="auto"/>
        </w:rPr>
        <w:t>Seal</w:t>
      </w:r>
      <w:r>
        <w:rPr>
          <w:rFonts w:ascii="Times New Roman" w:cs="Times New Roman" w:eastAsia="Times New Roman" w:hAnsi="Times New Roman"/>
          <w:sz w:val="22"/>
          <w:szCs w:val="22"/>
          <w:color w:val="auto"/>
        </w:rPr>
        <w:t>. The seal of the Corporation shall be circular in form and shall contain the name of the Corporation, the year of its incorporation and the words “Corporate Seal” and “Delaware”. The form of such seal shall be subject to alteration by the Board. The seal may be used by causing it or a facsimile thereof to be impressed, affixed or reproduced, or may be used in any other lawful manner.</w:t>
      </w:r>
    </w:p>
    <w:p>
      <w:pPr>
        <w:spacing w:after="0" w:line="179" w:lineRule="exact"/>
        <w:rPr>
          <w:sz w:val="20"/>
          <w:szCs w:val="20"/>
          <w:color w:val="auto"/>
        </w:rPr>
      </w:pPr>
    </w:p>
    <w:p>
      <w:pPr>
        <w:ind w:left="100" w:right="400" w:hanging="107"/>
        <w:spacing w:after="0" w:line="257" w:lineRule="auto"/>
        <w:rPr>
          <w:sz w:val="20"/>
          <w:szCs w:val="20"/>
          <w:color w:val="auto"/>
        </w:rPr>
      </w:pPr>
      <w:r>
        <w:rPr>
          <w:rFonts w:ascii="Times New Roman" w:cs="Times New Roman" w:eastAsia="Times New Roman" w:hAnsi="Times New Roman"/>
          <w:sz w:val="22"/>
          <w:szCs w:val="22"/>
          <w:color w:val="auto"/>
        </w:rPr>
        <w:t xml:space="preserve">n vii. </w:t>
      </w:r>
      <w:r>
        <w:rPr>
          <w:rFonts w:ascii="Times New Roman" w:cs="Times New Roman" w:eastAsia="Times New Roman" w:hAnsi="Times New Roman"/>
          <w:sz w:val="22"/>
          <w:szCs w:val="22"/>
          <w:u w:val="single" w:color="auto"/>
          <w:color w:val="auto"/>
        </w:rPr>
        <w:t>Books and Records; Inspection</w:t>
      </w:r>
      <w:r>
        <w:rPr>
          <w:rFonts w:ascii="Times New Roman" w:cs="Times New Roman" w:eastAsia="Times New Roman" w:hAnsi="Times New Roman"/>
          <w:sz w:val="22"/>
          <w:szCs w:val="22"/>
          <w:color w:val="auto"/>
        </w:rPr>
        <w:t>. Except to the extent otherwise required by law, the books and records of the Corporation shall be kept at such place or places within or without the State of Delaware as may be determined from time to time by the Board.</w:t>
      </w:r>
    </w:p>
    <w:p>
      <w:pPr>
        <w:spacing w:after="0" w:line="173" w:lineRule="exact"/>
        <w:rPr>
          <w:sz w:val="20"/>
          <w:szCs w:val="20"/>
          <w:color w:val="auto"/>
        </w:rPr>
      </w:pPr>
    </w:p>
    <w:p>
      <w:pPr>
        <w:ind w:left="100" w:right="60" w:hanging="107"/>
        <w:spacing w:after="0" w:line="257" w:lineRule="auto"/>
        <w:rPr>
          <w:sz w:val="20"/>
          <w:szCs w:val="20"/>
          <w:color w:val="auto"/>
        </w:rPr>
      </w:pPr>
      <w:r>
        <w:rPr>
          <w:rFonts w:ascii="Times New Roman" w:cs="Times New Roman" w:eastAsia="Times New Roman" w:hAnsi="Times New Roman"/>
          <w:sz w:val="22"/>
          <w:szCs w:val="22"/>
          <w:color w:val="auto"/>
        </w:rPr>
        <w:t xml:space="preserve">n viii. </w:t>
      </w:r>
      <w:r>
        <w:rPr>
          <w:rFonts w:ascii="Times New Roman" w:cs="Times New Roman" w:eastAsia="Times New Roman" w:hAnsi="Times New Roman"/>
          <w:sz w:val="22"/>
          <w:szCs w:val="22"/>
          <w:u w:val="single" w:color="auto"/>
          <w:color w:val="auto"/>
        </w:rPr>
        <w:t>Electronic Transmission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Electronic transmission</w:t>
      </w:r>
      <w:r>
        <w:rPr>
          <w:rFonts w:ascii="Times New Roman" w:cs="Times New Roman" w:eastAsia="Times New Roman" w:hAnsi="Times New Roman"/>
          <w:sz w:val="22"/>
          <w:szCs w:val="22"/>
          <w:color w:val="auto"/>
        </w:rPr>
        <w:t>”, as used in these bylaws,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73" w:lineRule="exact"/>
        <w:rPr>
          <w:sz w:val="20"/>
          <w:szCs w:val="20"/>
          <w:color w:val="auto"/>
        </w:rPr>
      </w:pPr>
    </w:p>
    <w:p>
      <w:pPr>
        <w:jc w:val="center"/>
        <w:ind w:right="-99"/>
        <w:spacing w:after="0"/>
        <w:tabs>
          <w:tab w:leader="none" w:pos="320" w:val="left"/>
        </w:tabs>
        <w:rPr>
          <w:sz w:val="20"/>
          <w:szCs w:val="20"/>
          <w:color w:val="auto"/>
        </w:rPr>
      </w:pPr>
      <w:r>
        <w:rPr>
          <w:rFonts w:ascii="Times New Roman" w:cs="Times New Roman" w:eastAsia="Times New Roman" w:hAnsi="Times New Roman"/>
          <w:sz w:val="22"/>
          <w:szCs w:val="22"/>
          <w:color w:val="auto"/>
        </w:rPr>
        <w:t>Article IX.</w:t>
      </w:r>
      <w:r>
        <w:rPr>
          <w:sz w:val="20"/>
          <w:szCs w:val="20"/>
          <w:color w:val="auto"/>
        </w:rPr>
        <w:tab/>
      </w:r>
      <w:r>
        <w:rPr>
          <w:rFonts w:ascii="Times New Roman" w:cs="Times New Roman" w:eastAsia="Times New Roman" w:hAnsi="Times New Roman"/>
          <w:sz w:val="21"/>
          <w:szCs w:val="21"/>
          <w:u w:val="single" w:color="auto"/>
          <w:color w:val="auto"/>
        </w:rPr>
        <w:t>AMENDMENT OF BYLAWS</w:t>
      </w:r>
    </w:p>
    <w:p>
      <w:pPr>
        <w:spacing w:after="0" w:line="22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 xml:space="preserve">ion i.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Subject to the provisions of the certificate of incorporation, these bylaws may be amended, altered or repealed</w:t>
      </w:r>
    </w:p>
    <w:p>
      <w:pPr>
        <w:spacing w:after="0" w:line="39" w:lineRule="exact"/>
        <w:rPr>
          <w:sz w:val="20"/>
          <w:szCs w:val="20"/>
          <w:color w:val="auto"/>
        </w:rPr>
      </w:pPr>
    </w:p>
    <w:p>
      <w:pPr>
        <w:ind w:left="100" w:right="180" w:firstLine="8"/>
        <w:spacing w:after="0" w:line="248" w:lineRule="auto"/>
        <w:tabs>
          <w:tab w:leader="none" w:pos="39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resolution adopted by a majority of the Board at any special or regular meeting of the Board if, in the case of such special meeting only, notice of such amendment, alteration or repeal is contained in the notice or waiver of notice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340"/>
          </w:cols>
          <w:pgMar w:left="220" w:top="1440" w:right="339" w:bottom="1440" w:gutter="0" w:footer="0" w:header="0"/>
        </w:sectPr>
      </w:pPr>
    </w:p>
    <w:bookmarkStart w:id="80" w:name="page81"/>
    <w:bookmarkEnd w:id="80"/>
    <w:p>
      <w:pPr>
        <w:spacing w:after="0" w:line="19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meeting or (b) at any regular or special meeting of the stockholders upon the affirmative vote of at least a majority of the outstanding shares of voting stock of the Corporation entitled to vote at such meeting if, in the case of such special meeting only, notice of such amendment, alteration or repeal is contained in the notice or waiver of notice of such meeting.</w:t>
      </w:r>
    </w:p>
    <w:p>
      <w:pPr>
        <w:spacing w:after="0" w:line="17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2"/>
          <w:szCs w:val="22"/>
          <w:color w:val="auto"/>
        </w:rPr>
        <w:t>Notwithstanding the foregoing, no amendment, alteration or repeal of Article VI shall adversely affect any right or protection existing under bylaws immediately prior to such amendment, alteration or repeal, including any right or protection of a Director thereunder in respect of any act or omission occurring prior to the time of such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140"/>
          </w:cols>
          <w:pgMar w:left="320" w:top="1440" w:right="4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Horacio D. Rozanski, certify that:</w:t>
      </w:r>
    </w:p>
    <w:p>
      <w:pPr>
        <w:spacing w:after="0" w:line="171" w:lineRule="exact"/>
        <w:rPr>
          <w:sz w:val="20"/>
          <w:szCs w:val="20"/>
          <w:color w:val="auto"/>
        </w:rPr>
      </w:pPr>
    </w:p>
    <w:p>
      <w:pPr>
        <w:ind w:left="180" w:hanging="172"/>
        <w:spacing w:after="0"/>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140" w:firstLine="8"/>
        <w:spacing w:after="0" w:line="266" w:lineRule="auto"/>
        <w:tabs>
          <w:tab w:leader="none" w:pos="2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sz w:val="20"/>
          <w:szCs w:val="20"/>
          <w:color w:val="auto"/>
        </w:rPr>
      </w:pPr>
    </w:p>
    <w:p>
      <w:pPr>
        <w:ind w:right="500" w:firstLine="8"/>
        <w:spacing w:after="0" w:line="282" w:lineRule="auto"/>
        <w:tabs>
          <w:tab w:leader="none" w:pos="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sz w:val="20"/>
          <w:szCs w:val="20"/>
          <w:color w:val="auto"/>
        </w:rPr>
      </w:pPr>
    </w:p>
    <w:p>
      <w:pPr>
        <w:ind w:right="40" w:firstLine="8"/>
        <w:spacing w:after="0" w:line="282" w:lineRule="auto"/>
        <w:tabs>
          <w:tab w:leader="none" w:pos="2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6960" w:val="left"/>
          <w:tab w:leader="none" w:pos="7420" w:val="left"/>
        </w:tabs>
        <w:rPr>
          <w:sz w:val="20"/>
          <w:szCs w:val="20"/>
          <w:color w:val="auto"/>
        </w:rPr>
      </w:pPr>
      <w:r>
        <w:rPr>
          <w:rFonts w:ascii="Times New Roman" w:cs="Times New Roman" w:eastAsia="Times New Roman" w:hAnsi="Times New Roman"/>
          <w:sz w:val="18"/>
          <w:szCs w:val="18"/>
          <w:color w:val="auto"/>
        </w:rPr>
        <w:t>Date: January 29,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17145</wp:posOffset>
            </wp:positionV>
            <wp:extent cx="24091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09190" cy="8890"/>
                    </a:xfrm>
                    <a:prstGeom prst="rect">
                      <a:avLst/>
                    </a:prstGeom>
                    <a:noFill/>
                  </pic:spPr>
                </pic:pic>
              </a:graphicData>
            </a:graphic>
          </wp:anchor>
        </w:drawing>
      </w:r>
    </w:p>
    <w:p>
      <w:pPr>
        <w:spacing w:after="0" w:line="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Horacio D. Rozanski</w:t>
      </w:r>
    </w:p>
    <w:p>
      <w:pPr>
        <w:ind w:left="744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140" w:firstLine="8"/>
        <w:spacing w:after="0" w:line="266" w:lineRule="auto"/>
        <w:tabs>
          <w:tab w:leader="none" w:pos="2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sz w:val="20"/>
          <w:szCs w:val="20"/>
          <w:color w:val="auto"/>
        </w:rPr>
      </w:pPr>
    </w:p>
    <w:p>
      <w:pPr>
        <w:ind w:right="500" w:firstLine="8"/>
        <w:spacing w:after="0" w:line="282" w:lineRule="auto"/>
        <w:tabs>
          <w:tab w:leader="none" w:pos="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sz w:val="20"/>
          <w:szCs w:val="20"/>
          <w:color w:val="auto"/>
        </w:rPr>
      </w:pPr>
    </w:p>
    <w:p>
      <w:pPr>
        <w:ind w:right="40" w:firstLine="8"/>
        <w:spacing w:after="0" w:line="282" w:lineRule="auto"/>
        <w:tabs>
          <w:tab w:leader="none" w:pos="24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600" w:val="left"/>
          <w:tab w:leader="none" w:pos="6060" w:val="left"/>
        </w:tabs>
        <w:rPr>
          <w:sz w:val="20"/>
          <w:szCs w:val="20"/>
          <w:color w:val="auto"/>
        </w:rPr>
      </w:pPr>
      <w:r>
        <w:rPr>
          <w:rFonts w:ascii="Times New Roman" w:cs="Times New Roman" w:eastAsia="Times New Roman" w:hAnsi="Times New Roman"/>
          <w:sz w:val="18"/>
          <w:szCs w:val="18"/>
          <w:color w:val="auto"/>
        </w:rPr>
        <w:t>Date: January 29,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658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Lloyd W. Howell, Jr.</w:t>
      </w:r>
    </w:p>
    <w:p>
      <w:pPr>
        <w:ind w:left="6080"/>
        <w:spacing w:after="0" w:line="203" w:lineRule="auto"/>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December 31, 2020,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26" w:lineRule="exact"/>
        <w:rPr>
          <w:sz w:val="20"/>
          <w:szCs w:val="20"/>
          <w:color w:val="auto"/>
        </w:rPr>
      </w:pPr>
    </w:p>
    <w:p>
      <w:pPr>
        <w:ind w:left="260" w:hanging="252"/>
        <w:spacing w:after="0"/>
        <w:tabs>
          <w:tab w:leader="none" w:pos="2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tabs>
          <w:tab w:leader="none" w:pos="6380" w:val="left"/>
        </w:tabs>
        <w:rPr>
          <w:sz w:val="20"/>
          <w:szCs w:val="20"/>
          <w:color w:val="auto"/>
        </w:rPr>
      </w:pPr>
      <w:r>
        <w:rPr>
          <w:rFonts w:ascii="Times New Roman" w:cs="Times New Roman" w:eastAsia="Times New Roman" w:hAnsi="Times New Roman"/>
          <w:sz w:val="18"/>
          <w:szCs w:val="18"/>
          <w:color w:val="auto"/>
        </w:rPr>
        <w:t>Date: January 29, 2021</w:t>
      </w:r>
      <w:r>
        <w:rPr>
          <w:sz w:val="20"/>
          <w:szCs w:val="20"/>
          <w:color w:val="auto"/>
        </w:rPr>
        <w:tab/>
      </w:r>
      <w:r>
        <w:rPr>
          <w:rFonts w:ascii="Times New Roman" w:cs="Times New Roman" w:eastAsia="Times New Roman" w:hAnsi="Times New Roman"/>
          <w:sz w:val="17"/>
          <w:szCs w:val="17"/>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17145</wp:posOffset>
            </wp:positionV>
            <wp:extent cx="28803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Horacio D. Rozanski</w:t>
      </w:r>
    </w:p>
    <w:p>
      <w:pPr>
        <w:ind w:left="670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6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December 31, 2020,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26" w:lineRule="exact"/>
        <w:rPr>
          <w:sz w:val="20"/>
          <w:szCs w:val="20"/>
          <w:color w:val="auto"/>
        </w:rPr>
      </w:pPr>
    </w:p>
    <w:p>
      <w:pPr>
        <w:ind w:left="260" w:hanging="252"/>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January 29, 2021</w:t>
      </w:r>
      <w:r>
        <w:rPr>
          <w:sz w:val="20"/>
          <w:szCs w:val="20"/>
          <w:color w:val="auto"/>
        </w:rPr>
        <w:tab/>
      </w:r>
      <w:r>
        <w:rPr>
          <w:rFonts w:ascii="Times New Roman" w:cs="Times New Roman" w:eastAsia="Times New Roman" w:hAnsi="Times New Roman"/>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858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Lloyd W. Howell, Jr.</w:t>
      </w:r>
    </w:p>
    <w:p>
      <w:pPr>
        <w:ind w:left="5880"/>
        <w:spacing w:after="0" w:line="203" w:lineRule="auto"/>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ind w:left="5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1)"/>
      <w:numFmt w:val="decimal"/>
      <w:start w:val="2"/>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1."/>
      <w:numFmt w:val="decimal"/>
      <w:start w:val="5"/>
    </w:lvl>
  </w:abstractNum>
  <w:abstractNum w:abstractNumId="6">
    <w:nsid w:val="2A487CB0"/>
    <w:multiLevelType w:val="hybridMultilevel"/>
    <w:lvl w:ilvl="0">
      <w:lvlJc w:val="left"/>
      <w:lvlText w:val="%1."/>
      <w:numFmt w:val="decimal"/>
      <w:start w:val="6"/>
    </w:lvl>
  </w:abstractNum>
  <w:abstractNum w:abstractNumId="7">
    <w:nsid w:val="1D4ED43B"/>
    <w:multiLevelType w:val="hybridMultilevel"/>
    <w:lvl w:ilvl="0">
      <w:lvlJc w:val="left"/>
      <w:lvlText w:val="(%1)"/>
      <w:numFmt w:val="lowerLetter"/>
      <w:start w:val="25"/>
    </w:lvl>
  </w:abstractNum>
  <w:abstractNum w:abstractNumId="8">
    <w:nsid w:val="725A06FB"/>
    <w:multiLevelType w:val="hybridMultilevel"/>
    <w:lvl w:ilvl="0">
      <w:lvlJc w:val="left"/>
      <w:lvlText w:val="(%1)"/>
      <w:numFmt w:val="lowerRoman"/>
      <w:start w:val="5"/>
    </w:lvl>
  </w:abstractNum>
  <w:abstractNum w:abstractNumId="9">
    <w:nsid w:val="2CD89A32"/>
    <w:multiLevelType w:val="hybridMultilevel"/>
    <w:lvl w:ilvl="0">
      <w:lvlJc w:val="left"/>
      <w:lvlText w:val="(%1)"/>
      <w:numFmt w:val="lowerRoman"/>
      <w:start w:val="11"/>
    </w:lvl>
  </w:abstractNum>
  <w:abstractNum w:abstractNumId="10">
    <w:nsid w:val="57E4CCAF"/>
    <w:multiLevelType w:val="hybridMultilevel"/>
    <w:lvl w:ilvl="0">
      <w:lvlJc w:val="left"/>
      <w:lvlText w:val="%1"/>
      <w:numFmt w:val="decimal"/>
      <w:start w:val="1"/>
    </w:lvl>
    <w:lvl w:ilvl="1">
      <w:lvlJc w:val="left"/>
      <w:lvlText w:val="(%2)"/>
      <w:numFmt w:val="decimal"/>
      <w:start w:val="1"/>
    </w:lvl>
  </w:abstractNum>
  <w:abstractNum w:abstractNumId="11">
    <w:nsid w:val="7A6D8D3C"/>
    <w:multiLevelType w:val="hybridMultilevel"/>
    <w:lvl w:ilvl="0">
      <w:lvlJc w:val="left"/>
      <w:lvlText w:val="%1."/>
      <w:numFmt w:val="decimal"/>
      <w:start w:val="9"/>
    </w:lvl>
    <w:lvl w:ilvl="1">
      <w:lvlJc w:val="left"/>
      <w:lvlText w:val="%2"/>
      <w:numFmt w:val="decimal"/>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decimal"/>
      <w:start w:val="1"/>
    </w:lvl>
  </w:abstractNum>
  <w:abstractNum w:abstractNumId="14">
    <w:nsid w:val="6DE91B18"/>
    <w:multiLevelType w:val="hybridMultilevel"/>
    <w:lvl w:ilvl="0">
      <w:lvlJc w:val="left"/>
      <w:lvlText w:val="%1."/>
      <w:numFmt w:val="decimal"/>
      <w:start w:val="13"/>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2"/>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1)"/>
      <w:numFmt w:val="lowerLetter"/>
      <w:start w:val="1"/>
    </w:lvl>
  </w:abstractNum>
  <w:abstractNum w:abstractNumId="21">
    <w:nsid w:val="3DC240FB"/>
    <w:multiLevelType w:val="hybridMultilevel"/>
    <w:lvl w:ilvl="0">
      <w:lvlJc w:val="left"/>
      <w:lvlText w:val="(%1)"/>
      <w:numFmt w:val="lowerLetter"/>
      <w:start w:val="3"/>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lowerLetter"/>
      <w:start w:val="25"/>
    </w:lvl>
  </w:abstractNum>
  <w:abstractNum w:abstractNumId="30">
    <w:nsid w:val="23F9C13C"/>
    <w:multiLevelType w:val="hybridMultilevel"/>
    <w:lvl w:ilvl="0">
      <w:lvlJc w:val="left"/>
      <w:lvlText w:val="(%1)"/>
      <w:numFmt w:val="lowerRoman"/>
      <w:start w:val="5"/>
    </w:lvl>
  </w:abstractNum>
  <w:abstractNum w:abstractNumId="31">
    <w:nsid w:val="649BB77C"/>
    <w:multiLevelType w:val="hybridMultilevel"/>
    <w:lvl w:ilvl="0">
      <w:lvlJc w:val="left"/>
      <w:lvlText w:val="(%1)"/>
      <w:numFmt w:val="lowerRoman"/>
      <w:start w:val="1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1"/>
      <w:numFmt w:val="decimal"/>
      <w:start w:val="101"/>
    </w:lvl>
  </w:abstractNum>
  <w:abstractNum w:abstractNumId="37">
    <w:nsid w:val="47398C89"/>
    <w:multiLevelType w:val="hybridMultilevel"/>
    <w:lvl w:ilvl="0">
      <w:lvlJc w:val="left"/>
      <w:lvlText w:val="*"/>
      <w:numFmt w:val="bullet"/>
      <w:start w:val="1"/>
    </w:lvl>
    <w:lvl w:ilvl="1">
      <w:lvlJc w:val="left"/>
      <w:lvlText w:val="%2"/>
      <w:numFmt w:val="decimal"/>
      <w:start w:val="104"/>
    </w:lvl>
  </w:abstractNum>
  <w:abstractNum w:abstractNumId="38">
    <w:nsid w:val="354FE9F9"/>
    <w:multiLevelType w:val="hybridMultilevel"/>
    <w:lvl w:ilvl="0">
      <w:lvlJc w:val="left"/>
      <w:lvlText w:val="%1"/>
      <w:numFmt w:val="lowerRoman"/>
      <w:start w:val="1"/>
    </w:lvl>
    <w:lvl w:ilvl="1">
      <w:lvlJc w:val="left"/>
      <w:lvlText w:val="(%2)"/>
      <w:numFmt w:val="decimal"/>
      <w:start w:val="1"/>
    </w:lvl>
  </w:abstractNum>
  <w:abstractNum w:abstractNumId="39">
    <w:nsid w:val="15B5AF5C"/>
    <w:multiLevelType w:val="hybridMultilevel"/>
    <w:lvl w:ilvl="0">
      <w:lvlJc w:val="left"/>
      <w:lvlText w:val="(%1)"/>
      <w:numFmt w:val="lowerRoman"/>
      <w:start w:val="1"/>
    </w:lvl>
    <w:lvl w:ilvl="1">
      <w:lvlJc w:val="left"/>
      <w:lvlText w:val="%2"/>
      <w:numFmt w:val="decimal"/>
      <w:start w:val="1"/>
    </w:lvl>
  </w:abstractNum>
  <w:abstractNum w:abstractNumId="40">
    <w:nsid w:val="741226BB"/>
    <w:multiLevelType w:val="hybridMultilevel"/>
    <w:lvl w:ilvl="0">
      <w:lvlJc w:val="left"/>
      <w:lvlText w:val="(%1)"/>
      <w:numFmt w:val="decimal"/>
      <w:start w:val="2"/>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lowerLetter"/>
      <w:start w:val="1"/>
    </w:lvl>
  </w:abstractNum>
  <w:abstractNum w:abstractNumId="45">
    <w:nsid w:val="7E0C57B1"/>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4"/>
    </w:lvl>
  </w:abstractNum>
  <w:abstractNum w:abstractNumId="46">
    <w:nsid w:val="77AE35EB"/>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47">
    <w:nsid w:val="579BE4F1"/>
    <w:multiLevelType w:val="hybridMultilevel"/>
    <w:lvl w:ilvl="0">
      <w:lvlJc w:val="left"/>
      <w:lvlText w:val="%1."/>
      <w:numFmt w:val="lowerRoman"/>
      <w:start w:val="4"/>
    </w:lvl>
    <w:lvl w:ilvl="1">
      <w:lvlJc w:val="left"/>
      <w:lvlText w:val="%2."/>
      <w:numFmt w:val="lowerRoman"/>
      <w:start w:val="6"/>
    </w:lvl>
    <w:lvl w:ilvl="2">
      <w:lvlJc w:val="left"/>
      <w:lvlText w:val="%3"/>
      <w:numFmt w:val="lowerLetter"/>
      <w:start w:val="1"/>
    </w:lvl>
  </w:abstractNum>
  <w:abstractNum w:abstractNumId="48">
    <w:nsid w:val="310C50B3"/>
    <w:multiLevelType w:val="hybridMultilevel"/>
    <w:lvl w:ilvl="0">
      <w:lvlJc w:val="left"/>
      <w:lvlText w:val="(%1)"/>
      <w:numFmt w:val="decimal"/>
      <w:start w:val="2"/>
    </w:lvl>
  </w:abstractNum>
  <w:abstractNum w:abstractNumId="49">
    <w:nsid w:val="5FF87E05"/>
    <w:multiLevelType w:val="hybridMultilevel"/>
    <w:lvl w:ilvl="0">
      <w:lvlJc w:val="left"/>
      <w:lvlText w:val="(%1)"/>
      <w:numFmt w:val="lowerLetter"/>
      <w:start w:val="1"/>
    </w:lvl>
  </w:abstractNum>
  <w:abstractNum w:abstractNumId="50">
    <w:nsid w:val="2F305DEF"/>
    <w:multiLevelType w:val="hybridMultilevel"/>
    <w:lvl w:ilvl="0">
      <w:lvlJc w:val="left"/>
      <w:lvlText w:val="(%1)"/>
      <w:numFmt w:val="decimal"/>
      <w:start w:val="3"/>
    </w:lvl>
  </w:abstractNum>
  <w:abstractNum w:abstractNumId="51">
    <w:nsid w:val="25A70BF7"/>
    <w:multiLevelType w:val="hybridMultilevel"/>
    <w:lvl w:ilvl="0">
      <w:lvlJc w:val="left"/>
      <w:lvlText w:val="(%1)"/>
      <w:numFmt w:val="lowerLetter"/>
      <w:start w:val="1"/>
    </w:lvl>
  </w:abstractNum>
  <w:abstractNum w:abstractNumId="52">
    <w:nsid w:val="1DBABF00"/>
    <w:multiLevelType w:val="hybridMultilevel"/>
    <w:lvl w:ilvl="0">
      <w:lvlJc w:val="left"/>
      <w:lvlText w:val="(%1)"/>
      <w:numFmt w:val="lowerLetter"/>
      <w:start w:val="2"/>
    </w:lvl>
  </w:abstractNum>
  <w:abstractNum w:abstractNumId="53">
    <w:nsid w:val="4AD084E9"/>
    <w:multiLevelType w:val="hybridMultilevel"/>
    <w:lvl w:ilvl="0">
      <w:lvlJc w:val="left"/>
      <w:lvlText w:val="(%1)"/>
      <w:numFmt w:val="lowerRoman"/>
      <w:start w:val="1"/>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1)"/>
      <w:numFmt w:val="decimal"/>
      <w:start w:val="1"/>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1)"/>
      <w:numFmt w:val="decimal"/>
      <w:start w:val="7"/>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1)"/>
      <w:numFmt w:val="decimal"/>
      <w:start w:val="7"/>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decimal"/>
      <w:start w:val="2"/>
    </w:lvl>
  </w:abstractNum>
  <w:abstractNum w:abstractNumId="62">
    <w:nsid w:val="799D0247"/>
    <w:multiLevelType w:val="hybridMultilevel"/>
    <w:lvl w:ilvl="0">
      <w:lvlJc w:val="left"/>
      <w:lvlText w:val="%1"/>
      <w:numFmt w:val="lowerRoman"/>
      <w:start w:val="1"/>
    </w:lvl>
    <w:lvl w:ilvl="1">
      <w:lvlJc w:val="left"/>
      <w:lvlText w:val="(%2)"/>
      <w:numFmt w:val="decimal"/>
      <w:start w:val="1"/>
    </w:lvl>
  </w:abstractNum>
  <w:abstractNum w:abstractNumId="63">
    <w:nsid w:val="6B94764"/>
    <w:multiLevelType w:val="hybridMultilevel"/>
    <w:lvl w:ilvl="0">
      <w:lvlJc w:val="left"/>
      <w:lvlText w:val="%1."/>
      <w:numFmt w:val="lowerRoman"/>
      <w:start w:val="1"/>
    </w:lvl>
    <w:lvl w:ilvl="1">
      <w:lvlJc w:val="left"/>
      <w:lvlText w:val="%2"/>
      <w:numFmt w:val="decimal"/>
      <w:start w:val="1"/>
    </w:lvl>
  </w:abstractNum>
  <w:abstractNum w:abstractNumId="64">
    <w:nsid w:val="42C296BD"/>
    <w:multiLevelType w:val="hybridMultilevel"/>
    <w:lvl w:ilvl="0">
      <w:lvlJc w:val="left"/>
      <w:lvlText w:val="%1."/>
      <w:numFmt w:val="lowerRoman"/>
      <w:start w:val="2"/>
    </w:lvl>
    <w:lvl w:ilvl="1">
      <w:lvlJc w:val="left"/>
      <w:lvlText w:val="(%2)"/>
      <w:numFmt w:val="decimal"/>
      <w:start w:val="2"/>
    </w:lvl>
  </w:abstractNum>
  <w:abstractNum w:abstractNumId="65">
    <w:nsid w:val="168E121F"/>
    <w:multiLevelType w:val="hybridMultilevel"/>
    <w:lvl w:ilvl="0">
      <w:lvlJc w:val="left"/>
      <w:lvlText w:val="(%1)"/>
      <w:numFmt w:val="decimal"/>
      <w:start w:val="1"/>
    </w:lvl>
  </w:abstractNum>
  <w:abstractNum w:abstractNumId="66">
    <w:nsid w:val="1EBA5D23"/>
    <w:multiLevelType w:val="hybridMultilevel"/>
    <w:lvl w:ilvl="0">
      <w:lvlJc w:val="left"/>
      <w:lvlText w:val="(%1)"/>
      <w:numFmt w:val="decimal"/>
      <w:start w:val="1"/>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decimal"/>
      <w:start w:val="1"/>
    </w:lvl>
  </w:abstractNum>
  <w:abstractNum w:abstractNumId="70">
    <w:nsid w:val="7BD3EE7B"/>
    <w:multiLevelType w:val="hybridMultilevel"/>
    <w:lvl w:ilvl="0">
      <w:lvlJc w:val="left"/>
      <w:lvlText w:val="(%1)"/>
      <w:numFmt w:val="lowerLetter"/>
      <w:start w:val="1"/>
    </w:lvl>
  </w:abstractNum>
  <w:abstractNum w:abstractNumId="71">
    <w:nsid w:val="51D9C564"/>
    <w:multiLevelType w:val="hybridMultilevel"/>
    <w:lvl w:ilvl="0">
      <w:lvlJc w:val="left"/>
      <w:lvlText w:val="%1."/>
      <w:numFmt w:val="decimal"/>
      <w:start w:val="5"/>
    </w:lvl>
  </w:abstractNum>
  <w:abstractNum w:abstractNumId="72">
    <w:nsid w:val="613EFDC5"/>
    <w:multiLevelType w:val="hybridMultilevel"/>
    <w:lvl w:ilvl="0">
      <w:lvlJc w:val="left"/>
      <w:lvlText w:val="(%1)"/>
      <w:numFmt w:val="lowerLetter"/>
      <w:start w:val="1"/>
    </w:lvl>
  </w:abstractNum>
  <w:abstractNum w:abstractNumId="73">
    <w:nsid w:val="BF72B14"/>
    <w:multiLevelType w:val="hybridMultilevel"/>
    <w:lvl w:ilvl="0">
      <w:lvlJc w:val="left"/>
      <w:lvlText w:val="%1."/>
      <w:numFmt w:val="decimal"/>
      <w:start w:val="1"/>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decimal"/>
      <w:start w:val="5"/>
    </w:lvl>
  </w:abstractNum>
  <w:abstractNum w:abstractNumId="76">
    <w:nsid w:val="A0382C5"/>
    <w:multiLevelType w:val="hybridMultilevel"/>
    <w:lvl w:ilvl="0">
      <w:lvlJc w:val="left"/>
      <w:lvlText w:val="(%1)"/>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2021-01-29T05:59:44Z</dcterms:created>
  <dcterms:modified xsi:type="dcterms:W3CDTF">2021-01-29T05:59:44Z</dcterms:modified>
</cp:coreProperties>
</file>