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306705</wp:posOffset>
            </wp:positionH>
            <wp:positionV relativeFrom="page">
              <wp:posOffset>540385</wp:posOffset>
            </wp:positionV>
            <wp:extent cx="6935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5470" cy="8255"/>
                    </a:xfrm>
                    <a:prstGeom prst="rect">
                      <a:avLst/>
                    </a:prstGeom>
                    <a:noFill/>
                  </pic:spPr>
                </pic:pic>
              </a:graphicData>
            </a:graphic>
          </wp:anchor>
        </w:drawing>
        <w:drawing>
          <wp:anchor simplePos="0" relativeHeight="251657728" behindDoc="1" locked="0" layoutInCell="0" allowOverlap="1">
            <wp:simplePos x="0" y="0"/>
            <wp:positionH relativeFrom="page">
              <wp:posOffset>306705</wp:posOffset>
            </wp:positionH>
            <wp:positionV relativeFrom="page">
              <wp:posOffset>565150</wp:posOffset>
            </wp:positionV>
            <wp:extent cx="6935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54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61" w:right="3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right="120"/>
        <w:spacing w:after="0" w:line="247"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5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1" w:lineRule="exact"/>
        <w:rPr>
          <w:sz w:val="24"/>
          <w:szCs w:val="24"/>
          <w:color w:val="auto"/>
        </w:rPr>
      </w:pPr>
    </w:p>
    <w:p>
      <w:pPr>
        <w:sectPr>
          <w:pgSz w:w="11900" w:h="16838" w:orient="portrait"/>
          <w:cols w:equalWidth="0" w:num="2">
            <w:col w:w="180" w:space="680"/>
            <w:col w:w="10380"/>
          </w:cols>
          <w:pgMar w:left="320" w:top="961" w:right="339" w:bottom="1440" w:gutter="0" w:footer="0" w:header="0"/>
          <w:type w:val="continuous"/>
        </w:sectPr>
      </w:pPr>
    </w:p>
    <w:p>
      <w:pPr>
        <w:ind w:left="860" w:hanging="837"/>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1934</w:t>
      </w:r>
    </w:p>
    <w:p>
      <w:pPr>
        <w:spacing w:after="0" w:line="84" w:lineRule="exact"/>
        <w:rPr>
          <w:sz w:val="24"/>
          <w:szCs w:val="24"/>
          <w:color w:val="auto"/>
        </w:rPr>
      </w:pPr>
    </w:p>
    <w:p>
      <w:pPr>
        <w:ind w:left="38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2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Booz Allen Hamilton Holding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18" w:lineRule="exact"/>
        <w:rPr>
          <w:sz w:val="24"/>
          <w:szCs w:val="24"/>
          <w:color w:val="auto"/>
        </w:rPr>
      </w:pPr>
    </w:p>
    <w:p>
      <w:pPr>
        <w:ind w:left="1780"/>
        <w:spacing w:after="0"/>
        <w:tabs>
          <w:tab w:leader="none" w:pos="89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1" w:lineRule="exact"/>
        <w:rPr>
          <w:sz w:val="24"/>
          <w:szCs w:val="24"/>
          <w:color w:val="auto"/>
        </w:rPr>
      </w:pPr>
    </w:p>
    <w:p>
      <w:pPr>
        <w:ind w:left="126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2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75" w:lineRule="exact"/>
        <w:rPr>
          <w:sz w:val="24"/>
          <w:szCs w:val="24"/>
          <w:color w:val="auto"/>
        </w:rPr>
      </w:pPr>
    </w:p>
    <w:p>
      <w:pPr>
        <w:ind w:left="30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6"/>
          <w:szCs w:val="16"/>
          <w:b w:val="1"/>
          <w:bCs w:val="1"/>
          <w:color w:val="auto"/>
        </w:rPr>
        <w:t>22102</w:t>
      </w:r>
    </w:p>
    <w:p>
      <w:pPr>
        <w:spacing w:after="0" w:line="23" w:lineRule="exact"/>
        <w:rPr>
          <w:sz w:val="24"/>
          <w:szCs w:val="24"/>
          <w:color w:val="auto"/>
        </w:rPr>
      </w:pPr>
    </w:p>
    <w:p>
      <w:pPr>
        <w:ind w:left="98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spacing w:after="0"/>
              <w:rPr>
                <w:sz w:val="13"/>
                <w:szCs w:val="13"/>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56"/>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7"/>
              </w:rPr>
              <w:t>Class A Common Stock</w:t>
            </w:r>
          </w:p>
        </w:tc>
        <w:tc>
          <w:tcPr>
            <w:tcW w:w="20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BAH</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New York Stock Exchange</w:t>
            </w:r>
          </w:p>
        </w:tc>
      </w:tr>
    </w:tbl>
    <w:p>
      <w:pPr>
        <w:spacing w:after="0" w:line="88" w:lineRule="exact"/>
        <w:rPr>
          <w:sz w:val="24"/>
          <w:szCs w:val="24"/>
          <w:color w:val="auto"/>
        </w:rPr>
      </w:pPr>
    </w:p>
    <w:p>
      <w:pPr>
        <w:jc w:val="both"/>
        <w:ind w:right="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ind w:right="6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34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1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1" w:lineRule="exact"/>
        <w:rPr>
          <w:sz w:val="24"/>
          <w:szCs w:val="24"/>
          <w:color w:val="auto"/>
        </w:rPr>
      </w:pPr>
    </w:p>
    <w:p>
      <w:pPr>
        <w:jc w:val="both"/>
        <w:ind w:right="2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560" w:type="dxa"/>
            <w:vAlign w:val="bottom"/>
            <w:gridSpan w:val="2"/>
          </w:tcPr>
          <w:p>
            <w:pPr>
              <w:jc w:val="center"/>
              <w:ind w:right="360"/>
              <w:spacing w:after="0" w:line="199" w:lineRule="exact"/>
              <w:rPr>
                <w:sz w:val="20"/>
                <w:szCs w:val="20"/>
                <w:color w:val="auto"/>
              </w:rPr>
            </w:pPr>
            <w:r>
              <w:rPr>
                <w:rFonts w:ascii="Times New Roman" w:cs="Times New Roman" w:eastAsia="Times New Roman" w:hAnsi="Times New Roman"/>
                <w:sz w:val="18"/>
                <w:szCs w:val="18"/>
                <w:b w:val="1"/>
                <w:bCs w:val="1"/>
                <w:color w:val="auto"/>
                <w:w w:val="96"/>
              </w:rPr>
              <w:t>Shares Outstanding</w:t>
            </w:r>
          </w:p>
        </w:tc>
      </w:tr>
      <w:tr>
        <w:trPr>
          <w:trHeight w:val="234"/>
        </w:trPr>
        <w:tc>
          <w:tcPr>
            <w:tcW w:w="8680" w:type="dxa"/>
            <w:vAlign w:val="bottom"/>
          </w:tcPr>
          <w:p>
            <w:pPr>
              <w:spacing w:after="0"/>
              <w:rPr>
                <w:sz w:val="20"/>
                <w:szCs w:val="20"/>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as of 10/26/2022</w:t>
            </w:r>
          </w:p>
        </w:tc>
      </w:tr>
      <w:tr>
        <w:trPr>
          <w:trHeight w:val="220"/>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132,226,183</w:t>
            </w:r>
          </w:p>
        </w:tc>
        <w:tc>
          <w:tcPr>
            <w:tcW w:w="360" w:type="dxa"/>
            <w:vAlign w:val="bottom"/>
          </w:tcPr>
          <w:p>
            <w:pPr>
              <w:spacing w:after="0"/>
              <w:rPr>
                <w:sz w:val="19"/>
                <w:szCs w:val="19"/>
                <w:color w:val="auto"/>
              </w:rPr>
            </w:pPr>
          </w:p>
        </w:tc>
      </w:tr>
      <w:tr>
        <w:trPr>
          <w:trHeight w:val="756"/>
        </w:trPr>
        <w:tc>
          <w:tcPr>
            <w:tcW w:w="86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52" w:lineRule="exact"/>
              <w:rPr>
                <w:sz w:val="20"/>
                <w:szCs w:val="20"/>
                <w:color w:val="auto"/>
              </w:rPr>
            </w:pPr>
            <w:r>
              <w:rPr>
                <w:rFonts w:ascii="Times New Roman" w:cs="Times New Roman" w:eastAsia="Times New Roman" w:hAnsi="Times New Roman"/>
                <w:sz w:val="16"/>
                <w:szCs w:val="16"/>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60" w:type="dxa"/>
            <w:vAlign w:val="bottom"/>
            <w:tcBorders>
              <w:top w:val="single" w:sz="8" w:color="0000FF"/>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Controls and Procedures</w:t>
            </w:r>
          </w:p>
        </w:tc>
        <w:tc>
          <w:tcPr>
            <w:tcW w:w="2680" w:type="dxa"/>
            <w:vAlign w:val="bottom"/>
            <w:tcBorders>
              <w:top w:val="single" w:sz="8" w:color="0000FF"/>
            </w:tcBorders>
            <w:gridSpan w:val="3"/>
          </w:tcPr>
          <w:p>
            <w:pPr>
              <w:spacing w:after="0"/>
              <w:rPr>
                <w:sz w:val="17"/>
                <w:szCs w:val="17"/>
                <w:color w:val="auto"/>
              </w:rPr>
            </w:pPr>
          </w:p>
        </w:tc>
        <w:tc>
          <w:tcPr>
            <w:tcW w:w="43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83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tcBorders>
              <w:top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75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tcBorders>
              <w:top w:val="single" w:sz="8" w:color="0000FF"/>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tcBorders>
              <w:top w:val="single" w:sz="8" w:color="0000FF"/>
            </w:tcBorders>
          </w:tcPr>
          <w:p>
            <w:pPr>
              <w:spacing w:after="0"/>
              <w:rPr>
                <w:sz w:val="17"/>
                <w:szCs w:val="17"/>
                <w:color w:val="auto"/>
              </w:rPr>
            </w:pPr>
          </w:p>
        </w:tc>
        <w:tc>
          <w:tcPr>
            <w:tcW w:w="44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tcBorders>
              <w:top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71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tcBorders>
              <w:top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75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7"/>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69"/>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9"/>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1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8"/>
        </w:trPr>
        <w:tc>
          <w:tcPr>
            <w:tcW w:w="20" w:type="dxa"/>
            <w:vAlign w:val="bottom"/>
          </w:tcPr>
          <w:p>
            <w:pPr>
              <w:spacing w:after="0"/>
              <w:rPr>
                <w:sz w:val="15"/>
                <w:szCs w:val="15"/>
                <w:color w:val="auto"/>
              </w:rPr>
            </w:pPr>
          </w:p>
        </w:tc>
        <w:tc>
          <w:tcPr>
            <w:tcW w:w="3020" w:type="dxa"/>
            <w:vAlign w:val="bottom"/>
            <w:gridSpan w:val="14"/>
          </w:tcPr>
          <w:p>
            <w:pPr>
              <w:spacing w:after="0" w:line="178" w:lineRule="exact"/>
              <w:rPr>
                <w:sz w:val="20"/>
                <w:szCs w:val="20"/>
                <w:color w:val="auto"/>
              </w:rPr>
            </w:pPr>
            <w:r>
              <w:rPr>
                <w:rFonts w:ascii="Times New Roman" w:cs="Times New Roman" w:eastAsia="Times New Roman" w:hAnsi="Times New Roman"/>
                <w:sz w:val="18"/>
                <w:szCs w:val="18"/>
                <w:b w:val="1"/>
                <w:bCs w:val="1"/>
                <w:color w:val="0000FF"/>
                <w:w w:val="96"/>
              </w:rPr>
              <w:t>Condensed Consolidated Balance Sheets</w:t>
            </w:r>
          </w:p>
        </w:tc>
        <w:tc>
          <w:tcPr>
            <w:tcW w:w="6060" w:type="dxa"/>
            <w:vAlign w:val="bottom"/>
            <w:gridSpan w:val="11"/>
          </w:tcPr>
          <w:p>
            <w:pPr>
              <w:spacing w:after="0"/>
              <w:rPr>
                <w:sz w:val="15"/>
                <w:szCs w:val="15"/>
                <w:color w:val="auto"/>
              </w:rPr>
            </w:pPr>
          </w:p>
        </w:tc>
        <w:tc>
          <w:tcPr>
            <w:tcW w:w="680" w:type="dxa"/>
            <w:vAlign w:val="bottom"/>
            <w:tcBorders>
              <w:top w:val="single" w:sz="8" w:color="auto"/>
            </w:tcBorders>
            <w:gridSpan w:val="3"/>
          </w:tcPr>
          <w:p>
            <w:pPr>
              <w:jc w:val="center"/>
              <w:ind w:left="432"/>
              <w:spacing w:after="0" w:line="178" w:lineRule="exact"/>
              <w:rPr>
                <w:sz w:val="20"/>
                <w:szCs w:val="20"/>
                <w:color w:val="auto"/>
              </w:rPr>
            </w:pPr>
            <w:r>
              <w:rPr>
                <w:rFonts w:ascii="Times New Roman" w:cs="Times New Roman" w:eastAsia="Times New Roman" w:hAnsi="Times New Roman"/>
                <w:sz w:val="18"/>
                <w:szCs w:val="18"/>
                <w:b w:val="1"/>
                <w:bCs w:val="1"/>
                <w:color w:val="0000FF"/>
                <w:w w:val="88"/>
              </w:rPr>
              <w:t>1</w:t>
            </w:r>
          </w:p>
        </w:tc>
        <w:tc>
          <w:tcPr>
            <w:tcW w:w="52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Operations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2</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3</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Cash Flows</w:t>
            </w:r>
          </w:p>
        </w:tc>
        <w:tc>
          <w:tcPr>
            <w:tcW w:w="4360" w:type="dxa"/>
            <w:vAlign w:val="bottom"/>
            <w:gridSpan w:val="2"/>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7"/>
              </w:rPr>
              <w:t>Condensed Consolidated Statements of Stockholders' Equity</w:t>
            </w:r>
          </w:p>
        </w:tc>
        <w:tc>
          <w:tcPr>
            <w:tcW w:w="4540" w:type="dxa"/>
            <w:vAlign w:val="bottom"/>
            <w:gridSpan w:val="3"/>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5</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Notes to Unaudited Condensed Consolidated Financial Statements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0" w:type="dxa"/>
            <w:vAlign w:val="bottom"/>
            <w:gridSpan w:val="2"/>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0000FF"/>
              </w:rPr>
              <w:t>1.</w:t>
            </w:r>
          </w:p>
        </w:tc>
        <w:tc>
          <w:tcPr>
            <w:tcW w:w="448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Business Overview</w:t>
            </w:r>
          </w:p>
        </w:tc>
        <w:tc>
          <w:tcPr>
            <w:tcW w:w="4120" w:type="dxa"/>
            <w:vAlign w:val="bottom"/>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2.</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Basis of Presentation</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3.</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Revenue</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8</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4.</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Earnings Per Share</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10</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5.</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Acquisitions, Divestitures and Goodwill</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11</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6.</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Accounts Payable and Other Accrued Expenses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11</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7.</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Accrued Compensation and Benefits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11</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8.</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Debt</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12</w:t>
            </w: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9.</w:t>
            </w:r>
          </w:p>
        </w:tc>
        <w:tc>
          <w:tcPr>
            <w:tcW w:w="860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Derivatives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14</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10. Income Taxes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15</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11. Employee Benefit Plans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16</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12. Accumulated Other Comprehensive Income (Loss</w:t>
            </w:r>
            <w:r>
              <w:rPr>
                <w:rFonts w:ascii="Times New Roman" w:cs="Times New Roman" w:eastAsia="Times New Roman" w:hAnsi="Times New Roman"/>
                <w:sz w:val="18"/>
                <w:szCs w:val="18"/>
                <w:b w:val="1"/>
                <w:bCs w:val="1"/>
                <w:color w:val="000000"/>
              </w:rPr>
              <w:t>)</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16</w:t>
            </w: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13. Stock Based Compensation</w:t>
            </w:r>
          </w:p>
        </w:tc>
        <w:tc>
          <w:tcPr>
            <w:tcW w:w="1700" w:type="dxa"/>
            <w:vAlign w:val="bottom"/>
            <w:tcBorders>
              <w:top w:val="single" w:sz="8" w:color="0000FF"/>
            </w:tcBorders>
            <w:gridSpan w:val="8"/>
          </w:tcPr>
          <w:p>
            <w:pPr>
              <w:spacing w:after="0"/>
              <w:rPr>
                <w:sz w:val="17"/>
                <w:szCs w:val="17"/>
                <w:color w:val="auto"/>
              </w:rPr>
            </w:pPr>
          </w:p>
        </w:tc>
        <w:tc>
          <w:tcPr>
            <w:tcW w:w="47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00FF"/>
                <w:w w:val="74"/>
              </w:rPr>
              <w:t>17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14. Fair Value Measurements</w:t>
            </w:r>
          </w:p>
        </w:tc>
        <w:tc>
          <w:tcPr>
            <w:tcW w:w="65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00FF"/>
                <w:w w:val="74"/>
              </w:rPr>
              <w:t>17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15. Commitments and Contingencies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19</w:t>
            </w: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tcBorders>
              <w:top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16. Subsequent Event</w:t>
            </w:r>
          </w:p>
        </w:tc>
        <w:tc>
          <w:tcPr>
            <w:tcW w:w="60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00FF"/>
                <w:w w:val="74"/>
              </w:rPr>
              <w:t>19</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220" w:type="dxa"/>
            <w:vAlign w:val="bottom"/>
          </w:tcPr>
          <w:p>
            <w:pPr>
              <w:spacing w:after="0"/>
              <w:rPr>
                <w:sz w:val="17"/>
                <w:szCs w:val="17"/>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818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756,520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126,777</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2,445,676</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202,229</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227,231</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646,682</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2,021,931</w:t>
            </w: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481,826</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902,616</w:t>
            </w: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52,334</w:t>
            </w: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71,991</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1,533,954</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2,731,693</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247,070</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239,602</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226,535</w:t>
            </w:r>
          </w:p>
        </w:tc>
        <w:tc>
          <w:tcPr>
            <w:tcW w:w="0" w:type="dxa"/>
            <w:vAlign w:val="bottom"/>
          </w:tcPr>
          <w:p>
            <w:pPr>
              <w:spacing w:after="0"/>
              <w:rPr>
                <w:sz w:val="1"/>
                <w:szCs w:val="1"/>
                <w:color w:val="auto"/>
              </w:rPr>
            </w:pPr>
          </w:p>
        </w:tc>
      </w:tr>
      <w:tr>
        <w:trPr>
          <w:trHeight w:val="21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4,978,854</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Common stock, Class A — $0.01 par value — authorized, 600,000,000 shares; issued, 165,110,617 shares at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September 30, 2022 and 164,372,545 shares at March 31, 2022; outstanding, 132,314,959 shares at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2022 and 132,584,348 shares at March 31, 2022</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4"/>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 32,795,658 shares at September 30, 2022 and 31,788,197 shares at March 31, 2022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(1,635,454)</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656,222</w:t>
            </w: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2,015,071</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1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Booz Allen stockholders' equity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1,046,070</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1,046,721</w:t>
            </w: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4,548,576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4,095,104</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1,910,408</w:t>
            </w:r>
          </w:p>
        </w:tc>
        <w:tc>
          <w:tcPr>
            <w:tcW w:w="0" w:type="dxa"/>
            <w:vAlign w:val="bottom"/>
          </w:tcPr>
          <w:p>
            <w:pPr>
              <w:spacing w:after="0"/>
              <w:rPr>
                <w:sz w:val="1"/>
                <w:szCs w:val="1"/>
                <w:color w:val="auto"/>
              </w:rPr>
            </w:pPr>
          </w:p>
        </w:tc>
      </w:tr>
      <w:tr>
        <w:trPr>
          <w:trHeight w:val="224"/>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Billable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1,195,665</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564,060</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2,075,055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3,735,480</w:t>
            </w: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359,624</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(45,524)</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320,415</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246,936</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0"/>
        </w:trPr>
        <w:tc>
          <w:tcPr>
            <w:tcW w:w="5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246,936</w:t>
            </w:r>
          </w:p>
        </w:tc>
      </w:tr>
      <w:tr>
        <w:trPr>
          <w:trHeight w:val="22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on derivatives designated as cash flow hedges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24"/>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7"/>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17"/>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252,708</w:t>
            </w:r>
          </w:p>
        </w:tc>
      </w:tr>
      <w:tr>
        <w:trPr>
          <w:trHeight w:val="224"/>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322,772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252,708</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Six Months Ended</w:t>
      </w:r>
    </w:p>
    <w:tbl>
      <w:tblPr>
        <w:tblLayout w:type="fixed"/>
        <w:tblInd w:w="40" w:type="dxa"/>
        <w:tblCellMar>
          <w:top w:w="0" w:type="dxa"/>
          <w:left w:w="0" w:type="dxa"/>
          <w:bottom w:w="0" w:type="dxa"/>
          <w:right w:w="0" w:type="dxa"/>
        </w:tblCellMar>
      </w:tblPr>
      <w:tr>
        <w:trPr>
          <w:trHeight w:val="222"/>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7"/>
        </w:trPr>
        <w:tc>
          <w:tcPr>
            <w:tcW w:w="8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4"/>
        </w:trPr>
        <w:tc>
          <w:tcPr>
            <w:tcW w:w="81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4"/>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246,936</w:t>
            </w: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65,347</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28,428</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(Gains) losses on dispositions, and other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Gain on consolidation of equity method investment</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149,586</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17"/>
        </w:trPr>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459,746</w:t>
            </w: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(779,581)</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Payments for cost method investments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received from the sale of a business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(811,256)</w:t>
            </w: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 option exercises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(232,381)</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(101,869)</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Repayments on revolving credit facility, term loans, and Senior Notes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(78,067)</w:t>
            </w: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proceeds from debt issuance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487,027</w:t>
            </w: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7"/>
        </w:trPr>
        <w:tc>
          <w:tcPr>
            <w:tcW w:w="816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149,252</w:t>
            </w:r>
          </w:p>
        </w:tc>
      </w:tr>
      <w:tr>
        <w:trPr>
          <w:trHeight w:val="22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(202,258)</w:t>
            </w: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990,955</w:t>
            </w:r>
          </w:p>
        </w:tc>
      </w:tr>
      <w:tr>
        <w:trPr>
          <w:trHeight w:val="217"/>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756,520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788,697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0"/>
        </w:trPr>
        <w:tc>
          <w:tcPr>
            <w:tcW w:w="8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w:t>
            </w:r>
          </w:p>
        </w:tc>
      </w:tr>
      <w:tr>
        <w:trPr>
          <w:trHeight w:val="228"/>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215,767</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w:t>
            </w:r>
          </w:p>
        </w:tc>
      </w:tr>
    </w:tbl>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 except share</w:t>
            </w:r>
          </w:p>
        </w:tc>
        <w:tc>
          <w:tcPr>
            <w:tcW w:w="15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840" w:type="dxa"/>
            <w:vAlign w:val="bottom"/>
            <w:gridSpan w:val="3"/>
            <w:vMerge w:val="restart"/>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8"/>
                <w:szCs w:val="8"/>
                <w:color w:val="auto"/>
              </w:rPr>
            </w:pPr>
          </w:p>
        </w:tc>
        <w:tc>
          <w:tcPr>
            <w:tcW w:w="78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8"/>
                <w:szCs w:val="8"/>
                <w:color w:val="auto"/>
              </w:rPr>
            </w:pPr>
          </w:p>
        </w:tc>
        <w:tc>
          <w:tcPr>
            <w:tcW w:w="800" w:type="dxa"/>
            <w:vAlign w:val="bottom"/>
            <w:vMerge w:val="restart"/>
          </w:tcPr>
          <w:p>
            <w:pPr>
              <w:jc w:val="right"/>
              <w:ind w:right="241"/>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6"/>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data)</w:t>
            </w: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920" w:type="dxa"/>
            <w:vAlign w:val="bottom"/>
            <w:vMerge w:val="continue"/>
          </w:tcPr>
          <w:p>
            <w:pPr>
              <w:spacing w:after="0"/>
              <w:rPr>
                <w:sz w:val="13"/>
                <w:szCs w:val="13"/>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7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vMerge w:val="continue"/>
          </w:tcPr>
          <w:p>
            <w:pPr>
              <w:spacing w:after="0"/>
              <w:rPr>
                <w:sz w:val="13"/>
                <w:szCs w:val="13"/>
                <w:color w:val="auto"/>
              </w:rPr>
            </w:pPr>
          </w:p>
        </w:tc>
        <w:tc>
          <w:tcPr>
            <w:tcW w:w="11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164,900,879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1,650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(32,477,501)</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(1,693,012)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679,632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2,095,093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14,342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1,099,124</w:t>
            </w:r>
          </w:p>
        </w:tc>
        <w:tc>
          <w:tcPr>
            <w:tcW w:w="0" w:type="dxa"/>
            <w:vAlign w:val="bottom"/>
          </w:tcPr>
          <w:p>
            <w:pPr>
              <w:spacing w:after="0"/>
              <w:rPr>
                <w:sz w:val="1"/>
                <w:szCs w:val="1"/>
                <w:color w:val="auto"/>
              </w:rPr>
            </w:pPr>
          </w:p>
        </w:tc>
      </w:tr>
      <w:tr>
        <w:trPr>
          <w:trHeight w:val="202"/>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(318,157)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170,781</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Dividends declared of $0.43 per share of</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(57,073)</w:t>
            </w: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18,406</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18,406</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165,110,617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1,651</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(32,795,658)</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$(1,722,881)</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706,620</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$2,208,952</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22,141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2,052</w:t>
            </w:r>
          </w:p>
        </w:tc>
        <w:tc>
          <w:tcPr>
            <w:tcW w:w="6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1,218,535</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164,372,545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1,646</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(31,788,197)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(1,635,454)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656,222</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2,015,071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8,585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1,046,721</w:t>
            </w:r>
          </w:p>
        </w:tc>
        <w:tc>
          <w:tcPr>
            <w:tcW w:w="0" w:type="dxa"/>
            <w:vAlign w:val="bottom"/>
          </w:tcPr>
          <w:p>
            <w:pPr>
              <w:spacing w:after="0"/>
              <w:rPr>
                <w:sz w:val="1"/>
                <w:szCs w:val="1"/>
                <w:color w:val="auto"/>
              </w:rPr>
            </w:pPr>
          </w:p>
        </w:tc>
      </w:tr>
      <w:tr>
        <w:trPr>
          <w:trHeight w:val="202"/>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 (1)</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(1,007,461)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(87,427)</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308,874</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Dividends declared of $0.86 per share of</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(115,335)</w:t>
            </w: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32,102</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165,110,617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1,651</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(32,795,658)</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(1,722,881)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706,620</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2,208,952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2,052</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120" w:firstLine="163"/>
        <w:spacing w:after="0" w:line="256" w:lineRule="auto"/>
        <w:tabs>
          <w:tab w:leader="none" w:pos="4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2022, the Company purchased 0.9 million shares of the Company’s Class A Common Stock in a series of open market transactions for $76.4 million. Additionally, the Company repurchased shares for $11.0 million during the six months ended September 30, 2022 to cover the minimum statutory withholding taxes on restricted stock units that vested on various dates during the period.</w:t>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tbl>
      <w:tblPr>
        <w:tblLayout w:type="fixed"/>
        <w:tblInd w:w="6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04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Class A</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ind w:left="600"/>
              <w:spacing w:after="0" w:line="173"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 except share</w:t>
            </w:r>
          </w:p>
        </w:tc>
        <w:tc>
          <w:tcPr>
            <w:tcW w:w="150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4"/>
                <w:szCs w:val="4"/>
                <w:color w:val="auto"/>
              </w:rPr>
            </w:pPr>
          </w:p>
        </w:tc>
        <w:tc>
          <w:tcPr>
            <w:tcW w:w="1800" w:type="dxa"/>
            <w:vAlign w:val="bottom"/>
            <w:gridSpan w:val="3"/>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vMerge w:val="restart"/>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4"/>
                <w:szCs w:val="4"/>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3"/>
        </w:trPr>
        <w:tc>
          <w:tcPr>
            <w:tcW w:w="2900" w:type="dxa"/>
            <w:vAlign w:val="bottom"/>
            <w:vMerge w:val="continue"/>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0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data)</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1"/>
                <w:szCs w:val="11"/>
                <w:color w:val="auto"/>
              </w:rPr>
            </w:pPr>
          </w:p>
        </w:tc>
        <w:tc>
          <w:tcPr>
            <w:tcW w:w="7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Paid-In</w:t>
            </w:r>
          </w:p>
        </w:tc>
        <w:tc>
          <w:tcPr>
            <w:tcW w:w="90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163,464,754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(28,035,397)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(1,327,601)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577,228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1,799,029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1,023,533</w:t>
            </w:r>
          </w:p>
        </w:tc>
        <w:tc>
          <w:tcPr>
            <w:tcW w:w="0" w:type="dxa"/>
            <w:vAlign w:val="bottom"/>
          </w:tcPr>
          <w:p>
            <w:pPr>
              <w:spacing w:after="0"/>
              <w:rPr>
                <w:sz w:val="1"/>
                <w:szCs w:val="1"/>
                <w:color w:val="auto"/>
              </w:rPr>
            </w:pPr>
          </w:p>
        </w:tc>
      </w:tr>
      <w:tr>
        <w:trPr>
          <w:trHeight w:val="202"/>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5,643</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(1,267,144)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(105,535)</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Recognition of liability related to future</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vesting</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154,834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154,834</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158"/>
        </w:trPr>
        <w:tc>
          <w:tcPr>
            <w:tcW w:w="29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Dividends paid of $0.37 per share of</w:t>
            </w: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(51,196)</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15,984</w:t>
            </w:r>
          </w:p>
        </w:tc>
        <w:tc>
          <w:tcPr>
            <w:tcW w:w="0" w:type="dxa"/>
            <w:vAlign w:val="bottom"/>
          </w:tcPr>
          <w:p>
            <w:pPr>
              <w:spacing w:after="0"/>
              <w:rPr>
                <w:sz w:val="1"/>
                <w:szCs w:val="1"/>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163,627,651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(29,302,541)</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$(1,433,136)</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600,930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$1,902,667</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(23,999)</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1,048,098</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162,950,606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(26,704,577)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(1,216,163)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557,957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1,757,524</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1,071,176</w:t>
            </w:r>
          </w:p>
        </w:tc>
        <w:tc>
          <w:tcPr>
            <w:tcW w:w="0" w:type="dxa"/>
            <w:vAlign w:val="bottom"/>
          </w:tcPr>
          <w:p>
            <w:pPr>
              <w:spacing w:after="0"/>
              <w:rPr>
                <w:sz w:val="1"/>
                <w:szCs w:val="1"/>
                <w:color w:val="auto"/>
              </w:rPr>
            </w:pPr>
          </w:p>
        </w:tc>
      </w:tr>
      <w:tr>
        <w:trPr>
          <w:trHeight w:val="202"/>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10,317</w:t>
            </w: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10,323</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 (2)</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(2,597,964)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(216,973)</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Recognition of liability related to future</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vesting</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246,936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246,936</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5,772</w:t>
            </w:r>
          </w:p>
        </w:tc>
        <w:tc>
          <w:tcPr>
            <w:tcW w:w="0" w:type="dxa"/>
            <w:vAlign w:val="bottom"/>
          </w:tcPr>
          <w:p>
            <w:pPr>
              <w:spacing w:after="0"/>
              <w:rPr>
                <w:sz w:val="1"/>
                <w:szCs w:val="1"/>
                <w:color w:val="auto"/>
              </w:rPr>
            </w:pPr>
          </w:p>
        </w:tc>
      </w:tr>
      <w:tr>
        <w:trPr>
          <w:trHeight w:val="158"/>
        </w:trPr>
        <w:tc>
          <w:tcPr>
            <w:tcW w:w="29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Dividends declared of $0.74 per share of</w:t>
            </w: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(101,793)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(101,793)</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28,428</w:t>
            </w:r>
          </w:p>
        </w:tc>
        <w:tc>
          <w:tcPr>
            <w:tcW w:w="0" w:type="dxa"/>
            <w:vAlign w:val="bottom"/>
          </w:tcPr>
          <w:p>
            <w:pPr>
              <w:spacing w:after="0"/>
              <w:rPr>
                <w:sz w:val="1"/>
                <w:szCs w:val="1"/>
                <w:color w:val="auto"/>
              </w:rPr>
            </w:pPr>
          </w:p>
        </w:tc>
      </w:tr>
      <w:tr>
        <w:trPr>
          <w:trHeight w:val="202"/>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163,627,651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(29,302,541)</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(1,433,136)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600,930</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1,902,667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1,048,098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40" w:firstLine="163"/>
        <w:spacing w:after="0" w:line="256" w:lineRule="auto"/>
        <w:tabs>
          <w:tab w:leader="none" w:pos="4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2021, the Company purchased 2.4 million shares of the Company’s Class A Common Stock in a series of open market transactions for $203.7 million. Additionally, the Company repurchased shares for $13.3 million during the six months ended September 30, 2021 to cover the minimum statutory withholding taxes on restricted stock units that vested on various dates during the period.</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11"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30,000 employees as of September 30,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1"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2022.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six months ended September 30, 2022 are not necessarily indicative of results to be expected for the full fiscal year.</w:t>
      </w:r>
    </w:p>
    <w:p>
      <w:pPr>
        <w:spacing w:after="0" w:line="85"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80"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Certain amounts reported in the Company's prior year condensed consolidated financial statements have been reclassified to conform to the current year presentation.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13"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3"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In March 2020, the FASB issued ASU 2020-04, Reference Rate Reform (“Topic 848”): Facilitation of the Effects of Reference Rate Reform on Financial Reporting.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LIBOR or other rates affected by reference rate reform. The guidance is elective and is effective on the date of issuance. Topic 848 is applied prospectively to contract modifications and as of the effective date for existing and new eligible hedging relationships. The Company has elected to apply the hedge accounting practical expedient related to the probability of hedged future LIBOR indexed cash flows and continues its quantitative method of assessing subsequent hedge effectiveness in the fourth quarter of fiscal 2020. Further, during the second quarter ended September 30, 2022, the Company transitioned its term loans from LIBOR-indexed interest payments to Term SOFR-indexed interest payments in connection with the Ninth Amendment of the Credit Agreement. For its interest rate swaps designated as cash flow hedges, the Company elected to apply certain of the accounting expedients to assume that the reference rates upon which hedged forecasted transactions will be based on match the LIBOR-indexed rates used in the Company's interest rate swaps consistent with past presentation. The Company continues to evaluate the impact of Topic 848 and may apply other elections, as applicable. The adoption of this guidance did not have a material impact on the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3" w:lineRule="exact"/>
        <w:rPr>
          <w:sz w:val="20"/>
          <w:szCs w:val="20"/>
          <w:color w:val="auto"/>
        </w:rPr>
      </w:pPr>
    </w:p>
    <w:p>
      <w:pPr>
        <w:ind w:right="260" w:firstLine="632"/>
        <w:spacing w:after="0" w:line="268" w:lineRule="auto"/>
        <w:rPr>
          <w:sz w:val="20"/>
          <w:szCs w:val="20"/>
          <w:color w:val="auto"/>
        </w:rPr>
      </w:pPr>
      <w:r>
        <w:rPr>
          <w:rFonts w:ascii="Times New Roman" w:cs="Times New Roman" w:eastAsia="Times New Roman" w:hAnsi="Times New Roman"/>
          <w:sz w:val="18"/>
          <w:szCs w:val="18"/>
          <w:color w:val="auto"/>
        </w:rPr>
        <w:t>Accounting and reporting pronouncements effective after September 30, 2022 and issued through the filing date are not expected to have a material impact on the Company's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2022 and 2021, the aggregate impact of adjustments in contract estimates was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3" w:lineRule="exact"/>
        <w:rPr>
          <w:sz w:val="20"/>
          <w:szCs w:val="20"/>
          <w:color w:val="auto"/>
        </w:rPr>
      </w:pPr>
    </w:p>
    <w:p>
      <w:pPr>
        <w:ind w:right="460" w:firstLine="395"/>
        <w:spacing w:after="0" w:line="25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09" w:lineRule="exact"/>
        <w:rPr>
          <w:sz w:val="20"/>
          <w:szCs w:val="20"/>
          <w:color w:val="auto"/>
        </w:rPr>
      </w:pPr>
    </w:p>
    <w:p>
      <w:pPr>
        <w:ind w:left="640" w:right="4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64" w:lineRule="exact"/>
        <w:rPr>
          <w:rFonts w:ascii="Times New Roman" w:cs="Times New Roman" w:eastAsia="Times New Roman" w:hAnsi="Times New Roman"/>
          <w:sz w:val="18"/>
          <w:szCs w:val="18"/>
          <w:color w:val="auto"/>
        </w:rPr>
      </w:pPr>
    </w:p>
    <w:p>
      <w:pPr>
        <w:ind w:left="640" w:right="200" w:hanging="240"/>
        <w:spacing w:after="0" w:line="25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4" w:lineRule="exact"/>
        <w:rPr>
          <w:rFonts w:ascii="Times New Roman" w:cs="Times New Roman" w:eastAsia="Times New Roman" w:hAnsi="Times New Roman"/>
          <w:sz w:val="18"/>
          <w:szCs w:val="18"/>
          <w:color w:val="auto"/>
        </w:rPr>
      </w:pPr>
    </w:p>
    <w:p>
      <w:pPr>
        <w:ind w:left="640" w:right="160" w:hanging="240"/>
        <w:spacing w:after="0" w:line="25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gridSpan w:val="5"/>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gridSpan w:val="4"/>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1,201,407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1,127,189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2,392,235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7"/>
              </w:rPr>
              <w:t>2,242,614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4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564,438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500,263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1,110,340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997,713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533,131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478,586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1,046,001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854,777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2,298,976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2,106,038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4,548,576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7"/>
              </w:rPr>
              <w:t>4,095,104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4"/>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7"/>
        </w:trPr>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4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80" w:type="dxa"/>
            <w:vAlign w:val="bottom"/>
          </w:tcPr>
          <w:p>
            <w:pPr>
              <w:spacing w:after="0"/>
              <w:rPr>
                <w:sz w:val="20"/>
                <w:szCs w:val="20"/>
                <w:color w:val="auto"/>
              </w:rPr>
            </w:pPr>
          </w:p>
        </w:tc>
      </w:tr>
      <w:tr>
        <w:trPr>
          <w:trHeight w:val="234"/>
        </w:trPr>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0"/>
        </w:trPr>
        <w:tc>
          <w:tcPr>
            <w:tcW w:w="140" w:type="dxa"/>
            <w:vAlign w:val="bottom"/>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r>
      <w:tr>
        <w:trPr>
          <w:trHeight w:val="204"/>
        </w:trPr>
        <w:tc>
          <w:tcPr>
            <w:tcW w:w="140" w:type="dxa"/>
            <w:vAlign w:val="bottom"/>
          </w:tcPr>
          <w:p>
            <w:pPr>
              <w:spacing w:after="0"/>
              <w:rPr>
                <w:sz w:val="17"/>
                <w:szCs w:val="17"/>
                <w:color w:val="auto"/>
              </w:rPr>
            </w:pPr>
          </w:p>
        </w:tc>
        <w:tc>
          <w:tcPr>
            <w:tcW w:w="2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4"/>
        </w:trPr>
        <w:tc>
          <w:tcPr>
            <w:tcW w:w="140" w:type="dxa"/>
            <w:vAlign w:val="bottom"/>
          </w:tcPr>
          <w:p>
            <w:pPr>
              <w:spacing w:after="0"/>
              <w:rPr>
                <w:sz w:val="19"/>
                <w:szCs w:val="19"/>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Defense Clients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1,019,108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996,463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2,039,099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1,970,069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4"/>
        </w:trPr>
        <w:tc>
          <w:tcPr>
            <w:tcW w:w="140" w:type="dxa"/>
            <w:vAlign w:val="bottom"/>
          </w:tcPr>
          <w:p>
            <w:pPr>
              <w:spacing w:after="0"/>
              <w:rPr>
                <w:sz w:val="19"/>
                <w:szCs w:val="19"/>
                <w:color w:val="auto"/>
              </w:rPr>
            </w:pPr>
          </w:p>
        </w:tc>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Intelligence Clients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432,543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396,415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841,426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775,588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4"/>
        </w:trPr>
        <w:tc>
          <w:tcPr>
            <w:tcW w:w="140" w:type="dxa"/>
            <w:vAlign w:val="bottom"/>
          </w:tcPr>
          <w:p>
            <w:pPr>
              <w:spacing w:after="0"/>
              <w:rPr>
                <w:sz w:val="19"/>
                <w:szCs w:val="19"/>
                <w:color w:val="auto"/>
              </w:rPr>
            </w:pPr>
          </w:p>
        </w:tc>
        <w:tc>
          <w:tcPr>
            <w:tcW w:w="2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Civil Clients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783,782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662,138</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1,541,496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1,254,934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7"/>
        </w:trPr>
        <w:tc>
          <w:tcPr>
            <w:tcW w:w="140" w:type="dxa"/>
            <w:vAlign w:val="bottom"/>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government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2,235,433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2,055,016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4,422,021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4,000,591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140" w:type="dxa"/>
            <w:vAlign w:val="bottom"/>
          </w:tcPr>
          <w:p>
            <w:pPr>
              <w:spacing w:after="0"/>
              <w:rPr>
                <w:sz w:val="19"/>
                <w:szCs w:val="19"/>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Global Commercial Clients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63,543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51,022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126,555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94,513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2"/>
        </w:trPr>
        <w:tc>
          <w:tcPr>
            <w:tcW w:w="14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2,298,976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2,106,038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4,548,576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4,095,104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4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60" w:firstLine="240"/>
        <w:spacing w:after="0" w:line="290" w:lineRule="auto"/>
        <w:tabs>
          <w:tab w:leader="none" w:pos="55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5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gridSpan w:val="4"/>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80" w:type="dxa"/>
            <w:vAlign w:val="bottom"/>
          </w:tcPr>
          <w:p>
            <w:pPr>
              <w:spacing w:after="0"/>
              <w:rPr>
                <w:sz w:val="17"/>
                <w:szCs w:val="17"/>
                <w:color w:val="auto"/>
              </w:rPr>
            </w:pPr>
          </w:p>
        </w:tc>
      </w:tr>
      <w:tr>
        <w:trPr>
          <w:trHeight w:val="234"/>
        </w:trPr>
        <w:tc>
          <w:tcPr>
            <w:tcW w:w="1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0"/>
        </w:trPr>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r>
      <w:tr>
        <w:trPr>
          <w:trHeight w:val="217"/>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Contractor</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7"/>
              </w:rPr>
              <w:t>1,978,216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4,310,670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7"/>
              </w:rPr>
              <w:t>3,839,939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4"/>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Subcontractor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127,822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237,906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255,165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2"/>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2,298,976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7"/>
              </w:rPr>
              <w:t>2,106,038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4,548,576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7"/>
              </w:rPr>
              <w:t>4,095,104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3"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4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2022 and March 31, 2022, the Company had $9.0 billion and $7.4 billion of remaining performance obligations, respectively. We expect to recognize approximately 70% of the remaining performance obligations at September 30, 2022 as revenue over the next 12 months, and approximately 85% over the next 24 months. The remainder is expected to be recognized thereafter.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3"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8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six months ended September 30, 2022 and 2021.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ind w:right="340"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80"/>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5"/>
                <w:szCs w:val="15"/>
                <w:color w:val="auto"/>
              </w:rPr>
            </w:pPr>
          </w:p>
        </w:tc>
        <w:tc>
          <w:tcPr>
            <w:tcW w:w="1320" w:type="dxa"/>
            <w:vAlign w:val="bottom"/>
          </w:tcPr>
          <w:p>
            <w:pPr>
              <w:jc w:val="right"/>
              <w:ind w:right="312"/>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4"/>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446,058</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465,322</w:t>
            </w: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1,157,667</w:t>
            </w:r>
          </w:p>
        </w:tc>
      </w:tr>
      <w:tr>
        <w:trPr>
          <w:trHeight w:val="224"/>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w:t>
            </w:r>
          </w:p>
        </w:tc>
      </w:tr>
      <w:tr>
        <w:trPr>
          <w:trHeight w:val="217"/>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1,714,303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1,687,328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0"/>
        </w:trPr>
        <w:tc>
          <w:tcPr>
            <w:tcW w:w="7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8"/>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 (contract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r>
    </w:tbl>
    <w:p>
      <w:pPr>
        <w:spacing w:after="0" w:line="12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September 30, 2022 and 2021, we recognized revenue of $3.7 million and $2.3 million, respectively, and for the six months ended September 30, 2022 and 2021, we recognized revenue of $20.0 million and $14.2 million, respectively, related to our contract liabilities on April 1, 2022 and 2021,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11"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The Company computes basic and diluted earnings per share amounts based on net income attributable to common stockholders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4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2023 and 2022.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20" w:type="dxa"/>
            <w:vAlign w:val="bottom"/>
          </w:tcPr>
          <w:p>
            <w:pPr>
              <w:spacing w:after="0"/>
              <w:rPr>
                <w:sz w:val="18"/>
                <w:szCs w:val="18"/>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0"/>
                <w:szCs w:val="20"/>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Earnings for basic computations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306,933</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w w:val="99"/>
              </w:rPr>
              <w:t>Weighted-average common shares outstanding for basic computations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132,266,373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134,759,240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132,317,689</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Earnings for diluted computations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306,939</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Weighted-average common shares outstanding for diluted computations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132,729,245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135,316,429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132,869,141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135,847,548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54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50" w:lineRule="exact"/>
        <w:rPr>
          <w:sz w:val="20"/>
          <w:szCs w:val="20"/>
          <w:color w:val="auto"/>
        </w:rPr>
      </w:pPr>
    </w:p>
    <w:p>
      <w:pPr>
        <w:ind w:left="240" w:right="40" w:firstLine="2"/>
        <w:spacing w:after="0" w:line="252" w:lineRule="auto"/>
        <w:tabs>
          <w:tab w:leader="none" w:pos="416" w:val="left"/>
        </w:tabs>
        <w:numPr>
          <w:ilvl w:val="1"/>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During the three months ended September 30, 2022 and 2021, approximately 1.1 million and 1.0 million participating securities were paid dividends totaling $0.5 million and $0.4 million, respectively. During the six months ended September 30, 2022 and 2021, approximately 1.0 million and 0.8 million participating securities were paid dividends totaling $0.8 million and $0.6 million, respectively. There were undistributed earnings of $0.9 million and $0.7 million for the three months ended September 30, 2022 and 2021, respectively, allocated to the participating class of securities in both basic and diluted EPS. There were undistributed earnings of $1.4 million and $0.9 million for the six months ended September 30, 2022 and 2021,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six months ended September 30, 2022 and 2021. The impact of any anti-dilutive options excluded from the calculation of EPS was not material.</w:t>
      </w:r>
    </w:p>
    <w:p>
      <w:pPr>
        <w:spacing w:after="0" w:line="259" w:lineRule="exact"/>
        <w:rPr>
          <w:rFonts w:ascii="Times New Roman" w:cs="Times New Roman" w:eastAsia="Times New Roman" w:hAnsi="Times New Roman"/>
          <w:sz w:val="22"/>
          <w:szCs w:val="22"/>
          <w:color w:val="auto"/>
          <w:vertAlign w:val="superscript"/>
        </w:rPr>
      </w:pPr>
    </w:p>
    <w:p>
      <w:pPr>
        <w:ind w:left="180" w:hanging="175"/>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DIVESTITURES AND GOODWILL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13"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On March 16, 2022, the Company announced that it had entered into a stock purchase agreement to acquire EverWatch Corp. (“EverWatch”), a leading provider of advanced solutions to the defense and intelligence communities. On October 14, 2022, the Company closed the acquisition for approximately $440.0 million, net of post-closing adjustments, and transaction costs incurred as part of the acquisition. As a result of the transaction, EverWatch became a wholly owned subsidiary of Booz Allen Hamilton Inc. See Note 16 to the condensed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13"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September 1, 2022, the Company completed the divestiture of its management consulting business serving the Middle East and North Africa (“MENA”) region to Oliver Wyman, a global management consulting firm and a business of Marsh McLennan. The divestiture was substantially comprised of the contracts associated with the MENA business, the assets and liabilities associated with those contracts, and the workforce that provide services under those contracts.</w:t>
      </w:r>
    </w:p>
    <w:p>
      <w:pPr>
        <w:spacing w:after="0" w:line="78"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de-recognized the assets and liabilities associated with the MENA business and recognized a pre-tax gain of $31.2 million, which is reflected in other income (expense), net on the condensed consolidated statement of operations. The consideration for the sale of the business is subject to customary working capital adjustments, which may impact the amount of gain recognized.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and March 31, 2022, goodwill was $2,014.9 million and $2,021.9 million, respectively. The Company allocated approximately $7.0 million of goodwill to the MENA business as part of the divestiture noted above.</w:t>
      </w:r>
    </w:p>
    <w:p>
      <w:pPr>
        <w:spacing w:after="0" w:line="62" w:lineRule="exact"/>
        <w:rPr>
          <w:sz w:val="20"/>
          <w:szCs w:val="20"/>
          <w:color w:val="auto"/>
        </w:rPr>
      </w:pPr>
    </w:p>
    <w:p>
      <w:pPr>
        <w:ind w:left="440" w:right="5660" w:hanging="435"/>
        <w:spacing w:after="0" w:line="369" w:lineRule="auto"/>
        <w:tabs>
          <w:tab w:leader="none" w:pos="181"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ACCOUNTS PAYABLE AND OTHER ACCRUED EXPENSES </w:t>
      </w:r>
      <w:r>
        <w:rPr>
          <w:rFonts w:ascii="Times New Roman" w:cs="Times New Roman" w:eastAsia="Times New Roman" w:hAnsi="Times New Roman"/>
          <w:sz w:val="16"/>
          <w:szCs w:val="16"/>
          <w:color w:val="auto"/>
        </w:rPr>
        <w:t>Accounts payable and other accrued expenses consisted of the following:</w:t>
      </w:r>
    </w:p>
    <w:tbl>
      <w:tblPr>
        <w:tblLayout w:type="fixed"/>
        <w:tblInd w:w="4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6"/>
                <w:szCs w:val="16"/>
                <w:color w:val="auto"/>
              </w:rPr>
            </w:pPr>
          </w:p>
        </w:tc>
        <w:tc>
          <w:tcPr>
            <w:tcW w:w="1360" w:type="dxa"/>
            <w:vAlign w:val="bottom"/>
          </w:tcPr>
          <w:p>
            <w:pPr>
              <w:jc w:val="right"/>
              <w:ind w:right="352"/>
              <w:spacing w:after="0" w:line="184"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1"/>
        </w:trPr>
        <w:tc>
          <w:tcPr>
            <w:tcW w:w="6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539,524</w:t>
            </w:r>
          </w:p>
        </w:tc>
      </w:tr>
      <w:tr>
        <w:trPr>
          <w:trHeight w:val="224"/>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363,092</w:t>
            </w:r>
          </w:p>
        </w:tc>
      </w:tr>
      <w:tr>
        <w:trPr>
          <w:trHeight w:val="242"/>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460" w:firstLine="434"/>
        <w:spacing w:after="0" w:line="268" w:lineRule="auto"/>
        <w:rPr>
          <w:sz w:val="20"/>
          <w:szCs w:val="20"/>
          <w:color w:val="auto"/>
        </w:rPr>
      </w:pPr>
      <w:r>
        <w:rPr>
          <w:rFonts w:ascii="Times New Roman" w:cs="Times New Roman" w:eastAsia="Times New Roman" w:hAnsi="Times New Roman"/>
          <w:sz w:val="18"/>
          <w:szCs w:val="18"/>
          <w:color w:val="auto"/>
        </w:rPr>
        <w:t>Accrued expenses consisted primarily of the Company’s provision for claimed indirect costs, which were approximately $304.6 million and $290.4 million as of September 30, 2022 and March 31, 2022, respectively. See Note 15 for further discussion of this provision.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28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2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219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6"/>
        </w:trPr>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3"/>
        </w:trPr>
        <w:tc>
          <w:tcPr>
            <w:tcW w:w="5220" w:type="dxa"/>
            <w:vAlign w:val="bottom"/>
          </w:tcPr>
          <w:p>
            <w:pPr>
              <w:spacing w:after="0"/>
              <w:rPr>
                <w:sz w:val="22"/>
                <w:szCs w:val="22"/>
                <w:color w:val="auto"/>
              </w:rPr>
            </w:pPr>
          </w:p>
        </w:tc>
        <w:tc>
          <w:tcPr>
            <w:tcW w:w="29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2"/>
                <w:szCs w:val="22"/>
                <w:color w:val="auto"/>
              </w:rPr>
            </w:pPr>
          </w:p>
        </w:tc>
        <w:tc>
          <w:tcPr>
            <w:tcW w:w="292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65"/>
        </w:trPr>
        <w:tc>
          <w:tcPr>
            <w:tcW w:w="5220" w:type="dxa"/>
            <w:vAlign w:val="bottom"/>
          </w:tcPr>
          <w:p>
            <w:pPr>
              <w:spacing w:after="0"/>
              <w:rPr>
                <w:sz w:val="14"/>
                <w:szCs w:val="14"/>
                <w:color w:val="auto"/>
              </w:rPr>
            </w:pPr>
          </w:p>
        </w:tc>
        <w:tc>
          <w:tcPr>
            <w:tcW w:w="1580" w:type="dxa"/>
            <w:vAlign w:val="bottom"/>
            <w:gridSpan w:val="2"/>
          </w:tcPr>
          <w:p>
            <w:pPr>
              <w:jc w:val="center"/>
              <w:ind w:right="1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14"/>
                <w:szCs w:val="14"/>
                <w:color w:val="auto"/>
              </w:rPr>
            </w:pPr>
          </w:p>
        </w:tc>
        <w:tc>
          <w:tcPr>
            <w:tcW w:w="1200" w:type="dxa"/>
            <w:vAlign w:val="bottom"/>
          </w:tcPr>
          <w:p>
            <w:pPr>
              <w:jc w:val="right"/>
              <w:ind w:right="112"/>
              <w:spacing w:after="0" w:line="164"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4"/>
                <w:szCs w:val="14"/>
                <w:color w:val="auto"/>
              </w:rPr>
            </w:pPr>
          </w:p>
        </w:tc>
        <w:tc>
          <w:tcPr>
            <w:tcW w:w="1720" w:type="dxa"/>
            <w:vAlign w:val="bottom"/>
            <w:gridSpan w:val="3"/>
          </w:tcPr>
          <w:p>
            <w:pPr>
              <w:jc w:val="right"/>
              <w:ind w:right="612"/>
              <w:spacing w:after="0" w:line="16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00" w:type="dxa"/>
            <w:vAlign w:val="bottom"/>
          </w:tcPr>
          <w:p>
            <w:pPr>
              <w:jc w:val="right"/>
              <w:ind w:right="132"/>
              <w:spacing w:after="0" w:line="164" w:lineRule="exact"/>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4"/>
        </w:trPr>
        <w:tc>
          <w:tcPr>
            <w:tcW w:w="52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72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Term Loan A Loans</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1,241,398</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Term Loan B Loans</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380,321</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4"/>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w:t>
            </w:r>
          </w:p>
        </w:tc>
      </w:tr>
      <w:tr>
        <w:trPr>
          <w:trHeight w:val="217"/>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2,831,261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2,800,072</w:t>
            </w:r>
          </w:p>
        </w:tc>
      </w:tr>
      <w:tr>
        <w:trPr>
          <w:trHeight w:val="224"/>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(68,379)</w:t>
            </w:r>
          </w:p>
        </w:tc>
      </w:tr>
      <w:tr>
        <w:trPr>
          <w:trHeight w:val="242"/>
        </w:trPr>
        <w:tc>
          <w:tcPr>
            <w:tcW w:w="52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2,790,011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2,731,693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3"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September 30, 2022, the Credit Agreement provided Booz Allen Hamilton with a $1,650.0 million Term Loan A (“New Term Loan A”) and a $1,000.0 million revolving credit facility (the “Revolving Credit Facility”), with a sub-limit for letters of credit of $200.0 million (collectively, the “Secured Credit Facility”).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w:t>
      </w:r>
    </w:p>
    <w:p>
      <w:pPr>
        <w:spacing w:after="0" w:line="61"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82" w:lineRule="exact"/>
        <w:rPr>
          <w:sz w:val="20"/>
          <w:szCs w:val="20"/>
          <w:color w:val="auto"/>
        </w:rPr>
      </w:pPr>
    </w:p>
    <w:p>
      <w:pPr>
        <w:ind w:right="200" w:firstLine="395"/>
        <w:spacing w:after="0" w:line="332" w:lineRule="auto"/>
        <w:rPr>
          <w:sz w:val="20"/>
          <w:szCs w:val="20"/>
          <w:color w:val="auto"/>
        </w:rPr>
      </w:pPr>
      <w:r>
        <w:rPr>
          <w:rFonts w:ascii="Times New Roman" w:cs="Times New Roman" w:eastAsia="Times New Roman" w:hAnsi="Times New Roman"/>
          <w:sz w:val="16"/>
          <w:szCs w:val="16"/>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1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New Term Loan A will amortize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New Term Loan A and (ii) on the last business day of each full fiscal quarter that begins after the two year anniversary of the Ninth Amendment Effective Date but before the five year anniversary of the Ninth Amendment Effective Date, 1.25% of the stated principal amount of the New Term Loan A. The remaining balance of the New Term Loan A will be payable upon maturity.</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4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8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the Ninth Amendment, the Company accelerated the amortization of ratable portions of the Debt Issuance Costs, or DIC, and Original Issue Discount, or OID associated with the prior senior secured loan facilities of $3.4 million.These expenses are reflected in other expense, net in the condensed consolidated statement of operations for the three and six months ended September 30, 2022. Additionally, the Company expensed third party debt issuance costs of $6.9 million that did not qualify for deferral, which are reflected in general and administrative costs in the condensed consolidated statement of operations for the three and six months ended September 30, 2022.</w:t>
      </w:r>
    </w:p>
    <w:p>
      <w:pPr>
        <w:spacing w:after="0" w:line="80"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September 30, 2022 and March 31, 2022, Booz Allen Hamilton was in compliance with all financial covenants associated with its debt and debt-like instruments.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interest payments made on Existing Term Loan A and Existing Term Loan B:</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0"/>
        </w:trPr>
        <w:tc>
          <w:tcPr>
            <w:tcW w:w="384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BFE4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7"/>
        </w:trPr>
        <w:tc>
          <w:tcPr>
            <w:tcW w:w="3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Existing Term Loan A</w:t>
            </w:r>
          </w:p>
        </w:tc>
        <w:tc>
          <w:tcPr>
            <w:tcW w:w="32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shd w:val="clear" w:color="auto" w:fill="BFE4FF"/>
          </w:tcPr>
          <w:p>
            <w:pPr>
              <w:spacing w:after="0"/>
              <w:rPr>
                <w:sz w:val="18"/>
                <w:szCs w:val="18"/>
                <w:color w:val="auto"/>
              </w:rPr>
            </w:pPr>
          </w:p>
        </w:tc>
        <w:tc>
          <w:tcPr>
            <w:tcW w:w="920" w:type="dxa"/>
            <w:vAlign w:val="bottom"/>
            <w:shd w:val="clear" w:color="auto" w:fill="BFE4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224"/>
        </w:trPr>
        <w:tc>
          <w:tcPr>
            <w:tcW w:w="38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Existing Term Loan B</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BFE4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42"/>
        </w:trPr>
        <w:tc>
          <w:tcPr>
            <w:tcW w:w="38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auto"/>
            </w:tcBorders>
            <w:shd w:val="clear" w:color="auto" w:fill="BFE4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auto"/>
            </w:tcBorders>
            <w:shd w:val="clear" w:color="auto" w:fill="BFE4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14,070</w:t>
            </w:r>
          </w:p>
        </w:tc>
      </w:tr>
      <w:tr>
        <w:trPr>
          <w:trHeight w:val="20"/>
        </w:trPr>
        <w:tc>
          <w:tcPr>
            <w:tcW w:w="384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Borrowings under the New Term Loan A, and if used, the Revolving Credit Facility, incur interest at a variable rate. As of September 30, 2022,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For information on the terms, conditions, and restrictions of the Company's 4.000% Senior Notes due July 1, 2029 (the “Senior Notes due 2029”) and 3.875% Senior Notes due 2028 (the “Senior Notes due 2028”, and, together with the Senior Notes due 2029, the “Senior Notes”), see Note 10, “Debt,” of the Company’s consolidated financial statements included in the fiscal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4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6"/>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3"/>
        </w:trPr>
        <w:tc>
          <w:tcPr>
            <w:tcW w:w="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60" w:type="dxa"/>
            <w:vAlign w:val="bottom"/>
          </w:tcPr>
          <w:p>
            <w:pPr>
              <w:spacing w:after="0"/>
              <w:rPr>
                <w:sz w:val="24"/>
                <w:szCs w:val="24"/>
                <w:color w:val="auto"/>
              </w:rPr>
            </w:pPr>
          </w:p>
        </w:tc>
        <w:tc>
          <w:tcPr>
            <w:tcW w:w="2300" w:type="dxa"/>
            <w:vAlign w:val="bottom"/>
            <w:gridSpan w:val="4"/>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r>
      <w:tr>
        <w:trPr>
          <w:trHeight w:val="234"/>
        </w:trPr>
        <w:tc>
          <w:tcPr>
            <w:tcW w:w="8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260" w:type="dxa"/>
            <w:vAlign w:val="bottom"/>
          </w:tcPr>
          <w:p>
            <w:pPr>
              <w:spacing w:after="0"/>
              <w:rPr>
                <w:sz w:val="20"/>
                <w:szCs w:val="20"/>
                <w:color w:val="auto"/>
              </w:rPr>
            </w:pPr>
          </w:p>
        </w:tc>
        <w:tc>
          <w:tcPr>
            <w:tcW w:w="2300" w:type="dxa"/>
            <w:vAlign w:val="bottom"/>
            <w:gridSpan w:val="4"/>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r>
      <w:tr>
        <w:trPr>
          <w:trHeight w:val="220"/>
        </w:trPr>
        <w:tc>
          <w:tcPr>
            <w:tcW w:w="840" w:type="dxa"/>
            <w:vAlign w:val="bottom"/>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91"/>
        </w:trPr>
        <w:tc>
          <w:tcPr>
            <w:tcW w:w="840" w:type="dxa"/>
            <w:vAlign w:val="bottom"/>
          </w:tcPr>
          <w:p>
            <w:pPr>
              <w:spacing w:after="0"/>
              <w:rPr>
                <w:sz w:val="16"/>
                <w:szCs w:val="16"/>
                <w:color w:val="auto"/>
              </w:rPr>
            </w:pPr>
          </w:p>
        </w:tc>
        <w:tc>
          <w:tcPr>
            <w:tcW w:w="4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shd w:val="clear" w:color="auto" w:fill="CCEEFF"/>
          </w:tcPr>
          <w:p>
            <w:pPr>
              <w:spacing w:after="0"/>
              <w:rPr>
                <w:sz w:val="16"/>
                <w:szCs w:val="16"/>
                <w:color w:val="auto"/>
              </w:rPr>
            </w:pPr>
          </w:p>
        </w:tc>
      </w:tr>
      <w:tr>
        <w:trPr>
          <w:trHeight w:val="224"/>
        </w:trPr>
        <w:tc>
          <w:tcPr>
            <w:tcW w:w="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New Term Loan A Interest Expense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Term Loan A Loans Interest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r>
      <w:tr>
        <w:trPr>
          <w:trHeight w:val="224"/>
        </w:trPr>
        <w:tc>
          <w:tcPr>
            <w:tcW w:w="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Existing Term Loan B Loans 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24"/>
        </w:trPr>
        <w:tc>
          <w:tcPr>
            <w:tcW w:w="8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r>
      <w:tr>
        <w:trPr>
          <w:trHeight w:val="171"/>
        </w:trPr>
        <w:tc>
          <w:tcPr>
            <w:tcW w:w="840" w:type="dxa"/>
            <w:vAlign w:val="bottom"/>
          </w:tcPr>
          <w:p>
            <w:pPr>
              <w:spacing w:after="0"/>
              <w:rPr>
                <w:sz w:val="14"/>
                <w:szCs w:val="14"/>
                <w:color w:val="auto"/>
              </w:rPr>
            </w:pPr>
          </w:p>
        </w:tc>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Amortization of Debt Issuance Cost (DIC) and Original Issue</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7"/>
        </w:trPr>
        <w:tc>
          <w:tcPr>
            <w:tcW w:w="840" w:type="dxa"/>
            <w:vAlign w:val="bottom"/>
          </w:tcPr>
          <w:p>
            <w:pPr>
              <w:spacing w:after="0"/>
              <w:rPr>
                <w:sz w:val="20"/>
                <w:szCs w:val="20"/>
                <w:color w:val="auto"/>
              </w:rPr>
            </w:pPr>
          </w:p>
        </w:tc>
        <w:tc>
          <w:tcPr>
            <w:tcW w:w="47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 xml:space="preserve">Discount (OID)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24"/>
        </w:trPr>
        <w:tc>
          <w:tcPr>
            <w:tcW w:w="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Swap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24"/>
        </w:trPr>
        <w:tc>
          <w:tcPr>
            <w:tcW w:w="8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7"/>
        </w:trPr>
        <w:tc>
          <w:tcPr>
            <w:tcW w:w="8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45,524</w:t>
            </w:r>
          </w:p>
        </w:tc>
      </w:tr>
      <w:tr>
        <w:trPr>
          <w:trHeight w:val="20"/>
        </w:trPr>
        <w:tc>
          <w:tcPr>
            <w:tcW w:w="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60" w:right="220" w:firstLine="3"/>
        <w:spacing w:after="0" w:line="284" w:lineRule="auto"/>
        <w:tabs>
          <w:tab w:leader="none" w:pos="321" w:val="left"/>
        </w:tabs>
        <w:numPr>
          <w:ilvl w:val="1"/>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54" w:lineRule="exact"/>
        <w:rPr>
          <w:rFonts w:ascii="Times New Roman" w:cs="Times New Roman" w:eastAsia="Times New Roman" w:hAnsi="Times New Roman"/>
          <w:sz w:val="20"/>
          <w:szCs w:val="20"/>
          <w:color w:val="auto"/>
          <w:vertAlign w:val="superscript"/>
        </w:rPr>
      </w:pPr>
    </w:p>
    <w:p>
      <w:pPr>
        <w:ind w:left="180" w:hanging="175"/>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1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$550.0 million as of September 30, 2022. The swaps have staggered maturities, ranging from June 30, 2023 to June 30, 2025.</w:t>
      </w:r>
    </w:p>
    <w:p>
      <w:pPr>
        <w:spacing w:after="0" w:line="7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5" w:lineRule="exact"/>
        <w:rPr>
          <w:sz w:val="20"/>
          <w:szCs w:val="20"/>
          <w:color w:val="auto"/>
        </w:rPr>
      </w:pPr>
    </w:p>
    <w:p>
      <w:pPr>
        <w:ind w:right="80" w:firstLine="395"/>
        <w:spacing w:after="0" w:line="286" w:lineRule="auto"/>
        <w:rPr>
          <w:sz w:val="20"/>
          <w:szCs w:val="20"/>
          <w:color w:val="auto"/>
        </w:rPr>
      </w:pPr>
      <w:r>
        <w:rPr>
          <w:rFonts w:ascii="Times New Roman" w:cs="Times New Roman" w:eastAsia="Times New Roman" w:hAnsi="Times New Roman"/>
          <w:sz w:val="16"/>
          <w:szCs w:val="16"/>
          <w:color w:val="auto"/>
        </w:rPr>
        <w:t>Derivative instruments are recorded in the condensed consolidated balance sheet on a gross basis at estimated fair value. As of September 30, 2022, $9.5 million and $8.6 million, were classified as other current assets and other long-term assets, respectively, on the condensed consolidated balance sheet. As</w:t>
      </w:r>
    </w:p>
    <w:p>
      <w:pPr>
        <w:ind w:right="680"/>
        <w:spacing w:after="0" w:line="248" w:lineRule="auto"/>
        <w:rPr>
          <w:sz w:val="20"/>
          <w:szCs w:val="20"/>
          <w:color w:val="auto"/>
        </w:rPr>
      </w:pPr>
      <w:r>
        <w:rPr>
          <w:rFonts w:ascii="Times New Roman" w:cs="Times New Roman" w:eastAsia="Times New Roman" w:hAnsi="Times New Roman"/>
          <w:sz w:val="18"/>
          <w:szCs w:val="18"/>
          <w:color w:val="auto"/>
        </w:rPr>
        <w:t>of March 31, 2022, $4.1 million, $4.3 million and $39 thousand were classified as other long-term assets, other current liabilities, and other long-term liabilities, respectively, on the condensed consolidated balance sheet.</w:t>
      </w:r>
    </w:p>
    <w:p>
      <w:pPr>
        <w:spacing w:after="0" w:line="8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six months ended September 30, 2022 and 2021 is as follows: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Derivatives in Cash Flow Hedging</w:t>
      </w:r>
      <w:r>
        <w:rPr>
          <w:sz w:val="20"/>
          <w:szCs w:val="20"/>
          <w:color w:val="auto"/>
        </w:rPr>
        <w:tab/>
      </w:r>
      <w:r>
        <w:rPr>
          <w:rFonts w:ascii="Times New Roman" w:cs="Times New Roman" w:eastAsia="Times New Roman" w:hAnsi="Times New Roman"/>
          <w:sz w:val="16"/>
          <w:szCs w:val="16"/>
          <w:b w:val="1"/>
          <w:bCs w:val="1"/>
          <w:color w:val="auto"/>
        </w:rPr>
        <w:t>Location of Gain or Loss Recognized</w:t>
      </w:r>
    </w:p>
    <w:p>
      <w:pPr>
        <w:ind w:left="2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Relationships</w:t>
      </w:r>
      <w:r>
        <w:rPr>
          <w:sz w:val="20"/>
          <w:szCs w:val="20"/>
          <w:color w:val="auto"/>
        </w:rPr>
        <w:tab/>
      </w:r>
      <w:r>
        <w:rPr>
          <w:rFonts w:ascii="Times New Roman" w:cs="Times New Roman" w:eastAsia="Times New Roman" w:hAnsi="Times New Roman"/>
          <w:sz w:val="18"/>
          <w:szCs w:val="18"/>
          <w:b w:val="1"/>
          <w:bCs w:val="1"/>
          <w:color w:val="auto"/>
        </w:rPr>
        <w:t>in Income on Derivatives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2780" w:type="dxa"/>
            <w:vAlign w:val="bottom"/>
            <w:tcBorders>
              <w:top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278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Reclassified from AOCL into</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Recognized in AOCL on Derivatives</w:t>
            </w:r>
          </w:p>
        </w:tc>
        <w:tc>
          <w:tcPr>
            <w:tcW w:w="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872"/>
              <w:spacing w:after="0" w:line="237" w:lineRule="exact"/>
              <w:rPr>
                <w:sz w:val="20"/>
                <w:szCs w:val="20"/>
                <w:color w:val="auto"/>
              </w:rPr>
            </w:pPr>
            <w:r>
              <w:rPr>
                <w:rFonts w:ascii="Times New Roman" w:cs="Times New Roman" w:eastAsia="Times New Roman" w:hAnsi="Times New Roman"/>
                <w:sz w:val="18"/>
                <w:szCs w:val="18"/>
                <w:b w:val="1"/>
                <w:bCs w:val="1"/>
                <w:color w:val="auto"/>
                <w:w w:val="91"/>
              </w:rPr>
              <w:t xml:space="preserve">Income </w:t>
            </w:r>
            <w:r>
              <w:rPr>
                <w:rFonts w:ascii="Times New Roman" w:cs="Times New Roman" w:eastAsia="Times New Roman" w:hAnsi="Times New Roman"/>
                <w:sz w:val="22"/>
                <w:szCs w:val="22"/>
                <w:b w:val="1"/>
                <w:bCs w:val="1"/>
                <w:color w:val="auto"/>
                <w:w w:val="91"/>
                <w:vertAlign w:val="superscript"/>
              </w:rPr>
              <w:t>(1)</w:t>
            </w:r>
          </w:p>
        </w:tc>
        <w:tc>
          <w:tcPr>
            <w:tcW w:w="0" w:type="dxa"/>
            <w:vAlign w:val="bottom"/>
          </w:tcPr>
          <w:p>
            <w:pPr>
              <w:spacing w:after="0"/>
              <w:rPr>
                <w:sz w:val="1"/>
                <w:szCs w:val="1"/>
                <w:color w:val="auto"/>
              </w:rPr>
            </w:pPr>
          </w:p>
        </w:tc>
      </w:tr>
      <w:tr>
        <w:trPr>
          <w:trHeight w:val="229"/>
        </w:trPr>
        <w:tc>
          <w:tcPr>
            <w:tcW w:w="14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635</wp:posOffset>
            </wp:positionV>
            <wp:extent cx="7110730" cy="150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540" w:space="40"/>
            <w:col w:w="5620"/>
          </w:cols>
          <w:pgMar w:left="320" w:top="121" w:right="379" w:bottom="1440" w:gutter="0" w:footer="0" w:header="0"/>
          <w:type w:val="continuous"/>
        </w:sectPr>
      </w:pPr>
    </w:p>
    <w:p>
      <w:pPr>
        <w:ind w:left="20"/>
        <w:spacing w:after="0"/>
        <w:tabs>
          <w:tab w:leader="none" w:pos="3580" w:val="left"/>
          <w:tab w:leader="none" w:pos="5560" w:val="left"/>
          <w:tab w:leader="none" w:pos="6400" w:val="left"/>
          <w:tab w:leader="none" w:pos="7960" w:val="left"/>
          <w:tab w:leader="none" w:pos="9360" w:val="left"/>
          <w:tab w:leader="none" w:pos="1064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10,173 $</w:t>
      </w:r>
      <w:r>
        <w:rPr>
          <w:sz w:val="20"/>
          <w:szCs w:val="20"/>
          <w:color w:val="auto"/>
        </w:rPr>
        <w:tab/>
      </w:r>
      <w:r>
        <w:rPr>
          <w:rFonts w:ascii="Times New Roman" w:cs="Times New Roman" w:eastAsia="Times New Roman" w:hAnsi="Times New Roman"/>
          <w:sz w:val="18"/>
          <w:szCs w:val="18"/>
          <w:color w:val="auto"/>
        </w:rPr>
        <w:t>(381) $</w:t>
      </w:r>
      <w:r>
        <w:rPr>
          <w:sz w:val="20"/>
          <w:szCs w:val="20"/>
          <w:color w:val="auto"/>
        </w:rPr>
        <w:tab/>
      </w:r>
      <w:r>
        <w:rPr>
          <w:rFonts w:ascii="Times New Roman" w:cs="Times New Roman" w:eastAsia="Times New Roman" w:hAnsi="Times New Roman"/>
          <w:sz w:val="18"/>
          <w:szCs w:val="18"/>
          <w:color w:val="auto"/>
        </w:rPr>
        <w:t>(388) $</w:t>
      </w:r>
      <w:r>
        <w:rPr>
          <w:sz w:val="20"/>
          <w:szCs w:val="20"/>
          <w:color w:val="auto"/>
        </w:rPr>
        <w:tab/>
      </w:r>
      <w:r>
        <w:rPr>
          <w:rFonts w:ascii="Times New Roman" w:cs="Times New Roman" w:eastAsia="Times New Roman" w:hAnsi="Times New Roman"/>
          <w:sz w:val="16"/>
          <w:szCs w:val="16"/>
          <w:color w:val="auto"/>
        </w:rPr>
        <w:t>(4,087)</w:t>
      </w:r>
    </w:p>
    <w:p>
      <w:pPr>
        <w:spacing w:after="0" w:line="188" w:lineRule="exact"/>
        <w:rPr>
          <w:sz w:val="20"/>
          <w:szCs w:val="20"/>
          <w:color w:val="auto"/>
        </w:rPr>
      </w:pPr>
    </w:p>
    <w:p>
      <w:pPr>
        <w:ind w:right="320" w:firstLine="400"/>
        <w:spacing w:after="0" w:line="290" w:lineRule="auto"/>
        <w:tabs>
          <w:tab w:leader="none" w:pos="556"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reclassifications from accumulated other comprehensive loss to net income was reduced by taxes of $0.1 million and $1.1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218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7"/>
              </w:rPr>
              <w:t>Location of Gain or Loss</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2180" w:type="dxa"/>
            <w:vAlign w:val="bottom"/>
          </w:tcPr>
          <w:p>
            <w:pPr>
              <w:jc w:val="center"/>
              <w:ind w:left="232"/>
              <w:spacing w:after="0" w:line="171" w:lineRule="exact"/>
              <w:rPr>
                <w:sz w:val="20"/>
                <w:szCs w:val="20"/>
                <w:color w:val="auto"/>
              </w:rPr>
            </w:pPr>
            <w:r>
              <w:rPr>
                <w:rFonts w:ascii="Times New Roman" w:cs="Times New Roman" w:eastAsia="Times New Roman" w:hAnsi="Times New Roman"/>
                <w:sz w:val="18"/>
                <w:szCs w:val="18"/>
                <w:b w:val="1"/>
                <w:bCs w:val="1"/>
                <w:color w:val="auto"/>
                <w:w w:val="96"/>
              </w:rPr>
              <w:t>Recognized in Income on</w:t>
            </w: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18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Borders>
              <w:top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2680" w:type="dxa"/>
            <w:vAlign w:val="bottom"/>
            <w:tcBorders>
              <w:top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r>
      <w:tr>
        <w:trPr>
          <w:trHeight w:val="174"/>
        </w:trPr>
        <w:tc>
          <w:tcPr>
            <w:tcW w:w="272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Recognized in AOCL on</w:t>
            </w:r>
          </w:p>
        </w:tc>
        <w:tc>
          <w:tcPr>
            <w:tcW w:w="26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Reclassified from AOCL into</w:t>
            </w:r>
          </w:p>
        </w:tc>
      </w:tr>
      <w:tr>
        <w:trPr>
          <w:trHeight w:val="234"/>
        </w:trPr>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6"/>
              </w:rPr>
              <w:t>Derivatives</w:t>
            </w: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832"/>
              <w:spacing w:after="0" w:line="233" w:lineRule="exact"/>
              <w:rPr>
                <w:sz w:val="20"/>
                <w:szCs w:val="20"/>
                <w:color w:val="auto"/>
              </w:rPr>
            </w:pPr>
            <w:r>
              <w:rPr>
                <w:rFonts w:ascii="Times New Roman" w:cs="Times New Roman" w:eastAsia="Times New Roman" w:hAnsi="Times New Roman"/>
                <w:sz w:val="18"/>
                <w:szCs w:val="18"/>
                <w:b w:val="1"/>
                <w:bCs w:val="1"/>
                <w:color w:val="auto"/>
                <w:w w:val="91"/>
              </w:rPr>
              <w:t xml:space="preserve">Income </w:t>
            </w:r>
            <w:r>
              <w:rPr>
                <w:rFonts w:ascii="Times New Roman" w:cs="Times New Roman" w:eastAsia="Times New Roman" w:hAnsi="Times New Roman"/>
                <w:sz w:val="22"/>
                <w:szCs w:val="22"/>
                <w:b w:val="1"/>
                <w:bCs w:val="1"/>
                <w:color w:val="auto"/>
                <w:w w:val="91"/>
                <w:vertAlign w:val="superscript"/>
              </w:rPr>
              <w:t>(2)</w:t>
            </w:r>
          </w:p>
        </w:tc>
      </w:tr>
      <w:tr>
        <w:trPr>
          <w:trHeight w:val="22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635</wp:posOffset>
            </wp:positionV>
            <wp:extent cx="6943725" cy="150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3725" cy="15049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080" w:space="460"/>
            <w:col w:w="5700"/>
          </w:cols>
          <w:pgMar w:left="320" w:top="121" w:right="339" w:bottom="1440" w:gutter="0" w:footer="0" w:header="0"/>
          <w:type w:val="continuous"/>
        </w:sectPr>
      </w:pPr>
    </w:p>
    <w:p>
      <w:pPr>
        <w:ind w:left="20"/>
        <w:spacing w:after="0"/>
        <w:tabs>
          <w:tab w:leader="none" w:pos="3560" w:val="left"/>
          <w:tab w:leader="none" w:pos="5520" w:val="left"/>
          <w:tab w:leader="none" w:pos="6320" w:val="left"/>
          <w:tab w:leader="none" w:pos="7720" w:val="left"/>
          <w:tab w:leader="none" w:pos="9020" w:val="left"/>
          <w:tab w:leader="none" w:pos="1038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15,139 $</w:t>
      </w:r>
      <w:r>
        <w:rPr>
          <w:sz w:val="20"/>
          <w:szCs w:val="20"/>
          <w:color w:val="auto"/>
        </w:rPr>
        <w:tab/>
      </w:r>
      <w:r>
        <w:rPr>
          <w:rFonts w:ascii="Times New Roman" w:cs="Times New Roman" w:eastAsia="Times New Roman" w:hAnsi="Times New Roman"/>
          <w:sz w:val="18"/>
          <w:szCs w:val="18"/>
          <w:color w:val="auto"/>
        </w:rPr>
        <w:t>(1,775) $</w:t>
      </w:r>
      <w:r>
        <w:rPr>
          <w:sz w:val="20"/>
          <w:szCs w:val="20"/>
          <w:color w:val="auto"/>
        </w:rPr>
        <w:tab/>
      </w:r>
      <w:r>
        <w:rPr>
          <w:rFonts w:ascii="Times New Roman" w:cs="Times New Roman" w:eastAsia="Times New Roman" w:hAnsi="Times New Roman"/>
          <w:sz w:val="18"/>
          <w:szCs w:val="18"/>
          <w:color w:val="auto"/>
        </w:rPr>
        <w:t>(3,219) $</w:t>
      </w:r>
      <w:r>
        <w:rPr>
          <w:sz w:val="20"/>
          <w:szCs w:val="20"/>
          <w:color w:val="auto"/>
        </w:rPr>
        <w:tab/>
      </w:r>
      <w:r>
        <w:rPr>
          <w:rFonts w:ascii="Times New Roman" w:cs="Times New Roman" w:eastAsia="Times New Roman" w:hAnsi="Times New Roman"/>
          <w:sz w:val="16"/>
          <w:szCs w:val="16"/>
          <w:color w:val="auto"/>
        </w:rPr>
        <w:t>(9,530)</w:t>
      </w:r>
    </w:p>
    <w:p>
      <w:pPr>
        <w:spacing w:after="0" w:line="201" w:lineRule="exact"/>
        <w:rPr>
          <w:sz w:val="20"/>
          <w:szCs w:val="20"/>
          <w:color w:val="auto"/>
        </w:rPr>
      </w:pPr>
    </w:p>
    <w:p>
      <w:pPr>
        <w:ind w:right="500" w:firstLine="400"/>
        <w:spacing w:after="0" w:line="290" w:lineRule="auto"/>
        <w:tabs>
          <w:tab w:leader="none" w:pos="556"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reclassifications from accumulated other comprehensive loss to net income was reduced by taxes of $0.8 million and $2.5 million for the six months ended September 30, 2022 and 2021, respectively.</w:t>
      </w:r>
    </w:p>
    <w:p>
      <w:pPr>
        <w:spacing w:after="0" w:line="40"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Over the next 12 months, the Company estimates that $9.5 million will be reclassified as a decrease to interest expense. Cash flows associated with periodic settlements of interest rate swaps will be classified as operating activities in the condensed consolidated statement of cash flows.</w:t>
      </w:r>
    </w:p>
    <w:p>
      <w:pPr>
        <w:spacing w:after="0" w:line="64" w:lineRule="exact"/>
        <w:rPr>
          <w:sz w:val="20"/>
          <w:szCs w:val="20"/>
          <w:color w:val="auto"/>
        </w:rPr>
      </w:pPr>
    </w:p>
    <w:p>
      <w:pPr>
        <w:jc w:val="both"/>
        <w:ind w:right="420" w:firstLine="395"/>
        <w:spacing w:after="0" w:line="25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1" w:lineRule="exact"/>
        <w:rPr>
          <w:sz w:val="20"/>
          <w:szCs w:val="20"/>
          <w:color w:val="auto"/>
        </w:rPr>
      </w:pPr>
    </w:p>
    <w:p>
      <w:pPr>
        <w:ind w:right="80" w:firstLine="395"/>
        <w:spacing w:after="0" w:line="286" w:lineRule="auto"/>
        <w:rPr>
          <w:sz w:val="20"/>
          <w:szCs w:val="20"/>
          <w:color w:val="auto"/>
        </w:rPr>
      </w:pPr>
      <w:r>
        <w:rPr>
          <w:rFonts w:ascii="Times New Roman" w:cs="Times New Roman" w:eastAsia="Times New Roman" w:hAnsi="Times New Roman"/>
          <w:sz w:val="16"/>
          <w:szCs w:val="16"/>
          <w:color w:val="auto"/>
        </w:rPr>
        <w:t>The Company’s effective income tax rates were 23.1% and 23.0% for the three months ended September 30, 2022 and 2021, respectively, and 23.1% and 22.9% for the six months ended September 30, 2022 and 2021, respectively. Our effective tax rates for these periods differ from the federal statutory rate of</w:t>
      </w:r>
    </w:p>
    <w:p>
      <w:pPr>
        <w:jc w:val="both"/>
        <w:ind w:right="280"/>
        <w:spacing w:after="0" w:line="246" w:lineRule="auto"/>
        <w:rPr>
          <w:sz w:val="20"/>
          <w:szCs w:val="20"/>
          <w:color w:val="auto"/>
        </w:rPr>
      </w:pPr>
      <w:r>
        <w:rPr>
          <w:rFonts w:ascii="Times New Roman" w:cs="Times New Roman" w:eastAsia="Times New Roman" w:hAnsi="Times New Roman"/>
          <w:sz w:val="18"/>
          <w:szCs w:val="18"/>
          <w:color w:val="auto"/>
        </w:rPr>
        <w:t>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83"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The Company is currently contesting tax assessments from the District of Columbia Office of Tax and Revenue (“DC OTR”) for fiscal years 2013 through 2015. The assessment relates to $11.7 million of taxes, net of federal tax benefits, as of September 30, 2022.</w:t>
      </w:r>
    </w:p>
    <w:p>
      <w:pPr>
        <w:spacing w:after="0" w:line="6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and filed its appellate brief on May 9, 2022. DC OTR's response brief was filed on October 21, 2022. The Company's reply brief is due on November 14, 2022, absent an extension.</w:t>
      </w:r>
    </w:p>
    <w:p>
      <w:pPr>
        <w:spacing w:after="0" w:line="78"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The Company has taken similar tax positions with respect to subsequent fiscal years. As of September 30, 2022,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$58.3 million, net of federal benefits.</w:t>
      </w:r>
    </w:p>
    <w:p>
      <w:pPr>
        <w:spacing w:after="0" w:line="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For the fiscal 2021 tax year, the Company generated a tax loss for U.S. Federal and state tax purposes resulting from the treatment of costs associated with property, plant, and equipment. As a result of a provision in the Coronavirus Aid, Relief and Economic Security Act (“CARES Act”), the Company was allowed to carry this loss back to the five prior tax years (fiscal years 2016 - 2020). Accordingly, the Company recorded a long-term income tax receivable in fiscal 2021 (due to the uncertainty around expectations for the timing of refund receipt) which was largely offset by a corresponding deferred tax liability reflected within the property and equipment deferred tax liability in the Company's significant components of deferred income tax assets and liabilities. In October 2022, the Company received a partial federal tax refund of approximately $175.0 million plus interest for its carryback claim related to the above. Accordingly, the Company reclassified approximately $175.0 million from other long term receivables to current income tax receivables (a component of prepaid expenses and other current assets on the condensed consolidated balance sheet) on our Condensed Consolidated Balance Sheet as of September 30,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1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$45.9 million and $42.7 million for the three months ended September 30, 2022 and 2021, respectively, and $92.1 million and $85.9 million for the six months ended September 30, 2022 and 2021, respectively.</w:t>
      </w:r>
    </w:p>
    <w:p>
      <w:pPr>
        <w:spacing w:after="0" w:line="67" w:lineRule="exact"/>
        <w:rPr>
          <w:sz w:val="20"/>
          <w:szCs w:val="20"/>
          <w:color w:val="auto"/>
        </w:rPr>
      </w:pPr>
    </w:p>
    <w:p>
      <w:pPr>
        <w:ind w:right="80" w:firstLine="395"/>
        <w:spacing w:after="0" w:line="237" w:lineRule="auto"/>
        <w:rPr>
          <w:sz w:val="20"/>
          <w:szCs w:val="20"/>
          <w:color w:val="auto"/>
        </w:rPr>
      </w:pPr>
      <w:r>
        <w:rPr>
          <w:rFonts w:ascii="Times New Roman" w:cs="Times New Roman" w:eastAsia="Times New Roman" w:hAnsi="Times New Roman"/>
          <w:sz w:val="18"/>
          <w:szCs w:val="18"/>
          <w:color w:val="auto"/>
        </w:rPr>
        <w:t>The Company also provides post-retirement healthcare benefits to former officers under a medical indemnity insurance plan, with premiums paid by the Company. As of September 30, 2022 and March 31, 2022, the unfunded status of the post-retirement medical plan was $116.9 million and $113.5 million, respectively, which is included in other long-term liabilities in the accompanying condensed consolidated balance sheets. Remaining balance sheet and income statement impacts of any benefit plans are immaterial for all periods presented in these Condensed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11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All amounts recorded in other comprehensive income (loss) are related to the Company's post-retirement plans and interest rate swaps designated as cash flow hedges. The following table shows the changes in accumulated other comprehensive loss, net of tax: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of period</w:t>
      </w:r>
    </w:p>
    <w:p>
      <w:pPr>
        <w:spacing w:after="0" w:line="21" w:lineRule="exact"/>
        <w:rPr>
          <w:sz w:val="20"/>
          <w:szCs w:val="20"/>
          <w:color w:val="auto"/>
        </w:rPr>
      </w:pPr>
    </w:p>
    <w:p>
      <w:pPr>
        <w:ind w:left="140" w:right="900"/>
        <w:spacing w:after="0" w:line="220" w:lineRule="auto"/>
        <w:rPr>
          <w:sz w:val="20"/>
          <w:szCs w:val="20"/>
          <w:color w:val="auto"/>
        </w:rPr>
      </w:pPr>
      <w:r>
        <w:rPr>
          <w:rFonts w:ascii="Times New Roman" w:cs="Times New Roman" w:eastAsia="Times New Roman" w:hAnsi="Times New Roman"/>
          <w:sz w:val="18"/>
          <w:szCs w:val="18"/>
          <w:color w:val="auto"/>
        </w:rPr>
        <w:t>Other comprehensive income before reclassifications</w:t>
      </w:r>
      <w:r>
        <w:rPr>
          <w:rFonts w:ascii="Times New Roman" w:cs="Times New Roman" w:eastAsia="Times New Roman" w:hAnsi="Times New Roman"/>
          <w:sz w:val="22"/>
          <w:szCs w:val="22"/>
          <w:color w:val="auto"/>
          <w:vertAlign w:val="superscript"/>
        </w:rPr>
        <w:t>(1)</w:t>
      </w:r>
    </w:p>
    <w:p>
      <w:pPr>
        <w:spacing w:after="0" w:line="2" w:lineRule="exact"/>
        <w:rPr>
          <w:sz w:val="20"/>
          <w:szCs w:val="20"/>
          <w:color w:val="auto"/>
        </w:rPr>
      </w:pPr>
    </w:p>
    <w:p>
      <w:pPr>
        <w:ind w:left="140" w:right="260"/>
        <w:spacing w:after="0" w:line="219"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10" w:lineRule="exact"/>
        <w:rPr>
          <w:sz w:val="20"/>
          <w:szCs w:val="20"/>
          <w:color w:val="auto"/>
        </w:rPr>
      </w:pPr>
    </w:p>
    <w:p>
      <w:pPr>
        <w:ind w:left="220"/>
        <w:spacing w:after="0" w:line="231" w:lineRule="auto"/>
        <w:rPr>
          <w:sz w:val="20"/>
          <w:szCs w:val="20"/>
          <w:color w:val="auto"/>
        </w:rPr>
      </w:pPr>
      <w:r>
        <w:rPr>
          <w:rFonts w:ascii="Times New Roman" w:cs="Times New Roman" w:eastAsia="Times New Roman" w:hAnsi="Times New Roman"/>
          <w:sz w:val="18"/>
          <w:szCs w:val="18"/>
          <w:color w:val="auto"/>
        </w:rPr>
        <w:t>Net current-period other comprehensive income (loss)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600" w:type="dxa"/>
            <w:vAlign w:val="bottom"/>
            <w:gridSpan w:val="4"/>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September 30, 2022</w:t>
            </w: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6"/>
              </w:rPr>
              <w:t>September 30, 2022</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00" w:type="dxa"/>
            <w:vAlign w:val="bottom"/>
          </w:tcPr>
          <w:p>
            <w:pPr>
              <w:spacing w:after="0"/>
              <w:rPr>
                <w:sz w:val="14"/>
                <w:szCs w:val="14"/>
                <w:color w:val="auto"/>
              </w:rPr>
            </w:pPr>
          </w:p>
        </w:tc>
        <w:tc>
          <w:tcPr>
            <w:tcW w:w="1120" w:type="dxa"/>
            <w:vAlign w:val="bottom"/>
          </w:tcPr>
          <w:p>
            <w:pPr>
              <w:jc w:val="center"/>
              <w:ind w:right="12"/>
              <w:spacing w:after="0" w:line="168"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72"/>
              <w:spacing w:after="0" w:line="171"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34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80" w:type="dxa"/>
            <w:vAlign w:val="bottom"/>
          </w:tcPr>
          <w:p>
            <w:pPr>
              <w:spacing w:after="0"/>
              <w:rPr>
                <w:sz w:val="14"/>
                <w:szCs w:val="14"/>
                <w:color w:val="auto"/>
              </w:rPr>
            </w:pPr>
          </w:p>
        </w:tc>
        <w:tc>
          <w:tcPr>
            <w:tcW w:w="102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b w:val="1"/>
                <w:bCs w:val="1"/>
                <w:color w:val="auto"/>
                <w:w w:val="95"/>
              </w:rPr>
              <w:t>retirement</w:t>
            </w:r>
          </w:p>
        </w:tc>
        <w:tc>
          <w:tcPr>
            <w:tcW w:w="100" w:type="dxa"/>
            <w:vAlign w:val="bottom"/>
          </w:tcPr>
          <w:p>
            <w:pPr>
              <w:spacing w:after="0"/>
              <w:rPr>
                <w:sz w:val="14"/>
                <w:szCs w:val="14"/>
                <w:color w:val="auto"/>
              </w:rPr>
            </w:pPr>
          </w:p>
        </w:tc>
        <w:tc>
          <w:tcPr>
            <w:tcW w:w="1120" w:type="dxa"/>
            <w:vAlign w:val="bottom"/>
          </w:tcPr>
          <w:p>
            <w:pPr>
              <w:jc w:val="center"/>
              <w:ind w:right="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40" w:type="dxa"/>
            <w:vAlign w:val="bottom"/>
          </w:tcPr>
          <w:p>
            <w:pPr>
              <w:spacing w:after="0"/>
              <w:rPr>
                <w:sz w:val="14"/>
                <w:szCs w:val="14"/>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7"/>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cash flow hedges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403"/>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0" w:type="dxa"/>
            <w:vAlign w:val="bottom"/>
          </w:tcPr>
          <w:p>
            <w:pPr>
              <w:spacing w:after="0"/>
              <w:rPr>
                <w:sz w:val="1"/>
                <w:szCs w:val="1"/>
                <w:color w:val="auto"/>
              </w:rPr>
            </w:pPr>
          </w:p>
        </w:tc>
      </w:tr>
      <w:tr>
        <w:trPr>
          <w:trHeight w:val="408"/>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388"/>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-1110615</wp:posOffset>
            </wp:positionV>
            <wp:extent cx="7135495" cy="150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-701040</wp:posOffset>
            </wp:positionV>
            <wp:extent cx="7135495" cy="259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-182880</wp:posOffset>
            </wp:positionV>
            <wp:extent cx="7135495" cy="167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600" w:space="200"/>
            <w:col w:w="7440"/>
          </w:cols>
          <w:pgMar w:left="320" w:top="121" w:right="339" w:bottom="1440" w:gutter="0" w:footer="0" w:header="0"/>
          <w:type w:val="continuous"/>
        </w:sectPr>
      </w:pPr>
    </w:p>
    <w:p>
      <w:pPr>
        <w:ind w:right="540" w:firstLine="5"/>
        <w:spacing w:after="0" w:line="234" w:lineRule="auto"/>
        <w:tabs>
          <w:tab w:leader="none" w:pos="177"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Changes in other comprehensive income before reclassification for derivatives designated as cash flow hedges are recorded net of tax expense of $2.7 million and $4.0 million for the three and six months ended September 30, 2022,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4"/>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6"/>
              </w:rPr>
              <w:t>September 30, 2021</w:t>
            </w: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September 30,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2"/>
              <w:spacing w:after="0" w:line="170" w:lineRule="exact"/>
              <w:rPr>
                <w:sz w:val="20"/>
                <w:szCs w:val="20"/>
                <w:color w:val="auto"/>
              </w:rPr>
            </w:pPr>
            <w:r>
              <w:rPr>
                <w:rFonts w:ascii="Times New Roman" w:cs="Times New Roman" w:eastAsia="Times New Roman" w:hAnsi="Times New Roman"/>
                <w:sz w:val="18"/>
                <w:szCs w:val="18"/>
                <w:b w:val="1"/>
                <w:bCs w:val="1"/>
                <w:color w:val="auto"/>
                <w:w w:val="96"/>
              </w:rPr>
              <w:t>Derivatives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2"/>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120" w:type="dxa"/>
            <w:vAlign w:val="bottom"/>
          </w:tcPr>
          <w:p>
            <w:pPr>
              <w:spacing w:after="0"/>
              <w:rPr>
                <w:sz w:val="15"/>
                <w:szCs w:val="15"/>
                <w:color w:val="auto"/>
              </w:rPr>
            </w:pPr>
          </w:p>
        </w:tc>
        <w:tc>
          <w:tcPr>
            <w:tcW w:w="1120" w:type="dxa"/>
            <w:vAlign w:val="bottom"/>
          </w:tcPr>
          <w:p>
            <w:pPr>
              <w:jc w:val="center"/>
              <w:ind w:right="32"/>
              <w:spacing w:after="0" w:line="178"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20" w:type="dxa"/>
            <w:vAlign w:val="bottom"/>
          </w:tcPr>
          <w:p>
            <w:pPr>
              <w:spacing w:after="0"/>
              <w:rPr>
                <w:sz w:val="15"/>
                <w:szCs w:val="15"/>
                <w:color w:val="auto"/>
              </w:rPr>
            </w:pPr>
          </w:p>
        </w:tc>
        <w:tc>
          <w:tcPr>
            <w:tcW w:w="1120" w:type="dxa"/>
            <w:vAlign w:val="bottom"/>
          </w:tcPr>
          <w:p>
            <w:pPr>
              <w:jc w:val="center"/>
              <w:ind w:right="32"/>
              <w:spacing w:after="0" w:line="178"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80" w:type="dxa"/>
            <w:vAlign w:val="bottom"/>
          </w:tcPr>
          <w:p>
            <w:pPr>
              <w:spacing w:after="0"/>
              <w:rPr>
                <w:sz w:val="14"/>
                <w:szCs w:val="14"/>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60" w:type="dxa"/>
            <w:vAlign w:val="bottom"/>
          </w:tcPr>
          <w:p>
            <w:pPr>
              <w:spacing w:after="0"/>
              <w:rPr>
                <w:sz w:val="14"/>
                <w:szCs w:val="14"/>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0" w:type="dxa"/>
            <w:vAlign w:val="bottom"/>
          </w:tcPr>
          <w:p>
            <w:pPr>
              <w:spacing w:after="0"/>
              <w:rPr>
                <w:sz w:val="1"/>
                <w:szCs w:val="1"/>
                <w:color w:val="auto"/>
              </w:rPr>
            </w:pPr>
          </w:p>
        </w:tc>
      </w:tr>
      <w:tr>
        <w:trPr>
          <w:trHeight w:val="224"/>
        </w:trPr>
        <w:tc>
          <w:tcPr>
            <w:tcW w:w="382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w w:val="97"/>
              </w:rPr>
              <w:t>Other comprehensive loss before reclassifications</w:t>
            </w:r>
            <w:r>
              <w:rPr>
                <w:rFonts w:ascii="Times New Roman" w:cs="Times New Roman" w:eastAsia="Times New Roman" w:hAnsi="Times New Roman"/>
                <w:sz w:val="22"/>
                <w:szCs w:val="22"/>
                <w:color w:val="auto"/>
                <w:w w:val="97"/>
                <w:vertAlign w:val="superscript"/>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260" w:firstLine="5"/>
        <w:spacing w:after="0" w:line="290" w:lineRule="auto"/>
        <w:tabs>
          <w:tab w:leader="none" w:pos="161"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Changes in other comprehensive loss before reclassification for derivatives designated as cash flow hedges are recorded net of tax benefits of $0.1 million and $0.5 million for the three and six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0"/>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24"/>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15,831</w:t>
            </w:r>
          </w:p>
        </w:tc>
      </w:tr>
      <w:tr>
        <w:trPr>
          <w:trHeight w:val="242"/>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0"/>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4"/>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27,203</w:t>
            </w:r>
          </w:p>
        </w:tc>
      </w:tr>
      <w:tr>
        <w:trPr>
          <w:trHeight w:val="242"/>
        </w:trPr>
        <w:tc>
          <w:tcPr>
            <w:tcW w:w="5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2022, there was $85.9 million of total unrecognized compensation cost related to unvested stock-based compensation agreements. The unrecognized compensation cost as of September 30, 2022 is expected to be fully amortized over the next 5.0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151"/>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3"/>
                <w:szCs w:val="13"/>
                <w:color w:val="auto"/>
              </w:rPr>
            </w:pPr>
          </w:p>
        </w:tc>
        <w:tc>
          <w:tcPr>
            <w:tcW w:w="2140" w:type="dxa"/>
            <w:vAlign w:val="bottom"/>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Weighted Average Remaining</w:t>
            </w:r>
          </w:p>
        </w:tc>
        <w:tc>
          <w:tcPr>
            <w:tcW w:w="0" w:type="dxa"/>
            <w:vAlign w:val="bottom"/>
          </w:tcPr>
          <w:p>
            <w:pPr>
              <w:spacing w:after="0"/>
              <w:rPr>
                <w:sz w:val="1"/>
                <w:szCs w:val="1"/>
                <w:color w:val="auto"/>
              </w:rPr>
            </w:pPr>
          </w:p>
        </w:tc>
      </w:tr>
      <w:tr>
        <w:trPr>
          <w:trHeight w:val="158"/>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Period to be Recognized (in</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Compensation Cost</w:t>
            </w: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3.97</w:t>
            </w:r>
          </w:p>
        </w:tc>
        <w:tc>
          <w:tcPr>
            <w:tcW w:w="0" w:type="dxa"/>
            <w:vAlign w:val="bottom"/>
          </w:tcPr>
          <w:p>
            <w:pPr>
              <w:spacing w:after="0"/>
              <w:rPr>
                <w:sz w:val="1"/>
                <w:szCs w:val="1"/>
                <w:color w:val="auto"/>
              </w:rPr>
            </w:pPr>
          </w:p>
        </w:tc>
      </w:tr>
      <w:tr>
        <w:trPr>
          <w:trHeight w:val="22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22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1.88</w:t>
            </w:r>
          </w:p>
        </w:tc>
        <w:tc>
          <w:tcPr>
            <w:tcW w:w="0" w:type="dxa"/>
            <w:vAlign w:val="bottom"/>
          </w:tcPr>
          <w:p>
            <w:pPr>
              <w:spacing w:after="0"/>
              <w:rPr>
                <w:sz w:val="1"/>
                <w:szCs w:val="1"/>
                <w:color w:val="auto"/>
              </w:rPr>
            </w:pPr>
          </w:p>
        </w:tc>
      </w:tr>
      <w:tr>
        <w:trPr>
          <w:trHeight w:val="242"/>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85,865</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2022, there were 1.3 million EIP options outstanding, of which 0.6 million were unvested.</w:t>
      </w:r>
    </w:p>
    <w:p>
      <w:pPr>
        <w:spacing w:after="0" w:line="109"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September 30, 2022, the Board of Directors granted 0.1 million restricted stock units to certain employees of the Company. The aggregate value of these awards was $8.9 million based on the grant date stock price.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11"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60" w:type="dxa"/>
            <w:vAlign w:val="bottom"/>
            <w:gridSpan w:val="9"/>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Recurring Fair Value Measurements</w:t>
            </w:r>
          </w:p>
        </w:tc>
        <w:tc>
          <w:tcPr>
            <w:tcW w:w="920" w:type="dxa"/>
            <w:vAlign w:val="bottom"/>
          </w:tcPr>
          <w:p>
            <w:pPr>
              <w:spacing w:after="0"/>
              <w:rPr>
                <w:sz w:val="17"/>
                <w:szCs w:val="17"/>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0"/>
        </w:trPr>
        <w:tc>
          <w:tcPr>
            <w:tcW w:w="6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62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r>
      <w:tr>
        <w:trPr>
          <w:trHeight w:val="224"/>
        </w:trPr>
        <w:tc>
          <w:tcPr>
            <w:tcW w:w="62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r>
      <w:tr>
        <w:trPr>
          <w:trHeight w:val="217"/>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36,813</w:t>
            </w:r>
          </w:p>
        </w:tc>
      </w:tr>
      <w:tr>
        <w:trPr>
          <w:trHeight w:val="204"/>
        </w:trPr>
        <w:tc>
          <w:tcPr>
            <w:tcW w:w="62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4"/>
        </w:trPr>
        <w:tc>
          <w:tcPr>
            <w:tcW w:w="620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r>
      <w:tr>
        <w:trPr>
          <w:trHeight w:val="21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3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60" w:type="dxa"/>
            <w:vAlign w:val="bottom"/>
            <w:gridSpan w:val="9"/>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Recurring Fair Value Measurements</w:t>
            </w:r>
          </w:p>
        </w:tc>
        <w:tc>
          <w:tcPr>
            <w:tcW w:w="920" w:type="dxa"/>
            <w:vAlign w:val="bottom"/>
          </w:tcPr>
          <w:p>
            <w:pPr>
              <w:spacing w:after="0"/>
              <w:rPr>
                <w:sz w:val="17"/>
                <w:szCs w:val="17"/>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 March 31,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0"/>
        </w:trPr>
        <w:tc>
          <w:tcPr>
            <w:tcW w:w="6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62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4"/>
        </w:trPr>
        <w:tc>
          <w:tcPr>
            <w:tcW w:w="620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1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380" w:type="dxa"/>
            <w:vAlign w:val="bottom"/>
            <w:tcBorders>
              <w:bottom w:val="single" w:sz="8" w:color="auto"/>
            </w:tcBorders>
            <w:gridSpan w:val="3"/>
            <w:shd w:val="clear" w:color="auto" w:fill="BFE4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auto"/>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BFE4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20,600</w:t>
            </w:r>
          </w:p>
        </w:tc>
      </w:tr>
      <w:tr>
        <w:trPr>
          <w:trHeight w:val="204"/>
        </w:trPr>
        <w:tc>
          <w:tcPr>
            <w:tcW w:w="62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BFE4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FE4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4"/>
        </w:trPr>
        <w:tc>
          <w:tcPr>
            <w:tcW w:w="62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6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gridSpan w:val="2"/>
            <w:shd w:val="clear" w:color="auto" w:fill="BFE4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w:t>
            </w:r>
          </w:p>
        </w:tc>
      </w:tr>
    </w:tbl>
    <w:p>
      <w:pPr>
        <w:spacing w:after="0" w:line="113" w:lineRule="exact"/>
        <w:rPr>
          <w:sz w:val="20"/>
          <w:szCs w:val="20"/>
          <w:color w:val="auto"/>
        </w:rPr>
      </w:pPr>
    </w:p>
    <w:p>
      <w:pPr>
        <w:ind w:right="40" w:firstLine="5"/>
        <w:spacing w:after="0" w:line="373" w:lineRule="auto"/>
        <w:tabs>
          <w:tab w:leader="none" w:pos="161"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1" w:lineRule="exact"/>
        <w:rPr>
          <w:rFonts w:ascii="Times New Roman" w:cs="Times New Roman" w:eastAsia="Times New Roman" w:hAnsi="Times New Roman"/>
          <w:sz w:val="20"/>
          <w:szCs w:val="20"/>
          <w:color w:val="auto"/>
          <w:vertAlign w:val="superscript"/>
        </w:rPr>
      </w:pPr>
    </w:p>
    <w:p>
      <w:pPr>
        <w:ind w:right="300" w:firstLine="5"/>
        <w:spacing w:after="0" w:line="242" w:lineRule="auto"/>
        <w:tabs>
          <w:tab w:leader="none" w:pos="177"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88"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Company's cash and cash equivalents, which are Level 1 inputs, approximated its carrying values at September 30, 2022 and March 31, 2022.</w:t>
      </w:r>
    </w:p>
    <w:p>
      <w:pPr>
        <w:spacing w:after="0" w:line="64"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the Senior Notes due 2028 are determined using quoted prices or other market information obtained from recent trading activity in the high-yield bond market (Level 2 inputs). The carrying amount and estimated fair value of debt consists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31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70"/>
        </w:trPr>
        <w:tc>
          <w:tcPr>
            <w:tcW w:w="4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40"/>
              <w:spacing w:after="0" w:line="170"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32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7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4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540" w:type="dxa"/>
            <w:vAlign w:val="bottom"/>
          </w:tcPr>
          <w:p>
            <w:pPr>
              <w:spacing w:after="0"/>
              <w:rPr>
                <w:sz w:val="14"/>
                <w:szCs w:val="14"/>
                <w:color w:val="auto"/>
              </w:rPr>
            </w:pPr>
          </w:p>
        </w:tc>
      </w:tr>
      <w:tr>
        <w:trPr>
          <w:trHeight w:val="231"/>
        </w:trPr>
        <w:tc>
          <w:tcPr>
            <w:tcW w:w="4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6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7"/>
        </w:trPr>
        <w:tc>
          <w:tcPr>
            <w:tcW w:w="400" w:type="dxa"/>
            <w:vAlign w:val="bottom"/>
          </w:tcPr>
          <w:p>
            <w:pPr>
              <w:spacing w:after="0"/>
              <w:rPr>
                <w:sz w:val="18"/>
                <w:szCs w:val="18"/>
                <w:color w:val="auto"/>
              </w:rPr>
            </w:pPr>
          </w:p>
        </w:tc>
        <w:tc>
          <w:tcPr>
            <w:tcW w:w="46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220" w:type="dxa"/>
            <w:vAlign w:val="bottom"/>
            <w:tcBorders>
              <w:top w:val="single" w:sz="8" w:color="auto"/>
            </w:tcBorders>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2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auto"/>
            </w:tcBorders>
            <w:shd w:val="clear" w:color="auto" w:fill="BFE4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1,619,063</w:t>
            </w:r>
          </w:p>
        </w:tc>
        <w:tc>
          <w:tcPr>
            <w:tcW w:w="100" w:type="dxa"/>
            <w:vAlign w:val="bottom"/>
            <w:tcBorders>
              <w:top w:val="single" w:sz="8" w:color="BFE4FF"/>
            </w:tcBorders>
            <w:shd w:val="clear" w:color="auto" w:fill="BFE4FF"/>
          </w:tcPr>
          <w:p>
            <w:pPr>
              <w:spacing w:after="0"/>
              <w:rPr>
                <w:sz w:val="18"/>
                <w:szCs w:val="18"/>
                <w:color w:val="auto"/>
              </w:rPr>
            </w:pPr>
          </w:p>
        </w:tc>
        <w:tc>
          <w:tcPr>
            <w:tcW w:w="220" w:type="dxa"/>
            <w:vAlign w:val="bottom"/>
            <w:tcBorders>
              <w:top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auto"/>
            </w:tcBorders>
            <w:shd w:val="clear" w:color="auto" w:fill="BFE4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Term Loan A Loans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1,218,122</w:t>
            </w:r>
          </w:p>
        </w:tc>
        <w:tc>
          <w:tcPr>
            <w:tcW w:w="54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4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Existing Term Loan B Loans</w:t>
            </w:r>
          </w:p>
        </w:tc>
        <w:tc>
          <w:tcPr>
            <w:tcW w:w="220" w:type="dxa"/>
            <w:vAlign w:val="bottom"/>
            <w:shd w:val="clear" w:color="auto" w:fill="BFE4FF"/>
          </w:tcPr>
          <w:p>
            <w:pPr>
              <w:spacing w:after="0"/>
              <w:rPr>
                <w:sz w:val="19"/>
                <w:szCs w:val="19"/>
                <w:color w:val="auto"/>
              </w:rPr>
            </w:pPr>
          </w:p>
        </w:tc>
        <w:tc>
          <w:tcPr>
            <w:tcW w:w="12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380,321</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379,461</w:t>
            </w:r>
          </w:p>
        </w:tc>
        <w:tc>
          <w:tcPr>
            <w:tcW w:w="54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3.88% Senior Notes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676,228</w:t>
            </w:r>
          </w:p>
        </w:tc>
        <w:tc>
          <w:tcPr>
            <w:tcW w:w="54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4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4.00% Senior Notes due 2029</w:t>
            </w:r>
          </w:p>
        </w:tc>
        <w:tc>
          <w:tcPr>
            <w:tcW w:w="22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428,725</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488,335</w:t>
            </w:r>
          </w:p>
        </w:tc>
        <w:tc>
          <w:tcPr>
            <w:tcW w:w="540" w:type="dxa"/>
            <w:vAlign w:val="bottom"/>
          </w:tcPr>
          <w:p>
            <w:pPr>
              <w:spacing w:after="0"/>
              <w:rPr>
                <w:sz w:val="19"/>
                <w:szCs w:val="19"/>
                <w:color w:val="auto"/>
              </w:rPr>
            </w:pPr>
          </w:p>
        </w:tc>
      </w:tr>
      <w:tr>
        <w:trPr>
          <w:trHeight w:val="842"/>
        </w:trPr>
        <w:tc>
          <w:tcPr>
            <w:tcW w:w="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1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As of September 30, 2022 and March 31, 2022, the Company was contingently liable under open standby letters of credit and bank guarantees issued by our banks in favor of third parties that totaled $7.5 million and $8.4 million, respectively. These letters of credit and bank guarantees primarily support insurance and bid and performance obligations. At both September 30, 2022 and March 31, 2022, approximately $1.0 million of these instruments reduced the available borrowings under the Revolving Credit Facility. The remainder is guaranteed under a separate $20.0 million facility of which $13.5 million and $12.6 million were available to the Company at September 30, 2022 and March 31, 2022,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Indirect Costs</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2022 and 2021, approximately 97% and 98%,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the six months ended September 30, 2022 and 2021, approximately 97% and 98% of the Company's revenue, respectively, was generated from such contracts. As noted in the Company's Annual Report on Form 10-K for the fiscal year ended March 31, 2022,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September 30, 2022 and March 31, 2022, the Company had recorded liabilities of approximately $304.6 million and $290.4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2022 and March 31, 2022, there were no material amounts accrued in the condensed consolidated financial statements related to these proceedings. As previously disclosed in Note 20 to the consolidated financial statements of the Company's Annual Report on Form 10-K for the fiscal year ended March 31, 2022, the Company is not able to reasonably estimate the expected amount or range of cost or any loss associated with these matters.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EverWatch</w:t>
      </w:r>
    </w:p>
    <w:p>
      <w:pPr>
        <w:spacing w:after="0" w:line="100" w:lineRule="exact"/>
        <w:rPr>
          <w:sz w:val="20"/>
          <w:szCs w:val="20"/>
          <w:color w:val="auto"/>
        </w:rPr>
      </w:pPr>
    </w:p>
    <w:p>
      <w:pPr>
        <w:ind w:right="140" w:firstLine="395"/>
        <w:spacing w:after="0" w:line="241" w:lineRule="auto"/>
        <w:rPr>
          <w:sz w:val="20"/>
          <w:szCs w:val="20"/>
          <w:color w:val="auto"/>
        </w:rPr>
      </w:pPr>
      <w:r>
        <w:rPr>
          <w:rFonts w:ascii="Times New Roman" w:cs="Times New Roman" w:eastAsia="Times New Roman" w:hAnsi="Times New Roman"/>
          <w:sz w:val="18"/>
          <w:szCs w:val="18"/>
          <w:color w:val="auto"/>
        </w:rPr>
        <w:t>On October 14, 2022, the Company acquired EverWatch Corp. (“EverWatch”) for approximately $440.0 million, net of post-closing adjustments, and transaction costs incurred as part of the acquisition. As a result of the transaction, EverWatch became a wholly owned subsidiary of Booz Allen Hamilton Inc. EverWatch is a leading provider of advanced solutions to the defense and intelligence communities.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7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2022 filed with the Securities and Exchange Commission on May 20, 2022,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80" w:lineRule="exact"/>
        <w:rPr>
          <w:sz w:val="20"/>
          <w:szCs w:val="20"/>
          <w:color w:val="auto"/>
        </w:rPr>
      </w:pPr>
    </w:p>
    <w:p>
      <w:pPr>
        <w:ind w:right="200"/>
        <w:spacing w:after="0" w:line="367" w:lineRule="auto"/>
        <w:rPr>
          <w:sz w:val="20"/>
          <w:szCs w:val="20"/>
          <w:color w:val="auto"/>
        </w:rPr>
      </w:pPr>
      <w:r>
        <w:rPr>
          <w:rFonts w:ascii="Times New Roman" w:cs="Times New Roman" w:eastAsia="Times New Roman" w:hAnsi="Times New Roman"/>
          <w:sz w:val="18"/>
          <w:szCs w:val="18"/>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30,000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0" w:lineRule="exact"/>
        <w:rPr>
          <w:sz w:val="20"/>
          <w:szCs w:val="20"/>
          <w:color w:val="auto"/>
        </w:rPr>
      </w:pPr>
    </w:p>
    <w:p>
      <w:pPr>
        <w:ind w:right="160" w:firstLine="395"/>
        <w:spacing w:after="0" w:line="248"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second quarter of fiscal 2023, the Company generated year over year revenue growth and increased client staff headcount.</w:t>
      </w:r>
    </w:p>
    <w:p>
      <w:pPr>
        <w:spacing w:after="0" w:line="10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increased 9.2% from the three months ended September 30, 2021 to the three months ended September 30, 2022 and increased 11.1% from the six months ended September 30, 2021 to the six months ended September 30, 2022. The increases were primarily driven by headcount growth, salary increases, and strong demand for our solutions, as well as higher staff utilization compared to the prior year periods.The increase in revenue over the year to date period also includes approximately $112.0 million of inorganic contributions related to fiscal 2022 acquisitions.</w:t>
      </w:r>
    </w:p>
    <w:p>
      <w:pPr>
        <w:spacing w:after="0" w:line="78" w:lineRule="exact"/>
        <w:rPr>
          <w:sz w:val="20"/>
          <w:szCs w:val="20"/>
          <w:color w:val="auto"/>
        </w:rPr>
      </w:pPr>
    </w:p>
    <w:p>
      <w:pPr>
        <w:ind w:right="360" w:firstLine="395"/>
        <w:spacing w:after="0" w:line="250" w:lineRule="auto"/>
        <w:rPr>
          <w:sz w:val="20"/>
          <w:szCs w:val="20"/>
          <w:color w:val="auto"/>
        </w:rPr>
      </w:pPr>
      <w:r>
        <w:rPr>
          <w:rFonts w:ascii="Times New Roman" w:cs="Times New Roman" w:eastAsia="Times New Roman" w:hAnsi="Times New Roman"/>
          <w:sz w:val="18"/>
          <w:szCs w:val="18"/>
          <w:color w:val="auto"/>
        </w:rPr>
        <w:t>Operating income increased 2.5% to $223.9 million in the three months ended September 30, 2022 from $218.4 million in the three months ended September 30, 2021, while operating margin decreased from 10.4% to 9.7%. Operating income increased 19.9% to $431.1 million in the six months ended September 30, 2022 from $359.6 million in the six months ended September 30, 2021, which reflects an increase in operating margin from 8.8% to 9.5%. Margins continued to benefit from strong contract-level execution coupled with ongoing cost management efforts that serve to offset the impact of higher unallowable spending and inflationary pressure.</w:t>
      </w:r>
    </w:p>
    <w:p>
      <w:pPr>
        <w:spacing w:after="0" w:line="8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The Company also incurred incremental legal costs during the three and six months ended September 30, 2022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78"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We are monitoring the evolving situation related to COVID-19,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the longer the duration of the event, the more likely it is that it could have an adverse effect on our business, financial position, results of operations, billable expenses, and/or cash flows.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1" w:lineRule="exact"/>
        <w:rPr>
          <w:sz w:val="20"/>
          <w:szCs w:val="20"/>
          <w:color w:val="auto"/>
        </w:rPr>
      </w:pPr>
    </w:p>
    <w:p>
      <w:pPr>
        <w:ind w:right="40" w:firstLine="395"/>
        <w:spacing w:after="0" w:line="277" w:lineRule="auto"/>
        <w:rPr>
          <w:sz w:val="20"/>
          <w:szCs w:val="20"/>
          <w:color w:val="auto"/>
        </w:rPr>
      </w:pPr>
      <w:r>
        <w:rPr>
          <w:rFonts w:ascii="Times New Roman" w:cs="Times New Roman" w:eastAsia="Times New Roman" w:hAnsi="Times New Roman"/>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194" w:lineRule="exact"/>
        <w:rPr>
          <w:sz w:val="20"/>
          <w:szCs w:val="20"/>
          <w:color w:val="auto"/>
        </w:rPr>
      </w:pPr>
    </w:p>
    <w:p>
      <w:pPr>
        <w:ind w:firstLine="5"/>
        <w:spacing w:after="0" w:line="245"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31" w:lineRule="exact"/>
        <w:rPr>
          <w:rFonts w:ascii="Times New Roman" w:cs="Times New Roman" w:eastAsia="Times New Roman" w:hAnsi="Times New Roman"/>
          <w:sz w:val="18"/>
          <w:szCs w:val="18"/>
          <w:color w:val="auto"/>
        </w:rPr>
      </w:pPr>
    </w:p>
    <w:p>
      <w:pPr>
        <w:ind w:left="640" w:right="60" w:hanging="319"/>
        <w:spacing w:after="0" w:line="252" w:lineRule="auto"/>
        <w:tabs>
          <w:tab w:leader="none" w:pos="636"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24" w:lineRule="exact"/>
        <w:rPr>
          <w:rFonts w:ascii="Arial" w:cs="Arial" w:eastAsia="Arial" w:hAnsi="Arial"/>
          <w:sz w:val="18"/>
          <w:szCs w:val="18"/>
          <w:color w:val="auto"/>
        </w:rPr>
      </w:pPr>
    </w:p>
    <w:p>
      <w:pPr>
        <w:ind w:left="640" w:right="140" w:hanging="319"/>
        <w:spacing w:after="0" w:line="297" w:lineRule="auto"/>
        <w:tabs>
          <w:tab w:leader="none" w:pos="636" w:val="left"/>
        </w:tabs>
        <w:numPr>
          <w:ilvl w:val="1"/>
          <w:numId w:val="16"/>
        </w:numPr>
        <w:rPr>
          <w:rFonts w:ascii="Arial" w:cs="Arial" w:eastAsia="Arial" w:hAnsi="Arial"/>
          <w:sz w:val="16"/>
          <w:szCs w:val="16"/>
          <w:color w:val="auto"/>
        </w:rPr>
      </w:pPr>
      <w:r>
        <w:rPr>
          <w:rFonts w:ascii="Times New Roman" w:cs="Times New Roman" w:eastAsia="Times New Roman" w:hAnsi="Times New Roman"/>
          <w:sz w:val="16"/>
          <w:szCs w:val="16"/>
          <w:color w:val="auto"/>
        </w:rPr>
        <w:t>“Adjusted Operating Income” represents operating income before acquisition and divestiture costs, financing transaction costs, and significant acquisition amortization. We prepare Adjusted Operating Income to eliminate the impact of items we do not consider indicative of ongoing operating performance due to their inherent unusual, extraordinary, or non-recurring nature or because they result from an event of a similar nature.</w:t>
      </w:r>
    </w:p>
    <w:p>
      <w:pPr>
        <w:ind w:left="640" w:hanging="319"/>
        <w:spacing w:after="0" w:line="248" w:lineRule="auto"/>
        <w:tabs>
          <w:tab w:leader="none" w:pos="636"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“Adjusted EBITDA” represents net income attributable to common stockholders before income taxes, net interest and other expense and depreciation and amortization and before certain other items, including acquisition and divestiture costs, and financing transaction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8" w:lineRule="exact"/>
        <w:rPr>
          <w:rFonts w:ascii="Arial" w:cs="Arial" w:eastAsia="Arial" w:hAnsi="Arial"/>
          <w:sz w:val="18"/>
          <w:szCs w:val="18"/>
          <w:color w:val="auto"/>
        </w:rPr>
      </w:pPr>
    </w:p>
    <w:p>
      <w:pPr>
        <w:ind w:left="640" w:right="240" w:hanging="319"/>
        <w:spacing w:after="0" w:line="248" w:lineRule="auto"/>
        <w:tabs>
          <w:tab w:leader="none" w:pos="636"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“Adjusted Net Income” represents net income attributable to common stockholders before: (i) acquisition and divestiture costs, (ii) financing transaction costs, (iii) significant acquisition amortization, (iv) gain on consolidation of equity method investment, (v) amortization and write-off of debt issuance costs and debt discount, and (vi) gain on sale or divestiture,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manner in which management measures and forecasts the Company's performance and the way in which management is incentivized to perform.</w:t>
      </w:r>
    </w:p>
    <w:p>
      <w:pPr>
        <w:spacing w:after="0" w:line="79" w:lineRule="exact"/>
        <w:rPr>
          <w:sz w:val="20"/>
          <w:szCs w:val="20"/>
          <w:color w:val="auto"/>
        </w:rPr>
      </w:pPr>
    </w:p>
    <w:p>
      <w:pPr>
        <w:ind w:left="640" w:right="20" w:hanging="319"/>
        <w:spacing w:after="0" w:line="255" w:lineRule="auto"/>
        <w:tabs>
          <w:tab w:leader="none" w:pos="636"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w:t>
      </w:r>
    </w:p>
    <w:p>
      <w:pPr>
        <w:spacing w:after="0" w:line="10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09"/>
        </w:trPr>
        <w:tc>
          <w:tcPr>
            <w:tcW w:w="1240" w:type="dxa"/>
            <w:vAlign w:val="bottom"/>
            <w:tcBorders>
              <w:top w:val="single" w:sz="8" w:color="0000FF"/>
            </w:tcBorders>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340" w:type="dxa"/>
            <w:vAlign w:val="bottom"/>
          </w:tcPr>
          <w:p>
            <w:pPr>
              <w:spacing w:after="0"/>
              <w:rPr>
                <w:sz w:val="24"/>
                <w:szCs w:val="24"/>
                <w:color w:val="auto"/>
              </w:rPr>
            </w:pPr>
          </w:p>
        </w:tc>
        <w:tc>
          <w:tcPr>
            <w:tcW w:w="2780" w:type="dxa"/>
            <w:vAlign w:val="bottom"/>
            <w:gridSpan w:val="4"/>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r>
      <w:tr>
        <w:trPr>
          <w:trHeight w:val="234"/>
        </w:trPr>
        <w:tc>
          <w:tcPr>
            <w:tcW w:w="12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80" w:type="dxa"/>
            <w:vAlign w:val="bottom"/>
            <w:tcBorders>
              <w:bottom w:val="single" w:sz="8" w:color="auto"/>
            </w:tcBorders>
          </w:tcPr>
          <w:p>
            <w:pPr>
              <w:spacing w:after="0"/>
              <w:rPr>
                <w:sz w:val="20"/>
                <w:szCs w:val="20"/>
                <w:color w:val="auto"/>
              </w:rPr>
            </w:pPr>
          </w:p>
        </w:tc>
      </w:tr>
      <w:tr>
        <w:trPr>
          <w:trHeight w:val="22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4"/>
        </w:trPr>
        <w:tc>
          <w:tcPr>
            <w:tcW w:w="12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80" w:type="dxa"/>
            <w:vAlign w:val="bottom"/>
          </w:tcPr>
          <w:p>
            <w:pPr>
              <w:spacing w:after="0"/>
              <w:rPr>
                <w:sz w:val="16"/>
                <w:szCs w:val="16"/>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2,298,976</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2,106,038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4,548,576</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4,095,104</w:t>
            </w:r>
          </w:p>
        </w:tc>
      </w:tr>
      <w:tr>
        <w:trPr>
          <w:trHeight w:val="224"/>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Billable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684,941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640,120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1,359,207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1,195,665</w:t>
            </w:r>
          </w:p>
        </w:tc>
      </w:tr>
      <w:tr>
        <w:trPr>
          <w:trHeight w:val="217"/>
        </w:trPr>
        <w:tc>
          <w:tcPr>
            <w:tcW w:w="5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1,614,035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1,465,918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3,189,369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2,899,439</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0"/>
        </w:trPr>
        <w:tc>
          <w:tcPr>
            <w:tcW w:w="502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4"/>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223,921</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218,367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431,116</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359,624</w:t>
            </w:r>
          </w:p>
        </w:tc>
      </w:tr>
      <w:tr>
        <w:trPr>
          <w:trHeight w:val="224"/>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80,469</w:t>
            </w:r>
          </w:p>
        </w:tc>
      </w:tr>
      <w:tr>
        <w:trPr>
          <w:trHeight w:val="224"/>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r>
      <w:tr>
        <w:trPr>
          <w:trHeight w:val="224"/>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14,526</w:t>
            </w:r>
          </w:p>
        </w:tc>
      </w:tr>
      <w:tr>
        <w:trPr>
          <w:trHeight w:val="221"/>
        </w:trPr>
        <w:tc>
          <w:tcPr>
            <w:tcW w:w="5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257,828</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243,915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481,203</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-2540</wp:posOffset>
            </wp:positionV>
            <wp:extent cx="3952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522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Adjusted EBITDA Margin 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35495" cy="367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367665"/>
                    </a:xfrm>
                    <a:prstGeom prst="rect">
                      <a:avLst/>
                    </a:prstGeom>
                    <a:noFill/>
                  </pic:spPr>
                </pic:pic>
              </a:graphicData>
            </a:graphic>
          </wp:anchor>
        </w:drawing>
      </w:r>
    </w:p>
    <w:p>
      <w:pPr>
        <w:ind w:left="20" w:right="6780" w:firstLine="3"/>
        <w:spacing w:after="0" w:line="227" w:lineRule="auto"/>
        <w:tabs>
          <w:tab w:leader="none" w:pos="20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Adjusted EBITDA Margin on Revenue, Excluding Billable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170,932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154,834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309,216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246,936</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92,747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73,479</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net (d)</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39,209</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37,602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79,154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65,347</w:t>
            </w:r>
          </w:p>
        </w:tc>
        <w:tc>
          <w:tcPr>
            <w:tcW w:w="0" w:type="dxa"/>
            <w:vAlign w:val="bottom"/>
          </w:tcPr>
          <w:p>
            <w:pPr>
              <w:spacing w:after="0"/>
              <w:rPr>
                <w:sz w:val="1"/>
                <w:szCs w:val="1"/>
                <w:color w:val="auto"/>
              </w:rPr>
            </w:pPr>
          </w:p>
        </w:tc>
      </w:tr>
      <w:tr>
        <w:trPr>
          <w:trHeight w:val="217"/>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255,969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510,612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424,971</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80,469</w:t>
            </w:r>
          </w:p>
        </w:tc>
        <w:tc>
          <w:tcPr>
            <w:tcW w:w="0" w:type="dxa"/>
            <w:vAlign w:val="bottom"/>
          </w:tcPr>
          <w:p>
            <w:pPr>
              <w:spacing w:after="0"/>
              <w:rPr>
                <w:sz w:val="1"/>
                <w:szCs w:val="1"/>
                <w:color w:val="auto"/>
              </w:rPr>
            </w:pPr>
          </w:p>
        </w:tc>
      </w:tr>
      <w:tr>
        <w:trPr>
          <w:trHeight w:val="224"/>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42"/>
        </w:trPr>
        <w:tc>
          <w:tcPr>
            <w:tcW w:w="50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269,649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538,525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507,788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Adjusted EBITDA Margin on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460"/>
              <w:spacing w:after="0" w:line="171" w:lineRule="exact"/>
              <w:rPr>
                <w:sz w:val="20"/>
                <w:szCs w:val="20"/>
                <w:color w:val="auto"/>
              </w:rPr>
            </w:pPr>
            <w:r>
              <w:rPr>
                <w:rFonts w:ascii="Times New Roman" w:cs="Times New Roman" w:eastAsia="Times New Roman" w:hAnsi="Times New Roman"/>
                <w:sz w:val="18"/>
                <w:szCs w:val="18"/>
                <w:color w:val="auto"/>
              </w:rPr>
              <w:t>Adjusted EBITDA Margin on Revenue, Excluding Billable</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246,936</w:t>
            </w:r>
          </w:p>
        </w:tc>
        <w:tc>
          <w:tcPr>
            <w:tcW w:w="0" w:type="dxa"/>
            <w:vAlign w:val="bottom"/>
          </w:tcPr>
          <w:p>
            <w:pPr>
              <w:spacing w:after="0"/>
              <w:rPr>
                <w:sz w:val="1"/>
                <w:szCs w:val="1"/>
                <w:color w:val="auto"/>
              </w:rPr>
            </w:pPr>
          </w:p>
        </w:tc>
      </w:tr>
      <w:tr>
        <w:trPr>
          <w:trHeight w:val="224"/>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80,469</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14,526</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consolidation of equity method investment (e)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Amortization and write-off of debt issuance costs and debt discount</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or divestiture (f)</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Adjustments for tax effect (g)</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(24,279)</w:t>
            </w: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177,779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170,151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316,037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132,729,245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135,316,429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132,869,141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135,847,548</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 Per Diluted Share (h)</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272,726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470,408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227,092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459,746</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7"/>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256,726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449,741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197,358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430,071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right="60" w:hanging="319"/>
        <w:spacing w:after="0" w:line="249" w:lineRule="auto"/>
        <w:tabs>
          <w:tab w:leader="none" w:pos="6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Tracepoint Holdings, LLC (“Tracepoint”), and EverWatch Corp. (“EverWatch”), as well as the divestiture of our management consulting business serving the Middle East and North Africa (the “MENA Divestiture”).</w:t>
      </w:r>
    </w:p>
    <w:p>
      <w:pPr>
        <w:spacing w:after="0" w:line="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expenses associated with debt financing activities incurred during the first quarter of fiscal 2022 and second quarter of fiscal 2023.</w:t>
      </w:r>
    </w:p>
    <w:p>
      <w:pPr>
        <w:spacing w:after="0" w:line="56"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first quarter of fiscal 2022.</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(expense), net from the condensed consolidated statement of operations.</w:t>
      </w:r>
    </w:p>
    <w:p>
      <w:pPr>
        <w:spacing w:after="0" w:line="56" w:lineRule="exact"/>
        <w:rPr>
          <w:rFonts w:ascii="Times New Roman" w:cs="Times New Roman" w:eastAsia="Times New Roman" w:hAnsi="Times New Roman"/>
          <w:sz w:val="18"/>
          <w:szCs w:val="18"/>
          <w:color w:val="auto"/>
        </w:rPr>
      </w:pPr>
    </w:p>
    <w:p>
      <w:pPr>
        <w:ind w:left="640" w:right="200" w:hanging="319"/>
        <w:spacing w:after="0" w:line="268" w:lineRule="auto"/>
        <w:tabs>
          <w:tab w:leader="none" w:pos="6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remeasurement of its previously held equity method investment in Tracepoint to its fair value which resulted in a gain upon the acquisition of a controlling financial interest in Tracepoint.</w:t>
      </w:r>
    </w:p>
    <w:p>
      <w:pPr>
        <w:spacing w:after="0" w:line="1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recognized on the divestiture of the Company's MENA business.</w:t>
      </w:r>
    </w:p>
    <w:p>
      <w:pPr>
        <w:spacing w:after="0" w:line="56"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rates, and consistently excludes the impact of other tax credits and incentive benefits realized. The tax effect of the gain on sale or divestiture is at an assumed effective tax rate of 32%.</w:t>
      </w:r>
    </w:p>
    <w:p>
      <w:pPr>
        <w:spacing w:after="0" w:line="21"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$1.4 million and $2.3 million of net earnings for the three and six months ended September 30, 2022, respectively, and $1.1 million and $1.5 million of net earnings for the three and six months ended September 30, 2021, respectively, associated with the application of the two-class method for computing diluted earnings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11"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13"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64" w:lineRule="exact"/>
        <w:rPr>
          <w:sz w:val="20"/>
          <w:szCs w:val="20"/>
          <w:color w:val="auto"/>
        </w:rPr>
      </w:pPr>
    </w:p>
    <w:p>
      <w:pPr>
        <w:ind w:left="640" w:hanging="319"/>
        <w:spacing w:after="0" w:line="248" w:lineRule="auto"/>
        <w:tabs>
          <w:tab w:leader="none" w:pos="636"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81" w:lineRule="exact"/>
        <w:rPr>
          <w:rFonts w:ascii="Arial" w:cs="Arial" w:eastAsia="Arial" w:hAnsi="Arial"/>
          <w:sz w:val="18"/>
          <w:szCs w:val="18"/>
          <w:color w:val="auto"/>
        </w:rPr>
      </w:pPr>
    </w:p>
    <w:p>
      <w:pPr>
        <w:ind w:left="640" w:right="16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319"/>
        <w:spacing w:after="0" w:line="247"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beyond December 16, 2022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2" w:lineRule="exact"/>
        <w:rPr>
          <w:rFonts w:ascii="Times New Roman" w:cs="Times New Roman" w:eastAsia="Times New Roman" w:hAnsi="Times New Roman"/>
          <w:sz w:val="18"/>
          <w:szCs w:val="18"/>
          <w:color w:val="auto"/>
        </w:rPr>
      </w:pPr>
    </w:p>
    <w:p>
      <w:pPr>
        <w:ind w:left="640" w:right="56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64" w:lineRule="exact"/>
        <w:rPr>
          <w:rFonts w:ascii="Times New Roman" w:cs="Times New Roman" w:eastAsia="Times New Roman" w:hAnsi="Times New Roman"/>
          <w:sz w:val="18"/>
          <w:szCs w:val="18"/>
          <w:color w:val="auto"/>
        </w:rPr>
      </w:pPr>
    </w:p>
    <w:p>
      <w:pPr>
        <w:ind w:left="640" w:right="280" w:hanging="319"/>
        <w:spacing w:after="0" w:line="252"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8" w:lineRule="exact"/>
        <w:rPr>
          <w:rFonts w:ascii="Times New Roman" w:cs="Times New Roman" w:eastAsia="Times New Roman" w:hAnsi="Times New Roman"/>
          <w:sz w:val="18"/>
          <w:szCs w:val="18"/>
          <w:color w:val="auto"/>
        </w:rPr>
      </w:pPr>
    </w:p>
    <w:p>
      <w:pPr>
        <w:ind w:left="640" w:right="80" w:hanging="319"/>
        <w:spacing w:after="0" w:line="252"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7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 that could impact the cost of doing business and/or reduce customer buying power;</w:t>
      </w:r>
    </w:p>
    <w:p>
      <w:pPr>
        <w:spacing w:after="0" w:line="108" w:lineRule="exact"/>
        <w:rPr>
          <w:rFonts w:ascii="Times New Roman" w:cs="Times New Roman" w:eastAsia="Times New Roman" w:hAnsi="Times New Roman"/>
          <w:sz w:val="18"/>
          <w:szCs w:val="18"/>
          <w:color w:val="auto"/>
        </w:rPr>
      </w:pPr>
    </w:p>
    <w:p>
      <w:pPr>
        <w:ind w:left="640" w:right="200" w:hanging="319"/>
        <w:spacing w:after="0" w:line="252"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Times New Roman" w:cs="Times New Roman" w:eastAsia="Times New Roman" w:hAnsi="Times New Roman"/>
          <w:sz w:val="18"/>
          <w:szCs w:val="18"/>
          <w:color w:val="auto"/>
        </w:rPr>
      </w:pPr>
    </w:p>
    <w:p>
      <w:pPr>
        <w:ind w:left="640" w:right="80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64" w:lineRule="exact"/>
        <w:rPr>
          <w:rFonts w:ascii="Times New Roman" w:cs="Times New Roman" w:eastAsia="Times New Roman" w:hAnsi="Times New Roman"/>
          <w:sz w:val="18"/>
          <w:szCs w:val="18"/>
          <w:color w:val="auto"/>
        </w:rPr>
      </w:pPr>
    </w:p>
    <w:p>
      <w:pPr>
        <w:ind w:left="640" w:right="7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4" w:lineRule="exact"/>
        <w:rPr>
          <w:rFonts w:ascii="Times New Roman" w:cs="Times New Roman" w:eastAsia="Times New Roman" w:hAnsi="Times New Roman"/>
          <w:sz w:val="18"/>
          <w:szCs w:val="18"/>
          <w:color w:val="auto"/>
        </w:rPr>
      </w:pPr>
    </w:p>
    <w:p>
      <w:pPr>
        <w:ind w:left="640" w:right="120" w:hanging="319"/>
        <w:spacing w:after="0" w:line="332" w:lineRule="auto"/>
        <w:tabs>
          <w:tab w:leader="none" w:pos="63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7" w:lineRule="exact"/>
        <w:rPr>
          <w:rFonts w:ascii="Times New Roman" w:cs="Times New Roman" w:eastAsia="Times New Roman" w:hAnsi="Times New Roman"/>
          <w:sz w:val="16"/>
          <w:szCs w:val="16"/>
          <w:color w:val="auto"/>
        </w:rPr>
      </w:pPr>
    </w:p>
    <w:p>
      <w:pPr>
        <w:ind w:left="640" w:right="16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4"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64"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4"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74"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40" w:right="320" w:hanging="319"/>
        <w:spacing w:after="0" w:line="256"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74" w:lineRule="exact"/>
        <w:rPr>
          <w:rFonts w:ascii="Times New Roman" w:cs="Times New Roman" w:eastAsia="Times New Roman" w:hAnsi="Times New Roman"/>
          <w:sz w:val="18"/>
          <w:szCs w:val="18"/>
          <w:color w:val="auto"/>
        </w:rPr>
      </w:pPr>
    </w:p>
    <w:p>
      <w:pPr>
        <w:ind w:left="640" w:right="140" w:hanging="319"/>
        <w:spacing w:after="0" w:line="256"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3" w:lineRule="exact"/>
        <w:rPr>
          <w:sz w:val="20"/>
          <w:szCs w:val="20"/>
          <w:color w:val="auto"/>
        </w:rPr>
      </w:pPr>
    </w:p>
    <w:p>
      <w:pPr>
        <w:ind w:firstLine="395"/>
        <w:spacing w:after="0" w:line="279" w:lineRule="auto"/>
        <w:rPr>
          <w:sz w:val="20"/>
          <w:szCs w:val="20"/>
          <w:color w:val="auto"/>
        </w:rPr>
      </w:pPr>
      <w:r>
        <w:rPr>
          <w:rFonts w:ascii="Times New Roman" w:cs="Times New Roman" w:eastAsia="Times New Roman" w:hAnsi="Times New Roman"/>
          <w:sz w:val="16"/>
          <w:szCs w:val="16"/>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the CARES Act and the Consolidated Appropriations Act of 2021,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07" w:lineRule="exact"/>
        <w:rPr>
          <w:sz w:val="20"/>
          <w:szCs w:val="20"/>
          <w:color w:val="auto"/>
        </w:rPr>
      </w:pPr>
    </w:p>
    <w:p>
      <w:pPr>
        <w:ind w:left="640" w:right="20" w:hanging="319"/>
        <w:spacing w:after="0" w:line="247" w:lineRule="auto"/>
        <w:tabs>
          <w:tab w:leader="none" w:pos="636"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 performance of the contract,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85" w:lineRule="exact"/>
        <w:rPr>
          <w:rFonts w:ascii="Times New Roman" w:cs="Times New Roman" w:eastAsia="Times New Roman" w:hAnsi="Times New Roman"/>
          <w:sz w:val="18"/>
          <w:szCs w:val="18"/>
          <w:i w:val="1"/>
          <w:iCs w:val="1"/>
          <w:color w:val="auto"/>
        </w:rPr>
      </w:pPr>
    </w:p>
    <w:p>
      <w:pPr>
        <w:ind w:left="640" w:right="20" w:hanging="319"/>
        <w:spacing w:after="0" w:line="250" w:lineRule="auto"/>
        <w:tabs>
          <w:tab w:leader="none" w:pos="636"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 expended,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9" w:lineRule="exact"/>
        <w:rPr>
          <w:rFonts w:ascii="Times New Roman" w:cs="Times New Roman" w:eastAsia="Times New Roman" w:hAnsi="Times New Roman"/>
          <w:sz w:val="18"/>
          <w:szCs w:val="18"/>
          <w:i w:val="1"/>
          <w:iCs w:val="1"/>
          <w:color w:val="auto"/>
        </w:rPr>
      </w:pPr>
    </w:p>
    <w:p>
      <w:pPr>
        <w:ind w:left="640" w:right="100" w:hanging="319"/>
        <w:spacing w:after="0" w:line="250" w:lineRule="auto"/>
        <w:tabs>
          <w:tab w:leader="none" w:pos="636"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 extent our actual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r>
      <w:tr>
        <w:trPr>
          <w:trHeight w:val="231"/>
        </w:trPr>
        <w:tc>
          <w:tcPr>
            <w:tcW w:w="5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940" w:type="dxa"/>
            <w:vAlign w:val="bottom"/>
          </w:tcPr>
          <w:p>
            <w:pPr>
              <w:spacing w:after="0"/>
              <w:rPr>
                <w:sz w:val="20"/>
                <w:szCs w:val="20"/>
                <w:color w:val="auto"/>
              </w:rPr>
            </w:pPr>
          </w:p>
        </w:tc>
        <w:tc>
          <w:tcPr>
            <w:tcW w:w="2040" w:type="dxa"/>
            <w:vAlign w:val="bottom"/>
            <w:gridSpan w:val="3"/>
          </w:tcPr>
          <w:p>
            <w:pPr>
              <w:jc w:val="center"/>
              <w:ind w:right="8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17"/>
        </w:trPr>
        <w:tc>
          <w:tcPr>
            <w:tcW w:w="5220" w:type="dxa"/>
            <w:vAlign w:val="bottom"/>
          </w:tcPr>
          <w:p>
            <w:pPr>
              <w:spacing w:after="0"/>
              <w:rPr>
                <w:sz w:val="18"/>
                <w:szCs w:val="18"/>
                <w:color w:val="auto"/>
              </w:rPr>
            </w:pPr>
          </w:p>
        </w:tc>
        <w:tc>
          <w:tcPr>
            <w:tcW w:w="900" w:type="dxa"/>
            <w:vAlign w:val="bottom"/>
            <w:tcBorders>
              <w:top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40" w:type="dxa"/>
            <w:vAlign w:val="bottom"/>
            <w:tcBorders>
              <w:top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40" w:type="dxa"/>
            <w:vAlign w:val="bottom"/>
            <w:tcBorders>
              <w:top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1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90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52%</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53%</w:t>
            </w: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9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6"/>
              </w:rPr>
              <w:t>25%</w:t>
            </w:r>
          </w:p>
        </w:tc>
        <w:tc>
          <w:tcPr>
            <w:tcW w:w="204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19"/>
                <w:szCs w:val="19"/>
                <w:color w:val="auto"/>
              </w:rPr>
            </w:pPr>
          </w:p>
        </w:tc>
        <w:tc>
          <w:tcPr>
            <w:tcW w:w="9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6"/>
              </w:rPr>
              <w:t>24%</w:t>
            </w:r>
          </w:p>
        </w:tc>
        <w:tc>
          <w:tcPr>
            <w:tcW w:w="20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6"/>
              </w:rPr>
              <w:t>24%</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9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23%</w:t>
            </w:r>
          </w:p>
        </w:tc>
        <w:tc>
          <w:tcPr>
            <w:tcW w:w="2040" w:type="dxa"/>
            <w:vAlign w:val="bottom"/>
            <w:gridSpan w:val="3"/>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23%</w:t>
            </w:r>
          </w:p>
        </w:tc>
        <w:tc>
          <w:tcPr>
            <w:tcW w:w="2040" w:type="dxa"/>
            <w:vAlign w:val="bottom"/>
            <w:gridSpan w:val="3"/>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6"/>
              </w:rPr>
              <w:t>21%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1"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8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1" w:lineRule="exact"/>
        <w:rPr>
          <w:sz w:val="20"/>
          <w:szCs w:val="20"/>
          <w:color w:val="auto"/>
        </w:rPr>
      </w:pPr>
    </w:p>
    <w:p>
      <w:pPr>
        <w:jc w:val="both"/>
        <w:ind w:right="140" w:firstLine="395"/>
        <w:spacing w:after="0" w:line="289" w:lineRule="auto"/>
        <w:rPr>
          <w:sz w:val="20"/>
          <w:szCs w:val="20"/>
          <w:color w:val="auto"/>
        </w:rPr>
      </w:pPr>
      <w:r>
        <w:rPr>
          <w:rFonts w:ascii="Times New Roman" w:cs="Times New Roman" w:eastAsia="Times New Roman" w:hAnsi="Times New Roman"/>
          <w:sz w:val="16"/>
          <w:szCs w:val="16"/>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2022 and 2021, we employed approximately 30,000 and 29,200 people, respectively, of which approximately 27,200 and 26,100, respectively, were client staff.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07" w:lineRule="exact"/>
        <w:rPr>
          <w:sz w:val="20"/>
          <w:szCs w:val="20"/>
          <w:color w:val="auto"/>
        </w:rPr>
      </w:pPr>
    </w:p>
    <w:p>
      <w:pPr>
        <w:ind w:left="640" w:right="360" w:hanging="319"/>
        <w:spacing w:after="0" w:line="271" w:lineRule="auto"/>
        <w:tabs>
          <w:tab w:leader="none" w:pos="636"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8" w:lineRule="exact"/>
        <w:rPr>
          <w:rFonts w:ascii="Times New Roman" w:cs="Times New Roman" w:eastAsia="Times New Roman" w:hAnsi="Times New Roman"/>
          <w:sz w:val="18"/>
          <w:szCs w:val="18"/>
          <w:i w:val="1"/>
          <w:iCs w:val="1"/>
          <w:color w:val="auto"/>
        </w:rPr>
      </w:pPr>
    </w:p>
    <w:p>
      <w:pPr>
        <w:ind w:left="640" w:right="460" w:hanging="319"/>
        <w:spacing w:after="0" w:line="271"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funding has not been appropriated or otherwise authorized.</w:t>
      </w:r>
    </w:p>
    <w:p>
      <w:pPr>
        <w:spacing w:after="0" w:line="58" w:lineRule="exact"/>
        <w:rPr>
          <w:rFonts w:ascii="Times New Roman" w:cs="Times New Roman" w:eastAsia="Times New Roman" w:hAnsi="Times New Roman"/>
          <w:sz w:val="18"/>
          <w:szCs w:val="18"/>
          <w:color w:val="auto"/>
        </w:rPr>
      </w:pPr>
    </w:p>
    <w:p>
      <w:pPr>
        <w:ind w:left="640" w:right="120" w:hanging="319"/>
        <w:spacing w:after="0" w:line="271"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at our clients’ option and for which funding has not been appropriated or otherwise authorized.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1"/>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4"/>
        </w:trPr>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4"/>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24"/>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Unfunded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r>
      <w:tr>
        <w:trPr>
          <w:trHeight w:val="224"/>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Priced options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r>
      <w:tr>
        <w:trPr>
          <w:trHeight w:val="242"/>
        </w:trPr>
        <w:tc>
          <w:tcPr>
            <w:tcW w:w="76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backlog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40" w:hanging="319"/>
        <w:spacing w:after="0" w:line="268"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presented as of September 30, 2021 includes backlog acquired from the Company's acquisitions made during the six months ended September 30, 2021. Total backlog acquired was approximately $2.1 billion as of September 30, 2021.</w:t>
      </w:r>
    </w:p>
    <w:p>
      <w:pPr>
        <w:spacing w:after="0" w:line="6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total backlog consists of remaining performance obligations, certain orders under contracts for which the period of performance has expired, and unexercised option period and other unexercised optional orders. As of September 30, 2022 and March 31, 2022, the Company had $9.0 billion and $7.4 billion of remaining performance obligations, respectively. We expect to recognize approximately 70% of the remaining performance obligations at September 30, 2022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2022,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9"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9.8% from September 30, 2021 to September 30, 2022. Additions to funded backlog during the twelve months ended September 30, 2022 totaled $10.3 billion in comparison to $9.2 billion for the comparable period in fiscal 2022,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82" w:lineRule="exact"/>
        <w:rPr>
          <w:sz w:val="20"/>
          <w:szCs w:val="20"/>
          <w:color w:val="auto"/>
        </w:rPr>
      </w:pPr>
    </w:p>
    <w:p>
      <w:pPr>
        <w:ind w:right="120" w:firstLine="395"/>
        <w:spacing w:after="0" w:line="246"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September 30, 2022 and any of the four preceding fiscal quarters.</w:t>
      </w:r>
    </w:p>
    <w:p>
      <w:pPr>
        <w:spacing w:after="0" w:line="80"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expect to recognize revenue from a substantial portion of funded backlog as of September 30, 2022 within the next twelve months. However, given the uncertainties discussed above, as well as the risks described in Part I, Item 1A, of our Annual Report on Form 10-K, we can give no assurance that we will be able to convert our backlog into revenue in any particular period, if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07" w:lineRule="exact"/>
        <w:rPr>
          <w:sz w:val="20"/>
          <w:szCs w:val="20"/>
          <w:color w:val="auto"/>
        </w:rPr>
      </w:pPr>
    </w:p>
    <w:p>
      <w:pPr>
        <w:ind w:left="640" w:hanging="319"/>
        <w:spacing w:after="0" w:line="271"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 including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labor relating to infrastructure, management and administration, and other expenses.</w:t>
      </w:r>
    </w:p>
    <w:p>
      <w:pPr>
        <w:spacing w:after="0" w:line="5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 contracts.</w:t>
      </w:r>
    </w:p>
    <w:p>
      <w:pPr>
        <w:spacing w:after="0" w:line="108" w:lineRule="exact"/>
        <w:rPr>
          <w:rFonts w:ascii="Times New Roman" w:cs="Times New Roman" w:eastAsia="Times New Roman" w:hAnsi="Times New Roman"/>
          <w:sz w:val="18"/>
          <w:szCs w:val="18"/>
          <w:color w:val="auto"/>
        </w:rPr>
      </w:pPr>
    </w:p>
    <w:p>
      <w:pPr>
        <w:ind w:left="640" w:right="880" w:hanging="319"/>
        <w:spacing w:after="0" w:line="271"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6" w:lineRule="exact"/>
        <w:rPr>
          <w:rFonts w:ascii="Times New Roman" w:cs="Times New Roman" w:eastAsia="Times New Roman" w:hAnsi="Times New Roman"/>
          <w:sz w:val="18"/>
          <w:szCs w:val="18"/>
          <w:color w:val="auto"/>
        </w:rPr>
      </w:pPr>
    </w:p>
    <w:p>
      <w:pPr>
        <w:ind w:left="640" w:right="100" w:hanging="319"/>
        <w:spacing w:after="0" w:line="25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the depreciation of computers, leasehold improvements, furniture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the amortization of internally developed software, as well as third-party software that we use internally, and of identifiable long-lived intangible assets over their estimated useful lives.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82"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Seasonality is just one of a number of factors, many of which are outside of our control, which may affect our results in any period. See “Item 1A. Risk Factors.”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11" w:lineRule="exact"/>
        <w:rPr>
          <w:sz w:val="20"/>
          <w:szCs w:val="20"/>
          <w:color w:val="auto"/>
        </w:rPr>
      </w:pPr>
    </w:p>
    <w:p>
      <w:pPr>
        <w:ind w:right="240" w:firstLine="395"/>
        <w:spacing w:after="0" w:line="303" w:lineRule="auto"/>
        <w:rPr>
          <w:sz w:val="20"/>
          <w:szCs w:val="20"/>
          <w:color w:val="auto"/>
        </w:rPr>
      </w:pPr>
      <w:r>
        <w:rPr>
          <w:rFonts w:ascii="Times New Roman" w:cs="Times New Roman" w:eastAsia="Times New Roman" w:hAnsi="Times New Roman"/>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2022.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sets forth items from our condensed consolidated statements of operations for the three and six months ended September 30, 2022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4"/>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Three Months Ended</w:t>
            </w:r>
          </w:p>
        </w:tc>
        <w:tc>
          <w:tcPr>
            <w:tcW w:w="120" w:type="dxa"/>
            <w:vAlign w:val="bottom"/>
          </w:tcPr>
          <w:p>
            <w:pPr>
              <w:spacing w:after="0"/>
              <w:rPr>
                <w:sz w:val="17"/>
                <w:szCs w:val="17"/>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7"/>
                <w:szCs w:val="17"/>
                <w:color w:val="auto"/>
              </w:rPr>
            </w:pPr>
          </w:p>
        </w:tc>
        <w:tc>
          <w:tcPr>
            <w:tcW w:w="2580" w:type="dxa"/>
            <w:vAlign w:val="bottom"/>
            <w:gridSpan w:val="4"/>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Percen</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Chang</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4,548,576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Billable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1,887,671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4,117,460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3,735,480</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320,415</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246,936</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3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154,834</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309,216</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246,936</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r>
        <w:rPr>
          <w:rFonts w:ascii="Times New Roman" w:cs="Times New Roman" w:eastAsia="Times New Roman" w:hAnsi="Times New Roman"/>
          <w:sz w:val="18"/>
          <w:szCs w:val="18"/>
          <w:i w:val="1"/>
          <w:iCs w:val="1"/>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1" w:lineRule="exact"/>
        <w:rPr>
          <w:sz w:val="20"/>
          <w:szCs w:val="20"/>
          <w:color w:val="auto"/>
        </w:rPr>
      </w:pPr>
    </w:p>
    <w:p>
      <w:pPr>
        <w:ind w:right="180" w:firstLine="395"/>
        <w:spacing w:after="0" w:line="293" w:lineRule="auto"/>
        <w:rPr>
          <w:sz w:val="20"/>
          <w:szCs w:val="20"/>
          <w:color w:val="auto"/>
        </w:rPr>
      </w:pPr>
      <w:r>
        <w:rPr>
          <w:rFonts w:ascii="Times New Roman" w:cs="Times New Roman" w:eastAsia="Times New Roman" w:hAnsi="Times New Roman"/>
          <w:sz w:val="16"/>
          <w:szCs w:val="16"/>
          <w:color w:val="auto"/>
        </w:rPr>
        <w:t>Revenue increased 9.2% and 11.1%, respectively, for the three and six months ended September 30, 2022 as compared to the prior year periods. The increases were primarily driven by a combination of headcount growth, salary increases, and strong demand for our solutions, as well as higher staff utilization compared to the prior year period. The increase in revenue over the year to date period also includes approximately $112.0 million of inorganic contributions related to fiscal 2022 acquisitions. Total headcount as of September 30, 2022 increased by approximately 780 as compared to September 30, 2021.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98"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Cost of revenue as a percentage of revenue was 46.0% and 45.0% for the three months ended September 30, 2022 and 2021, respectively, and 46.9% and 46.7% for the six months ended September 30, 2022, and 2021, respectively. Cost of revenue increased 11.6% for both the three and six months ended September 30, 2022 as compared to the prior year periods. The increases were primarily due to increases in salaries and salary-related benefits in the three and six months ended September 30, 2022 of $90.0 million and $176.8 million, respectively, driven by increased headcount and annual base salary increases. Incentive and stock-based compensation also increased $11.4 million and $21.9 million, respectively, in the three and six months ended September 30, 2022 as compared to the prior year periods.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1" w:lineRule="exact"/>
        <w:rPr>
          <w:sz w:val="20"/>
          <w:szCs w:val="20"/>
          <w:color w:val="auto"/>
        </w:rPr>
      </w:pPr>
    </w:p>
    <w:p>
      <w:pPr>
        <w:ind w:right="300" w:firstLine="395"/>
        <w:spacing w:after="0" w:line="250" w:lineRule="auto"/>
        <w:rPr>
          <w:sz w:val="20"/>
          <w:szCs w:val="20"/>
          <w:color w:val="auto"/>
        </w:rPr>
      </w:pPr>
      <w:r>
        <w:rPr>
          <w:rFonts w:ascii="Times New Roman" w:cs="Times New Roman" w:eastAsia="Times New Roman" w:hAnsi="Times New Roman"/>
          <w:sz w:val="18"/>
          <w:szCs w:val="18"/>
          <w:color w:val="auto"/>
        </w:rPr>
        <w:t>Billable expenses as a percentage of revenue were 29.8% and 30.4% for the three months ended September 30, 2022 and 2021, respectively, and 29.9% and 29.2% for the six months ended September 30, 2022 and 2021, respectively. Billable expenses increased 7.0% for the three months ended September 30, 2022 and increased 13.7% for the six months ended September 30, 2022 as compared to the prior year periods. Increases were primarily attributable to increases in the use of subcontractors driven by client demand and timing of client needs, as well as increases in expenses from contracts that require the Company to incur other direct expenses and travel on behalf of clients as compared to the prior year period.</w:t>
      </w: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1" w:lineRule="exact"/>
        <w:rPr>
          <w:sz w:val="20"/>
          <w:szCs w:val="20"/>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General and administrative expenses as a percentage of revenue were 12.8% and 12.5% for the three months ended September 30, 2022 and 2021, respectively, and 12.0% and 13.8% for the six months ended September 30, 2022 and 2021, respectively. General and administrative expenses increased 12.0% for the three months ended September 30, 2022 and decreased 3.1% for the six months ended September 30, 2022 as compared to the prior year periods.</w:t>
      </w:r>
    </w:p>
    <w:p>
      <w:pPr>
        <w:spacing w:after="0" w:line="40"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For the three months ended September 30, 2022 the increase was primarily driven by increases in other business expenses and professional fees which included approximately $15.4 million in acquisition and divestiture costs and $6.9 million in financing activities related to the Company's debt refinancing in September 2022. Salary and salary related benefits also contributed $6.1 million to the increase driven by increased headcount and annual base salary increases.</w:t>
      </w:r>
    </w:p>
    <w:p>
      <w:pPr>
        <w:spacing w:after="0" w:line="4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For the six months ended September 30, 2022, the decrease was primarily driven by a decrease of approximately $60.0 million in acquisition costs over the prior year period related to our acquisitions of Liberty and Tracepoint, partially offset by increases in salary and salary related benefits of $9.0 million driven by increased headcount and annual base salary increases.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1" w:lineRule="exact"/>
        <w:rPr>
          <w:sz w:val="20"/>
          <w:szCs w:val="20"/>
          <w:color w:val="auto"/>
        </w:rPr>
      </w:pPr>
    </w:p>
    <w:p>
      <w:pPr>
        <w:ind w:right="340" w:firstLine="395"/>
        <w:spacing w:after="0" w:line="332" w:lineRule="auto"/>
        <w:rPr>
          <w:sz w:val="20"/>
          <w:szCs w:val="20"/>
          <w:color w:val="auto"/>
        </w:rPr>
      </w:pPr>
      <w:r>
        <w:rPr>
          <w:rFonts w:ascii="Times New Roman" w:cs="Times New Roman" w:eastAsia="Times New Roman" w:hAnsi="Times New Roman"/>
          <w:sz w:val="16"/>
          <w:szCs w:val="16"/>
          <w:color w:val="auto"/>
        </w:rPr>
        <w:t>Depreciation and amortization expense increased 3.9% for the three months ended September 30, 2022 and increased 21.1% for the six months ended September 30, 2022 as compared to the prior year periods, primarily due to increases in intangible amortization related to the acquisitions in fiscal 2022.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1"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Interest expense increased 16.9% for the three months ended September 30, 2022, and increased 16.4% for the six months ended September 30, 2022 as compared to the prior year periods, primarily due to an overall increase in rates.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Other income (expense), net increased to $26.5 million net other income for the three months ended September 30, 2022 from $6.8 million for the three months ended September 30, 2021, and increased to $23.5 million net other income for the six months ended September 30, 2022 from $6.3 million for the six months ended September 30, 2021. Increases were driven by the following:</w:t>
      </w:r>
    </w:p>
    <w:p>
      <w:pPr>
        <w:spacing w:after="0" w:line="75" w:lineRule="exact"/>
        <w:rPr>
          <w:sz w:val="20"/>
          <w:szCs w:val="20"/>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$31.2 million pre-tax gain recognized, associated with the divestiture of the Company's MENA business;</w:t>
      </w:r>
    </w:p>
    <w:p>
      <w:pPr>
        <w:spacing w:after="0" w:line="108"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gain from the Company's remeasurement of its previously held equity method investment in Tracepoint in the second quarter of fiscal 2022, not present in the current year; and</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 fees related to the Company's debt refinancing in the second quarter of fiscal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1"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Income tax expense increased 11.1% for the three months ended September 30, 2022 and increased 26.2% for the six months ended September 30, 2022 as compared to the prior year periods, primarily due to increases in pre-tax income and the resulting tax on the gain related to the Company's divestiture of its MENA business. The effective tax rate increased to 23.1% for the three months ended September 30, 2022 from 23.0% for the three months ended September 30, 2021 and increased to 23.1% for the six months ended September 30, 2022 from 22.9% for the six months ended September 30, 2021.</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September 30, 2022 and March 31, 2022 and for the first six months of fiscal 2023 and 2022:</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60" w:type="dxa"/>
            <w:vAlign w:val="bottom"/>
          </w:tcPr>
          <w:p>
            <w:pPr>
              <w:spacing w:after="0"/>
              <w:rPr>
                <w:sz w:val="17"/>
                <w:szCs w:val="17"/>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4"/>
        </w:trPr>
        <w:tc>
          <w:tcPr>
            <w:tcW w:w="7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1"/>
        </w:trPr>
        <w:tc>
          <w:tcPr>
            <w:tcW w:w="7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695,910</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2,800,072</w:t>
            </w:r>
          </w:p>
        </w:tc>
      </w:tr>
    </w:tbl>
    <w:p>
      <w:pPr>
        <w:spacing w:after="0" w:line="13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7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78"/>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186"/>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459,746</w:t>
            </w:r>
          </w:p>
        </w:tc>
      </w:tr>
      <w:tr>
        <w:trPr>
          <w:trHeight w:val="2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6"/>
              </w:rPr>
              <w:t>(811,256)</w:t>
            </w: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149,252</w:t>
            </w:r>
          </w:p>
        </w:tc>
      </w:tr>
      <w:tr>
        <w:trPr>
          <w:trHeight w:val="21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cash and cash equivalents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8"/>
                <w:szCs w:val="18"/>
                <w:color w:val="auto"/>
                <w:w w:val="96"/>
              </w:rPr>
              <w:t>(202,258)</w:t>
            </w: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8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49"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 w:lineRule="exact"/>
        <w:rPr>
          <w:sz w:val="20"/>
          <w:szCs w:val="20"/>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both organic and inorganic growth of our business;</w:t>
      </w:r>
    </w:p>
    <w:p>
      <w:pPr>
        <w:spacing w:after="0" w:line="56" w:lineRule="exact"/>
        <w:rPr>
          <w:rFonts w:ascii="Times New Roman" w:cs="Times New Roman" w:eastAsia="Times New Roman" w:hAnsi="Times New Roman"/>
          <w:sz w:val="18"/>
          <w:szCs w:val="18"/>
          <w:color w:val="auto"/>
        </w:rPr>
      </w:pPr>
    </w:p>
    <w:p>
      <w:pPr>
        <w:ind w:left="640" w:right="4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maintenance around all financial management systems;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56"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Senior Notes due 2029 and the Senior Notes due 2028; and</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1" w:lineRule="exact"/>
        <w:rPr>
          <w:sz w:val="20"/>
          <w:szCs w:val="20"/>
          <w:color w:val="auto"/>
        </w:rPr>
      </w:pPr>
    </w:p>
    <w:p>
      <w:pPr>
        <w:ind w:right="140" w:firstLine="395"/>
        <w:spacing w:after="0" w:line="241" w:lineRule="auto"/>
        <w:rPr>
          <w:sz w:val="20"/>
          <w:szCs w:val="20"/>
          <w:color w:val="auto"/>
        </w:rPr>
      </w:pPr>
      <w:r>
        <w:rPr>
          <w:rFonts w:ascii="Times New Roman" w:cs="Times New Roman" w:eastAsia="Times New Roman" w:hAnsi="Times New Roman"/>
          <w:sz w:val="18"/>
          <w:szCs w:val="18"/>
          <w:color w:val="auto"/>
        </w:rPr>
        <w:t>On October 14, 2022, the Company acquired EverWatch Corp. (“EverWatch”) for approximately $440.0 million, net of post-closing adjustments, and transaction costs incurred as part of the acquisition. As a result of the transaction, EverWatch became a wholly owned subsidiary of Booz Allen Hamilton Inc. EverWatch is a leading provider of advanced solutions to the defense and intelligence communities.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80"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1"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$227.1 million for the six months ended September 30, 2022 compared to $459.7 million in the prior year period. Strong collections were partially offset by higher disbursements including approximately $216.0 million of cash tax payments.</w:t>
      </w:r>
    </w:p>
    <w:p>
      <w:pPr>
        <w:spacing w:after="0" w:line="80"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Beginning in fiscal 2023, the Tax Cuts and Jobs Act of 2017 eliminates the option to deduct research and development expenditures immediately in the year incurred and requires taxpayers to amortize such expenditures over five years. We currently anticipate our fiscal 2023 cash from operations will be negatively impacted by approximately $140 million as a result of this provision, but the actual impact on the current fiscal year will depend on if and when this provision is deferred, modified, or repealed by Congress, including if retroactively, any guidance issued by the Treasury Department regarding the identification of appropriate costs for capitalization, and the amount of research and development expenses paid or incurred in fiscal 2023 (among other factors). This will also have an offsetting impact on deferred tax assets. While the largest impact will be to fiscal 2023 cash from operations, the impact would continue over the five year amortization period, but would decrease over the period and be immaterial in year six.</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11"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$14.3 million in the six months ended September 30, 2022 compared to net cash used in investing activities of $811.3 million in the prior year period. The increase to investing cash flows was primarily due to the MENA Divestiture, as well as the Company's acquisition of Liberty in the prior year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was $180.8 million in the six months ended September 30, 2022 compared to net cash provided by financing activities of $149.3 million in the prior year period. The decrease in net cash provided by financing activities was primarily due to net proceeds in the prior year of $493.7 million from the issuance of the 4.000% Senior Notes due 2029, partially offset by $414.8 million in proceeds in the current year from the Company's September 2022 debt refinancing. In addition, share repurchases declined $129.1 million over the prior year period.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13"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On October 28, 2022, the Company announced a regular quarterly cash dividend in the amount of $0.43 per share. The quarterly dividend is payable on December 2, 2022 to stockholders of record on November 15, 2022.</w:t>
      </w:r>
    </w:p>
    <w:p>
      <w:pPr>
        <w:spacing w:after="0" w:line="64"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September 30, 2022, quarterly cash dividends of $0.43 and $0.86 per share, respectively, were declared and paid totaling $57.0 million and $115.9 million, respectively. During the three and six months ended September 30, 2021, quarterly cash dividends of $0.37 and $0.74 per share, respectively, were declared and paid totaling $51.2 million and $101.9 million, respectively.</w:t>
      </w:r>
    </w:p>
    <w:p>
      <w:pPr>
        <w:spacing w:after="0" w:line="75" w:lineRule="exact"/>
        <w:rPr>
          <w:sz w:val="20"/>
          <w:szCs w:val="20"/>
          <w:color w:val="auto"/>
        </w:rPr>
      </w:pPr>
    </w:p>
    <w:p>
      <w:pPr>
        <w:ind w:right="20" w:firstLine="395"/>
        <w:spacing w:after="0" w:line="239" w:lineRule="auto"/>
        <w:rPr>
          <w:sz w:val="20"/>
          <w:szCs w:val="20"/>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 $2,560.0 million on July 27, 2022. The Company may repurchase shares pursuant to the program by means of open market repurchases, directly negotiated repurchases or through agents acting pursuant to negotiated repurchase agreements. During the first six months of fiscal 2023, the Company purchased 0.9 million shares of the Company's Class A Common Stock for an aggregate of $76.4 million. As of September 30, 2022, the Company had approximately $975.2 million remaining under the repurchase program.</w:t>
      </w:r>
    </w:p>
    <w:p>
      <w:pPr>
        <w:spacing w:after="0" w:line="8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6"/>
          <w:szCs w:val="16"/>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September 30, 2022, the Credit Agreement provided Booz Allen Hamilton with a</w:t>
      </w:r>
    </w:p>
    <w:p>
      <w:pPr>
        <w:spacing w:after="0" w:line="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$1,650.0 million Term Loan A (“New Term Loan A”) and a $1,000.0 million revolving credit facility (the “Revolving Credit Facility”), with a sub-limit for letters of credit of $200.0 million (collectively, the “Secured Credit Facility”).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w:t>
      </w:r>
    </w:p>
    <w:p>
      <w:pPr>
        <w:spacing w:after="0" w:line="50" w:lineRule="exact"/>
        <w:rPr>
          <w:sz w:val="20"/>
          <w:szCs w:val="20"/>
          <w:color w:val="auto"/>
        </w:rPr>
      </w:pPr>
    </w:p>
    <w:p>
      <w:pPr>
        <w:ind w:right="40" w:firstLine="395"/>
        <w:spacing w:after="0" w:line="225" w:lineRule="auto"/>
        <w:rPr>
          <w:sz w:val="20"/>
          <w:szCs w:val="20"/>
          <w:color w:val="auto"/>
        </w:rPr>
      </w:pPr>
      <w:r>
        <w:rPr>
          <w:rFonts w:ascii="Times New Roman" w:cs="Times New Roman" w:eastAsia="Times New Roman" w:hAnsi="Times New Roman"/>
          <w:sz w:val="18"/>
          <w:szCs w:val="18"/>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63" w:lineRule="exact"/>
        <w:rPr>
          <w:sz w:val="20"/>
          <w:szCs w:val="20"/>
          <w:color w:val="auto"/>
        </w:rPr>
      </w:pPr>
    </w:p>
    <w:p>
      <w:pPr>
        <w:ind w:right="200" w:firstLine="395"/>
        <w:spacing w:after="0" w:line="298" w:lineRule="auto"/>
        <w:rPr>
          <w:sz w:val="20"/>
          <w:szCs w:val="20"/>
          <w:color w:val="auto"/>
        </w:rPr>
      </w:pPr>
      <w:r>
        <w:rPr>
          <w:rFonts w:ascii="Times New Roman" w:cs="Times New Roman" w:eastAsia="Times New Roman" w:hAnsi="Times New Roman"/>
          <w:sz w:val="16"/>
          <w:szCs w:val="16"/>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3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as follows: (i) 0.625% of the stated principal amount of the New Term Loan A on the last business day of each full fiscal quarter that begins after the Ninth Amendment Effective Date but on or before the two year anniversary of the Ninth Amendment Effective Date, and (ii) 1.25% of the stated principal amount of the New Term Loan A on the last business day of each full fiscal quarter that begins after the two year anniversary of the Ninth Amendment Effective Date but before the five year anniversary of the Ninth Amendment Effective Date. The remaining balance of the New Term Loan A will be payable upon maturity.</w:t>
      </w:r>
    </w:p>
    <w:p>
      <w:pPr>
        <w:spacing w:after="0" w:line="8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the Ninth Amendment, the Company accelerated the amortization of ratable portions of the Debt Issuance Costs, or DIC, and Original Issue Discount, or OID associated with the prior senior secured loan facilities of $3.4 million. These expenses are reflected in other expense, net in the condensed consolidated statement of operations for the three and six months ended September 30, 2022. Additionally, the Company expensed third party debt issuance costs of $6.9 million that did not qualify for deferral, which are reflected in general and administrative costs in the condensed consolidated statement of operations.</w:t>
      </w:r>
    </w:p>
    <w:p>
      <w:pPr>
        <w:spacing w:after="0" w:line="67" w:lineRule="exact"/>
        <w:rPr>
          <w:sz w:val="20"/>
          <w:szCs w:val="20"/>
          <w:color w:val="auto"/>
        </w:rPr>
      </w:pPr>
    </w:p>
    <w:p>
      <w:pPr>
        <w:ind w:firstLine="395"/>
        <w:spacing w:after="0" w:line="234" w:lineRule="auto"/>
        <w:rPr>
          <w:sz w:val="20"/>
          <w:szCs w:val="20"/>
          <w:color w:val="auto"/>
        </w:rPr>
      </w:pPr>
      <w:r>
        <w:rPr>
          <w:rFonts w:ascii="Times New Roman" w:cs="Times New Roman" w:eastAsia="Times New Roman" w:hAnsi="Times New Roman"/>
          <w:sz w:val="18"/>
          <w:szCs w:val="18"/>
          <w:color w:val="auto"/>
        </w:rPr>
        <w:t>As of September 30, 2022 and March 31, 2022, Booz Allen Hamilton was contingently liable under open standby letters of credit and bank guarantees issued by its banks in favor of third parties that totaled $7.5 million and $8.4 million, respectively. These letters of credit and bank guarantees primarily support insurance and bid and performance obligations. For both September 30, 2022 and March 31, 2022, approximately $1.0 million of these instruments reduced our available borrowings under the Revolving Credit Facility. The remainder is guaranteed under a separate $20.0 million facility of which $13.5 million and $12.6 million, respectively, was available to Booz Allen Hamilton at September 30, 2022 and March 31, 2022. As of September 30, 2022, we had $999.0 million of capacity available for additional borrowings under the Revolving Credit Facility.</w:t>
      </w:r>
    </w:p>
    <w:p>
      <w:pPr>
        <w:spacing w:after="0" w:line="9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September 30, 2022 and March 31, 2022, Booz Allen Hamilton was in compliance with all financial covenants associated with its debt and debt-like instruments.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interest payments made on Existing Term Loan A and Existing Term Loan B:</w:t>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3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0"/>
        </w:trPr>
        <w:tc>
          <w:tcPr>
            <w:tcW w:w="38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BFE4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BFE4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7"/>
        </w:trPr>
        <w:tc>
          <w:tcPr>
            <w:tcW w:w="38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Existing Term Loan A</w:t>
            </w:r>
          </w:p>
        </w:tc>
        <w:tc>
          <w:tcPr>
            <w:tcW w:w="34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shd w:val="clear" w:color="auto" w:fill="BFE4FF"/>
          </w:tcPr>
          <w:p>
            <w:pPr>
              <w:spacing w:after="0"/>
              <w:rPr>
                <w:sz w:val="18"/>
                <w:szCs w:val="18"/>
                <w:color w:val="auto"/>
              </w:rPr>
            </w:pPr>
          </w:p>
        </w:tc>
        <w:tc>
          <w:tcPr>
            <w:tcW w:w="940" w:type="dxa"/>
            <w:vAlign w:val="bottom"/>
            <w:shd w:val="clear" w:color="auto" w:fill="BFE4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shd w:val="clear" w:color="auto" w:fill="BFE4FF"/>
          </w:tcPr>
          <w:p>
            <w:pPr>
              <w:spacing w:after="0"/>
              <w:rPr>
                <w:sz w:val="18"/>
                <w:szCs w:val="18"/>
                <w:color w:val="auto"/>
              </w:rPr>
            </w:pPr>
          </w:p>
        </w:tc>
        <w:tc>
          <w:tcPr>
            <w:tcW w:w="520" w:type="dxa"/>
            <w:vAlign w:val="bottom"/>
            <w:shd w:val="clear" w:color="auto" w:fill="BFE4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224"/>
        </w:trPr>
        <w:tc>
          <w:tcPr>
            <w:tcW w:w="38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Existing Term Loan B</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BFE4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bottom w:val="single" w:sz="8" w:color="BFE4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42"/>
        </w:trPr>
        <w:tc>
          <w:tcPr>
            <w:tcW w:w="38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auto"/>
            </w:tcBorders>
            <w:shd w:val="clear" w:color="auto" w:fill="BFE4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BFE4FF"/>
            </w:tcBorders>
            <w:shd w:val="clear" w:color="auto" w:fill="BFE4FF"/>
          </w:tcPr>
          <w:p>
            <w:pPr>
              <w:spacing w:after="0"/>
              <w:rPr>
                <w:sz w:val="20"/>
                <w:szCs w:val="20"/>
                <w:color w:val="auto"/>
              </w:rPr>
            </w:pPr>
          </w:p>
        </w:tc>
        <w:tc>
          <w:tcPr>
            <w:tcW w:w="520" w:type="dxa"/>
            <w:vAlign w:val="bottom"/>
            <w:tcBorders>
              <w:bottom w:val="single" w:sz="8" w:color="auto"/>
            </w:tcBorders>
            <w:shd w:val="clear" w:color="auto" w:fill="BFE4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14,070</w:t>
            </w:r>
          </w:p>
        </w:tc>
      </w:tr>
      <w:tr>
        <w:trPr>
          <w:trHeight w:val="20"/>
        </w:trPr>
        <w:tc>
          <w:tcPr>
            <w:tcW w:w="38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Borrowings under the New Term Loan A and, if used, the Revolving Credit Facility, incur interest at a variable rate. In accordance with our risk management strategy, Booz Allen Hamilton executed a series of interest rate swaps. As of September 30, 2022, we had interest rate swaps with an aggregate notional amount of $550.0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9 to our condensed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For information on the terms, conditions, and restrictions of the Company's 4.000% Senior Notes due July 1, 2029 (the “Senior Notes due 2029”) and 3.875% Senior Notes due 2028 (the “Senior Notes due 2028”, and, together with the Senior Notes due 2029, the “Senior Notes”), see Note 10, “Debt,” of the Company’s consolidated financial statements included in the fiscal 2022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stockholders’ equity amounted to $1,218.5 million as of September 30, 2022, an increase of $171.8 million, compared to stockholders’ equity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$1,046.7 million as of March 31, 2022, primarily due to $87.4 million in treasury stock resulting from the repurchase of shares of our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$115.3 million in quarterly dividend payments for the six months ended September 30, 2022, partially offset by net income of $308.9 million, stock-based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of $32.1 million, and issuance of common stock of $12.1 million during the six months ended September 30, 2022.</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11"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both the six months ended September 30, 2022 and 2021 were $29.7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1"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1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33" w:lineRule="exact"/>
        <w:rPr>
          <w:sz w:val="20"/>
          <w:szCs w:val="20"/>
          <w:color w:val="auto"/>
        </w:rPr>
      </w:pPr>
    </w:p>
    <w:p>
      <w:pPr>
        <w:ind w:left="640" w:right="74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1" w:lineRule="exact"/>
        <w:rPr>
          <w:rFonts w:ascii="Times New Roman" w:cs="Times New Roman" w:eastAsia="Times New Roman" w:hAnsi="Times New Roman"/>
          <w:sz w:val="18"/>
          <w:szCs w:val="18"/>
          <w:color w:val="auto"/>
        </w:rPr>
      </w:pPr>
    </w:p>
    <w:p>
      <w:pPr>
        <w:ind w:left="640" w:right="460" w:hanging="319"/>
        <w:spacing w:after="0" w:line="256"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21"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11" w:lineRule="exact"/>
        <w:rPr>
          <w:rFonts w:ascii="Times New Roman" w:cs="Times New Roman" w:eastAsia="Times New Roman" w:hAnsi="Times New Roman"/>
          <w:sz w:val="18"/>
          <w:szCs w:val="18"/>
          <w:color w:val="auto"/>
        </w:rPr>
      </w:pPr>
    </w:p>
    <w:p>
      <w:pPr>
        <w:jc w:val="both"/>
        <w:ind w:left="640" w:right="420" w:hanging="319"/>
        <w:spacing w:after="0" w:line="297" w:lineRule="auto"/>
        <w:tabs>
          <w:tab w:leader="none" w:pos="63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delayed long-term funding of our contracts due to uncertainty relating to funding of the U.S. government and a possible failure of Congressional efforts to approve such funding of the U.S. government beyond December 16, 2022 and to craft a long-term agreement on the U.S. government’s ability to incur indebtedness in excess of its current limits, or changes in the pattern or timing of government funding and spending;</w:t>
      </w:r>
    </w:p>
    <w:p>
      <w:pPr>
        <w:spacing w:after="0" w:line="1"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w:t>
      </w:r>
    </w:p>
    <w:p>
      <w:pPr>
        <w:spacing w:after="0" w:line="56" w:lineRule="exact"/>
        <w:rPr>
          <w:rFonts w:ascii="Times New Roman" w:cs="Times New Roman" w:eastAsia="Times New Roman" w:hAnsi="Times New Roman"/>
          <w:sz w:val="18"/>
          <w:szCs w:val="18"/>
          <w:color w:val="auto"/>
        </w:rPr>
      </w:pPr>
    </w:p>
    <w:p>
      <w:pPr>
        <w:ind w:left="640" w:hanging="319"/>
        <w:spacing w:after="0" w:line="267" w:lineRule="auto"/>
        <w:tabs>
          <w:tab w:leader="none" w:pos="636"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2" w:lineRule="exact"/>
        <w:rPr>
          <w:rFonts w:ascii="Arial" w:cs="Arial" w:eastAsia="Arial" w:hAnsi="Arial"/>
          <w:sz w:val="18"/>
          <w:szCs w:val="18"/>
          <w:color w:val="auto"/>
        </w:rPr>
      </w:pPr>
    </w:p>
    <w:p>
      <w:pPr>
        <w:jc w:val="both"/>
        <w:ind w:left="640" w:right="120" w:hanging="319"/>
        <w:spacing w:after="0" w:line="256"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spacing w:after="0" w:line="21"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11"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GSA schedules or our position as prime contractor on government-wide acquisition contract vehicles, or GWACs;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56" w:lineRule="exact"/>
        <w:rPr>
          <w:rFonts w:ascii="Times New Roman" w:cs="Times New Roman" w:eastAsia="Times New Roman" w:hAnsi="Times New Roman"/>
          <w:sz w:val="18"/>
          <w:szCs w:val="18"/>
          <w:color w:val="auto"/>
        </w:rPr>
      </w:pPr>
    </w:p>
    <w:p>
      <w:pPr>
        <w:ind w:left="640" w:right="48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11"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cyber attacks on our network and internal systems;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operation of financial management systems;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56"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inflation that could impact the cost of doing business and/or reduce customer buying power;</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56" w:lineRule="exact"/>
        <w:rPr>
          <w:rFonts w:ascii="Times New Roman" w:cs="Times New Roman" w:eastAsia="Times New Roman" w:hAnsi="Times New Roman"/>
          <w:sz w:val="18"/>
          <w:szCs w:val="18"/>
          <w:color w:val="auto"/>
        </w:rPr>
      </w:pPr>
    </w:p>
    <w:p>
      <w:pPr>
        <w:ind w:left="640" w:right="54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 contractor relationship to meet their obligations to us or our clients;</w:t>
      </w:r>
    </w:p>
    <w:p>
      <w:pPr>
        <w:spacing w:after="0" w:line="11" w:lineRule="exact"/>
        <w:rPr>
          <w:rFonts w:ascii="Times New Roman" w:cs="Times New Roman" w:eastAsia="Times New Roman" w:hAnsi="Times New Roman"/>
          <w:sz w:val="18"/>
          <w:szCs w:val="18"/>
          <w:color w:val="auto"/>
        </w:rPr>
      </w:pPr>
    </w:p>
    <w:p>
      <w:pPr>
        <w:jc w:val="both"/>
        <w:ind w:left="640" w:right="100" w:hanging="319"/>
        <w:spacing w:after="0" w:line="256"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56" w:lineRule="exact"/>
        <w:rPr>
          <w:rFonts w:ascii="Times New Roman" w:cs="Times New Roman" w:eastAsia="Times New Roman" w:hAnsi="Times New Roman"/>
          <w:sz w:val="18"/>
          <w:szCs w:val="18"/>
          <w:color w:val="auto"/>
        </w:rPr>
      </w:pPr>
    </w:p>
    <w:p>
      <w:pPr>
        <w:ind w:left="640" w:right="24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by the U.S. government of new laws, rules, and regulations, such as those relating to organizational conflicts of interest issues or limits;</w:t>
      </w:r>
    </w:p>
    <w:p>
      <w:pPr>
        <w:spacing w:after="0" w:line="79" w:lineRule="exact"/>
        <w:rPr>
          <w:rFonts w:ascii="Times New Roman" w:cs="Times New Roman" w:eastAsia="Times New Roman" w:hAnsi="Times New Roman"/>
          <w:sz w:val="16"/>
          <w:szCs w:val="16"/>
          <w:color w:val="auto"/>
        </w:rPr>
      </w:pPr>
    </w:p>
    <w:p>
      <w:pPr>
        <w:ind w:left="640" w:right="240" w:hanging="319"/>
        <w:spacing w:after="0" w:line="256"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tax liabilities, including as a result of changes in tax laws or management judgments involving complex tax matters;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56"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21"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56"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ESG-related risks and climate change generally on our and our clients' businesses and operations; and</w:t>
      </w:r>
    </w:p>
    <w:p>
      <w:pPr>
        <w:spacing w:after="0" w:line="56" w:lineRule="exact"/>
        <w:rPr>
          <w:rFonts w:ascii="Times New Roman" w:cs="Times New Roman" w:eastAsia="Times New Roman" w:hAnsi="Times New Roman"/>
          <w:sz w:val="18"/>
          <w:szCs w:val="18"/>
          <w:color w:val="auto"/>
        </w:rPr>
      </w:pPr>
    </w:p>
    <w:p>
      <w:pPr>
        <w:ind w:left="640" w:right="60" w:hanging="319"/>
        <w:spacing w:after="0" w:line="267" w:lineRule="auto"/>
        <w:tabs>
          <w:tab w:leader="none" w:pos="636"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 as well as those listed under “Risk Factors” in our Annual Report on Form 10-K for the year ended March 31, 2022.</w:t>
      </w:r>
    </w:p>
    <w:p>
      <w:pPr>
        <w:spacing w:after="0" w:line="65"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2022 filed with the Securities and Exchange Commission on May 20, 2022.</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jc w:val="both"/>
        <w:ind w:right="400" w:firstLine="395"/>
        <w:spacing w:after="0" w:line="25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2022 and March 31, 2022, there were no material amounts accrued in the condensed consolidated financial statements related to these proceedings.</w:t>
      </w:r>
    </w:p>
    <w:p>
      <w:pPr>
        <w:spacing w:after="0" w:line="86" w:lineRule="exact"/>
        <w:rPr>
          <w:sz w:val="20"/>
          <w:szCs w:val="20"/>
          <w:color w:val="auto"/>
        </w:rPr>
      </w:pPr>
    </w:p>
    <w:p>
      <w:pPr>
        <w:ind w:firstLine="434"/>
        <w:spacing w:after="0" w:line="281" w:lineRule="auto"/>
        <w:rPr>
          <w:sz w:val="20"/>
          <w:szCs w:val="20"/>
          <w:color w:val="auto"/>
        </w:rPr>
      </w:pPr>
      <w:r>
        <w:rPr>
          <w:rFonts w:ascii="Times New Roman" w:cs="Times New Roman" w:eastAsia="Times New Roman" w:hAnsi="Times New Roman"/>
          <w:sz w:val="16"/>
          <w:szCs w:val="16"/>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272" w:lineRule="exact"/>
        <w:rPr>
          <w:sz w:val="20"/>
          <w:szCs w:val="20"/>
          <w:color w:val="auto"/>
        </w:rPr>
      </w:pPr>
    </w:p>
    <w:p>
      <w:pPr>
        <w:ind w:right="60" w:firstLine="434"/>
        <w:spacing w:after="0" w:line="281" w:lineRule="auto"/>
        <w:rPr>
          <w:sz w:val="20"/>
          <w:szCs w:val="20"/>
          <w:color w:val="auto"/>
        </w:rPr>
      </w:pPr>
      <w:r>
        <w:rPr>
          <w:rFonts w:ascii="Times New Roman" w:cs="Times New Roman" w:eastAsia="Times New Roman" w:hAnsi="Times New Roman"/>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1"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November 22, 2021, and May 23, 2022,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2022 filed with the Securities and Exchange Commission on May 20, 2022.</w:t>
      </w:r>
    </w:p>
    <w:p>
      <w:pPr>
        <w:spacing w:after="0" w:line="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during the three months ended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Approximate Dollar Value</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0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 Price Paid per</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20" w:type="dxa"/>
            <w:vAlign w:val="bottom"/>
          </w:tcPr>
          <w:p>
            <w:pPr>
              <w:spacing w:after="0"/>
              <w:rPr>
                <w:sz w:val="13"/>
                <w:szCs w:val="13"/>
                <w:color w:val="auto"/>
              </w:rPr>
            </w:pPr>
          </w:p>
        </w:tc>
        <w:tc>
          <w:tcPr>
            <w:tcW w:w="18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Shares that May Yet Be</w:t>
            </w:r>
          </w:p>
        </w:tc>
        <w:tc>
          <w:tcPr>
            <w:tcW w:w="0" w:type="dxa"/>
            <w:vAlign w:val="bottom"/>
          </w:tcPr>
          <w:p>
            <w:pPr>
              <w:spacing w:after="0"/>
              <w:rPr>
                <w:sz w:val="1"/>
                <w:szCs w:val="1"/>
                <w:color w:val="auto"/>
              </w:rPr>
            </w:pPr>
          </w:p>
        </w:tc>
      </w:tr>
      <w:tr>
        <w:trPr>
          <w:trHeight w:val="158"/>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9"/>
              </w:rPr>
              <w:t>Plans or Programs (1)</w:t>
            </w:r>
          </w:p>
        </w:tc>
        <w:tc>
          <w:tcPr>
            <w:tcW w:w="0" w:type="dxa"/>
            <w:vAlign w:val="bottom"/>
          </w:tcPr>
          <w:p>
            <w:pPr>
              <w:spacing w:after="0"/>
              <w:rPr>
                <w:sz w:val="1"/>
                <w:szCs w:val="1"/>
                <w:color w:val="auto"/>
              </w:rPr>
            </w:pPr>
          </w:p>
        </w:tc>
      </w:tr>
      <w:tr>
        <w:trPr>
          <w:trHeight w:val="218"/>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105,801</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$89.81</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105,801</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595,187,968</w:t>
            </w:r>
          </w:p>
        </w:tc>
        <w:tc>
          <w:tcPr>
            <w:tcW w:w="0" w:type="dxa"/>
            <w:vAlign w:val="bottom"/>
          </w:tcPr>
          <w:p>
            <w:pPr>
              <w:spacing w:after="0"/>
              <w:rPr>
                <w:sz w:val="1"/>
                <w:szCs w:val="1"/>
                <w:color w:val="auto"/>
              </w:rPr>
            </w:pPr>
          </w:p>
        </w:tc>
      </w:tr>
      <w:tr>
        <w:trPr>
          <w:trHeight w:val="22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104,372</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6"/>
              </w:rPr>
              <w:t>$95.81</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104,372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985,188,052</w:t>
            </w: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104,211</w:t>
            </w:r>
          </w:p>
        </w:tc>
        <w:tc>
          <w:tcPr>
            <w:tcW w:w="1860" w:type="dxa"/>
            <w:vAlign w:val="bottom"/>
            <w:gridSpan w:val="2"/>
            <w:shd w:val="clear" w:color="auto" w:fill="BFE4FF"/>
          </w:tcPr>
          <w:p>
            <w:pPr>
              <w:jc w:val="center"/>
              <w:ind w:left="12"/>
              <w:spacing w:after="0"/>
              <w:rPr>
                <w:sz w:val="20"/>
                <w:szCs w:val="20"/>
                <w:color w:val="auto"/>
              </w:rPr>
            </w:pPr>
            <w:r>
              <w:rPr>
                <w:rFonts w:ascii="Times New Roman" w:cs="Times New Roman" w:eastAsia="Times New Roman" w:hAnsi="Times New Roman"/>
                <w:sz w:val="18"/>
                <w:szCs w:val="18"/>
                <w:color w:val="auto"/>
                <w:w w:val="96"/>
              </w:rPr>
              <w:t>$95.96</w:t>
            </w:r>
          </w:p>
        </w:tc>
        <w:tc>
          <w:tcPr>
            <w:tcW w:w="120" w:type="dxa"/>
            <w:vAlign w:val="bottom"/>
            <w:shd w:val="clear" w:color="auto" w:fill="BFE4FF"/>
          </w:tcPr>
          <w:p>
            <w:pPr>
              <w:spacing w:after="0"/>
              <w:rPr>
                <w:sz w:val="19"/>
                <w:szCs w:val="19"/>
                <w:color w:val="auto"/>
              </w:rPr>
            </w:pPr>
          </w:p>
        </w:tc>
        <w:tc>
          <w:tcPr>
            <w:tcW w:w="18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104,211</w:t>
            </w:r>
          </w:p>
        </w:tc>
        <w:tc>
          <w:tcPr>
            <w:tcW w:w="260" w:type="dxa"/>
            <w:vAlign w:val="bottom"/>
            <w:gridSpan w:val="2"/>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975,188,080</w:t>
            </w:r>
          </w:p>
        </w:tc>
        <w:tc>
          <w:tcPr>
            <w:tcW w:w="0" w:type="dxa"/>
            <w:vAlign w:val="bottom"/>
          </w:tcPr>
          <w:p>
            <w:pPr>
              <w:spacing w:after="0"/>
              <w:rPr>
                <w:sz w:val="1"/>
                <w:szCs w:val="1"/>
                <w:color w:val="auto"/>
              </w:rPr>
            </w:pPr>
          </w:p>
        </w:tc>
      </w:tr>
      <w:tr>
        <w:trPr>
          <w:trHeight w:val="217"/>
        </w:trPr>
        <w:tc>
          <w:tcPr>
            <w:tcW w:w="3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314,384</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314,384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640" w:hanging="47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w:t>
      </w:r>
    </w:p>
    <w:p>
      <w:pPr>
        <w:spacing w:after="0" w:line="21" w:lineRule="exact"/>
        <w:rPr>
          <w:rFonts w:ascii="Times New Roman" w:cs="Times New Roman" w:eastAsia="Times New Roman" w:hAnsi="Times New Roman"/>
          <w:sz w:val="18"/>
          <w:szCs w:val="18"/>
          <w:color w:val="auto"/>
        </w:rPr>
      </w:pPr>
    </w:p>
    <w:p>
      <w:pPr>
        <w:ind w:left="640" w:right="20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 million on July 27,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September 30, 2022.</w:t>
      </w:r>
    </w:p>
    <w:p>
      <w:pPr>
        <w:spacing w:after="0" w:line="8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On October 25, 2022, the Compensation, Culture and People Committee (the “Committee”) of the Board of Directors of the Company approved certain changes to the target total direct compensation of Matthew A. Calderone, Executive Vice President and Chief Financial Officer of the Company, effective as of October 1, 2022. Mr. Calderone’s target total direct compensation was increased from $1,490,575 to $2,300,000, which reflects an increase of $809,425 in his target long-term equity incentive (and no changes to his base salary and target cash bonus).</w:t>
      </w:r>
    </w:p>
    <w:p>
      <w:pPr>
        <w:spacing w:after="0" w:line="1" w:lineRule="exact"/>
        <w:rPr>
          <w:sz w:val="20"/>
          <w:szCs w:val="20"/>
          <w:color w:val="auto"/>
        </w:rPr>
      </w:pPr>
    </w:p>
    <w:p>
      <w:pPr>
        <w:jc w:val="both"/>
        <w:ind w:right="240" w:firstLine="316"/>
        <w:spacing w:after="0" w:line="291" w:lineRule="auto"/>
        <w:rPr>
          <w:sz w:val="20"/>
          <w:szCs w:val="20"/>
          <w:color w:val="auto"/>
        </w:rPr>
      </w:pPr>
      <w:r>
        <w:rPr>
          <w:rFonts w:ascii="Times New Roman" w:cs="Times New Roman" w:eastAsia="Times New Roman" w:hAnsi="Times New Roman"/>
          <w:sz w:val="16"/>
          <w:szCs w:val="16"/>
          <w:color w:val="auto"/>
        </w:rPr>
        <w:t>Also on October 25, 2022, the Committee approved certain changes to the target total direct compensation of Nancy J. Laben, Executive Vice President and Chief Legal Officer, effective as of October 1, 2022. Ms. Laben’s target total direct compensation was increased from $2,250,000 to $2,800,000, which reflects an increase of $75,000 in her target cash bonus and $475,000 in her target long-term equity incentive (and no changes to her base salary).</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Exhibit</w:t>
            </w:r>
          </w:p>
        </w:tc>
        <w:tc>
          <w:tcPr>
            <w:tcW w:w="2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Number</w:t>
            </w:r>
          </w:p>
        </w:tc>
        <w:tc>
          <w:tcPr>
            <w:tcW w:w="102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3"/>
        </w:trPr>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top w:val="single" w:sz="8" w:color="auto"/>
            </w:tcBorders>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r>
      <w:tr>
        <w:trPr>
          <w:trHeight w:val="184"/>
        </w:trPr>
        <w:tc>
          <w:tcPr>
            <w:tcW w:w="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CCEEFF"/>
            </w:tcBorders>
            <w:shd w:val="clear" w:color="auto" w:fill="CCEEFF"/>
          </w:tcPr>
          <w:p>
            <w:pPr>
              <w:spacing w:after="0"/>
              <w:rPr>
                <w:sz w:val="16"/>
                <w:szCs w:val="16"/>
                <w:color w:val="auto"/>
              </w:rPr>
            </w:pPr>
          </w:p>
        </w:tc>
        <w:tc>
          <w:tcPr>
            <w:tcW w:w="10260" w:type="dxa"/>
            <w:vAlign w:val="bottom"/>
            <w:gridSpan w:val="15"/>
            <w:shd w:val="clear" w:color="auto" w:fill="CCEEFF"/>
          </w:tcPr>
          <w:p>
            <w:pPr>
              <w:spacing w:after="0" w:line="184"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Sixth Amended and Restated Certificate of Incorporation of Booz Allen Hamilton Holding Corporation (Incorporated by reference to Exhibit 3.1</w:t>
              </w:r>
            </w:hyperlink>
          </w:p>
        </w:tc>
      </w:tr>
      <w:tr>
        <w:trPr>
          <w:trHeight w:val="184"/>
        </w:trPr>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620" w:type="dxa"/>
            <w:vAlign w:val="bottom"/>
            <w:tcBorders>
              <w:top w:val="single" w:sz="8" w:color="0000FF"/>
              <w:bottom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to the Company's Current Report on Form 8-K filed on August 2, 2022 (File No. 001-34972)).</w:t>
              </w:r>
            </w:hyperlink>
          </w:p>
        </w:tc>
        <w:tc>
          <w:tcPr>
            <w:tcW w:w="356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4"/>
        </w:trPr>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6"/>
                <w:szCs w:val="16"/>
                <w:color w:val="auto"/>
              </w:rPr>
            </w:pPr>
          </w:p>
        </w:tc>
        <w:tc>
          <w:tcPr>
            <w:tcW w:w="10260" w:type="dxa"/>
            <w:vAlign w:val="bottom"/>
            <w:gridSpan w:val="15"/>
          </w:tcPr>
          <w:p>
            <w:pPr>
              <w:spacing w:after="0" w:line="184"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Sixth Amended and Restated Bylaws of Booz Allen Hamilton Holding Corporation (Incorporated by reference to Exhibit 3.2 to the Company's</w:t>
              </w:r>
            </w:hyperlink>
          </w:p>
        </w:tc>
      </w:tr>
      <w:tr>
        <w:trPr>
          <w:trHeight w:val="151"/>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6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Current Report on Form 8-K filed on August 2, 2022 (File No. 001-34972)).</w:t>
              </w:r>
            </w:hyperlink>
          </w:p>
        </w:tc>
        <w:tc>
          <w:tcPr>
            <w:tcW w:w="40" w:type="dxa"/>
            <w:vAlign w:val="bottom"/>
          </w:tcPr>
          <w:p>
            <w:pPr>
              <w:spacing w:after="0"/>
              <w:rPr>
                <w:sz w:val="13"/>
                <w:szCs w:val="13"/>
                <w:color w:val="auto"/>
              </w:rPr>
            </w:pPr>
          </w:p>
        </w:tc>
        <w:tc>
          <w:tcPr>
            <w:tcW w:w="2740" w:type="dxa"/>
            <w:vAlign w:val="bottom"/>
            <w:tcBorders>
              <w:top w:val="single" w:sz="8" w:color="0000FF"/>
            </w:tcBorders>
            <w:gridSpan w:val="2"/>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33"/>
        </w:trPr>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top w:val="single" w:sz="8" w:color="0000FF"/>
            </w:tcBorders>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CCEEFF"/>
            </w:tcBorders>
            <w:shd w:val="clear" w:color="auto" w:fill="CCEEFF"/>
          </w:tcPr>
          <w:p>
            <w:pPr>
              <w:spacing w:after="0"/>
              <w:rPr>
                <w:sz w:val="16"/>
                <w:szCs w:val="16"/>
                <w:color w:val="auto"/>
              </w:rPr>
            </w:pPr>
          </w:p>
        </w:tc>
        <w:tc>
          <w:tcPr>
            <w:tcW w:w="10260" w:type="dxa"/>
            <w:vAlign w:val="bottom"/>
            <w:gridSpan w:val="15"/>
            <w:shd w:val="clear" w:color="auto" w:fill="CCEEFF"/>
          </w:tcPr>
          <w:p>
            <w:pPr>
              <w:spacing w:after="0" w:line="184"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Ninth Amendment to Credit Agreement, dated as of September 7, 2022, among Booz Allen Hamilton Inc., as Borrower, Booz Allen Hamilton</w:t>
              </w:r>
            </w:hyperlink>
          </w:p>
        </w:tc>
      </w:tr>
      <w:tr>
        <w:trPr>
          <w:trHeight w:val="151"/>
        </w:trPr>
        <w:tc>
          <w:tcPr>
            <w:tcW w:w="8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Investor Corporation, eGov Holdings, Inc., Aquilent, Inc. and Liberty IT Solutions, LLC, as Guarantors, Bank of America, N.A., as</w:t>
              </w:r>
            </w:hyperlink>
          </w:p>
        </w:tc>
        <w:tc>
          <w:tcPr>
            <w:tcW w:w="300" w:type="dxa"/>
            <w:vAlign w:val="bottom"/>
            <w:tcBorders>
              <w:top w:val="single" w:sz="8" w:color="CCEEFF"/>
            </w:tcBorders>
            <w:gridSpan w:val="3"/>
            <w:shd w:val="clear" w:color="auto" w:fill="CCEEFF"/>
          </w:tcPr>
          <w:p>
            <w:pPr>
              <w:spacing w:after="0"/>
              <w:rPr>
                <w:sz w:val="13"/>
                <w:szCs w:val="13"/>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gridSpan w:val="4"/>
            <w:shd w:val="clear" w:color="auto" w:fill="CCEEFF"/>
          </w:tcPr>
          <w:p>
            <w:pPr>
              <w:spacing w:after="0" w:line="20" w:lineRule="exact"/>
              <w:rPr>
                <w:sz w:val="1"/>
                <w:szCs w:val="1"/>
                <w:color w:val="auto"/>
              </w:rPr>
            </w:pPr>
          </w:p>
        </w:tc>
      </w:tr>
      <w:tr>
        <w:trPr>
          <w:trHeight w:val="164"/>
        </w:trPr>
        <w:tc>
          <w:tcPr>
            <w:tcW w:w="8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260" w:type="dxa"/>
            <w:vAlign w:val="bottom"/>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Administrative Agent and Collateral Agent and the other Lenders and financial institutions from time to time party thereto (Incorporated by</w:t>
              </w:r>
            </w:hyperlink>
          </w:p>
        </w:tc>
      </w:tr>
      <w:tr>
        <w:trPr>
          <w:trHeight w:val="171"/>
        </w:trPr>
        <w:tc>
          <w:tcPr>
            <w:tcW w:w="8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reference to Exhibit 10.1 to the Company's Current Report on Form 8-K filed on September 7, 2022 (File No. 001-34972)).</w:t>
              </w:r>
            </w:hyperlink>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gridSpan w:val="4"/>
            <w:shd w:val="clear" w:color="auto" w:fill="CCEEFF"/>
          </w:tcPr>
          <w:p>
            <w:pPr>
              <w:spacing w:after="0"/>
              <w:rPr>
                <w:sz w:val="14"/>
                <w:szCs w:val="14"/>
                <w:color w:val="auto"/>
              </w:rPr>
            </w:pPr>
          </w:p>
        </w:tc>
      </w:tr>
      <w:tr>
        <w:trPr>
          <w:trHeight w:val="194"/>
        </w:trPr>
        <w:tc>
          <w:tcPr>
            <w:tcW w:w="84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top w:val="single" w:sz="8" w:color="CCEEFF"/>
            </w:tcBorders>
          </w:tcPr>
          <w:p>
            <w:pPr>
              <w:spacing w:after="0"/>
              <w:rPr>
                <w:sz w:val="16"/>
                <w:szCs w:val="16"/>
                <w:color w:val="auto"/>
              </w:rPr>
            </w:pPr>
          </w:p>
        </w:tc>
        <w:tc>
          <w:tcPr>
            <w:tcW w:w="4980" w:type="dxa"/>
            <w:vAlign w:val="bottom"/>
            <w:tcBorders>
              <w:top w:val="single" w:sz="8" w:color="0000FF"/>
              <w:bottom w:val="single" w:sz="8" w:color="0000FF"/>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w w:val="96"/>
              </w:rPr>
              <w:t>Rule 13a-14(a)/15d-14(a) Certification of the Chief Executive Officer*</w:t>
            </w:r>
          </w:p>
        </w:tc>
        <w:tc>
          <w:tcPr>
            <w:tcW w:w="3660" w:type="dxa"/>
            <w:vAlign w:val="bottom"/>
            <w:tcBorders>
              <w:top w:val="single" w:sz="8" w:color="0000FF"/>
            </w:tcBorders>
            <w:gridSpan w:val="5"/>
          </w:tcPr>
          <w:p>
            <w:pPr>
              <w:spacing w:after="0"/>
              <w:rPr>
                <w:sz w:val="16"/>
                <w:szCs w:val="16"/>
                <w:color w:val="auto"/>
              </w:rPr>
            </w:pPr>
          </w:p>
        </w:tc>
        <w:tc>
          <w:tcPr>
            <w:tcW w:w="1620" w:type="dxa"/>
            <w:vAlign w:val="bottom"/>
            <w:tcBorders>
              <w:top w:val="single" w:sz="8" w:color="CCEEFF"/>
            </w:tcBorders>
            <w:gridSpan w:val="8"/>
          </w:tcPr>
          <w:p>
            <w:pPr>
              <w:spacing w:after="0"/>
              <w:rPr>
                <w:sz w:val="16"/>
                <w:szCs w:val="16"/>
                <w:color w:val="auto"/>
              </w:rPr>
            </w:pPr>
          </w:p>
        </w:tc>
      </w:tr>
      <w:tr>
        <w:trPr>
          <w:trHeight w:val="194"/>
        </w:trPr>
        <w:tc>
          <w:tcPr>
            <w:tcW w:w="8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CCEEFF"/>
            </w:tcBorders>
            <w:shd w:val="clear" w:color="auto" w:fill="CCEEFF"/>
          </w:tcPr>
          <w:p>
            <w:pPr>
              <w:spacing w:after="0"/>
              <w:rPr>
                <w:sz w:val="16"/>
                <w:szCs w:val="16"/>
                <w:color w:val="auto"/>
              </w:rPr>
            </w:pPr>
          </w:p>
        </w:tc>
        <w:tc>
          <w:tcPr>
            <w:tcW w:w="10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Rule 13a-14(a)/15d-14(a) Certification of the Chief Financial Officer*</w:t>
            </w:r>
          </w:p>
        </w:tc>
      </w:tr>
      <w:tr>
        <w:trPr>
          <w:trHeight w:val="39"/>
        </w:trPr>
        <w:tc>
          <w:tcPr>
            <w:tcW w:w="8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680" w:type="dxa"/>
            <w:vAlign w:val="bottom"/>
            <w:shd w:val="clear" w:color="auto" w:fill="0000FF"/>
          </w:tcPr>
          <w:p>
            <w:pPr>
              <w:spacing w:after="0"/>
              <w:rPr>
                <w:sz w:val="3"/>
                <w:szCs w:val="3"/>
                <w:color w:val="auto"/>
              </w:rPr>
            </w:pPr>
          </w:p>
        </w:tc>
        <w:tc>
          <w:tcPr>
            <w:tcW w:w="2300" w:type="dxa"/>
            <w:vAlign w:val="bottom"/>
            <w:tcBorders>
              <w:right w:val="single" w:sz="8" w:color="CCEE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84"/>
        </w:trPr>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6"/>
                <w:szCs w:val="16"/>
                <w:color w:val="auto"/>
              </w:rPr>
            </w:pPr>
          </w:p>
        </w:tc>
        <w:tc>
          <w:tcPr>
            <w:tcW w:w="1026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the Chief Executive Officer required by Rule 13a-14(b) or Rule 15d-14(b) and Section 1350 of Chapter 63 of Title 18 of the</w:t>
            </w:r>
          </w:p>
        </w:tc>
      </w:tr>
      <w:tr>
        <w:trPr>
          <w:trHeight w:val="151"/>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20" w:type="dxa"/>
            <w:vAlign w:val="bottom"/>
            <w:tcBorders>
              <w:top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6"/>
                <w:szCs w:val="16"/>
                <w:color w:val="0000FF"/>
              </w:rPr>
              <w:t>United States Code (18 U.S.C. 1350)*</w:t>
            </w:r>
          </w:p>
        </w:tc>
        <w:tc>
          <w:tcPr>
            <w:tcW w:w="440" w:type="dxa"/>
            <w:vAlign w:val="bottom"/>
            <w:gridSpan w:val="4"/>
          </w:tcPr>
          <w:p>
            <w:pPr>
              <w:spacing w:after="0"/>
              <w:rPr>
                <w:sz w:val="13"/>
                <w:szCs w:val="13"/>
                <w:color w:val="auto"/>
              </w:rPr>
            </w:pPr>
          </w:p>
        </w:tc>
      </w:tr>
      <w:tr>
        <w:trPr>
          <w:trHeight w:val="33"/>
        </w:trPr>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top w:val="single" w:sz="8" w:color="0000FF"/>
            </w:tcBorders>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right w:val="single" w:sz="8" w:color="CCEEFF"/>
            </w:tcBorders>
            <w:shd w:val="clear" w:color="auto" w:fill="CCEEFF"/>
          </w:tcPr>
          <w:p>
            <w:pPr>
              <w:spacing w:after="0"/>
              <w:rPr>
                <w:sz w:val="16"/>
                <w:szCs w:val="16"/>
                <w:color w:val="auto"/>
              </w:rPr>
            </w:pPr>
          </w:p>
        </w:tc>
        <w:tc>
          <w:tcPr>
            <w:tcW w:w="10260" w:type="dxa"/>
            <w:vAlign w:val="bottom"/>
            <w:gridSpan w:val="1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p>
        </w:tc>
      </w:tr>
      <w:tr>
        <w:trPr>
          <w:trHeight w:val="151"/>
        </w:trPr>
        <w:tc>
          <w:tcPr>
            <w:tcW w:w="8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United States Code (18 U.S.C. 1350)*</w:t>
            </w:r>
          </w:p>
        </w:tc>
        <w:tc>
          <w:tcPr>
            <w:tcW w:w="500" w:type="dxa"/>
            <w:vAlign w:val="bottom"/>
            <w:tcBorders>
              <w:top w:val="single" w:sz="8" w:color="CCEEFF"/>
            </w:tcBorders>
            <w:gridSpan w:val="6"/>
            <w:shd w:val="clear" w:color="auto" w:fill="CCEEFF"/>
          </w:tcPr>
          <w:p>
            <w:pPr>
              <w:spacing w:after="0"/>
              <w:rPr>
                <w:sz w:val="13"/>
                <w:szCs w:val="13"/>
                <w:color w:val="auto"/>
              </w:rPr>
            </w:pPr>
          </w:p>
        </w:tc>
      </w:tr>
      <w:tr>
        <w:trPr>
          <w:trHeight w:val="33"/>
        </w:trPr>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680" w:type="dxa"/>
            <w:vAlign w:val="bottom"/>
            <w:tcBorders>
              <w:top w:val="single" w:sz="8" w:color="0000FF"/>
            </w:tcBorders>
            <w:shd w:val="clear" w:color="auto" w:fill="CCEEFF"/>
          </w:tcPr>
          <w:p>
            <w:pPr>
              <w:spacing w:after="0"/>
              <w:rPr>
                <w:sz w:val="2"/>
                <w:szCs w:val="2"/>
                <w:color w:val="auto"/>
              </w:rPr>
            </w:pPr>
          </w:p>
        </w:tc>
        <w:tc>
          <w:tcPr>
            <w:tcW w:w="23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ind w:left="980" w:right="200" w:hanging="957"/>
        <w:spacing w:after="0" w:line="213"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and six months ended September 30, 2022 formatted in Inline XBRL (eXtensible Business Reporting Language): (i) Condensed Consolidated Balance Sheets at September 30, 2022 and March 31, 2022; (ii) Condensed Consolidated Statements of Operations for the three and six months ended September 30, 2022 and 2021; (iii) Condensed Consolidated Statements of Comprehensive Income for the three and six months ended September 30, 2022 and 2021; (iv) Condensed Consolidated Statements of Cash Flows for the six months ended September 30, 2022 and 2021; and (v) Notes to Condensed Consolidated Financial Statements.</w:t>
      </w:r>
    </w:p>
    <w:p>
      <w:pPr>
        <w:spacing w:after="0" w:line="2" w:lineRule="exact"/>
        <w:rPr>
          <w:sz w:val="20"/>
          <w:szCs w:val="20"/>
          <w:color w:val="auto"/>
        </w:rPr>
      </w:pPr>
    </w:p>
    <w:p>
      <w:pPr>
        <w:ind w:left="980" w:hanging="957"/>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w:t>
      </w:r>
    </w:p>
    <w:p>
      <w:pPr>
        <w:spacing w:after="0" w:line="10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135495"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13970</wp:posOffset>
            </wp:positionV>
            <wp:extent cx="37852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785235"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Matthew A. Calderone</w:t>
      </w:r>
    </w:p>
    <w:p>
      <w:pPr>
        <w:ind w:left="52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480"/>
          </w:cols>
          <w:pgMar w:left="320" w:top="121" w:right="10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61" w:lineRule="exact"/>
        <w:rPr>
          <w:sz w:val="20"/>
          <w:szCs w:val="20"/>
          <w:color w:val="auto"/>
        </w:rPr>
      </w:pPr>
    </w:p>
    <w:p>
      <w:pPr>
        <w:ind w:left="180" w:hanging="175"/>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61" w:lineRule="exact"/>
        <w:rPr>
          <w:rFonts w:ascii="Times New Roman" w:cs="Times New Roman" w:eastAsia="Times New Roman" w:hAnsi="Times New Roman"/>
          <w:sz w:val="18"/>
          <w:szCs w:val="18"/>
          <w:color w:val="auto"/>
        </w:rPr>
      </w:pPr>
    </w:p>
    <w:p>
      <w:pPr>
        <w:ind w:right="80" w:firstLine="5"/>
        <w:spacing w:after="0" w:line="268"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right="160" w:firstLine="5"/>
        <w:spacing w:after="0" w:line="268"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20" w:firstLine="5"/>
        <w:spacing w:after="0" w:line="256"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220" w:firstLine="5"/>
        <w:spacing w:after="0" w:line="256" w:lineRule="auto"/>
        <w:tabs>
          <w:tab w:leader="none" w:pos="2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right="20" w:firstLine="5"/>
        <w:spacing w:after="0" w:line="256" w:lineRule="auto"/>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right="160" w:firstLine="5"/>
        <w:spacing w:after="0" w:line="268" w:lineRule="auto"/>
        <w:tabs>
          <w:tab w:leader="none" w:pos="2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ind w:right="100" w:firstLine="5"/>
        <w:spacing w:after="0" w:line="256" w:lineRule="auto"/>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760" w:firstLine="5"/>
        <w:spacing w:after="0" w:line="268"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20" w:firstLine="5"/>
        <w:spacing w:after="0" w:line="268" w:lineRule="auto"/>
        <w:tabs>
          <w:tab w:leader="none" w:pos="2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right="560" w:firstLine="5"/>
        <w:spacing w:after="0" w:line="268"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13970</wp:posOffset>
            </wp:positionV>
            <wp:extent cx="2406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13"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6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 Calderone, certify that:</w:t>
      </w:r>
    </w:p>
    <w:p>
      <w:pPr>
        <w:spacing w:after="0" w:line="161" w:lineRule="exact"/>
        <w:rPr>
          <w:sz w:val="20"/>
          <w:szCs w:val="20"/>
          <w:color w:val="auto"/>
        </w:rPr>
      </w:pPr>
    </w:p>
    <w:p>
      <w:pPr>
        <w:ind w:left="180" w:hanging="175"/>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61" w:lineRule="exact"/>
        <w:rPr>
          <w:rFonts w:ascii="Times New Roman" w:cs="Times New Roman" w:eastAsia="Times New Roman" w:hAnsi="Times New Roman"/>
          <w:sz w:val="18"/>
          <w:szCs w:val="18"/>
          <w:color w:val="auto"/>
        </w:rPr>
      </w:pPr>
    </w:p>
    <w:p>
      <w:pPr>
        <w:ind w:right="80" w:firstLine="5"/>
        <w:spacing w:after="0" w:line="268"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right="160" w:firstLine="5"/>
        <w:spacing w:after="0" w:line="268"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20" w:firstLine="5"/>
        <w:spacing w:after="0" w:line="256"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220" w:firstLine="5"/>
        <w:spacing w:after="0" w:line="256" w:lineRule="auto"/>
        <w:tabs>
          <w:tab w:leader="none" w:pos="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right="20" w:firstLine="5"/>
        <w:spacing w:after="0" w:line="256" w:lineRule="auto"/>
        <w:tabs>
          <w:tab w:leader="none" w:pos="2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right="160" w:firstLine="5"/>
        <w:spacing w:after="0" w:line="268" w:lineRule="auto"/>
        <w:tabs>
          <w:tab w:leader="none" w:pos="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ind w:right="100" w:firstLine="5"/>
        <w:spacing w:after="0" w:line="256" w:lineRule="auto"/>
        <w:tabs>
          <w:tab w:leader="none" w:pos="2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760" w:firstLine="5"/>
        <w:spacing w:after="0" w:line="268" w:lineRule="auto"/>
        <w:tabs>
          <w:tab w:leader="none" w:pos="1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20" w:firstLine="5"/>
        <w:spacing w:after="0" w:line="268" w:lineRule="auto"/>
        <w:tabs>
          <w:tab w:leader="none" w:pos="2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right="560" w:firstLine="5"/>
        <w:spacing w:after="0" w:line="268" w:lineRule="auto"/>
        <w:tabs>
          <w:tab w:leader="none" w:pos="2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13970</wp:posOffset>
            </wp:positionV>
            <wp:extent cx="32670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6707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Matthew A. Calderone</w:t>
      </w:r>
    </w:p>
    <w:p>
      <w:pPr>
        <w:ind w:left="60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6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2022,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1"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13970</wp:posOffset>
            </wp:positionV>
            <wp:extent cx="2874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13"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6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September 30, 2022,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31"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6"/>
          <w:szCs w:val="16"/>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13970</wp:posOffset>
            </wp:positionV>
            <wp:extent cx="33921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8"/>
          <w:szCs w:val="18"/>
          <w:color w:val="auto"/>
        </w:rPr>
        <w:t>Matthew A. Calderone</w:t>
      </w:r>
    </w:p>
    <w:p>
      <w:pPr>
        <w:ind w:left="58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Officer)</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lvl w:ilvl="1">
      <w:lvlJc w:val="left"/>
      <w:lvlText w:val="(%2)"/>
      <w:numFmt w:val="decimal"/>
      <w:start w:val="1"/>
    </w:lvl>
  </w:abstractNum>
  <w:abstractNum w:abstractNumId="6">
    <w:nsid w:val="79838CB2"/>
    <w:multiLevelType w:val="hybridMultilevel"/>
    <w:lvl w:ilvl="0">
      <w:lvlJc w:val="left"/>
      <w:lvlText w:val="%1."/>
      <w:numFmt w:val="decimal"/>
      <w:start w:val="5"/>
    </w:lvl>
    <w:lvl w:ilvl="1">
      <w:lvlJc w:val="left"/>
      <w:lvlText w:val="%2"/>
      <w:numFmt w:val="decimal"/>
      <w:start w:val="1"/>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1"/>
      <w:numFmt w:val="decimal"/>
      <w:start w:val="1"/>
    </w:lvl>
    <w:lvl w:ilvl="1">
      <w:lvlJc w:val="left"/>
      <w:lvlText w:val="(%2)"/>
      <w:numFmt w:val="decimal"/>
      <w:start w:val="1"/>
    </w:lvl>
  </w:abstractNum>
  <w:abstractNum w:abstractNumId="9">
    <w:nsid w:val="189A769B"/>
    <w:multiLevelType w:val="hybridMultilevel"/>
    <w:lvl w:ilvl="0">
      <w:lvlJc w:val="left"/>
      <w:lvlText w:val="%1."/>
      <w:numFmt w:val="decimal"/>
      <w:start w:val="9"/>
    </w:lvl>
    <w:lvl w:ilvl="1">
      <w:lvlJc w:val="left"/>
      <w:lvlText w:val="%2"/>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lowerRoman"/>
      <w:start w:val="2"/>
    </w:lvl>
    <w:lvl w:ilvl="1">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amp;"/>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01"/>
    </w:lvl>
  </w:abstractNum>
  <w:abstractNum w:abstractNumId="32">
    <w:nsid w:val="5C482A97"/>
    <w:multiLevelType w:val="hybridMultilevel"/>
    <w:lvl w:ilvl="0">
      <w:lvlJc w:val="left"/>
      <w:lvlText w:val="*"/>
      <w:numFmt w:val="bullet"/>
      <w:start w:val="1"/>
    </w:lvl>
    <w:lvl w:ilvl="1">
      <w:lvlJc w:val="left"/>
      <w:lvlText w:val="%2"/>
      <w:numFmt w:val="decimal"/>
      <w:start w:val="104"/>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8" Type="http://schemas.openxmlformats.org/officeDocument/2006/relationships/hyperlink" Target="https://www.sec.gov/Archives/edgar/data/1443646/000144364622000139/bah-certificateofamendme.htm" TargetMode="External"/><Relationship Id="rId69" Type="http://schemas.openxmlformats.org/officeDocument/2006/relationships/hyperlink" Target="https://www.sec.gov/Archives/edgar/data/1443646/000110465922098194/tm222532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2022-10-28T06:11:27Z</dcterms:created>
  <dcterms:modified xsi:type="dcterms:W3CDTF">2022-10-28T06:11:27Z</dcterms:modified>
</cp:coreProperties>
</file>