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311150</wp:posOffset>
            </wp:positionH>
            <wp:positionV relativeFrom="page">
              <wp:posOffset>551815</wp:posOffset>
            </wp:positionV>
            <wp:extent cx="69265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6580" cy="8255"/>
                    </a:xfrm>
                    <a:prstGeom prst="rect">
                      <a:avLst/>
                    </a:prstGeom>
                    <a:noFill/>
                  </pic:spPr>
                </pic:pic>
              </a:graphicData>
            </a:graphic>
          </wp:anchor>
        </w:drawing>
        <w:drawing>
          <wp:anchor simplePos="0" relativeHeight="251657728" behindDoc="1" locked="0" layoutInCell="0" allowOverlap="1">
            <wp:simplePos x="0" y="0"/>
            <wp:positionH relativeFrom="page">
              <wp:posOffset>311150</wp:posOffset>
            </wp:positionH>
            <wp:positionV relativeFrom="page">
              <wp:posOffset>577215</wp:posOffset>
            </wp:positionV>
            <wp:extent cx="69265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6580" cy="8890"/>
                    </a:xfrm>
                    <a:prstGeom prst="rect">
                      <a:avLst/>
                    </a:prstGeom>
                    <a:noFill/>
                  </pic:spPr>
                </pic:pic>
              </a:graphicData>
            </a:graphic>
          </wp:anchor>
        </w:drawing>
        <w:t>UNITED STATES</w:t>
      </w:r>
    </w:p>
    <w:p>
      <w:pPr>
        <w:spacing w:after="0" w:line="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54"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w:t>
      </w:r>
    </w:p>
    <w:p>
      <w:pPr>
        <w:spacing w:after="0" w:line="1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37"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(Mark One)</w:t>
      </w:r>
    </w:p>
    <w:p>
      <w:pPr>
        <w:sectPr>
          <w:pgSz w:w="11900" w:h="16838" w:orient="portrait"/>
          <w:cols w:equalWidth="0" w:num="1">
            <w:col w:w="11240"/>
          </w:cols>
          <w:pgMar w:left="320" w:top="983" w:right="339" w:bottom="1440" w:gutter="0" w:footer="0" w:header="0"/>
        </w:sectPr>
      </w:pPr>
    </w:p>
    <w:p>
      <w:pPr>
        <w:spacing w:after="0" w:line="200" w:lineRule="exact"/>
        <w:rPr>
          <w:sz w:val="24"/>
          <w:szCs w:val="24"/>
          <w:color w:val="auto"/>
        </w:rPr>
      </w:pPr>
    </w:p>
    <w:p>
      <w:pPr>
        <w:spacing w:after="0" w:line="316" w:lineRule="exact"/>
        <w:rPr>
          <w:sz w:val="24"/>
          <w:szCs w:val="24"/>
          <w:color w:val="auto"/>
        </w:rPr>
      </w:pPr>
    </w:p>
    <w:p>
      <w:pPr>
        <w:ind w:left="2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ind w:right="200"/>
        <w:spacing w:after="0" w:line="238" w:lineRule="auto"/>
        <w:rPr>
          <w:sz w:val="20"/>
          <w:szCs w:val="20"/>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263"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2022</w:t>
      </w:r>
    </w:p>
    <w:p>
      <w:pPr>
        <w:spacing w:after="0" w:line="148"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TRANSITION REPORT PURSUANT TO SECTION 13 OR 15(D) OF THE SECURITIES EXCHANGE ACT</w:t>
      </w:r>
    </w:p>
    <w:p>
      <w:pPr>
        <w:spacing w:after="0" w:line="3" w:lineRule="exact"/>
        <w:rPr>
          <w:sz w:val="24"/>
          <w:szCs w:val="24"/>
          <w:color w:val="auto"/>
        </w:rPr>
      </w:pPr>
    </w:p>
    <w:p>
      <w:pPr>
        <w:sectPr>
          <w:pgSz w:w="11900" w:h="16838" w:orient="portrait"/>
          <w:cols w:equalWidth="0" w:num="2">
            <w:col w:w="180" w:space="680"/>
            <w:col w:w="10380"/>
          </w:cols>
          <w:pgMar w:left="320" w:top="983" w:right="339" w:bottom="1440" w:gutter="0" w:footer="0" w:header="0"/>
          <w:type w:val="continuous"/>
        </w:sectPr>
      </w:pPr>
    </w:p>
    <w:p>
      <w:pPr>
        <w:ind w:left="860" w:hanging="834"/>
        <w:spacing w:after="0"/>
        <w:tabs>
          <w:tab w:leader="none" w:pos="8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22"/>
          <w:szCs w:val="22"/>
          <w:b w:val="1"/>
          <w:bCs w:val="1"/>
          <w:color w:val="auto"/>
        </w:rPr>
        <w:t>OF 1934</w:t>
      </w:r>
    </w:p>
    <w:p>
      <w:pPr>
        <w:spacing w:after="0" w:line="79" w:lineRule="exact"/>
        <w:rPr>
          <w:sz w:val="24"/>
          <w:szCs w:val="24"/>
          <w:color w:val="auto"/>
        </w:rPr>
      </w:pPr>
    </w:p>
    <w:p>
      <w:pPr>
        <w:ind w:left="3800"/>
        <w:spacing w:after="0"/>
        <w:tabs>
          <w:tab w:leader="none" w:pos="67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No. 001-34972</w:t>
      </w:r>
    </w:p>
    <w:p>
      <w:pPr>
        <w:spacing w:after="0" w:line="30"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Booz Allen Hamilton Holding Corporation</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6"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w:t>
      </w:r>
    </w:p>
    <w:p>
      <w:pPr>
        <w:spacing w:after="0" w:line="123" w:lineRule="exact"/>
        <w:rPr>
          <w:sz w:val="24"/>
          <w:szCs w:val="24"/>
          <w:color w:val="auto"/>
        </w:rPr>
      </w:pPr>
    </w:p>
    <w:p>
      <w:pPr>
        <w:ind w:left="1780"/>
        <w:spacing w:after="0"/>
        <w:tabs>
          <w:tab w:leader="none" w:pos="8920" w:val="left"/>
        </w:tabs>
        <w:rPr>
          <w:sz w:val="20"/>
          <w:szCs w:val="20"/>
          <w:color w:val="auto"/>
        </w:rPr>
      </w:pPr>
      <w:r>
        <w:rPr>
          <w:rFonts w:ascii="Times New Roman" w:cs="Times New Roman" w:eastAsia="Times New Roman" w:hAnsi="Times New Roman"/>
          <w:sz w:val="18"/>
          <w:szCs w:val="18"/>
          <w:b w:val="1"/>
          <w:bCs w:val="1"/>
          <w:color w:val="auto"/>
        </w:rPr>
        <w:t>Delaware</w:t>
      </w:r>
      <w:r>
        <w:rPr>
          <w:sz w:val="20"/>
          <w:szCs w:val="20"/>
          <w:color w:val="auto"/>
        </w:rPr>
        <w:tab/>
      </w:r>
      <w:r>
        <w:rPr>
          <w:rFonts w:ascii="Times New Roman" w:cs="Times New Roman" w:eastAsia="Times New Roman" w:hAnsi="Times New Roman"/>
          <w:sz w:val="18"/>
          <w:szCs w:val="18"/>
          <w:b w:val="1"/>
          <w:bCs w:val="1"/>
          <w:color w:val="auto"/>
        </w:rPr>
        <w:t>26-2634160</w:t>
      </w:r>
    </w:p>
    <w:p>
      <w:pPr>
        <w:spacing w:after="0" w:line="12" w:lineRule="exact"/>
        <w:rPr>
          <w:sz w:val="24"/>
          <w:szCs w:val="24"/>
          <w:color w:val="auto"/>
        </w:rPr>
      </w:pPr>
    </w:p>
    <w:p>
      <w:pPr>
        <w:ind w:left="1240"/>
        <w:spacing w:after="0"/>
        <w:tabs>
          <w:tab w:leader="none" w:pos="8840" w:val="left"/>
        </w:tabs>
        <w:rPr>
          <w:sz w:val="20"/>
          <w:szCs w:val="20"/>
          <w:color w:val="auto"/>
        </w:rPr>
      </w:pPr>
      <w:r>
        <w:rPr>
          <w:rFonts w:ascii="Times New Roman" w:cs="Times New Roman" w:eastAsia="Times New Roman" w:hAnsi="Times New Roman"/>
          <w:sz w:val="14"/>
          <w:szCs w:val="14"/>
          <w:b w:val="1"/>
          <w:bCs w:val="1"/>
          <w:color w:val="auto"/>
        </w:rPr>
        <w:t>(State or other jurisdiction of</w:t>
      </w:r>
      <w:r>
        <w:rPr>
          <w:sz w:val="20"/>
          <w:szCs w:val="20"/>
          <w:color w:val="auto"/>
        </w:rPr>
        <w:tab/>
      </w:r>
      <w:r>
        <w:rPr>
          <w:rFonts w:ascii="Times New Roman" w:cs="Times New Roman" w:eastAsia="Times New Roman" w:hAnsi="Times New Roman"/>
          <w:sz w:val="14"/>
          <w:szCs w:val="14"/>
          <w:b w:val="1"/>
          <w:bCs w:val="1"/>
          <w:color w:val="auto"/>
        </w:rPr>
        <w:t>(I.R.S. Employer</w:t>
      </w:r>
    </w:p>
    <w:p>
      <w:pPr>
        <w:ind w:left="1200"/>
        <w:spacing w:after="0"/>
        <w:tabs>
          <w:tab w:leader="none" w:pos="8800" w:val="left"/>
        </w:tabs>
        <w:rPr>
          <w:sz w:val="20"/>
          <w:szCs w:val="20"/>
          <w:color w:val="auto"/>
        </w:rPr>
      </w:pPr>
      <w:r>
        <w:rPr>
          <w:rFonts w:ascii="Times New Roman" w:cs="Times New Roman" w:eastAsia="Times New Roman" w:hAnsi="Times New Roman"/>
          <w:sz w:val="14"/>
          <w:szCs w:val="14"/>
          <w:b w:val="1"/>
          <w:bCs w:val="1"/>
          <w:color w:val="auto"/>
        </w:rPr>
        <w:t>incorporation or organization)</w:t>
      </w:r>
      <w:r>
        <w:rPr>
          <w:sz w:val="20"/>
          <w:szCs w:val="20"/>
          <w:color w:val="auto"/>
        </w:rPr>
        <w:tab/>
      </w:r>
      <w:r>
        <w:rPr>
          <w:rFonts w:ascii="Times New Roman" w:cs="Times New Roman" w:eastAsia="Times New Roman" w:hAnsi="Times New Roman"/>
          <w:sz w:val="14"/>
          <w:szCs w:val="14"/>
          <w:b w:val="1"/>
          <w:bCs w:val="1"/>
          <w:color w:val="auto"/>
        </w:rPr>
        <w:t>Identification No.)</w:t>
      </w:r>
    </w:p>
    <w:p>
      <w:pPr>
        <w:spacing w:after="0" w:line="80" w:lineRule="exact"/>
        <w:rPr>
          <w:sz w:val="24"/>
          <w:szCs w:val="24"/>
          <w:color w:val="auto"/>
        </w:rPr>
      </w:pPr>
    </w:p>
    <w:p>
      <w:pPr>
        <w:ind w:left="280"/>
        <w:spacing w:after="0"/>
        <w:tabs>
          <w:tab w:leader="none" w:pos="2500" w:val="left"/>
          <w:tab w:leader="none" w:pos="3480" w:val="left"/>
          <w:tab w:leader="none" w:pos="9140" w:val="left"/>
        </w:tabs>
        <w:rPr>
          <w:sz w:val="20"/>
          <w:szCs w:val="20"/>
          <w:color w:val="auto"/>
        </w:rPr>
      </w:pPr>
      <w:r>
        <w:rPr>
          <w:rFonts w:ascii="Times New Roman" w:cs="Times New Roman" w:eastAsia="Times New Roman" w:hAnsi="Times New Roman"/>
          <w:sz w:val="18"/>
          <w:szCs w:val="18"/>
          <w:b w:val="1"/>
          <w:bCs w:val="1"/>
          <w:color w:val="auto"/>
        </w:rPr>
        <w:t>8283 Greensboro Drive,</w:t>
      </w:r>
      <w:r>
        <w:rPr>
          <w:sz w:val="20"/>
          <w:szCs w:val="20"/>
          <w:color w:val="auto"/>
        </w:rPr>
        <w:tab/>
      </w:r>
      <w:r>
        <w:rPr>
          <w:rFonts w:ascii="Times New Roman" w:cs="Times New Roman" w:eastAsia="Times New Roman" w:hAnsi="Times New Roman"/>
          <w:sz w:val="18"/>
          <w:szCs w:val="18"/>
          <w:b w:val="1"/>
          <w:bCs w:val="1"/>
          <w:color w:val="auto"/>
        </w:rPr>
        <w:t>McLean,</w:t>
      </w:r>
      <w:r>
        <w:rPr>
          <w:sz w:val="20"/>
          <w:szCs w:val="20"/>
          <w:color w:val="auto"/>
        </w:rPr>
        <w:tab/>
      </w:r>
      <w:r>
        <w:rPr>
          <w:rFonts w:ascii="Times New Roman" w:cs="Times New Roman" w:eastAsia="Times New Roman" w:hAnsi="Times New Roman"/>
          <w:sz w:val="18"/>
          <w:szCs w:val="18"/>
          <w:b w:val="1"/>
          <w:bCs w:val="1"/>
          <w:color w:val="auto"/>
        </w:rPr>
        <w:t>Virginia</w:t>
      </w:r>
      <w:r>
        <w:rPr>
          <w:sz w:val="20"/>
          <w:szCs w:val="20"/>
          <w:color w:val="auto"/>
        </w:rPr>
        <w:tab/>
      </w:r>
      <w:r>
        <w:rPr>
          <w:rFonts w:ascii="Times New Roman" w:cs="Times New Roman" w:eastAsia="Times New Roman" w:hAnsi="Times New Roman"/>
          <w:sz w:val="17"/>
          <w:szCs w:val="17"/>
          <w:b w:val="1"/>
          <w:bCs w:val="1"/>
          <w:color w:val="auto"/>
        </w:rPr>
        <w:t>22102</w:t>
      </w:r>
    </w:p>
    <w:p>
      <w:pPr>
        <w:spacing w:after="0" w:line="31" w:lineRule="exact"/>
        <w:rPr>
          <w:sz w:val="24"/>
          <w:szCs w:val="24"/>
          <w:color w:val="auto"/>
        </w:rPr>
      </w:pPr>
    </w:p>
    <w:p>
      <w:pPr>
        <w:ind w:left="960"/>
        <w:spacing w:after="0"/>
        <w:tabs>
          <w:tab w:leader="none" w:pos="9020" w:val="left"/>
        </w:tabs>
        <w:rPr>
          <w:sz w:val="20"/>
          <w:szCs w:val="20"/>
          <w:color w:val="auto"/>
        </w:rPr>
      </w:pPr>
      <w:r>
        <w:rPr>
          <w:rFonts w:ascii="Times New Roman" w:cs="Times New Roman" w:eastAsia="Times New Roman" w:hAnsi="Times New Roman"/>
          <w:sz w:val="14"/>
          <w:szCs w:val="14"/>
          <w:b w:val="1"/>
          <w:bCs w:val="1"/>
          <w:color w:val="auto"/>
        </w:rPr>
        <w:t>(Address of principal executive offices)</w:t>
      </w:r>
      <w:r>
        <w:rPr>
          <w:sz w:val="20"/>
          <w:szCs w:val="20"/>
          <w:color w:val="auto"/>
        </w:rPr>
        <w:tab/>
      </w:r>
      <w:r>
        <w:rPr>
          <w:rFonts w:ascii="Times New Roman" w:cs="Times New Roman" w:eastAsia="Times New Roman" w:hAnsi="Times New Roman"/>
          <w:sz w:val="14"/>
          <w:szCs w:val="14"/>
          <w:b w:val="1"/>
          <w:bCs w:val="1"/>
          <w:color w:val="auto"/>
        </w:rPr>
        <w:t>(Zip Code)</w:t>
      </w:r>
    </w:p>
    <w:p>
      <w:pPr>
        <w:spacing w:after="0" w:line="1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(703) 902-5000</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15"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w:t>
      </w:r>
    </w:p>
    <w:p>
      <w:pPr>
        <w:spacing w:after="0" w:line="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89" w:lineRule="exact"/>
        <w:rPr>
          <w:sz w:val="24"/>
          <w:szCs w:val="24"/>
          <w:color w:val="auto"/>
        </w:rPr>
      </w:pPr>
    </w:p>
    <w:tbl>
      <w:tblPr>
        <w:tblLayout w:type="fixed"/>
        <w:tblInd w:w="1800" w:type="dxa"/>
        <w:tblCellMar>
          <w:top w:w="0" w:type="dxa"/>
          <w:left w:w="0" w:type="dxa"/>
          <w:bottom w:w="0" w:type="dxa"/>
          <w:right w:w="0" w:type="dxa"/>
        </w:tblCellMar>
      </w:tblPr>
      <w:tr>
        <w:trPr>
          <w:trHeight w:val="161"/>
        </w:trPr>
        <w:tc>
          <w:tcPr>
            <w:tcW w:w="280" w:type="dxa"/>
            <w:vAlign w:val="bottom"/>
          </w:tcPr>
          <w:p>
            <w:pPr>
              <w:spacing w:after="0"/>
              <w:rPr>
                <w:sz w:val="13"/>
                <w:szCs w:val="13"/>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780" w:type="dxa"/>
            <w:vAlign w:val="bottom"/>
          </w:tcPr>
          <w:p>
            <w:pPr>
              <w:spacing w:after="0"/>
              <w:rPr>
                <w:sz w:val="13"/>
                <w:szCs w:val="13"/>
                <w:color w:val="auto"/>
              </w:rPr>
            </w:pPr>
          </w:p>
        </w:tc>
        <w:tc>
          <w:tcPr>
            <w:tcW w:w="2040" w:type="dxa"/>
            <w:vAlign w:val="bottom"/>
            <w:gridSpan w:val="2"/>
          </w:tcPr>
          <w:p>
            <w:pPr>
              <w:jc w:val="center"/>
              <w:ind w:right="1060"/>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2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0"/>
        </w:trPr>
        <w:tc>
          <w:tcPr>
            <w:tcW w:w="2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20" w:type="dxa"/>
            <w:vAlign w:val="bottom"/>
            <w:shd w:val="clear" w:color="auto" w:fill="000000"/>
          </w:tcPr>
          <w:p>
            <w:pPr>
              <w:spacing w:after="0" w:line="20" w:lineRule="exact"/>
              <w:rPr>
                <w:sz w:val="1"/>
                <w:szCs w:val="1"/>
                <w:color w:val="auto"/>
              </w:rPr>
            </w:pPr>
          </w:p>
        </w:tc>
      </w:tr>
      <w:tr>
        <w:trPr>
          <w:trHeight w:val="264"/>
        </w:trPr>
        <w:tc>
          <w:tcPr>
            <w:tcW w:w="3220" w:type="dxa"/>
            <w:vAlign w:val="bottom"/>
            <w:gridSpan w:val="3"/>
          </w:tcPr>
          <w:p>
            <w:pPr>
              <w:jc w:val="center"/>
              <w:ind w:right="1500"/>
              <w:spacing w:after="0"/>
              <w:rPr>
                <w:sz w:val="20"/>
                <w:szCs w:val="20"/>
                <w:color w:val="auto"/>
              </w:rPr>
            </w:pPr>
            <w:r>
              <w:rPr>
                <w:rFonts w:ascii="Times New Roman" w:cs="Times New Roman" w:eastAsia="Times New Roman" w:hAnsi="Times New Roman"/>
                <w:sz w:val="18"/>
                <w:szCs w:val="18"/>
                <w:color w:val="auto"/>
                <w:w w:val="99"/>
              </w:rPr>
              <w:t>Class A Common Stock</w:t>
            </w:r>
          </w:p>
        </w:tc>
        <w:tc>
          <w:tcPr>
            <w:tcW w:w="2040" w:type="dxa"/>
            <w:vAlign w:val="bottom"/>
            <w:gridSpan w:val="2"/>
          </w:tcPr>
          <w:p>
            <w:pPr>
              <w:jc w:val="center"/>
              <w:ind w:right="1060"/>
              <w:spacing w:after="0"/>
              <w:rPr>
                <w:sz w:val="20"/>
                <w:szCs w:val="20"/>
                <w:color w:val="auto"/>
              </w:rPr>
            </w:pPr>
            <w:r>
              <w:rPr>
                <w:rFonts w:ascii="Times New Roman" w:cs="Times New Roman" w:eastAsia="Times New Roman" w:hAnsi="Times New Roman"/>
                <w:sz w:val="14"/>
                <w:szCs w:val="14"/>
                <w:color w:val="auto"/>
              </w:rPr>
              <w:t>BAH</w:t>
            </w:r>
          </w:p>
        </w:tc>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w:t>
            </w:r>
          </w:p>
        </w:tc>
      </w:tr>
    </w:tbl>
    <w:p>
      <w:pPr>
        <w:spacing w:after="0" w:line="90" w:lineRule="exact"/>
        <w:rPr>
          <w:sz w:val="24"/>
          <w:szCs w:val="24"/>
          <w:color w:val="auto"/>
        </w:rPr>
      </w:pPr>
    </w:p>
    <w:p>
      <w:pPr>
        <w:ind w:right="30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0" w:lineRule="exact"/>
        <w:rPr>
          <w:sz w:val="24"/>
          <w:szCs w:val="24"/>
          <w:color w:val="auto"/>
        </w:rPr>
      </w:pPr>
    </w:p>
    <w:p>
      <w:pPr>
        <w:ind w:right="36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30" w:lineRule="exact"/>
        <w:rPr>
          <w:sz w:val="24"/>
          <w:szCs w:val="24"/>
          <w:color w:val="auto"/>
        </w:rPr>
      </w:pPr>
    </w:p>
    <w:p>
      <w:pPr>
        <w:ind w:right="260"/>
        <w:spacing w:after="0" w:line="27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definition of “accelerated filer,” “large accelerated filer” and “smaller reporting company” in Rule 12b-2 of the Exchange Act.</w:t>
      </w:r>
    </w:p>
    <w:p>
      <w:pPr>
        <w:spacing w:after="0" w:line="2" w:lineRule="exact"/>
        <w:rPr>
          <w:sz w:val="24"/>
          <w:szCs w:val="24"/>
          <w:color w:val="auto"/>
        </w:rPr>
      </w:pPr>
    </w:p>
    <w:tbl>
      <w:tblPr>
        <w:tblLayout w:type="fixed"/>
        <w:tblInd w:w="20" w:type="dxa"/>
        <w:tblCellMar>
          <w:top w:w="0" w:type="dxa"/>
          <w:left w:w="0" w:type="dxa"/>
          <w:bottom w:w="0" w:type="dxa"/>
          <w:right w:w="0" w:type="dxa"/>
        </w:tblCellMar>
      </w:tblPr>
      <w:tr>
        <w:trPr>
          <w:trHeight w:val="350"/>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10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5000" w:type="dxa"/>
            <w:vAlign w:val="bottom"/>
          </w:tcPr>
          <w:p>
            <w:pPr>
              <w:ind w:left="2440"/>
              <w:spacing w:after="0"/>
              <w:rPr>
                <w:sz w:val="20"/>
                <w:szCs w:val="20"/>
                <w:color w:val="auto"/>
              </w:rPr>
            </w:pPr>
            <w:r>
              <w:rPr>
                <w:rFonts w:ascii="Times New Roman" w:cs="Times New Roman" w:eastAsia="Times New Roman" w:hAnsi="Times New Roman"/>
                <w:sz w:val="18"/>
                <w:szCs w:val="18"/>
                <w:color w:val="auto"/>
              </w:rPr>
              <w:t>Accelerated Filer</w:t>
            </w:r>
          </w:p>
        </w:tc>
        <w:tc>
          <w:tcPr>
            <w:tcW w:w="6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57"/>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100" w:type="dxa"/>
            <w:vAlign w:val="bottom"/>
          </w:tcPr>
          <w:p>
            <w:pPr>
              <w:spacing w:after="0"/>
              <w:rPr>
                <w:sz w:val="22"/>
                <w:szCs w:val="22"/>
                <w:color w:val="auto"/>
              </w:rPr>
            </w:pPr>
          </w:p>
        </w:tc>
        <w:tc>
          <w:tcPr>
            <w:tcW w:w="5000" w:type="dxa"/>
            <w:vAlign w:val="bottom"/>
          </w:tcPr>
          <w:p>
            <w:pPr>
              <w:ind w:left="24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2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5000" w:type="dxa"/>
            <w:vAlign w:val="bottom"/>
          </w:tcPr>
          <w:p>
            <w:pPr>
              <w:ind w:left="2440"/>
              <w:spacing w:after="0"/>
              <w:rPr>
                <w:sz w:val="20"/>
                <w:szCs w:val="20"/>
                <w:color w:val="auto"/>
              </w:rPr>
            </w:pPr>
            <w:r>
              <w:rPr>
                <w:rFonts w:ascii="Times New Roman" w:cs="Times New Roman" w:eastAsia="Times New Roman" w:hAnsi="Times New Roman"/>
                <w:sz w:val="18"/>
                <w:szCs w:val="18"/>
                <w:color w:val="auto"/>
              </w:rPr>
              <w:t>Emerging Growth Company</w:t>
            </w:r>
          </w:p>
        </w:tc>
        <w:tc>
          <w:tcPr>
            <w:tcW w:w="6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43"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right="1840"/>
        <w:spacing w:after="0" w:line="22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Indicate the number of shares outstanding of each of the issuer’s classes of common stock, as of the latest practicable date.</w:t>
      </w:r>
    </w:p>
    <w:p>
      <w:pPr>
        <w:spacing w:after="0" w:line="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5460" w:type="dxa"/>
            <w:vAlign w:val="bottom"/>
          </w:tcPr>
          <w:p>
            <w:pPr>
              <w:spacing w:after="0"/>
              <w:rPr>
                <w:sz w:val="13"/>
                <w:szCs w:val="13"/>
                <w:color w:val="auto"/>
              </w:rPr>
            </w:pPr>
          </w:p>
        </w:tc>
        <w:tc>
          <w:tcPr>
            <w:tcW w:w="5780" w:type="dxa"/>
            <w:vAlign w:val="bottom"/>
            <w:gridSpan w:val="2"/>
          </w:tcPr>
          <w:p>
            <w:pPr>
              <w:jc w:val="center"/>
              <w:ind w:left="2802"/>
              <w:spacing w:after="0"/>
              <w:rPr>
                <w:sz w:val="20"/>
                <w:szCs w:val="20"/>
                <w:color w:val="auto"/>
              </w:rPr>
            </w:pPr>
            <w:r>
              <w:rPr>
                <w:rFonts w:ascii="Times New Roman" w:cs="Times New Roman" w:eastAsia="Times New Roman" w:hAnsi="Times New Roman"/>
                <w:sz w:val="14"/>
                <w:szCs w:val="14"/>
                <w:b w:val="1"/>
                <w:bCs w:val="1"/>
                <w:color w:val="auto"/>
              </w:rPr>
              <w:t>Shares Outstanding</w:t>
            </w:r>
          </w:p>
        </w:tc>
      </w:tr>
      <w:tr>
        <w:trPr>
          <w:trHeight w:val="195"/>
        </w:trPr>
        <w:tc>
          <w:tcPr>
            <w:tcW w:w="5460" w:type="dxa"/>
            <w:vAlign w:val="bottom"/>
          </w:tcPr>
          <w:p>
            <w:pPr>
              <w:spacing w:after="0"/>
              <w:rPr>
                <w:sz w:val="16"/>
                <w:szCs w:val="16"/>
                <w:color w:val="auto"/>
              </w:rPr>
            </w:pPr>
          </w:p>
        </w:tc>
        <w:tc>
          <w:tcPr>
            <w:tcW w:w="5780" w:type="dxa"/>
            <w:vAlign w:val="bottom"/>
            <w:gridSpan w:val="2"/>
          </w:tcPr>
          <w:p>
            <w:pPr>
              <w:jc w:val="center"/>
              <w:ind w:left="2782"/>
              <w:spacing w:after="0"/>
              <w:rPr>
                <w:sz w:val="20"/>
                <w:szCs w:val="20"/>
                <w:color w:val="auto"/>
              </w:rPr>
            </w:pPr>
            <w:r>
              <w:rPr>
                <w:rFonts w:ascii="Times New Roman" w:cs="Times New Roman" w:eastAsia="Times New Roman" w:hAnsi="Times New Roman"/>
                <w:sz w:val="14"/>
                <w:szCs w:val="14"/>
                <w:b w:val="1"/>
                <w:bCs w:val="1"/>
                <w:color w:val="auto"/>
              </w:rPr>
              <w:t>as of July 26, 2022</w:t>
            </w:r>
          </w:p>
        </w:tc>
      </w:tr>
      <w:tr>
        <w:trPr>
          <w:trHeight w:val="234"/>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A Common Stock</w:t>
            </w:r>
          </w:p>
        </w:tc>
        <w:tc>
          <w:tcPr>
            <w:tcW w:w="54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132,327,822</w:t>
            </w:r>
          </w:p>
        </w:tc>
        <w:tc>
          <w:tcPr>
            <w:tcW w:w="360" w:type="dxa"/>
            <w:vAlign w:val="bottom"/>
          </w:tcPr>
          <w:p>
            <w:pPr>
              <w:spacing w:after="0"/>
              <w:rPr>
                <w:sz w:val="20"/>
                <w:szCs w:val="20"/>
                <w:color w:val="auto"/>
              </w:rPr>
            </w:pPr>
          </w:p>
        </w:tc>
      </w:tr>
      <w:tr>
        <w:trPr>
          <w:trHeight w:val="777"/>
        </w:trPr>
        <w:tc>
          <w:tcPr>
            <w:tcW w:w="5460" w:type="dxa"/>
            <w:vAlign w:val="bottom"/>
            <w:tcBorders>
              <w:bottom w:val="single" w:sz="8" w:color="9A9A9A"/>
            </w:tcBorders>
          </w:tcPr>
          <w:p>
            <w:pPr>
              <w:spacing w:after="0"/>
              <w:rPr>
                <w:sz w:val="24"/>
                <w:szCs w:val="24"/>
                <w:color w:val="auto"/>
              </w:rPr>
            </w:pPr>
          </w:p>
        </w:tc>
        <w:tc>
          <w:tcPr>
            <w:tcW w:w="54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0480" w:type="dxa"/>
            <w:vAlign w:val="bottom"/>
            <w:gridSpan w:val="14"/>
          </w:tcPr>
          <w:p>
            <w:pPr>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20" w:type="dxa"/>
            <w:vAlign w:val="bottom"/>
          </w:tcPr>
          <w:p>
            <w:pPr>
              <w:spacing w:after="0"/>
              <w:rPr>
                <w:sz w:val="24"/>
                <w:szCs w:val="24"/>
                <w:color w:val="auto"/>
              </w:rPr>
            </w:pPr>
          </w:p>
        </w:tc>
        <w:tc>
          <w:tcPr>
            <w:tcW w:w="254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PART I. Financial Information</w:t>
            </w:r>
          </w:p>
        </w:tc>
        <w:tc>
          <w:tcPr>
            <w:tcW w:w="7920" w:type="dxa"/>
            <w:vAlign w:val="bottom"/>
            <w:gridSpan w:val="9"/>
            <w:vMerge w:val="restart"/>
          </w:tcPr>
          <w:p>
            <w:pPr>
              <w:spacing w:after="0"/>
              <w:rPr>
                <w:sz w:val="24"/>
                <w:szCs w:val="24"/>
                <w:color w:val="auto"/>
              </w:rPr>
            </w:pPr>
          </w:p>
        </w:tc>
        <w:tc>
          <w:tcPr>
            <w:tcW w:w="760" w:type="dxa"/>
            <w:vAlign w:val="bottom"/>
            <w:gridSpan w:val="5"/>
          </w:tcPr>
          <w:p>
            <w:pPr>
              <w:ind w:left="18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540" w:type="dxa"/>
            <w:vAlign w:val="bottom"/>
            <w:tcBorders>
              <w:bottom w:val="single" w:sz="8" w:color="0000FF"/>
            </w:tcBorders>
            <w:gridSpan w:val="4"/>
            <w:vMerge w:val="continue"/>
          </w:tcPr>
          <w:p>
            <w:pPr>
              <w:spacing w:after="0"/>
              <w:rPr>
                <w:sz w:val="15"/>
                <w:szCs w:val="15"/>
                <w:color w:val="auto"/>
              </w:rPr>
            </w:pPr>
          </w:p>
        </w:tc>
        <w:tc>
          <w:tcPr>
            <w:tcW w:w="7920" w:type="dxa"/>
            <w:vAlign w:val="bottom"/>
            <w:gridSpan w:val="9"/>
            <w:vMerge w:val="continue"/>
          </w:tcPr>
          <w:p>
            <w:pPr>
              <w:spacing w:after="0"/>
              <w:rPr>
                <w:sz w:val="15"/>
                <w:szCs w:val="15"/>
                <w:color w:val="auto"/>
              </w:rPr>
            </w:pPr>
          </w:p>
        </w:tc>
        <w:tc>
          <w:tcPr>
            <w:tcW w:w="620" w:type="dxa"/>
            <w:vAlign w:val="bottom"/>
            <w:tcBorders>
              <w:top w:val="single" w:sz="8" w:color="auto"/>
            </w:tcBorders>
            <w:gridSpan w:val="2"/>
          </w:tcPr>
          <w:p>
            <w:pPr>
              <w:spacing w:after="0"/>
              <w:rPr>
                <w:sz w:val="15"/>
                <w:szCs w:val="15"/>
                <w:color w:val="auto"/>
              </w:rPr>
            </w:pPr>
          </w:p>
        </w:tc>
        <w:tc>
          <w:tcPr>
            <w:tcW w:w="100" w:type="dxa"/>
            <w:vAlign w:val="bottom"/>
            <w:tcBorders>
              <w:top w:val="single" w:sz="8" w:color="auto"/>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w:t>
            </w:r>
          </w:p>
        </w:tc>
        <w:tc>
          <w:tcPr>
            <w:tcW w:w="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162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b w:val="1"/>
                <w:bCs w:val="1"/>
                <w:color w:val="0000FF"/>
                <w:w w:val="99"/>
              </w:rPr>
              <w:t>Financial Statements</w:t>
            </w:r>
          </w:p>
        </w:tc>
        <w:tc>
          <w:tcPr>
            <w:tcW w:w="7280" w:type="dxa"/>
            <w:vAlign w:val="bottom"/>
            <w:gridSpan w:val="6"/>
          </w:tcPr>
          <w:p>
            <w:pPr>
              <w:spacing w:after="0"/>
              <w:rPr>
                <w:sz w:val="18"/>
                <w:szCs w:val="18"/>
                <w:color w:val="auto"/>
              </w:rPr>
            </w:pPr>
          </w:p>
        </w:tc>
        <w:tc>
          <w:tcPr>
            <w:tcW w:w="620" w:type="dxa"/>
            <w:vAlign w:val="bottom"/>
            <w:gridSpan w:val="2"/>
          </w:tcPr>
          <w:p>
            <w:pPr>
              <w:spacing w:after="0"/>
              <w:rPr>
                <w:sz w:val="18"/>
                <w:szCs w:val="18"/>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b w:val="1"/>
                <w:bCs w:val="1"/>
                <w:color w:val="0000FF"/>
                <w:w w:val="88"/>
              </w:rPr>
              <w:t>1</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5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8900" w:type="dxa"/>
            <w:vAlign w:val="bottom"/>
            <w:gridSpan w:val="12"/>
          </w:tcPr>
          <w:p>
            <w:pPr>
              <w:spacing w:after="0"/>
              <w:rPr>
                <w:sz w:val="20"/>
                <w:szCs w:val="20"/>
                <w:color w:val="auto"/>
              </w:rPr>
            </w:pPr>
            <w:r>
              <w:rPr>
                <w:rFonts w:ascii="Times New Roman" w:cs="Times New Roman" w:eastAsia="Times New Roman" w:hAnsi="Times New Roman"/>
                <w:sz w:val="18"/>
                <w:szCs w:val="18"/>
                <w:b w:val="1"/>
                <w:bCs w:val="1"/>
                <w:color w:val="0000FF"/>
              </w:rPr>
              <w:t>Management's Discussion and Analysis of Financial Condition and Results of Operations</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0000FF"/>
              </w:rPr>
              <w:t>18</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5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6820" w:type="dxa"/>
            <w:vAlign w:val="bottom"/>
            <w:gridSpan w:val="11"/>
          </w:tcPr>
          <w:p>
            <w:pPr>
              <w:spacing w:after="0"/>
              <w:rPr>
                <w:sz w:val="20"/>
                <w:szCs w:val="20"/>
                <w:color w:val="auto"/>
              </w:rPr>
            </w:pPr>
            <w:r>
              <w:rPr>
                <w:rFonts w:ascii="Times New Roman" w:cs="Times New Roman" w:eastAsia="Times New Roman" w:hAnsi="Times New Roman"/>
                <w:sz w:val="18"/>
                <w:szCs w:val="18"/>
                <w:b w:val="1"/>
                <w:bCs w:val="1"/>
                <w:color w:val="0000FF"/>
              </w:rPr>
              <w:t>Quantitative and Qualitative Disclosures About Market Risk</w:t>
            </w:r>
          </w:p>
        </w:tc>
        <w:tc>
          <w:tcPr>
            <w:tcW w:w="208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0000FF"/>
              </w:rPr>
              <w:t>34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5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466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0000FF"/>
              </w:rPr>
              <w:t>Controls and Procedures</w:t>
            </w:r>
          </w:p>
        </w:tc>
        <w:tc>
          <w:tcPr>
            <w:tcW w:w="4240" w:type="dxa"/>
            <w:vAlign w:val="bottom"/>
            <w:gridSpan w:val="2"/>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0000FF"/>
              </w:rPr>
              <w:t>34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600" w:type="dxa"/>
            <w:vAlign w:val="bottom"/>
            <w:tcBorders>
              <w:left w:val="single" w:sz="8" w:color="0000FF"/>
            </w:tcBorders>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34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FF"/>
                <w:w w:val="98"/>
              </w:rPr>
              <w:t>PART II. Other Information</w:t>
            </w:r>
          </w:p>
        </w:tc>
        <w:tc>
          <w:tcPr>
            <w:tcW w:w="8260" w:type="dxa"/>
            <w:vAlign w:val="bottom"/>
            <w:gridSpan w:val="11"/>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0000FF"/>
              </w:rPr>
              <w:t>35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34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5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14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0000FF"/>
                <w:w w:val="98"/>
              </w:rPr>
              <w:t>Legal Proceedings</w:t>
            </w:r>
          </w:p>
        </w:tc>
        <w:tc>
          <w:tcPr>
            <w:tcW w:w="7500" w:type="dxa"/>
            <w:vAlign w:val="bottom"/>
            <w:gridSpan w:val="8"/>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0000FF"/>
              </w:rPr>
              <w:t>35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5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ITEM 1A</w:t>
            </w:r>
          </w:p>
        </w:tc>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FF"/>
                <w:w w:val="98"/>
              </w:rPr>
              <w:t>Risk Factors</w:t>
            </w:r>
          </w:p>
        </w:tc>
        <w:tc>
          <w:tcPr>
            <w:tcW w:w="420" w:type="dxa"/>
            <w:vAlign w:val="bottom"/>
          </w:tcPr>
          <w:p>
            <w:pPr>
              <w:spacing w:after="0"/>
              <w:rPr>
                <w:sz w:val="18"/>
                <w:szCs w:val="18"/>
                <w:color w:val="auto"/>
              </w:rPr>
            </w:pPr>
          </w:p>
        </w:tc>
        <w:tc>
          <w:tcPr>
            <w:tcW w:w="7500" w:type="dxa"/>
            <w:vAlign w:val="bottom"/>
            <w:gridSpan w:val="8"/>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0000FF"/>
              </w:rPr>
              <w:t>36</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34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5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8900" w:type="dxa"/>
            <w:vAlign w:val="bottom"/>
            <w:gridSpan w:val="12"/>
          </w:tcPr>
          <w:p>
            <w:pPr>
              <w:spacing w:after="0"/>
              <w:rPr>
                <w:sz w:val="20"/>
                <w:szCs w:val="20"/>
                <w:color w:val="auto"/>
              </w:rPr>
            </w:pPr>
            <w:r>
              <w:rPr>
                <w:rFonts w:ascii="Times New Roman" w:cs="Times New Roman" w:eastAsia="Times New Roman" w:hAnsi="Times New Roman"/>
                <w:sz w:val="18"/>
                <w:szCs w:val="18"/>
                <w:b w:val="1"/>
                <w:bCs w:val="1"/>
                <w:color w:val="0000FF"/>
              </w:rPr>
              <w:t>Unregistered Sales of Equity Securities and Use of Proceeds</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0000FF"/>
              </w:rPr>
              <w:t>36</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5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456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0000FF"/>
              </w:rPr>
              <w:t>Defaults Upon Senior Securities</w:t>
            </w:r>
          </w:p>
        </w:tc>
        <w:tc>
          <w:tcPr>
            <w:tcW w:w="4340" w:type="dxa"/>
            <w:vAlign w:val="bottom"/>
            <w:gridSpan w:val="3"/>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0000FF"/>
              </w:rPr>
              <w:t>36</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5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184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0000FF"/>
                <w:w w:val="97"/>
              </w:rPr>
              <w:t>Mine Safety Disclosures</w:t>
            </w:r>
          </w:p>
        </w:tc>
        <w:tc>
          <w:tcPr>
            <w:tcW w:w="600" w:type="dxa"/>
            <w:vAlign w:val="bottom"/>
          </w:tcPr>
          <w:p>
            <w:pPr>
              <w:spacing w:after="0"/>
              <w:rPr>
                <w:sz w:val="18"/>
                <w:szCs w:val="18"/>
                <w:color w:val="auto"/>
              </w:rPr>
            </w:pPr>
          </w:p>
        </w:tc>
        <w:tc>
          <w:tcPr>
            <w:tcW w:w="6460" w:type="dxa"/>
            <w:vAlign w:val="bottom"/>
            <w:gridSpan w:val="4"/>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0000FF"/>
              </w:rPr>
              <w:t>36</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0" w:type="dxa"/>
            <w:vAlign w:val="bottom"/>
            <w:gridSpan w:val="4"/>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7060" w:type="dxa"/>
            <w:vAlign w:val="bottom"/>
            <w:gridSpan w:val="5"/>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5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ITEM 5</w:t>
            </w:r>
          </w:p>
        </w:tc>
        <w:tc>
          <w:tcPr>
            <w:tcW w:w="184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0000FF"/>
              </w:rPr>
              <w:t>Other Information</w:t>
            </w:r>
          </w:p>
        </w:tc>
        <w:tc>
          <w:tcPr>
            <w:tcW w:w="7060" w:type="dxa"/>
            <w:vAlign w:val="bottom"/>
            <w:gridSpan w:val="5"/>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0000FF"/>
              </w:rPr>
              <w:t>36</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0" w:type="dxa"/>
            <w:vAlign w:val="bottom"/>
            <w:gridSpan w:val="4"/>
            <w:shd w:val="clear" w:color="auto" w:fill="0000FF"/>
          </w:tcPr>
          <w:p>
            <w:pPr>
              <w:spacing w:after="0" w:line="20" w:lineRule="exact"/>
              <w:rPr>
                <w:sz w:val="1"/>
                <w:szCs w:val="1"/>
                <w:color w:val="auto"/>
              </w:rPr>
            </w:pPr>
          </w:p>
        </w:tc>
        <w:tc>
          <w:tcPr>
            <w:tcW w:w="7460" w:type="dxa"/>
            <w:vAlign w:val="bottom"/>
            <w:gridSpan w:val="7"/>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5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4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0000FF"/>
              </w:rPr>
              <w:t>Exhibits</w:t>
            </w:r>
          </w:p>
        </w:tc>
        <w:tc>
          <w:tcPr>
            <w:tcW w:w="7460" w:type="dxa"/>
            <w:vAlign w:val="bottom"/>
            <w:gridSpan w:val="7"/>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0000FF"/>
              </w:rPr>
              <w:t>37</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9"/>
        </w:trPr>
        <w:tc>
          <w:tcPr>
            <w:tcW w:w="2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640" w:type="dxa"/>
            <w:vAlign w:val="bottom"/>
            <w:tcBorders>
              <w:top w:val="single" w:sz="8" w:color="0000FF"/>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12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459"/>
        </w:trPr>
        <w:tc>
          <w:tcPr>
            <w:tcW w:w="9060" w:type="dxa"/>
            <w:vAlign w:val="bottom"/>
            <w:gridSpan w:val="25"/>
          </w:tcPr>
          <w:p>
            <w:pPr>
              <w:spacing w:after="0"/>
              <w:rPr>
                <w:sz w:val="20"/>
                <w:szCs w:val="20"/>
                <w:color w:val="auto"/>
              </w:rPr>
            </w:pPr>
            <w:r>
              <w:rPr>
                <w:rFonts w:ascii="Times New Roman" w:cs="Times New Roman" w:eastAsia="Times New Roman" w:hAnsi="Times New Roman"/>
                <w:sz w:val="18"/>
                <w:szCs w:val="18"/>
                <w:b w:val="1"/>
                <w:bCs w:val="1"/>
                <w:color w:val="auto"/>
              </w:rPr>
              <w:t>Item 1</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Financial Statements</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59"/>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60" w:type="dxa"/>
            <w:vAlign w:val="bottom"/>
            <w:gridSpan w:val="19"/>
          </w:tcPr>
          <w:p>
            <w:pPr>
              <w:ind w:left="20"/>
              <w:spacing w:after="0"/>
              <w:rPr>
                <w:sz w:val="20"/>
                <w:szCs w:val="20"/>
                <w:color w:val="auto"/>
              </w:rPr>
            </w:pPr>
            <w:r>
              <w:rPr>
                <w:rFonts w:ascii="Times New Roman" w:cs="Times New Roman" w:eastAsia="Times New Roman" w:hAnsi="Times New Roman"/>
                <w:sz w:val="18"/>
                <w:szCs w:val="18"/>
                <w:b w:val="1"/>
                <w:bCs w:val="1"/>
                <w:color w:val="auto"/>
              </w:rPr>
              <w:t>INDEX TO THE UNAUDITED CONDENSED CONSOLIDATED FINANCIAL STATEMENTS</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6"/>
        </w:trPr>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940" w:type="dxa"/>
            <w:vAlign w:val="bottom"/>
          </w:tcPr>
          <w:p>
            <w:pPr>
              <w:spacing w:after="0"/>
              <w:rPr>
                <w:sz w:val="22"/>
                <w:szCs w:val="22"/>
                <w:color w:val="auto"/>
              </w:rPr>
            </w:pPr>
          </w:p>
        </w:tc>
        <w:tc>
          <w:tcPr>
            <w:tcW w:w="2180" w:type="dxa"/>
            <w:vAlign w:val="bottom"/>
            <w:gridSpan w:val="5"/>
          </w:tcPr>
          <w:p>
            <w:pPr>
              <w:ind w:left="42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83"/>
        </w:trPr>
        <w:tc>
          <w:tcPr>
            <w:tcW w:w="20" w:type="dxa"/>
            <w:vAlign w:val="bottom"/>
          </w:tcPr>
          <w:p>
            <w:pPr>
              <w:spacing w:after="0"/>
              <w:rPr>
                <w:sz w:val="15"/>
                <w:szCs w:val="15"/>
                <w:color w:val="auto"/>
              </w:rPr>
            </w:pPr>
          </w:p>
        </w:tc>
        <w:tc>
          <w:tcPr>
            <w:tcW w:w="9040" w:type="dxa"/>
            <w:vAlign w:val="bottom"/>
            <w:gridSpan w:val="24"/>
          </w:tcPr>
          <w:p>
            <w:pPr>
              <w:spacing w:after="0" w:line="182" w:lineRule="exact"/>
              <w:rPr>
                <w:sz w:val="20"/>
                <w:szCs w:val="20"/>
                <w:color w:val="auto"/>
              </w:rPr>
            </w:pPr>
            <w:r>
              <w:rPr>
                <w:rFonts w:ascii="Times New Roman" w:cs="Times New Roman" w:eastAsia="Times New Roman" w:hAnsi="Times New Roman"/>
                <w:sz w:val="18"/>
                <w:szCs w:val="18"/>
                <w:b w:val="1"/>
                <w:bCs w:val="1"/>
                <w:color w:val="0000FF"/>
              </w:rPr>
              <w:t>Condensed Consolidated Balance Sheets</w:t>
            </w:r>
          </w:p>
        </w:tc>
        <w:tc>
          <w:tcPr>
            <w:tcW w:w="700" w:type="dxa"/>
            <w:vAlign w:val="bottom"/>
            <w:tcBorders>
              <w:top w:val="single" w:sz="8" w:color="auto"/>
            </w:tcBorders>
            <w:gridSpan w:val="3"/>
          </w:tcPr>
          <w:p>
            <w:pPr>
              <w:jc w:val="center"/>
              <w:ind w:left="430"/>
              <w:spacing w:after="0" w:line="182" w:lineRule="exact"/>
              <w:rPr>
                <w:sz w:val="20"/>
                <w:szCs w:val="20"/>
                <w:color w:val="auto"/>
              </w:rPr>
            </w:pPr>
            <w:r>
              <w:rPr>
                <w:rFonts w:ascii="Times New Roman" w:cs="Times New Roman" w:eastAsia="Times New Roman" w:hAnsi="Times New Roman"/>
                <w:sz w:val="18"/>
                <w:szCs w:val="18"/>
                <w:b w:val="1"/>
                <w:bCs w:val="1"/>
                <w:color w:val="0000FF"/>
              </w:rPr>
              <w:t>1</w:t>
            </w:r>
          </w:p>
        </w:tc>
        <w:tc>
          <w:tcPr>
            <w:tcW w:w="500" w:type="dxa"/>
            <w:vAlign w:val="bottom"/>
            <w:tcBorders>
              <w:top w:val="single" w:sz="8" w:color="auto"/>
            </w:tcBorders>
          </w:tcPr>
          <w:p>
            <w:pPr>
              <w:spacing w:after="0"/>
              <w:rPr>
                <w:sz w:val="15"/>
                <w:szCs w:val="15"/>
                <w:color w:val="auto"/>
              </w:rPr>
            </w:pPr>
          </w:p>
        </w:tc>
        <w:tc>
          <w:tcPr>
            <w:tcW w:w="98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040" w:type="dxa"/>
            <w:vAlign w:val="bottom"/>
            <w:gridSpan w:val="24"/>
          </w:tcPr>
          <w:p>
            <w:pPr>
              <w:spacing w:after="0"/>
              <w:rPr>
                <w:sz w:val="20"/>
                <w:szCs w:val="20"/>
                <w:color w:val="auto"/>
              </w:rPr>
            </w:pPr>
            <w:r>
              <w:rPr>
                <w:rFonts w:ascii="Times New Roman" w:cs="Times New Roman" w:eastAsia="Times New Roman" w:hAnsi="Times New Roman"/>
                <w:sz w:val="18"/>
                <w:szCs w:val="18"/>
                <w:b w:val="1"/>
                <w:bCs w:val="1"/>
                <w:color w:val="0000FF"/>
              </w:rPr>
              <w:t>Condensed Consolidated Statements of Operations</w:t>
            </w:r>
          </w:p>
        </w:tc>
        <w:tc>
          <w:tcPr>
            <w:tcW w:w="700" w:type="dxa"/>
            <w:vAlign w:val="bottom"/>
            <w:gridSpan w:val="3"/>
          </w:tcPr>
          <w:p>
            <w:pPr>
              <w:jc w:val="center"/>
              <w:ind w:left="430"/>
              <w:spacing w:after="0"/>
              <w:rPr>
                <w:sz w:val="20"/>
                <w:szCs w:val="20"/>
                <w:color w:val="auto"/>
              </w:rPr>
            </w:pPr>
            <w:r>
              <w:rPr>
                <w:rFonts w:ascii="Times New Roman" w:cs="Times New Roman" w:eastAsia="Times New Roman" w:hAnsi="Times New Roman"/>
                <w:sz w:val="18"/>
                <w:szCs w:val="18"/>
                <w:b w:val="1"/>
                <w:bCs w:val="1"/>
                <w:color w:val="0000FF"/>
              </w:rPr>
              <w:t>2</w:t>
            </w: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86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18"/>
                <w:szCs w:val="18"/>
                <w:b w:val="1"/>
                <w:bCs w:val="1"/>
                <w:color w:val="0000FF"/>
                <w:w w:val="99"/>
              </w:rPr>
              <w:t>Condensed Consolidated Statements of Comprehensive Income</w:t>
            </w:r>
          </w:p>
        </w:tc>
        <w:tc>
          <w:tcPr>
            <w:tcW w:w="4180" w:type="dxa"/>
            <w:vAlign w:val="bottom"/>
            <w:gridSpan w:val="2"/>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b w:val="1"/>
                <w:bCs w:val="1"/>
                <w:color w:val="0000FF"/>
              </w:rPr>
              <w:t>3</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9040" w:type="dxa"/>
            <w:vAlign w:val="bottom"/>
            <w:gridSpan w:val="24"/>
          </w:tcPr>
          <w:p>
            <w:pPr>
              <w:spacing w:after="0"/>
              <w:rPr>
                <w:sz w:val="20"/>
                <w:szCs w:val="20"/>
                <w:color w:val="auto"/>
              </w:rPr>
            </w:pPr>
            <w:r>
              <w:rPr>
                <w:rFonts w:ascii="Times New Roman" w:cs="Times New Roman" w:eastAsia="Times New Roman" w:hAnsi="Times New Roman"/>
                <w:sz w:val="18"/>
                <w:szCs w:val="18"/>
                <w:b w:val="1"/>
                <w:bCs w:val="1"/>
                <w:color w:val="0000FF"/>
              </w:rPr>
              <w:t>Condensed Consolidated Statements of Cash Flows</w:t>
            </w:r>
          </w:p>
        </w:tc>
        <w:tc>
          <w:tcPr>
            <w:tcW w:w="700" w:type="dxa"/>
            <w:vAlign w:val="bottom"/>
            <w:gridSpan w:val="3"/>
          </w:tcPr>
          <w:p>
            <w:pPr>
              <w:jc w:val="center"/>
              <w:ind w:left="430"/>
              <w:spacing w:after="0"/>
              <w:rPr>
                <w:sz w:val="20"/>
                <w:szCs w:val="20"/>
                <w:color w:val="auto"/>
              </w:rPr>
            </w:pPr>
            <w:r>
              <w:rPr>
                <w:rFonts w:ascii="Times New Roman" w:cs="Times New Roman" w:eastAsia="Times New Roman" w:hAnsi="Times New Roman"/>
                <w:sz w:val="18"/>
                <w:szCs w:val="18"/>
                <w:b w:val="1"/>
                <w:bCs w:val="1"/>
                <w:color w:val="0000FF"/>
              </w:rPr>
              <w:t>4</w:t>
            </w: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040" w:type="dxa"/>
            <w:vAlign w:val="bottom"/>
            <w:gridSpan w:val="24"/>
          </w:tcPr>
          <w:p>
            <w:pPr>
              <w:spacing w:after="0"/>
              <w:rPr>
                <w:sz w:val="20"/>
                <w:szCs w:val="20"/>
                <w:color w:val="auto"/>
              </w:rPr>
            </w:pPr>
            <w:r>
              <w:rPr>
                <w:rFonts w:ascii="Times New Roman" w:cs="Times New Roman" w:eastAsia="Times New Roman" w:hAnsi="Times New Roman"/>
                <w:sz w:val="18"/>
                <w:szCs w:val="18"/>
                <w:b w:val="1"/>
                <w:bCs w:val="1"/>
                <w:color w:val="0000FF"/>
              </w:rPr>
              <w:t>Condensed Consolidated Statement of Stockholders' Equity</w:t>
            </w:r>
          </w:p>
        </w:tc>
        <w:tc>
          <w:tcPr>
            <w:tcW w:w="700" w:type="dxa"/>
            <w:vAlign w:val="bottom"/>
            <w:gridSpan w:val="3"/>
          </w:tcPr>
          <w:p>
            <w:pPr>
              <w:jc w:val="center"/>
              <w:ind w:left="430"/>
              <w:spacing w:after="0"/>
              <w:rPr>
                <w:sz w:val="20"/>
                <w:szCs w:val="20"/>
                <w:color w:val="auto"/>
              </w:rPr>
            </w:pPr>
            <w:r>
              <w:rPr>
                <w:rFonts w:ascii="Times New Roman" w:cs="Times New Roman" w:eastAsia="Times New Roman" w:hAnsi="Times New Roman"/>
                <w:sz w:val="18"/>
                <w:szCs w:val="18"/>
                <w:b w:val="1"/>
                <w:bCs w:val="1"/>
                <w:color w:val="0000FF"/>
              </w:rPr>
              <w:t>5</w:t>
            </w: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100" w:type="dxa"/>
            <w:vAlign w:val="bottom"/>
            <w:tcBorders>
              <w:bottom w:val="single" w:sz="8" w:color="0000FF"/>
            </w:tcBorders>
            <w:gridSpan w:val="23"/>
          </w:tcPr>
          <w:p>
            <w:pPr>
              <w:spacing w:after="0"/>
              <w:rPr>
                <w:sz w:val="20"/>
                <w:szCs w:val="20"/>
                <w:color w:val="auto"/>
              </w:rPr>
            </w:pPr>
            <w:r>
              <w:rPr>
                <w:rFonts w:ascii="Times New Roman" w:cs="Times New Roman" w:eastAsia="Times New Roman" w:hAnsi="Times New Roman"/>
                <w:sz w:val="18"/>
                <w:szCs w:val="18"/>
                <w:b w:val="1"/>
                <w:bCs w:val="1"/>
                <w:color w:val="0000FF"/>
                <w:w w:val="99"/>
              </w:rPr>
              <w:t>Notes to Unaudited Condensed Consolidated Financial Statements</w:t>
            </w:r>
          </w:p>
        </w:tc>
        <w:tc>
          <w:tcPr>
            <w:tcW w:w="3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09"/>
        </w:trPr>
        <w:tc>
          <w:tcPr>
            <w:tcW w:w="340" w:type="dxa"/>
            <w:vAlign w:val="bottom"/>
            <w:gridSpan w:val="2"/>
          </w:tcPr>
          <w:p>
            <w:pPr>
              <w:spacing w:after="0"/>
              <w:rPr>
                <w:sz w:val="18"/>
                <w:szCs w:val="18"/>
                <w:color w:val="auto"/>
              </w:rPr>
            </w:pPr>
          </w:p>
        </w:tc>
        <w:tc>
          <w:tcPr>
            <w:tcW w:w="160" w:type="dxa"/>
            <w:vAlign w:val="bottom"/>
            <w:tcBorders>
              <w:bottom w:val="single" w:sz="8" w:color="0000FF"/>
            </w:tcBorders>
          </w:tcPr>
          <w:p>
            <w:pPr>
              <w:ind w:left="20"/>
              <w:spacing w:after="0"/>
              <w:rPr>
                <w:sz w:val="20"/>
                <w:szCs w:val="20"/>
                <w:color w:val="auto"/>
              </w:rPr>
            </w:pPr>
            <w:r>
              <w:rPr>
                <w:rFonts w:ascii="Times New Roman" w:cs="Times New Roman" w:eastAsia="Times New Roman" w:hAnsi="Times New Roman"/>
                <w:sz w:val="18"/>
                <w:szCs w:val="18"/>
                <w:b w:val="1"/>
                <w:bCs w:val="1"/>
                <w:color w:val="0000FF"/>
                <w:w w:val="88"/>
              </w:rPr>
              <w:t>1.</w:t>
            </w:r>
          </w:p>
        </w:tc>
        <w:tc>
          <w:tcPr>
            <w:tcW w:w="1480" w:type="dxa"/>
            <w:vAlign w:val="bottom"/>
            <w:tcBorders>
              <w:bottom w:val="single" w:sz="8" w:color="0000FF"/>
            </w:tcBorders>
            <w:gridSpan w:val="5"/>
          </w:tcPr>
          <w:p>
            <w:pPr>
              <w:ind w:left="20"/>
              <w:spacing w:after="0"/>
              <w:rPr>
                <w:sz w:val="20"/>
                <w:szCs w:val="20"/>
                <w:color w:val="auto"/>
              </w:rPr>
            </w:pPr>
            <w:r>
              <w:rPr>
                <w:rFonts w:ascii="Times New Roman" w:cs="Times New Roman" w:eastAsia="Times New Roman" w:hAnsi="Times New Roman"/>
                <w:sz w:val="18"/>
                <w:szCs w:val="18"/>
                <w:b w:val="1"/>
                <w:bCs w:val="1"/>
                <w:color w:val="0000FF"/>
                <w:w w:val="99"/>
              </w:rPr>
              <w:t>Business Overview</w:t>
            </w:r>
          </w:p>
        </w:tc>
        <w:tc>
          <w:tcPr>
            <w:tcW w:w="7080" w:type="dxa"/>
            <w:vAlign w:val="bottom"/>
            <w:gridSpan w:val="17"/>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b w:val="1"/>
                <w:bCs w:val="1"/>
                <w:color w:val="0000FF"/>
              </w:rPr>
              <w:t>6</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0"/>
        </w:trPr>
        <w:tc>
          <w:tcPr>
            <w:tcW w:w="340" w:type="dxa"/>
            <w:vAlign w:val="bottom"/>
            <w:gridSpan w:val="2"/>
          </w:tcPr>
          <w:p>
            <w:pPr>
              <w:spacing w:after="0"/>
              <w:rPr>
                <w:sz w:val="18"/>
                <w:szCs w:val="18"/>
                <w:color w:val="auto"/>
              </w:rPr>
            </w:pPr>
          </w:p>
        </w:tc>
        <w:tc>
          <w:tcPr>
            <w:tcW w:w="160" w:type="dxa"/>
            <w:vAlign w:val="bottom"/>
            <w:tcBorders>
              <w:bottom w:val="single" w:sz="8" w:color="0000FF"/>
            </w:tcBorders>
          </w:tcPr>
          <w:p>
            <w:pPr>
              <w:ind w:left="20"/>
              <w:spacing w:after="0"/>
              <w:rPr>
                <w:sz w:val="20"/>
                <w:szCs w:val="20"/>
                <w:color w:val="auto"/>
              </w:rPr>
            </w:pPr>
            <w:r>
              <w:rPr>
                <w:rFonts w:ascii="Times New Roman" w:cs="Times New Roman" w:eastAsia="Times New Roman" w:hAnsi="Times New Roman"/>
                <w:sz w:val="18"/>
                <w:szCs w:val="18"/>
                <w:b w:val="1"/>
                <w:bCs w:val="1"/>
                <w:color w:val="0000FF"/>
                <w:w w:val="88"/>
              </w:rPr>
              <w:t>2.</w:t>
            </w:r>
          </w:p>
        </w:tc>
        <w:tc>
          <w:tcPr>
            <w:tcW w:w="1640" w:type="dxa"/>
            <w:vAlign w:val="bottom"/>
            <w:tcBorders>
              <w:bottom w:val="single" w:sz="8" w:color="0000FF"/>
            </w:tcBorders>
            <w:gridSpan w:val="7"/>
          </w:tcPr>
          <w:p>
            <w:pPr>
              <w:ind w:left="20"/>
              <w:spacing w:after="0"/>
              <w:rPr>
                <w:sz w:val="20"/>
                <w:szCs w:val="20"/>
                <w:color w:val="auto"/>
              </w:rPr>
            </w:pPr>
            <w:r>
              <w:rPr>
                <w:rFonts w:ascii="Times New Roman" w:cs="Times New Roman" w:eastAsia="Times New Roman" w:hAnsi="Times New Roman"/>
                <w:sz w:val="18"/>
                <w:szCs w:val="18"/>
                <w:b w:val="1"/>
                <w:bCs w:val="1"/>
                <w:color w:val="0000FF"/>
                <w:w w:val="99"/>
              </w:rPr>
              <w:t>Basis of Presentation</w:t>
            </w:r>
          </w:p>
        </w:tc>
        <w:tc>
          <w:tcPr>
            <w:tcW w:w="6920" w:type="dxa"/>
            <w:vAlign w:val="bottom"/>
            <w:gridSpan w:val="15"/>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b w:val="1"/>
                <w:bCs w:val="1"/>
                <w:color w:val="0000FF"/>
              </w:rPr>
              <w:t>6</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09"/>
        </w:trPr>
        <w:tc>
          <w:tcPr>
            <w:tcW w:w="340" w:type="dxa"/>
            <w:vAlign w:val="bottom"/>
            <w:gridSpan w:val="2"/>
          </w:tcPr>
          <w:p>
            <w:pPr>
              <w:spacing w:after="0"/>
              <w:rPr>
                <w:sz w:val="18"/>
                <w:szCs w:val="18"/>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0000FF"/>
                <w:w w:val="88"/>
              </w:rPr>
              <w:t>3.</w:t>
            </w:r>
          </w:p>
        </w:tc>
        <w:tc>
          <w:tcPr>
            <w:tcW w:w="8560" w:type="dxa"/>
            <w:vAlign w:val="bottom"/>
            <w:gridSpan w:val="22"/>
          </w:tcPr>
          <w:p>
            <w:pPr>
              <w:ind w:left="20"/>
              <w:spacing w:after="0"/>
              <w:rPr>
                <w:sz w:val="20"/>
                <w:szCs w:val="20"/>
                <w:color w:val="auto"/>
              </w:rPr>
            </w:pPr>
            <w:r>
              <w:rPr>
                <w:rFonts w:ascii="Times New Roman" w:cs="Times New Roman" w:eastAsia="Times New Roman" w:hAnsi="Times New Roman"/>
                <w:sz w:val="18"/>
                <w:szCs w:val="18"/>
                <w:b w:val="1"/>
                <w:bCs w:val="1"/>
                <w:color w:val="0000FF"/>
              </w:rPr>
              <w:t>Revenue</w:t>
            </w:r>
          </w:p>
        </w:tc>
        <w:tc>
          <w:tcPr>
            <w:tcW w:w="700" w:type="dxa"/>
            <w:vAlign w:val="bottom"/>
            <w:gridSpan w:val="3"/>
          </w:tcPr>
          <w:p>
            <w:pPr>
              <w:jc w:val="center"/>
              <w:ind w:left="430"/>
              <w:spacing w:after="0"/>
              <w:rPr>
                <w:sz w:val="20"/>
                <w:szCs w:val="20"/>
                <w:color w:val="auto"/>
              </w:rPr>
            </w:pPr>
            <w:r>
              <w:rPr>
                <w:rFonts w:ascii="Times New Roman" w:cs="Times New Roman" w:eastAsia="Times New Roman" w:hAnsi="Times New Roman"/>
                <w:sz w:val="18"/>
                <w:szCs w:val="18"/>
                <w:b w:val="1"/>
                <w:bCs w:val="1"/>
                <w:color w:val="0000FF"/>
              </w:rPr>
              <w:t>6</w:t>
            </w: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0"/>
        </w:trPr>
        <w:tc>
          <w:tcPr>
            <w:tcW w:w="340" w:type="dxa"/>
            <w:vAlign w:val="bottom"/>
            <w:gridSpan w:val="2"/>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488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10"/>
        </w:trPr>
        <w:tc>
          <w:tcPr>
            <w:tcW w:w="340" w:type="dxa"/>
            <w:vAlign w:val="bottom"/>
            <w:gridSpan w:val="2"/>
          </w:tcPr>
          <w:p>
            <w:pPr>
              <w:spacing w:after="0"/>
              <w:rPr>
                <w:sz w:val="18"/>
                <w:szCs w:val="18"/>
                <w:color w:val="auto"/>
              </w:rPr>
            </w:pPr>
          </w:p>
        </w:tc>
        <w:tc>
          <w:tcPr>
            <w:tcW w:w="160" w:type="dxa"/>
            <w:vAlign w:val="bottom"/>
            <w:tcBorders>
              <w:bottom w:val="single" w:sz="8" w:color="0000FF"/>
            </w:tcBorders>
          </w:tcPr>
          <w:p>
            <w:pPr>
              <w:ind w:left="20"/>
              <w:spacing w:after="0"/>
              <w:rPr>
                <w:sz w:val="20"/>
                <w:szCs w:val="20"/>
                <w:color w:val="auto"/>
              </w:rPr>
            </w:pPr>
            <w:r>
              <w:rPr>
                <w:rFonts w:ascii="Times New Roman" w:cs="Times New Roman" w:eastAsia="Times New Roman" w:hAnsi="Times New Roman"/>
                <w:sz w:val="18"/>
                <w:szCs w:val="18"/>
                <w:b w:val="1"/>
                <w:bCs w:val="1"/>
                <w:color w:val="0000FF"/>
                <w:w w:val="88"/>
              </w:rPr>
              <w:t>4.</w:t>
            </w:r>
          </w:p>
        </w:tc>
        <w:tc>
          <w:tcPr>
            <w:tcW w:w="1540" w:type="dxa"/>
            <w:vAlign w:val="bottom"/>
            <w:tcBorders>
              <w:bottom w:val="single" w:sz="8" w:color="0000FF"/>
            </w:tcBorders>
            <w:gridSpan w:val="6"/>
          </w:tcPr>
          <w:p>
            <w:pPr>
              <w:ind w:left="20"/>
              <w:spacing w:after="0"/>
              <w:rPr>
                <w:sz w:val="20"/>
                <w:szCs w:val="20"/>
                <w:color w:val="auto"/>
              </w:rPr>
            </w:pPr>
            <w:r>
              <w:rPr>
                <w:rFonts w:ascii="Times New Roman" w:cs="Times New Roman" w:eastAsia="Times New Roman" w:hAnsi="Times New Roman"/>
                <w:sz w:val="18"/>
                <w:szCs w:val="18"/>
                <w:b w:val="1"/>
                <w:bCs w:val="1"/>
                <w:color w:val="0000FF"/>
                <w:w w:val="99"/>
              </w:rPr>
              <w:t>Earnings Per Share</w:t>
            </w:r>
          </w:p>
        </w:tc>
        <w:tc>
          <w:tcPr>
            <w:tcW w:w="7020" w:type="dxa"/>
            <w:vAlign w:val="bottom"/>
            <w:gridSpan w:val="16"/>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b w:val="1"/>
                <w:bCs w:val="1"/>
                <w:color w:val="0000FF"/>
              </w:rPr>
              <w:t>9</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09"/>
        </w:trPr>
        <w:tc>
          <w:tcPr>
            <w:tcW w:w="340" w:type="dxa"/>
            <w:vAlign w:val="bottom"/>
            <w:gridSpan w:val="2"/>
          </w:tcPr>
          <w:p>
            <w:pPr>
              <w:spacing w:after="0"/>
              <w:rPr>
                <w:sz w:val="18"/>
                <w:szCs w:val="18"/>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0000FF"/>
                <w:w w:val="88"/>
              </w:rPr>
              <w:t>5.</w:t>
            </w:r>
          </w:p>
        </w:tc>
        <w:tc>
          <w:tcPr>
            <w:tcW w:w="3120" w:type="dxa"/>
            <w:vAlign w:val="bottom"/>
            <w:gridSpan w:val="14"/>
          </w:tcPr>
          <w:p>
            <w:pPr>
              <w:ind w:left="20"/>
              <w:spacing w:after="0"/>
              <w:rPr>
                <w:sz w:val="20"/>
                <w:szCs w:val="20"/>
                <w:color w:val="auto"/>
              </w:rPr>
            </w:pPr>
            <w:r>
              <w:rPr>
                <w:rFonts w:ascii="Times New Roman" w:cs="Times New Roman" w:eastAsia="Times New Roman" w:hAnsi="Times New Roman"/>
                <w:sz w:val="18"/>
                <w:szCs w:val="18"/>
                <w:b w:val="1"/>
                <w:bCs w:val="1"/>
                <w:color w:val="0000FF"/>
                <w:w w:val="99"/>
              </w:rPr>
              <w:t>Acquisitions, Divestitures, and Goodwill</w:t>
            </w:r>
          </w:p>
        </w:tc>
        <w:tc>
          <w:tcPr>
            <w:tcW w:w="5440" w:type="dxa"/>
            <w:vAlign w:val="bottom"/>
            <w:gridSpan w:val="8"/>
          </w:tcPr>
          <w:p>
            <w:pPr>
              <w:spacing w:after="0"/>
              <w:rPr>
                <w:sz w:val="18"/>
                <w:szCs w:val="18"/>
                <w:color w:val="auto"/>
              </w:rPr>
            </w:pPr>
          </w:p>
        </w:tc>
        <w:tc>
          <w:tcPr>
            <w:tcW w:w="120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0000FF"/>
                <w:w w:val="99"/>
              </w:rPr>
              <w:t>10</w:t>
            </w:r>
          </w:p>
        </w:tc>
        <w:tc>
          <w:tcPr>
            <w:tcW w:w="9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5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09"/>
        </w:trPr>
        <w:tc>
          <w:tcPr>
            <w:tcW w:w="340" w:type="dxa"/>
            <w:vAlign w:val="bottom"/>
            <w:gridSpan w:val="2"/>
          </w:tcPr>
          <w:p>
            <w:pPr>
              <w:spacing w:after="0"/>
              <w:rPr>
                <w:sz w:val="18"/>
                <w:szCs w:val="18"/>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0000FF"/>
                <w:w w:val="88"/>
              </w:rPr>
              <w:t>6.</w:t>
            </w:r>
          </w:p>
        </w:tc>
        <w:tc>
          <w:tcPr>
            <w:tcW w:w="8560" w:type="dxa"/>
            <w:vAlign w:val="bottom"/>
            <w:gridSpan w:val="22"/>
          </w:tcPr>
          <w:p>
            <w:pPr>
              <w:ind w:left="20"/>
              <w:spacing w:after="0"/>
              <w:rPr>
                <w:sz w:val="20"/>
                <w:szCs w:val="20"/>
                <w:color w:val="auto"/>
              </w:rPr>
            </w:pPr>
            <w:r>
              <w:rPr>
                <w:rFonts w:ascii="Times New Roman" w:cs="Times New Roman" w:eastAsia="Times New Roman" w:hAnsi="Times New Roman"/>
                <w:sz w:val="18"/>
                <w:szCs w:val="18"/>
                <w:b w:val="1"/>
                <w:bCs w:val="1"/>
                <w:color w:val="0000FF"/>
              </w:rPr>
              <w:t>Accounts Payable and Other Accrued Expenses</w:t>
            </w:r>
          </w:p>
        </w:tc>
        <w:tc>
          <w:tcPr>
            <w:tcW w:w="120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0000FF"/>
                <w:w w:val="99"/>
              </w:rPr>
              <w:t>10</w:t>
            </w:r>
          </w:p>
        </w:tc>
        <w:tc>
          <w:tcPr>
            <w:tcW w:w="980" w:type="dxa"/>
            <w:vAlign w:val="bottom"/>
          </w:tcPr>
          <w:p>
            <w:pPr>
              <w:spacing w:after="0"/>
              <w:rPr>
                <w:sz w:val="18"/>
                <w:szCs w:val="18"/>
                <w:color w:val="auto"/>
              </w:rPr>
            </w:pPr>
          </w:p>
        </w:tc>
      </w:tr>
      <w:tr>
        <w:trPr>
          <w:trHeight w:val="20"/>
        </w:trPr>
        <w:tc>
          <w:tcPr>
            <w:tcW w:w="340" w:type="dxa"/>
            <w:vAlign w:val="bottom"/>
            <w:gridSpan w:val="2"/>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4880" w:type="dxa"/>
            <w:vAlign w:val="bottom"/>
            <w:gridSpan w:val="4"/>
          </w:tcPr>
          <w:p>
            <w:pPr>
              <w:spacing w:after="0" w:line="20" w:lineRule="exact"/>
              <w:rPr>
                <w:sz w:val="1"/>
                <w:szCs w:val="1"/>
                <w:color w:val="auto"/>
              </w:rPr>
            </w:pPr>
          </w:p>
        </w:tc>
        <w:tc>
          <w:tcPr>
            <w:tcW w:w="56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09"/>
        </w:trPr>
        <w:tc>
          <w:tcPr>
            <w:tcW w:w="340" w:type="dxa"/>
            <w:vAlign w:val="bottom"/>
            <w:gridSpan w:val="2"/>
          </w:tcPr>
          <w:p>
            <w:pPr>
              <w:spacing w:after="0"/>
              <w:rPr>
                <w:sz w:val="18"/>
                <w:szCs w:val="18"/>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0000FF"/>
                <w:w w:val="88"/>
              </w:rPr>
              <w:t>7.</w:t>
            </w:r>
          </w:p>
        </w:tc>
        <w:tc>
          <w:tcPr>
            <w:tcW w:w="2840" w:type="dxa"/>
            <w:vAlign w:val="bottom"/>
            <w:gridSpan w:val="13"/>
          </w:tcPr>
          <w:p>
            <w:pPr>
              <w:ind w:left="20"/>
              <w:spacing w:after="0"/>
              <w:rPr>
                <w:sz w:val="20"/>
                <w:szCs w:val="20"/>
                <w:color w:val="auto"/>
              </w:rPr>
            </w:pPr>
            <w:r>
              <w:rPr>
                <w:rFonts w:ascii="Times New Roman" w:cs="Times New Roman" w:eastAsia="Times New Roman" w:hAnsi="Times New Roman"/>
                <w:sz w:val="18"/>
                <w:szCs w:val="18"/>
                <w:b w:val="1"/>
                <w:bCs w:val="1"/>
                <w:color w:val="0000FF"/>
                <w:w w:val="99"/>
              </w:rPr>
              <w:t>Accrued Compensation and Benefits</w:t>
            </w:r>
          </w:p>
        </w:tc>
        <w:tc>
          <w:tcPr>
            <w:tcW w:w="840" w:type="dxa"/>
            <w:vAlign w:val="bottom"/>
            <w:gridSpan w:val="5"/>
          </w:tcPr>
          <w:p>
            <w:pPr>
              <w:spacing w:after="0"/>
              <w:rPr>
                <w:sz w:val="18"/>
                <w:szCs w:val="18"/>
                <w:color w:val="auto"/>
              </w:rPr>
            </w:pPr>
          </w:p>
        </w:tc>
        <w:tc>
          <w:tcPr>
            <w:tcW w:w="4880" w:type="dxa"/>
            <w:vAlign w:val="bottom"/>
            <w:gridSpan w:val="4"/>
          </w:tcPr>
          <w:p>
            <w:pPr>
              <w:spacing w:after="0"/>
              <w:rPr>
                <w:sz w:val="18"/>
                <w:szCs w:val="18"/>
                <w:color w:val="auto"/>
              </w:rPr>
            </w:pPr>
          </w:p>
        </w:tc>
        <w:tc>
          <w:tcPr>
            <w:tcW w:w="120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0000FF"/>
                <w:w w:val="99"/>
              </w:rPr>
              <w:t>10</w:t>
            </w:r>
          </w:p>
        </w:tc>
        <w:tc>
          <w:tcPr>
            <w:tcW w:w="980" w:type="dxa"/>
            <w:vAlign w:val="bottom"/>
          </w:tcPr>
          <w:p>
            <w:pPr>
              <w:spacing w:after="0"/>
              <w:rPr>
                <w:sz w:val="18"/>
                <w:szCs w:val="18"/>
                <w:color w:val="auto"/>
              </w:rPr>
            </w:pPr>
          </w:p>
        </w:tc>
      </w:tr>
      <w:tr>
        <w:trPr>
          <w:trHeight w:val="210"/>
        </w:trPr>
        <w:tc>
          <w:tcPr>
            <w:tcW w:w="340" w:type="dxa"/>
            <w:vAlign w:val="bottom"/>
            <w:gridSpan w:val="2"/>
          </w:tcPr>
          <w:p>
            <w:pPr>
              <w:spacing w:after="0"/>
              <w:rPr>
                <w:sz w:val="18"/>
                <w:szCs w:val="18"/>
                <w:color w:val="auto"/>
              </w:rPr>
            </w:pPr>
          </w:p>
        </w:tc>
        <w:tc>
          <w:tcPr>
            <w:tcW w:w="160" w:type="dxa"/>
            <w:vAlign w:val="bottom"/>
            <w:tcBorders>
              <w:top w:val="single" w:sz="8" w:color="0000FF"/>
            </w:tcBorders>
          </w:tcPr>
          <w:p>
            <w:pPr>
              <w:ind w:left="20"/>
              <w:spacing w:after="0"/>
              <w:rPr>
                <w:sz w:val="20"/>
                <w:szCs w:val="20"/>
                <w:color w:val="auto"/>
              </w:rPr>
            </w:pPr>
            <w:r>
              <w:rPr>
                <w:rFonts w:ascii="Times New Roman" w:cs="Times New Roman" w:eastAsia="Times New Roman" w:hAnsi="Times New Roman"/>
                <w:sz w:val="18"/>
                <w:szCs w:val="18"/>
                <w:b w:val="1"/>
                <w:bCs w:val="1"/>
                <w:color w:val="0000FF"/>
                <w:w w:val="88"/>
              </w:rPr>
              <w:t>8.</w:t>
            </w:r>
          </w:p>
        </w:tc>
        <w:tc>
          <w:tcPr>
            <w:tcW w:w="400" w:type="dxa"/>
            <w:vAlign w:val="bottom"/>
            <w:tcBorders>
              <w:top w:val="single" w:sz="8" w:color="0000FF"/>
            </w:tcBorders>
          </w:tcPr>
          <w:p>
            <w:pPr>
              <w:ind w:left="20"/>
              <w:spacing w:after="0"/>
              <w:rPr>
                <w:sz w:val="20"/>
                <w:szCs w:val="20"/>
                <w:color w:val="auto"/>
              </w:rPr>
            </w:pPr>
            <w:r>
              <w:rPr>
                <w:rFonts w:ascii="Times New Roman" w:cs="Times New Roman" w:eastAsia="Times New Roman" w:hAnsi="Times New Roman"/>
                <w:sz w:val="18"/>
                <w:szCs w:val="18"/>
                <w:b w:val="1"/>
                <w:bCs w:val="1"/>
                <w:color w:val="0000FF"/>
                <w:w w:val="97"/>
              </w:rPr>
              <w:t>Debt</w:t>
            </w:r>
          </w:p>
        </w:tc>
        <w:tc>
          <w:tcPr>
            <w:tcW w:w="2440" w:type="dxa"/>
            <w:vAlign w:val="bottom"/>
            <w:tcBorders>
              <w:top w:val="single" w:sz="8" w:color="0000FF"/>
            </w:tcBorders>
            <w:gridSpan w:val="12"/>
          </w:tcPr>
          <w:p>
            <w:pPr>
              <w:spacing w:after="0"/>
              <w:rPr>
                <w:sz w:val="18"/>
                <w:szCs w:val="18"/>
                <w:color w:val="auto"/>
              </w:rPr>
            </w:pPr>
          </w:p>
        </w:tc>
        <w:tc>
          <w:tcPr>
            <w:tcW w:w="5720" w:type="dxa"/>
            <w:vAlign w:val="bottom"/>
            <w:gridSpan w:val="9"/>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Borders>
              <w:top w:val="single" w:sz="8" w:color="0000FF"/>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0000FF"/>
                <w:w w:val="77"/>
              </w:rPr>
              <w:t>11</w:t>
            </w: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0"/>
        </w:trPr>
        <w:tc>
          <w:tcPr>
            <w:tcW w:w="340" w:type="dxa"/>
            <w:vAlign w:val="bottom"/>
            <w:gridSpan w:val="2"/>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5280" w:type="dxa"/>
            <w:vAlign w:val="bottom"/>
            <w:gridSpan w:val="7"/>
          </w:tcPr>
          <w:p>
            <w:pPr>
              <w:spacing w:after="0" w:line="20" w:lineRule="exact"/>
              <w:rPr>
                <w:sz w:val="1"/>
                <w:szCs w:val="1"/>
                <w:color w:val="auto"/>
              </w:rPr>
            </w:pPr>
          </w:p>
        </w:tc>
        <w:tc>
          <w:tcPr>
            <w:tcW w:w="56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10"/>
        </w:trPr>
        <w:tc>
          <w:tcPr>
            <w:tcW w:w="340" w:type="dxa"/>
            <w:vAlign w:val="bottom"/>
            <w:gridSpan w:val="2"/>
          </w:tcPr>
          <w:p>
            <w:pPr>
              <w:spacing w:after="0"/>
              <w:rPr>
                <w:sz w:val="18"/>
                <w:szCs w:val="18"/>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0000FF"/>
                <w:w w:val="88"/>
              </w:rPr>
              <w:t>9.</w:t>
            </w:r>
          </w:p>
        </w:tc>
        <w:tc>
          <w:tcPr>
            <w:tcW w:w="9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0000FF"/>
                <w:w w:val="98"/>
              </w:rPr>
              <w:t>Derivatives</w:t>
            </w:r>
          </w:p>
        </w:tc>
        <w:tc>
          <w:tcPr>
            <w:tcW w:w="7660" w:type="dxa"/>
            <w:vAlign w:val="bottom"/>
            <w:gridSpan w:val="19"/>
          </w:tcPr>
          <w:p>
            <w:pPr>
              <w:spacing w:after="0"/>
              <w:rPr>
                <w:sz w:val="18"/>
                <w:szCs w:val="18"/>
                <w:color w:val="auto"/>
              </w:rPr>
            </w:pPr>
          </w:p>
        </w:tc>
        <w:tc>
          <w:tcPr>
            <w:tcW w:w="120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0000FF"/>
                <w:w w:val="99"/>
              </w:rPr>
              <w:t>13</w:t>
            </w:r>
          </w:p>
        </w:tc>
        <w:tc>
          <w:tcPr>
            <w:tcW w:w="9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gridSpan w:val="4"/>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5280" w:type="dxa"/>
            <w:vAlign w:val="bottom"/>
            <w:gridSpan w:val="7"/>
          </w:tcPr>
          <w:p>
            <w:pPr>
              <w:spacing w:after="0" w:line="20" w:lineRule="exact"/>
              <w:rPr>
                <w:sz w:val="1"/>
                <w:szCs w:val="1"/>
                <w:color w:val="auto"/>
              </w:rPr>
            </w:pPr>
          </w:p>
        </w:tc>
        <w:tc>
          <w:tcPr>
            <w:tcW w:w="56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720" w:type="dxa"/>
            <w:vAlign w:val="bottom"/>
            <w:gridSpan w:val="23"/>
          </w:tcPr>
          <w:p>
            <w:pPr>
              <w:ind w:left="20"/>
              <w:spacing w:after="0"/>
              <w:rPr>
                <w:sz w:val="20"/>
                <w:szCs w:val="20"/>
                <w:color w:val="auto"/>
              </w:rPr>
            </w:pPr>
            <w:r>
              <w:rPr>
                <w:rFonts w:ascii="Times New Roman" w:cs="Times New Roman" w:eastAsia="Times New Roman" w:hAnsi="Times New Roman"/>
                <w:sz w:val="18"/>
                <w:szCs w:val="18"/>
                <w:b w:val="1"/>
                <w:bCs w:val="1"/>
                <w:color w:val="0000FF"/>
              </w:rPr>
              <w:t>10. Income Taxes</w:t>
            </w:r>
          </w:p>
        </w:tc>
        <w:tc>
          <w:tcPr>
            <w:tcW w:w="120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0000FF"/>
                <w:w w:val="99"/>
              </w:rPr>
              <w:t>13</w:t>
            </w:r>
          </w:p>
        </w:tc>
        <w:tc>
          <w:tcPr>
            <w:tcW w:w="9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gridSpan w:val="5"/>
            <w:shd w:val="clear" w:color="auto" w:fill="0000FF"/>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5280" w:type="dxa"/>
            <w:vAlign w:val="bottom"/>
            <w:gridSpan w:val="7"/>
          </w:tcPr>
          <w:p>
            <w:pPr>
              <w:spacing w:after="0" w:line="20" w:lineRule="exact"/>
              <w:rPr>
                <w:sz w:val="1"/>
                <w:szCs w:val="1"/>
                <w:color w:val="auto"/>
              </w:rPr>
            </w:pPr>
          </w:p>
        </w:tc>
        <w:tc>
          <w:tcPr>
            <w:tcW w:w="56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00" w:type="dxa"/>
            <w:vAlign w:val="bottom"/>
            <w:gridSpan w:val="9"/>
          </w:tcPr>
          <w:p>
            <w:pPr>
              <w:ind w:left="20"/>
              <w:spacing w:after="0"/>
              <w:rPr>
                <w:sz w:val="20"/>
                <w:szCs w:val="20"/>
                <w:color w:val="auto"/>
              </w:rPr>
            </w:pPr>
            <w:r>
              <w:rPr>
                <w:rFonts w:ascii="Times New Roman" w:cs="Times New Roman" w:eastAsia="Times New Roman" w:hAnsi="Times New Roman"/>
                <w:sz w:val="18"/>
                <w:szCs w:val="18"/>
                <w:b w:val="1"/>
                <w:bCs w:val="1"/>
                <w:color w:val="0000FF"/>
                <w:w w:val="98"/>
              </w:rPr>
              <w:t>11. Employee Benefit Plans</w:t>
            </w:r>
          </w:p>
        </w:tc>
        <w:tc>
          <w:tcPr>
            <w:tcW w:w="6620" w:type="dxa"/>
            <w:vAlign w:val="bottom"/>
            <w:gridSpan w:val="14"/>
          </w:tcPr>
          <w:p>
            <w:pPr>
              <w:spacing w:after="0"/>
              <w:rPr>
                <w:sz w:val="18"/>
                <w:szCs w:val="18"/>
                <w:color w:val="auto"/>
              </w:rPr>
            </w:pPr>
          </w:p>
        </w:tc>
        <w:tc>
          <w:tcPr>
            <w:tcW w:w="120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0000FF"/>
                <w:w w:val="99"/>
              </w:rPr>
              <w:t>14</w:t>
            </w:r>
          </w:p>
        </w:tc>
        <w:tc>
          <w:tcPr>
            <w:tcW w:w="9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5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40" w:type="dxa"/>
            <w:vAlign w:val="bottom"/>
            <w:gridSpan w:val="16"/>
          </w:tcPr>
          <w:p>
            <w:pPr>
              <w:ind w:left="20"/>
              <w:spacing w:after="0"/>
              <w:rPr>
                <w:sz w:val="20"/>
                <w:szCs w:val="20"/>
                <w:color w:val="auto"/>
              </w:rPr>
            </w:pPr>
            <w:r>
              <w:rPr>
                <w:rFonts w:ascii="Times New Roman" w:cs="Times New Roman" w:eastAsia="Times New Roman" w:hAnsi="Times New Roman"/>
                <w:sz w:val="18"/>
                <w:szCs w:val="18"/>
                <w:b w:val="1"/>
                <w:bCs w:val="1"/>
                <w:color w:val="0000FF"/>
                <w:w w:val="98"/>
              </w:rPr>
              <w:t>12. Accumulated Other Comprehensive Loss</w:t>
            </w:r>
          </w:p>
        </w:tc>
        <w:tc>
          <w:tcPr>
            <w:tcW w:w="5280" w:type="dxa"/>
            <w:vAlign w:val="bottom"/>
            <w:gridSpan w:val="7"/>
          </w:tcPr>
          <w:p>
            <w:pPr>
              <w:spacing w:after="0"/>
              <w:rPr>
                <w:sz w:val="18"/>
                <w:szCs w:val="18"/>
                <w:color w:val="auto"/>
              </w:rPr>
            </w:pPr>
          </w:p>
        </w:tc>
        <w:tc>
          <w:tcPr>
            <w:tcW w:w="120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0000FF"/>
                <w:w w:val="99"/>
              </w:rPr>
              <w:t>14</w:t>
            </w:r>
          </w:p>
        </w:tc>
        <w:tc>
          <w:tcPr>
            <w:tcW w:w="9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5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40" w:type="dxa"/>
            <w:vAlign w:val="bottom"/>
            <w:gridSpan w:val="16"/>
          </w:tcPr>
          <w:p>
            <w:pPr>
              <w:ind w:left="20"/>
              <w:spacing w:after="0"/>
              <w:rPr>
                <w:sz w:val="20"/>
                <w:szCs w:val="20"/>
                <w:color w:val="auto"/>
              </w:rPr>
            </w:pPr>
            <w:r>
              <w:rPr>
                <w:rFonts w:ascii="Times New Roman" w:cs="Times New Roman" w:eastAsia="Times New Roman" w:hAnsi="Times New Roman"/>
                <w:sz w:val="18"/>
                <w:szCs w:val="18"/>
                <w:b w:val="1"/>
                <w:bCs w:val="1"/>
                <w:color w:val="0000FF"/>
              </w:rPr>
              <w:t>13. Stock Based Compensation</w:t>
            </w:r>
          </w:p>
        </w:tc>
        <w:tc>
          <w:tcPr>
            <w:tcW w:w="5280" w:type="dxa"/>
            <w:vAlign w:val="bottom"/>
            <w:gridSpan w:val="7"/>
          </w:tcPr>
          <w:p>
            <w:pPr>
              <w:spacing w:after="0"/>
              <w:rPr>
                <w:sz w:val="18"/>
                <w:szCs w:val="18"/>
                <w:color w:val="auto"/>
              </w:rPr>
            </w:pPr>
          </w:p>
        </w:tc>
        <w:tc>
          <w:tcPr>
            <w:tcW w:w="120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0000FF"/>
                <w:w w:val="99"/>
              </w:rPr>
              <w:t>15</w:t>
            </w:r>
          </w:p>
        </w:tc>
        <w:tc>
          <w:tcPr>
            <w:tcW w:w="9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60" w:type="dxa"/>
            <w:vAlign w:val="bottom"/>
            <w:gridSpan w:val="10"/>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900" w:type="dxa"/>
            <w:vAlign w:val="bottom"/>
            <w:gridSpan w:val="10"/>
          </w:tcPr>
          <w:p>
            <w:pPr>
              <w:spacing w:after="0" w:line="20" w:lineRule="exact"/>
              <w:rPr>
                <w:sz w:val="1"/>
                <w:szCs w:val="1"/>
                <w:color w:val="auto"/>
              </w:rPr>
            </w:pPr>
          </w:p>
        </w:tc>
        <w:tc>
          <w:tcPr>
            <w:tcW w:w="56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60" w:type="dxa"/>
            <w:vAlign w:val="bottom"/>
            <w:gridSpan w:val="10"/>
          </w:tcPr>
          <w:p>
            <w:pPr>
              <w:ind w:left="20"/>
              <w:spacing w:after="0"/>
              <w:rPr>
                <w:sz w:val="20"/>
                <w:szCs w:val="20"/>
                <w:color w:val="auto"/>
              </w:rPr>
            </w:pPr>
            <w:r>
              <w:rPr>
                <w:rFonts w:ascii="Times New Roman" w:cs="Times New Roman" w:eastAsia="Times New Roman" w:hAnsi="Times New Roman"/>
                <w:sz w:val="18"/>
                <w:szCs w:val="18"/>
                <w:b w:val="1"/>
                <w:bCs w:val="1"/>
                <w:color w:val="0000FF"/>
                <w:w w:val="97"/>
              </w:rPr>
              <w:t>14. Fair Value Measurements</w:t>
            </w:r>
          </w:p>
        </w:tc>
        <w:tc>
          <w:tcPr>
            <w:tcW w:w="100" w:type="dxa"/>
            <w:vAlign w:val="bottom"/>
          </w:tcPr>
          <w:p>
            <w:pPr>
              <w:spacing w:after="0"/>
              <w:rPr>
                <w:sz w:val="18"/>
                <w:szCs w:val="18"/>
                <w:color w:val="auto"/>
              </w:rPr>
            </w:pPr>
          </w:p>
        </w:tc>
        <w:tc>
          <w:tcPr>
            <w:tcW w:w="6360" w:type="dxa"/>
            <w:vAlign w:val="bottom"/>
            <w:gridSpan w:val="12"/>
          </w:tcPr>
          <w:p>
            <w:pPr>
              <w:spacing w:after="0"/>
              <w:rPr>
                <w:sz w:val="18"/>
                <w:szCs w:val="18"/>
                <w:color w:val="auto"/>
              </w:rPr>
            </w:pPr>
          </w:p>
        </w:tc>
        <w:tc>
          <w:tcPr>
            <w:tcW w:w="120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0000FF"/>
                <w:w w:val="99"/>
              </w:rPr>
              <w:t>15</w:t>
            </w:r>
          </w:p>
        </w:tc>
        <w:tc>
          <w:tcPr>
            <w:tcW w:w="9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60" w:type="dxa"/>
            <w:vAlign w:val="bottom"/>
            <w:gridSpan w:val="10"/>
            <w:shd w:val="clear" w:color="auto" w:fill="0000FF"/>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5900" w:type="dxa"/>
            <w:vAlign w:val="bottom"/>
            <w:gridSpan w:val="10"/>
          </w:tcPr>
          <w:p>
            <w:pPr>
              <w:spacing w:after="0" w:line="20" w:lineRule="exact"/>
              <w:rPr>
                <w:sz w:val="1"/>
                <w:szCs w:val="1"/>
                <w:color w:val="auto"/>
              </w:rPr>
            </w:pPr>
          </w:p>
        </w:tc>
        <w:tc>
          <w:tcPr>
            <w:tcW w:w="56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720" w:type="dxa"/>
            <w:vAlign w:val="bottom"/>
            <w:gridSpan w:val="23"/>
          </w:tcPr>
          <w:p>
            <w:pPr>
              <w:ind w:left="20"/>
              <w:spacing w:after="0"/>
              <w:rPr>
                <w:sz w:val="20"/>
                <w:szCs w:val="20"/>
                <w:color w:val="auto"/>
              </w:rPr>
            </w:pPr>
            <w:r>
              <w:rPr>
                <w:rFonts w:ascii="Times New Roman" w:cs="Times New Roman" w:eastAsia="Times New Roman" w:hAnsi="Times New Roman"/>
                <w:sz w:val="18"/>
                <w:szCs w:val="18"/>
                <w:b w:val="1"/>
                <w:bCs w:val="1"/>
                <w:color w:val="0000FF"/>
              </w:rPr>
              <w:t>15. Commitments and Contingencies</w:t>
            </w:r>
          </w:p>
        </w:tc>
        <w:tc>
          <w:tcPr>
            <w:tcW w:w="120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0000FF"/>
                <w:w w:val="99"/>
              </w:rPr>
              <w:t>16</w:t>
            </w:r>
          </w:p>
        </w:tc>
        <w:tc>
          <w:tcPr>
            <w:tcW w:w="980" w:type="dxa"/>
            <w:vAlign w:val="bottom"/>
          </w:tcPr>
          <w:p>
            <w:pPr>
              <w:spacing w:after="0"/>
              <w:rPr>
                <w:sz w:val="18"/>
                <w:szCs w:val="18"/>
                <w:color w:val="auto"/>
              </w:rPr>
            </w:pPr>
          </w:p>
        </w:tc>
      </w:tr>
      <w:tr>
        <w:trPr>
          <w:trHeight w:val="999"/>
        </w:trPr>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400" w:type="dxa"/>
            <w:vAlign w:val="bottom"/>
            <w:tcBorders>
              <w:top w:val="single" w:sz="8" w:color="0000FF"/>
              <w:bottom w:val="single" w:sz="8" w:color="9A9A9A"/>
            </w:tcBorders>
          </w:tcPr>
          <w:p>
            <w:pPr>
              <w:spacing w:after="0"/>
              <w:rPr>
                <w:sz w:val="24"/>
                <w:szCs w:val="24"/>
                <w:color w:val="auto"/>
              </w:rPr>
            </w:pPr>
          </w:p>
        </w:tc>
        <w:tc>
          <w:tcPr>
            <w:tcW w:w="280" w:type="dxa"/>
            <w:vAlign w:val="bottom"/>
            <w:tcBorders>
              <w:top w:val="single" w:sz="8" w:color="0000FF"/>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260" w:type="dxa"/>
            <w:vAlign w:val="bottom"/>
            <w:tcBorders>
              <w:top w:val="single" w:sz="8" w:color="0000FF"/>
              <w:bottom w:val="single" w:sz="8" w:color="9A9A9A"/>
            </w:tcBorders>
          </w:tcPr>
          <w:p>
            <w:pPr>
              <w:spacing w:after="0"/>
              <w:rPr>
                <w:sz w:val="24"/>
                <w:szCs w:val="24"/>
                <w:color w:val="auto"/>
              </w:rPr>
            </w:pPr>
          </w:p>
        </w:tc>
        <w:tc>
          <w:tcPr>
            <w:tcW w:w="32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30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42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9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BOOZ ALLEN HAMILTON HOLDING CORPORATION</w:t>
      </w:r>
    </w:p>
    <w:p>
      <w:pPr>
        <w:spacing w:after="0" w:line="63"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63"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240" w:type="dxa"/>
            <w:vAlign w:val="bottom"/>
          </w:tcPr>
          <w:p>
            <w:pPr>
              <w:spacing w:after="0"/>
              <w:rPr>
                <w:sz w:val="17"/>
                <w:szCs w:val="17"/>
                <w:color w:val="auto"/>
              </w:rPr>
            </w:pPr>
          </w:p>
        </w:tc>
        <w:tc>
          <w:tcPr>
            <w:tcW w:w="12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0" w:type="dxa"/>
            <w:vAlign w:val="bottom"/>
          </w:tcPr>
          <w:p>
            <w:pPr>
              <w:spacing w:after="0"/>
              <w:rPr>
                <w:sz w:val="1"/>
                <w:szCs w:val="1"/>
                <w:color w:val="auto"/>
              </w:rPr>
            </w:pPr>
          </w:p>
        </w:tc>
      </w:tr>
      <w:tr>
        <w:trPr>
          <w:trHeight w:val="241"/>
        </w:trPr>
        <w:tc>
          <w:tcPr>
            <w:tcW w:w="8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08"/>
        </w:trPr>
        <w:tc>
          <w:tcPr>
            <w:tcW w:w="8140" w:type="dxa"/>
            <w:vAlign w:val="bottom"/>
            <w:vMerge w:val="restart"/>
          </w:tcPr>
          <w:p>
            <w:pPr>
              <w:ind w:left="37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tcPr>
          <w:p>
            <w:pPr>
              <w:spacing w:after="0"/>
              <w:rPr>
                <w:sz w:val="18"/>
                <w:szCs w:val="18"/>
                <w:color w:val="auto"/>
              </w:rPr>
            </w:pPr>
          </w:p>
        </w:tc>
        <w:tc>
          <w:tcPr>
            <w:tcW w:w="1260" w:type="dxa"/>
            <w:vAlign w:val="bottom"/>
          </w:tcPr>
          <w:p>
            <w:pPr>
              <w:jc w:val="center"/>
              <w:ind w:right="130"/>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814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497,828</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695,910</w:t>
            </w: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 net</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1,828,376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1,622,989</w:t>
            </w:r>
          </w:p>
        </w:tc>
        <w:tc>
          <w:tcPr>
            <w:tcW w:w="0" w:type="dxa"/>
            <w:vAlign w:val="bottom"/>
          </w:tcPr>
          <w:p>
            <w:pPr>
              <w:spacing w:after="0"/>
              <w:rPr>
                <w:sz w:val="1"/>
                <w:szCs w:val="1"/>
                <w:color w:val="auto"/>
              </w:rPr>
            </w:pPr>
          </w:p>
        </w:tc>
      </w:tr>
      <w:tr>
        <w:trPr>
          <w:trHeight w:val="229"/>
        </w:trPr>
        <w:tc>
          <w:tcPr>
            <w:tcW w:w="81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94,949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126,777</w:t>
            </w:r>
          </w:p>
        </w:tc>
        <w:tc>
          <w:tcPr>
            <w:tcW w:w="0" w:type="dxa"/>
            <w:vAlign w:val="bottom"/>
          </w:tcPr>
          <w:p>
            <w:pPr>
              <w:spacing w:after="0"/>
              <w:rPr>
                <w:sz w:val="1"/>
                <w:szCs w:val="1"/>
                <w:color w:val="auto"/>
              </w:rPr>
            </w:pPr>
          </w:p>
        </w:tc>
      </w:tr>
      <w:tr>
        <w:trPr>
          <w:trHeight w:val="223"/>
        </w:trPr>
        <w:tc>
          <w:tcPr>
            <w:tcW w:w="81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2,421,153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2,445,676</w:t>
            </w:r>
          </w:p>
        </w:tc>
        <w:tc>
          <w:tcPr>
            <w:tcW w:w="0" w:type="dxa"/>
            <w:vAlign w:val="bottom"/>
          </w:tcPr>
          <w:p>
            <w:pPr>
              <w:spacing w:after="0"/>
              <w:rPr>
                <w:sz w:val="1"/>
                <w:szCs w:val="1"/>
                <w:color w:val="auto"/>
              </w:rPr>
            </w:pPr>
          </w:p>
        </w:tc>
      </w:tr>
      <w:tr>
        <w:trPr>
          <w:trHeight w:val="229"/>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 of accumulated depreciation</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194,948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202,229</w:t>
            </w: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213,467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227,231</w:t>
            </w:r>
          </w:p>
        </w:tc>
        <w:tc>
          <w:tcPr>
            <w:tcW w:w="0" w:type="dxa"/>
            <w:vAlign w:val="bottom"/>
          </w:tcPr>
          <w:p>
            <w:pPr>
              <w:spacing w:after="0"/>
              <w:rPr>
                <w:sz w:val="1"/>
                <w:szCs w:val="1"/>
                <w:color w:val="auto"/>
              </w:rPr>
            </w:pPr>
          </w:p>
        </w:tc>
      </w:tr>
      <w:tr>
        <w:trPr>
          <w:trHeight w:val="229"/>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 of accumulated amortization</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626,907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646,682</w:t>
            </w: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2,021,931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2,021,931</w:t>
            </w:r>
          </w:p>
        </w:tc>
        <w:tc>
          <w:tcPr>
            <w:tcW w:w="0" w:type="dxa"/>
            <w:vAlign w:val="bottom"/>
          </w:tcPr>
          <w:p>
            <w:pPr>
              <w:spacing w:after="0"/>
              <w:rPr>
                <w:sz w:val="1"/>
                <w:szCs w:val="1"/>
                <w:color w:val="auto"/>
              </w:rPr>
            </w:pPr>
          </w:p>
        </w:tc>
      </w:tr>
      <w:tr>
        <w:trPr>
          <w:trHeight w:val="229"/>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long-term assets</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483,993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481,826</w:t>
            </w:r>
          </w:p>
        </w:tc>
        <w:tc>
          <w:tcPr>
            <w:tcW w:w="0" w:type="dxa"/>
            <w:vAlign w:val="bottom"/>
          </w:tcPr>
          <w:p>
            <w:pPr>
              <w:spacing w:after="0"/>
              <w:rPr>
                <w:sz w:val="1"/>
                <w:szCs w:val="1"/>
                <w:color w:val="auto"/>
              </w:rPr>
            </w:pPr>
          </w:p>
        </w:tc>
      </w:tr>
      <w:tr>
        <w:trPr>
          <w:trHeight w:val="248"/>
        </w:trPr>
        <w:tc>
          <w:tcPr>
            <w:tcW w:w="814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5,962,399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6,025,575</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bottom w:val="single" w:sz="8" w:color="CCEEFF"/>
            </w:tcBorders>
            <w:vMerge w:val="restart"/>
          </w:tcPr>
          <w:p>
            <w:pPr>
              <w:ind w:left="21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1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68,379</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68,379</w:t>
            </w: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 and other accrued expenses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898,329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902,616</w:t>
            </w:r>
          </w:p>
        </w:tc>
        <w:tc>
          <w:tcPr>
            <w:tcW w:w="0" w:type="dxa"/>
            <w:vAlign w:val="bottom"/>
          </w:tcPr>
          <w:p>
            <w:pPr>
              <w:spacing w:after="0"/>
              <w:rPr>
                <w:sz w:val="1"/>
                <w:szCs w:val="1"/>
                <w:color w:val="auto"/>
              </w:rPr>
            </w:pPr>
          </w:p>
        </w:tc>
      </w:tr>
      <w:tr>
        <w:trPr>
          <w:trHeight w:val="230"/>
        </w:trPr>
        <w:tc>
          <w:tcPr>
            <w:tcW w:w="8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361,119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438,634</w:t>
            </w: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55,272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52,334</w:t>
            </w:r>
          </w:p>
        </w:tc>
        <w:tc>
          <w:tcPr>
            <w:tcW w:w="0" w:type="dxa"/>
            <w:vAlign w:val="bottom"/>
          </w:tcPr>
          <w:p>
            <w:pPr>
              <w:spacing w:after="0"/>
              <w:rPr>
                <w:sz w:val="1"/>
                <w:szCs w:val="1"/>
                <w:color w:val="auto"/>
              </w:rPr>
            </w:pPr>
          </w:p>
        </w:tc>
      </w:tr>
      <w:tr>
        <w:trPr>
          <w:trHeight w:val="230"/>
        </w:trPr>
        <w:tc>
          <w:tcPr>
            <w:tcW w:w="81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132,892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71,991</w:t>
            </w:r>
          </w:p>
        </w:tc>
        <w:tc>
          <w:tcPr>
            <w:tcW w:w="0" w:type="dxa"/>
            <w:vAlign w:val="bottom"/>
          </w:tcPr>
          <w:p>
            <w:pPr>
              <w:spacing w:after="0"/>
              <w:rPr>
                <w:sz w:val="1"/>
                <w:szCs w:val="1"/>
                <w:color w:val="auto"/>
              </w:rPr>
            </w:pPr>
          </w:p>
        </w:tc>
      </w:tr>
      <w:tr>
        <w:trPr>
          <w:trHeight w:val="223"/>
        </w:trPr>
        <w:tc>
          <w:tcPr>
            <w:tcW w:w="81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1,515,991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1,533,954</w:t>
            </w:r>
          </w:p>
        </w:tc>
        <w:tc>
          <w:tcPr>
            <w:tcW w:w="0" w:type="dxa"/>
            <w:vAlign w:val="bottom"/>
          </w:tcPr>
          <w:p>
            <w:pPr>
              <w:spacing w:after="0"/>
              <w:rPr>
                <w:sz w:val="1"/>
                <w:szCs w:val="1"/>
                <w:color w:val="auto"/>
              </w:rPr>
            </w:pP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net of current portion</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2,715,497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2,731,693</w:t>
            </w: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229,998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247,070</w:t>
            </w:r>
          </w:p>
        </w:tc>
        <w:tc>
          <w:tcPr>
            <w:tcW w:w="0" w:type="dxa"/>
            <w:vAlign w:val="bottom"/>
          </w:tcPr>
          <w:p>
            <w:pPr>
              <w:spacing w:after="0"/>
              <w:rPr>
                <w:sz w:val="1"/>
                <w:szCs w:val="1"/>
                <w:color w:val="auto"/>
              </w:rPr>
            </w:pP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58,087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239,602</w:t>
            </w: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343,702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226,535</w:t>
            </w:r>
          </w:p>
        </w:tc>
        <w:tc>
          <w:tcPr>
            <w:tcW w:w="0" w:type="dxa"/>
            <w:vAlign w:val="bottom"/>
          </w:tcPr>
          <w:p>
            <w:pPr>
              <w:spacing w:after="0"/>
              <w:rPr>
                <w:sz w:val="1"/>
                <w:szCs w:val="1"/>
                <w:color w:val="auto"/>
              </w:rPr>
            </w:pPr>
          </w:p>
        </w:tc>
      </w:tr>
      <w:tr>
        <w:trPr>
          <w:trHeight w:val="223"/>
        </w:trPr>
        <w:tc>
          <w:tcPr>
            <w:tcW w:w="81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4,863,275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4,978,854</w:t>
            </w: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15)</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140" w:type="dxa"/>
            <w:vAlign w:val="bottom"/>
            <w:shd w:val="clear" w:color="auto" w:fill="CCEEFF"/>
          </w:tcPr>
          <w:p>
            <w:pPr>
              <w:ind w:left="300"/>
              <w:spacing w:after="0" w:line="176" w:lineRule="exact"/>
              <w:rPr>
                <w:sz w:val="20"/>
                <w:szCs w:val="20"/>
                <w:color w:val="auto"/>
              </w:rPr>
            </w:pPr>
            <w:r>
              <w:rPr>
                <w:rFonts w:ascii="Times New Roman" w:cs="Times New Roman" w:eastAsia="Times New Roman" w:hAnsi="Times New Roman"/>
                <w:sz w:val="18"/>
                <w:szCs w:val="18"/>
                <w:color w:val="auto"/>
              </w:rPr>
              <w:t>Common stock, Class A — $0.01 par value — authorized, 600,000,000 shares; issued, 164,900,879 shares</w:t>
            </w: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140" w:type="dxa"/>
            <w:vAlign w:val="bottom"/>
            <w:shd w:val="clear" w:color="auto" w:fill="CCEEFF"/>
          </w:tcPr>
          <w:p>
            <w:pPr>
              <w:ind w:left="300"/>
              <w:spacing w:after="0" w:line="176" w:lineRule="exact"/>
              <w:rPr>
                <w:sz w:val="20"/>
                <w:szCs w:val="20"/>
                <w:color w:val="auto"/>
              </w:rPr>
            </w:pPr>
            <w:r>
              <w:rPr>
                <w:rFonts w:ascii="Times New Roman" w:cs="Times New Roman" w:eastAsia="Times New Roman" w:hAnsi="Times New Roman"/>
                <w:sz w:val="18"/>
                <w:szCs w:val="18"/>
                <w:color w:val="auto"/>
              </w:rPr>
              <w:t>at June 30, 2022 and 164,372,545 shares at March 31, 2022; outstanding, 132,423,378 shares at June 30,</w:t>
            </w: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1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2022 and 132,584,348 shares at March 31, 2022</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w:t>
            </w:r>
          </w:p>
        </w:tc>
        <w:tc>
          <w:tcPr>
            <w:tcW w:w="0" w:type="dxa"/>
            <w:vAlign w:val="bottom"/>
          </w:tcPr>
          <w:p>
            <w:pPr>
              <w:spacing w:after="0"/>
              <w:rPr>
                <w:sz w:val="1"/>
                <w:szCs w:val="1"/>
                <w:color w:val="auto"/>
              </w:rPr>
            </w:pPr>
          </w:p>
        </w:tc>
      </w:tr>
      <w:tr>
        <w:trPr>
          <w:trHeight w:val="230"/>
        </w:trPr>
        <w:tc>
          <w:tcPr>
            <w:tcW w:w="81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Treasury stock, at cost — 32,477,501 shares at June 30, 2022 and 31,788,197 shares at March 31, 2022</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(1,693,012)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(1,635,454)</w:t>
            </w: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679,632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656,222</w:t>
            </w:r>
          </w:p>
        </w:tc>
        <w:tc>
          <w:tcPr>
            <w:tcW w:w="0" w:type="dxa"/>
            <w:vAlign w:val="bottom"/>
          </w:tcPr>
          <w:p>
            <w:pPr>
              <w:spacing w:after="0"/>
              <w:rPr>
                <w:sz w:val="1"/>
                <w:szCs w:val="1"/>
                <w:color w:val="auto"/>
              </w:rPr>
            </w:pPr>
          </w:p>
        </w:tc>
      </w:tr>
      <w:tr>
        <w:trPr>
          <w:trHeight w:val="230"/>
        </w:trPr>
        <w:tc>
          <w:tcPr>
            <w:tcW w:w="8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Retained earnings</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2,095,093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2,015,071</w:t>
            </w: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8,585</w:t>
            </w:r>
          </w:p>
        </w:tc>
        <w:tc>
          <w:tcPr>
            <w:tcW w:w="0" w:type="dxa"/>
            <w:vAlign w:val="bottom"/>
          </w:tcPr>
          <w:p>
            <w:pPr>
              <w:spacing w:after="0"/>
              <w:rPr>
                <w:sz w:val="1"/>
                <w:szCs w:val="1"/>
                <w:color w:val="auto"/>
              </w:rPr>
            </w:pPr>
          </w:p>
        </w:tc>
      </w:tr>
      <w:tr>
        <w:trPr>
          <w:trHeight w:val="223"/>
        </w:trPr>
        <w:tc>
          <w:tcPr>
            <w:tcW w:w="81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Booz Allen stockholders' equity</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1,097,705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1,046,070</w:t>
            </w: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Non-controlling interest</w:t>
            </w: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0" w:type="dxa"/>
            <w:vAlign w:val="bottom"/>
          </w:tcPr>
          <w:p>
            <w:pPr>
              <w:spacing w:after="0"/>
              <w:rPr>
                <w:sz w:val="1"/>
                <w:szCs w:val="1"/>
                <w:color w:val="auto"/>
              </w:rPr>
            </w:pPr>
          </w:p>
        </w:tc>
      </w:tr>
      <w:tr>
        <w:trPr>
          <w:trHeight w:val="223"/>
        </w:trPr>
        <w:tc>
          <w:tcPr>
            <w:tcW w:w="81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1,099,124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1,046,721</w:t>
            </w:r>
          </w:p>
        </w:tc>
        <w:tc>
          <w:tcPr>
            <w:tcW w:w="0" w:type="dxa"/>
            <w:vAlign w:val="bottom"/>
          </w:tcPr>
          <w:p>
            <w:pPr>
              <w:spacing w:after="0"/>
              <w:rPr>
                <w:sz w:val="1"/>
                <w:szCs w:val="1"/>
                <w:color w:val="auto"/>
              </w:rPr>
            </w:pPr>
          </w:p>
        </w:tc>
      </w:tr>
      <w:tr>
        <w:trPr>
          <w:trHeight w:val="254"/>
        </w:trPr>
        <w:tc>
          <w:tcPr>
            <w:tcW w:w="814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5,962,399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6,025,575</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BOOZ ALLEN HAMILTON HOLDING CORPORATION</w:t>
      </w:r>
    </w:p>
    <w:p>
      <w:pPr>
        <w:spacing w:after="0" w:line="6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6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6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(Amounts in thousands, except per share data)</w:t>
      </w:r>
    </w:p>
    <w:p>
      <w:pPr>
        <w:spacing w:after="0" w:line="137" w:lineRule="exact"/>
        <w:rPr>
          <w:sz w:val="20"/>
          <w:szCs w:val="20"/>
          <w:color w:val="auto"/>
        </w:rPr>
      </w:pPr>
    </w:p>
    <w:p>
      <w:pPr>
        <w:jc w:val="center"/>
        <w:ind w:left="77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jc w:val="center"/>
        <w:ind w:left="7740"/>
        <w:spacing w:after="0"/>
        <w:rPr>
          <w:sz w:val="20"/>
          <w:szCs w:val="20"/>
          <w:color w:val="auto"/>
        </w:rPr>
      </w:pPr>
      <w:r>
        <w:rPr>
          <w:rFonts w:ascii="Times New Roman" w:cs="Times New Roman" w:eastAsia="Times New Roman" w:hAnsi="Times New Roman"/>
          <w:sz w:val="18"/>
          <w:szCs w:val="18"/>
          <w:b w:val="1"/>
          <w:bCs w:val="1"/>
          <w:color w:val="auto"/>
        </w:rPr>
        <w:t>June 30,</w:t>
      </w:r>
    </w:p>
    <w:p>
      <w:pPr>
        <w:spacing w:after="0" w:line="7" w:lineRule="exact"/>
        <w:rPr>
          <w:sz w:val="20"/>
          <w:szCs w:val="20"/>
          <w:color w:val="auto"/>
        </w:rPr>
      </w:pPr>
    </w:p>
    <w:tbl>
      <w:tblPr>
        <w:tblLayout w:type="fixed"/>
        <w:tblInd w:w="260" w:type="dxa"/>
        <w:tblCellMar>
          <w:top w:w="0" w:type="dxa"/>
          <w:left w:w="0" w:type="dxa"/>
          <w:bottom w:w="0" w:type="dxa"/>
          <w:right w:w="0" w:type="dxa"/>
        </w:tblCellMar>
      </w:tblPr>
      <w:tr>
        <w:trPr>
          <w:trHeight w:val="237"/>
        </w:trPr>
        <w:tc>
          <w:tcPr>
            <w:tcW w:w="7740" w:type="dxa"/>
            <w:vAlign w:val="bottom"/>
            <w:tcBorders>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23"/>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2,249,600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1,989,066</w:t>
            </w:r>
          </w:p>
        </w:tc>
        <w:tc>
          <w:tcPr>
            <w:tcW w:w="0" w:type="dxa"/>
            <w:vAlign w:val="bottom"/>
          </w:tcPr>
          <w:p>
            <w:pPr>
              <w:spacing w:after="0"/>
              <w:rPr>
                <w:sz w:val="1"/>
                <w:szCs w:val="1"/>
                <w:color w:val="auto"/>
              </w:rPr>
            </w:pPr>
          </w:p>
        </w:tc>
      </w:tr>
      <w:tr>
        <w:trPr>
          <w:trHeight w:val="230"/>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Cost of revenue</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1,074,973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962,719</w:t>
            </w:r>
          </w:p>
        </w:tc>
        <w:tc>
          <w:tcPr>
            <w:tcW w:w="0" w:type="dxa"/>
            <w:vAlign w:val="bottom"/>
          </w:tcPr>
          <w:p>
            <w:pPr>
              <w:spacing w:after="0"/>
              <w:rPr>
                <w:sz w:val="1"/>
                <w:szCs w:val="1"/>
                <w:color w:val="auto"/>
              </w:rPr>
            </w:pPr>
          </w:p>
        </w:tc>
      </w:tr>
      <w:tr>
        <w:trPr>
          <w:trHeight w:val="229"/>
        </w:trPr>
        <w:tc>
          <w:tcPr>
            <w:tcW w:w="7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Billable expenses</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674,266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555,545</w:t>
            </w:r>
          </w:p>
        </w:tc>
        <w:tc>
          <w:tcPr>
            <w:tcW w:w="0" w:type="dxa"/>
            <w:vAlign w:val="bottom"/>
          </w:tcPr>
          <w:p>
            <w:pPr>
              <w:spacing w:after="0"/>
              <w:rPr>
                <w:sz w:val="1"/>
                <w:szCs w:val="1"/>
                <w:color w:val="auto"/>
              </w:rPr>
            </w:pPr>
          </w:p>
        </w:tc>
      </w:tr>
      <w:tr>
        <w:trPr>
          <w:trHeight w:val="230"/>
        </w:trPr>
        <w:tc>
          <w:tcPr>
            <w:tcW w:w="7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253,064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301,800</w:t>
            </w:r>
          </w:p>
        </w:tc>
        <w:tc>
          <w:tcPr>
            <w:tcW w:w="0" w:type="dxa"/>
            <w:vAlign w:val="bottom"/>
          </w:tcPr>
          <w:p>
            <w:pPr>
              <w:spacing w:after="0"/>
              <w:rPr>
                <w:sz w:val="1"/>
                <w:szCs w:val="1"/>
                <w:color w:val="auto"/>
              </w:rPr>
            </w:pPr>
          </w:p>
        </w:tc>
      </w:tr>
      <w:tr>
        <w:trPr>
          <w:trHeight w:val="229"/>
        </w:trPr>
        <w:tc>
          <w:tcPr>
            <w:tcW w:w="77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40,102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27,745</w:t>
            </w:r>
          </w:p>
        </w:tc>
        <w:tc>
          <w:tcPr>
            <w:tcW w:w="0" w:type="dxa"/>
            <w:vAlign w:val="bottom"/>
          </w:tcPr>
          <w:p>
            <w:pPr>
              <w:spacing w:after="0"/>
              <w:rPr>
                <w:sz w:val="1"/>
                <w:szCs w:val="1"/>
                <w:color w:val="auto"/>
              </w:rPr>
            </w:pPr>
          </w:p>
        </w:tc>
      </w:tr>
      <w:tr>
        <w:trPr>
          <w:trHeight w:val="223"/>
        </w:trPr>
        <w:tc>
          <w:tcPr>
            <w:tcW w:w="77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2,042,405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1,847,809</w:t>
            </w:r>
          </w:p>
        </w:tc>
        <w:tc>
          <w:tcPr>
            <w:tcW w:w="0" w:type="dxa"/>
            <w:vAlign w:val="bottom"/>
          </w:tcPr>
          <w:p>
            <w:pPr>
              <w:spacing w:after="0"/>
              <w:rPr>
                <w:sz w:val="1"/>
                <w:szCs w:val="1"/>
                <w:color w:val="auto"/>
              </w:rPr>
            </w:pPr>
          </w:p>
        </w:tc>
      </w:tr>
      <w:tr>
        <w:trPr>
          <w:trHeight w:val="223"/>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207,195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141,257</w:t>
            </w:r>
          </w:p>
        </w:tc>
        <w:tc>
          <w:tcPr>
            <w:tcW w:w="0" w:type="dxa"/>
            <w:vAlign w:val="bottom"/>
          </w:tcPr>
          <w:p>
            <w:pPr>
              <w:spacing w:after="0"/>
              <w:rPr>
                <w:sz w:val="1"/>
                <w:szCs w:val="1"/>
                <w:color w:val="auto"/>
              </w:rPr>
            </w:pPr>
          </w:p>
        </w:tc>
      </w:tr>
      <w:tr>
        <w:trPr>
          <w:trHeight w:val="230"/>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(24,655)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(21,270)</w:t>
            </w:r>
          </w:p>
        </w:tc>
        <w:tc>
          <w:tcPr>
            <w:tcW w:w="0" w:type="dxa"/>
            <w:vAlign w:val="bottom"/>
          </w:tcPr>
          <w:p>
            <w:pPr>
              <w:spacing w:after="0"/>
              <w:rPr>
                <w:sz w:val="1"/>
                <w:szCs w:val="1"/>
                <w:color w:val="auto"/>
              </w:rPr>
            </w:pPr>
          </w:p>
        </w:tc>
      </w:tr>
      <w:tr>
        <w:trPr>
          <w:trHeight w:val="229"/>
        </w:trPr>
        <w:tc>
          <w:tcPr>
            <w:tcW w:w="7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0" w:type="dxa"/>
            <w:vAlign w:val="bottom"/>
          </w:tcPr>
          <w:p>
            <w:pPr>
              <w:spacing w:after="0"/>
              <w:rPr>
                <w:sz w:val="1"/>
                <w:szCs w:val="1"/>
                <w:color w:val="auto"/>
              </w:rPr>
            </w:pPr>
          </w:p>
        </w:tc>
      </w:tr>
      <w:tr>
        <w:trPr>
          <w:trHeight w:val="223"/>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179,582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119,454</w:t>
            </w:r>
          </w:p>
        </w:tc>
        <w:tc>
          <w:tcPr>
            <w:tcW w:w="0" w:type="dxa"/>
            <w:vAlign w:val="bottom"/>
          </w:tcPr>
          <w:p>
            <w:pPr>
              <w:spacing w:after="0"/>
              <w:rPr>
                <w:sz w:val="1"/>
                <w:szCs w:val="1"/>
                <w:color w:val="auto"/>
              </w:rPr>
            </w:pPr>
          </w:p>
        </w:tc>
      </w:tr>
      <w:tr>
        <w:trPr>
          <w:trHeight w:val="229"/>
        </w:trPr>
        <w:tc>
          <w:tcPr>
            <w:tcW w:w="7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41,489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27,352</w:t>
            </w:r>
          </w:p>
        </w:tc>
        <w:tc>
          <w:tcPr>
            <w:tcW w:w="0" w:type="dxa"/>
            <w:vAlign w:val="bottom"/>
          </w:tcPr>
          <w:p>
            <w:pPr>
              <w:spacing w:after="0"/>
              <w:rPr>
                <w:sz w:val="1"/>
                <w:szCs w:val="1"/>
                <w:color w:val="auto"/>
              </w:rPr>
            </w:pPr>
          </w:p>
        </w:tc>
      </w:tr>
      <w:tr>
        <w:trPr>
          <w:trHeight w:val="223"/>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138,093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92,102</w:t>
            </w:r>
          </w:p>
        </w:tc>
        <w:tc>
          <w:tcPr>
            <w:tcW w:w="0" w:type="dxa"/>
            <w:vAlign w:val="bottom"/>
          </w:tcPr>
          <w:p>
            <w:pPr>
              <w:spacing w:after="0"/>
              <w:rPr>
                <w:sz w:val="1"/>
                <w:szCs w:val="1"/>
                <w:color w:val="auto"/>
              </w:rPr>
            </w:pPr>
          </w:p>
        </w:tc>
      </w:tr>
      <w:tr>
        <w:trPr>
          <w:trHeight w:val="230"/>
        </w:trPr>
        <w:tc>
          <w:tcPr>
            <w:tcW w:w="7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7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common stockholders</w:t>
            </w:r>
          </w:p>
        </w:tc>
        <w:tc>
          <w:tcPr>
            <w:tcW w:w="3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138,284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92,102</w:t>
            </w:r>
          </w:p>
        </w:tc>
        <w:tc>
          <w:tcPr>
            <w:tcW w:w="0" w:type="dxa"/>
            <w:vAlign w:val="bottom"/>
          </w:tcPr>
          <w:p>
            <w:pPr>
              <w:spacing w:after="0"/>
              <w:rPr>
                <w:sz w:val="1"/>
                <w:szCs w:val="1"/>
                <w:color w:val="auto"/>
              </w:rPr>
            </w:pPr>
          </w:p>
        </w:tc>
      </w:tr>
      <w:tr>
        <w:trPr>
          <w:trHeight w:val="20"/>
        </w:trPr>
        <w:tc>
          <w:tcPr>
            <w:tcW w:w="77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Earnings per common share (Note 4):</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74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77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0" w:type="dxa"/>
            <w:vAlign w:val="bottom"/>
          </w:tcPr>
          <w:p>
            <w:pPr>
              <w:spacing w:after="0"/>
              <w:rPr>
                <w:sz w:val="1"/>
                <w:szCs w:val="1"/>
                <w:color w:val="auto"/>
              </w:rPr>
            </w:pPr>
          </w:p>
        </w:tc>
      </w:tr>
      <w:tr>
        <w:trPr>
          <w:trHeight w:val="20"/>
        </w:trPr>
        <w:tc>
          <w:tcPr>
            <w:tcW w:w="7740" w:type="dxa"/>
            <w:vAlign w:val="bottom"/>
            <w:tcBorders>
              <w:top w:val="single" w:sz="8" w:color="CCEEFF"/>
              <w:bottom w:val="single" w:sz="8" w:color="CCEEFF"/>
            </w:tcBorders>
            <w:vMerge w:val="restart"/>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740" w:type="dxa"/>
            <w:vAlign w:val="bottom"/>
            <w:vMerge w:val="continue"/>
          </w:tcPr>
          <w:p>
            <w:pPr>
              <w:spacing w:after="0"/>
              <w:rPr>
                <w:sz w:val="17"/>
                <w:szCs w:val="17"/>
                <w:color w:val="auto"/>
              </w:rPr>
            </w:pPr>
          </w:p>
        </w:tc>
        <w:tc>
          <w:tcPr>
            <w:tcW w:w="320" w:type="dxa"/>
            <w:vAlign w:val="bottom"/>
            <w:tcBorders>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0.67</w:t>
            </w: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121" w:right="5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BOOZ ALLEN HAMILTON HOLDING CORPORATION</w:t>
      </w:r>
    </w:p>
    <w:p>
      <w:pPr>
        <w:spacing w:after="0" w:line="6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6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6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137"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jc w:val="center"/>
        <w:ind w:left="7600"/>
        <w:spacing w:after="0"/>
        <w:rPr>
          <w:sz w:val="20"/>
          <w:szCs w:val="20"/>
          <w:color w:val="auto"/>
        </w:rPr>
      </w:pPr>
      <w:r>
        <w:rPr>
          <w:rFonts w:ascii="Times New Roman" w:cs="Times New Roman" w:eastAsia="Times New Roman" w:hAnsi="Times New Roman"/>
          <w:sz w:val="18"/>
          <w:szCs w:val="18"/>
          <w:b w:val="1"/>
          <w:bCs w:val="1"/>
          <w:color w:val="auto"/>
        </w:rPr>
        <w:t>June 30,</w:t>
      </w:r>
    </w:p>
    <w:p>
      <w:pPr>
        <w:spacing w:after="0" w:line="7" w:lineRule="exact"/>
        <w:rPr>
          <w:sz w:val="20"/>
          <w:szCs w:val="20"/>
          <w:color w:val="auto"/>
        </w:rPr>
      </w:pPr>
    </w:p>
    <w:tbl>
      <w:tblPr>
        <w:tblLayout w:type="fixed"/>
        <w:tblInd w:w="220" w:type="dxa"/>
        <w:tblCellMar>
          <w:top w:w="0" w:type="dxa"/>
          <w:left w:w="0" w:type="dxa"/>
          <w:bottom w:w="0" w:type="dxa"/>
          <w:right w:w="0" w:type="dxa"/>
        </w:tblCellMar>
      </w:tblPr>
      <w:tr>
        <w:trPr>
          <w:trHeight w:val="237"/>
        </w:trPr>
        <w:tc>
          <w:tcPr>
            <w:tcW w:w="7620" w:type="dxa"/>
            <w:vAlign w:val="bottom"/>
            <w:tcBorders>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138,093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92,102</w:t>
            </w:r>
          </w:p>
        </w:tc>
      </w:tr>
      <w:tr>
        <w:trPr>
          <w:trHeight w:val="230"/>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9"/>
        </w:trPr>
        <w:tc>
          <w:tcPr>
            <w:tcW w:w="7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 in unrealized gain on derivatives designated as cash flow hedges</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2,994</w:t>
            </w:r>
          </w:p>
        </w:tc>
      </w:tr>
      <w:tr>
        <w:trPr>
          <w:trHeight w:val="230"/>
        </w:trPr>
        <w:tc>
          <w:tcPr>
            <w:tcW w:w="76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Change in postretirement plan costs</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3"/>
        </w:trPr>
        <w:tc>
          <w:tcPr>
            <w:tcW w:w="7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other comprehensive income, net of tax</w:t>
            </w: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3,013</w:t>
            </w:r>
          </w:p>
        </w:tc>
      </w:tr>
      <w:tr>
        <w:trPr>
          <w:trHeight w:val="223"/>
        </w:trPr>
        <w:tc>
          <w:tcPr>
            <w:tcW w:w="7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Comprehensive income</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143,850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95,115</w:t>
            </w:r>
          </w:p>
        </w:tc>
      </w:tr>
      <w:tr>
        <w:trPr>
          <w:trHeight w:val="229"/>
        </w:trPr>
        <w:tc>
          <w:tcPr>
            <w:tcW w:w="7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Comprehensive loss attributable to non-controlling interest</w:t>
            </w: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Comprehensive income attributable to common stockholders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144,041</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95,115</w:t>
            </w:r>
          </w:p>
        </w:tc>
      </w:tr>
      <w:tr>
        <w:trPr>
          <w:trHeight w:val="20"/>
        </w:trPr>
        <w:tc>
          <w:tcPr>
            <w:tcW w:w="76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21" w:right="5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8140" w:type="dxa"/>
            <w:vAlign w:val="bottom"/>
          </w:tcPr>
          <w:p>
            <w:pPr>
              <w:jc w:val="center"/>
              <w:ind w:left="2950"/>
              <w:spacing w:after="0"/>
              <w:rPr>
                <w:sz w:val="20"/>
                <w:szCs w:val="20"/>
                <w:color w:val="auto"/>
              </w:rPr>
            </w:pPr>
            <w:r>
              <w:rPr>
                <w:rFonts w:ascii="Times New Roman" w:cs="Times New Roman" w:eastAsia="Times New Roman" w:hAnsi="Times New Roman"/>
                <w:sz w:val="18"/>
                <w:szCs w:val="18"/>
                <w:b w:val="1"/>
                <w:bCs w:val="1"/>
                <w:color w:val="auto"/>
                <w:w w:val="99"/>
              </w:rPr>
              <w:t>BOOZ ALLEN HAMILTON HOLDING CORPORATION</w:t>
            </w: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0"/>
        </w:trPr>
        <w:tc>
          <w:tcPr>
            <w:tcW w:w="8480" w:type="dxa"/>
            <w:vAlign w:val="bottom"/>
            <w:gridSpan w:val="2"/>
          </w:tcPr>
          <w:p>
            <w:pPr>
              <w:jc w:val="center"/>
              <w:ind w:left="259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CASH FLOWS</w:t>
            </w: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70"/>
        </w:trPr>
        <w:tc>
          <w:tcPr>
            <w:tcW w:w="8140" w:type="dxa"/>
            <w:vAlign w:val="bottom"/>
          </w:tcPr>
          <w:p>
            <w:pPr>
              <w:jc w:val="center"/>
              <w:ind w:left="293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70"/>
        </w:trPr>
        <w:tc>
          <w:tcPr>
            <w:tcW w:w="8140" w:type="dxa"/>
            <w:vAlign w:val="bottom"/>
          </w:tcPr>
          <w:p>
            <w:pPr>
              <w:jc w:val="center"/>
              <w:ind w:left="2930"/>
              <w:spacing w:after="0"/>
              <w:rPr>
                <w:sz w:val="20"/>
                <w:szCs w:val="20"/>
                <w:color w:val="auto"/>
              </w:rPr>
            </w:pPr>
            <w:r>
              <w:rPr>
                <w:rFonts w:ascii="Times New Roman" w:cs="Times New Roman" w:eastAsia="Times New Roman" w:hAnsi="Times New Roman"/>
                <w:sz w:val="18"/>
                <w:szCs w:val="18"/>
                <w:b w:val="1"/>
                <w:bCs w:val="1"/>
                <w:color w:val="auto"/>
                <w:w w:val="99"/>
              </w:rPr>
              <w:t>(Amounts in thousands)</w:t>
            </w: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03"/>
        </w:trPr>
        <w:tc>
          <w:tcPr>
            <w:tcW w:w="8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700" w:type="dxa"/>
            <w:vAlign w:val="bottom"/>
            <w:gridSpan w:val="4"/>
          </w:tcPr>
          <w:p>
            <w:pPr>
              <w:jc w:val="right"/>
              <w:ind w:right="610"/>
              <w:spacing w:after="0" w:line="202" w:lineRule="exact"/>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41"/>
        </w:trPr>
        <w:tc>
          <w:tcPr>
            <w:tcW w:w="81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60" w:type="dxa"/>
            <w:vAlign w:val="bottom"/>
            <w:tcBorders>
              <w:bottom w:val="single" w:sz="8" w:color="auto"/>
            </w:tcBorders>
          </w:tcPr>
          <w:p>
            <w:pPr>
              <w:spacing w:after="0"/>
              <w:rPr>
                <w:sz w:val="20"/>
                <w:szCs w:val="20"/>
                <w:color w:val="auto"/>
              </w:rPr>
            </w:pPr>
          </w:p>
        </w:tc>
      </w:tr>
      <w:tr>
        <w:trPr>
          <w:trHeight w:val="225"/>
        </w:trPr>
        <w:tc>
          <w:tcPr>
            <w:tcW w:w="8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0"/>
        </w:trPr>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29"/>
        </w:trPr>
        <w:tc>
          <w:tcPr>
            <w:tcW w:w="8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138,093</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92,102</w:t>
            </w:r>
          </w:p>
        </w:tc>
      </w:tr>
      <w:tr>
        <w:trPr>
          <w:trHeight w:val="229"/>
        </w:trPr>
        <w:tc>
          <w:tcPr>
            <w:tcW w:w="8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Adjustments to reconcile net income to net cash used in operating activities: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81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40,102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27,745</w:t>
            </w:r>
          </w:p>
        </w:tc>
      </w:tr>
      <w:tr>
        <w:trPr>
          <w:trHeight w:val="229"/>
        </w:trPr>
        <w:tc>
          <w:tcPr>
            <w:tcW w:w="81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Noncash lease expense</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13,581</w:t>
            </w:r>
          </w:p>
        </w:tc>
      </w:tr>
      <w:tr>
        <w:trPr>
          <w:trHeight w:val="230"/>
        </w:trPr>
        <w:tc>
          <w:tcPr>
            <w:tcW w:w="81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13,696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12,444</w:t>
            </w:r>
          </w:p>
        </w:tc>
      </w:tr>
      <w:tr>
        <w:trPr>
          <w:trHeight w:val="229"/>
        </w:trPr>
        <w:tc>
          <w:tcPr>
            <w:tcW w:w="81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w:t>
            </w:r>
          </w:p>
        </w:tc>
      </w:tr>
      <w:tr>
        <w:trPr>
          <w:trHeight w:val="229"/>
        </w:trPr>
        <w:tc>
          <w:tcPr>
            <w:tcW w:w="81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34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2,515</w:t>
            </w:r>
          </w:p>
        </w:tc>
      </w:tr>
      <w:tr>
        <w:trPr>
          <w:trHeight w:val="230"/>
        </w:trPr>
        <w:tc>
          <w:tcPr>
            <w:tcW w:w="81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Losses (gains) on dispositions, and other</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9"/>
        </w:trPr>
        <w:tc>
          <w:tcPr>
            <w:tcW w:w="8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81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Accounts receivable, net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(205,387)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(220,112)</w:t>
            </w:r>
          </w:p>
        </w:tc>
      </w:tr>
      <w:tr>
        <w:trPr>
          <w:trHeight w:val="230"/>
        </w:trPr>
        <w:tc>
          <w:tcPr>
            <w:tcW w:w="81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Deferred income taxes and income taxes receivable / payable</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34,802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22,323</w:t>
            </w:r>
          </w:p>
        </w:tc>
      </w:tr>
      <w:tr>
        <w:trPr>
          <w:trHeight w:val="229"/>
        </w:trPr>
        <w:tc>
          <w:tcPr>
            <w:tcW w:w="81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Prepaid expenses and other current and long-term assets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(8,874)</w:t>
            </w:r>
          </w:p>
        </w:tc>
      </w:tr>
      <w:tr>
        <w:trPr>
          <w:trHeight w:val="230"/>
        </w:trPr>
        <w:tc>
          <w:tcPr>
            <w:tcW w:w="81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(61,039)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(75,509)</w:t>
            </w:r>
          </w:p>
        </w:tc>
      </w:tr>
      <w:tr>
        <w:trPr>
          <w:trHeight w:val="229"/>
        </w:trPr>
        <w:tc>
          <w:tcPr>
            <w:tcW w:w="81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Accounts payable and other accrued expenses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121,862</w:t>
            </w:r>
          </w:p>
        </w:tc>
      </w:tr>
      <w:tr>
        <w:trPr>
          <w:trHeight w:val="230"/>
        </w:trPr>
        <w:tc>
          <w:tcPr>
            <w:tcW w:w="814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Other current and long-term liabilities</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(6,614)</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w:t>
            </w:r>
          </w:p>
        </w:tc>
      </w:tr>
      <w:tr>
        <w:trPr>
          <w:trHeight w:val="223"/>
        </w:trPr>
        <w:tc>
          <w:tcPr>
            <w:tcW w:w="814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(45,634)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(10,662)</w:t>
            </w:r>
          </w:p>
        </w:tc>
      </w:tr>
      <w:tr>
        <w:trPr>
          <w:trHeight w:val="229"/>
        </w:trPr>
        <w:tc>
          <w:tcPr>
            <w:tcW w:w="8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81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Purchases of property, equipment, and software</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(9,008)</w:t>
            </w:r>
          </w:p>
        </w:tc>
      </w:tr>
      <w:tr>
        <w:trPr>
          <w:trHeight w:val="230"/>
        </w:trPr>
        <w:tc>
          <w:tcPr>
            <w:tcW w:w="81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Payments for business acquisitions, net of cash acquired</w:t>
            </w:r>
          </w:p>
        </w:tc>
        <w:tc>
          <w:tcPr>
            <w:tcW w:w="34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(665,583)</w:t>
            </w:r>
          </w:p>
        </w:tc>
      </w:tr>
      <w:tr>
        <w:trPr>
          <w:trHeight w:val="230"/>
        </w:trPr>
        <w:tc>
          <w:tcPr>
            <w:tcW w:w="81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Payments for cost method investments</w:t>
            </w: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r>
      <w:tr>
        <w:trPr>
          <w:trHeight w:val="223"/>
        </w:trPr>
        <w:tc>
          <w:tcPr>
            <w:tcW w:w="814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(13,734)</w:t>
            </w:r>
          </w:p>
        </w:tc>
        <w:tc>
          <w:tcPr>
            <w:tcW w:w="12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(676,591)</w:t>
            </w:r>
          </w:p>
        </w:tc>
      </w:tr>
      <w:tr>
        <w:trPr>
          <w:trHeight w:val="230"/>
        </w:trPr>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9"/>
        </w:trPr>
        <w:tc>
          <w:tcPr>
            <w:tcW w:w="81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Proceeds from issuance of common stock</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5,758</w:t>
            </w:r>
          </w:p>
        </w:tc>
      </w:tr>
      <w:tr>
        <w:trPr>
          <w:trHeight w:val="230"/>
        </w:trPr>
        <w:tc>
          <w:tcPr>
            <w:tcW w:w="81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Stock option exercises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1,794</w:t>
            </w:r>
          </w:p>
        </w:tc>
      </w:tr>
      <w:tr>
        <w:trPr>
          <w:trHeight w:val="230"/>
        </w:trPr>
        <w:tc>
          <w:tcPr>
            <w:tcW w:w="81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(73,397)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(123,805)</w:t>
            </w:r>
          </w:p>
        </w:tc>
      </w:tr>
      <w:tr>
        <w:trPr>
          <w:trHeight w:val="230"/>
        </w:trPr>
        <w:tc>
          <w:tcPr>
            <w:tcW w:w="81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Cash dividends paid</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(58,899)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(51,641)</w:t>
            </w:r>
          </w:p>
        </w:tc>
      </w:tr>
      <w:tr>
        <w:trPr>
          <w:trHeight w:val="229"/>
        </w:trPr>
        <w:tc>
          <w:tcPr>
            <w:tcW w:w="81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Repayments on revolving credit facility, term loans, and Senior Notes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(17,095)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(60,973)</w:t>
            </w:r>
          </w:p>
        </w:tc>
      </w:tr>
      <w:tr>
        <w:trPr>
          <w:trHeight w:val="230"/>
        </w:trPr>
        <w:tc>
          <w:tcPr>
            <w:tcW w:w="81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Net proceeds from debt issuance</w:t>
            </w: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487,027</w:t>
            </w:r>
          </w:p>
        </w:tc>
      </w:tr>
      <w:tr>
        <w:trPr>
          <w:trHeight w:val="230"/>
        </w:trPr>
        <w:tc>
          <w:tcPr>
            <w:tcW w:w="81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Proceeds from revolving credit facility</w:t>
            </w:r>
          </w:p>
        </w:tc>
        <w:tc>
          <w:tcPr>
            <w:tcW w:w="34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w:t>
            </w:r>
          </w:p>
        </w:tc>
      </w:tr>
      <w:tr>
        <w:trPr>
          <w:trHeight w:val="223"/>
        </w:trPr>
        <w:tc>
          <w:tcPr>
            <w:tcW w:w="8140" w:type="dxa"/>
            <w:vAlign w:val="bottom"/>
            <w:tcBorders>
              <w:top w:val="single" w:sz="8" w:color="CCEEFF"/>
            </w:tcBorders>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3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(138,714)</w:t>
            </w: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318,160</w:t>
            </w:r>
          </w:p>
        </w:tc>
      </w:tr>
      <w:tr>
        <w:trPr>
          <w:trHeight w:val="230"/>
        </w:trPr>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(198,082)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(369,093)</w:t>
            </w:r>
          </w:p>
        </w:tc>
      </w:tr>
      <w:tr>
        <w:trPr>
          <w:trHeight w:val="230"/>
        </w:trPr>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equivalents––beginning of period</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695,910</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990,955</w:t>
            </w:r>
          </w:p>
        </w:tc>
      </w:tr>
      <w:tr>
        <w:trPr>
          <w:trHeight w:val="223"/>
        </w:trPr>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equivalents––end of period</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497,828</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621,862</w:t>
            </w:r>
          </w:p>
        </w:tc>
      </w:tr>
      <w:tr>
        <w:trPr>
          <w:trHeight w:val="20"/>
        </w:trPr>
        <w:tc>
          <w:tcPr>
            <w:tcW w:w="81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96"/>
        </w:trPr>
        <w:tc>
          <w:tcPr>
            <w:tcW w:w="81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30"/>
        </w:trPr>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Net cash paid during the period for:</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8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6,713</w:t>
            </w:r>
          </w:p>
        </w:tc>
      </w:tr>
      <w:tr>
        <w:trPr>
          <w:trHeight w:val="229"/>
        </w:trPr>
        <w:tc>
          <w:tcPr>
            <w:tcW w:w="8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taxes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2,952</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1,673</w:t>
            </w:r>
          </w:p>
        </w:tc>
      </w:tr>
      <w:tr>
        <w:trPr>
          <w:trHeight w:val="230"/>
        </w:trPr>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 of non-cash investing and financing activities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4"/>
        </w:trPr>
        <w:tc>
          <w:tcPr>
            <w:tcW w:w="8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Share repurchases transacted but not settled and paid</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3,041</w:t>
            </w:r>
          </w:p>
        </w:tc>
      </w:tr>
    </w:tbl>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BOOZ ALLEN HAMILTON HOLDING CORPORATION</w:t>
      </w: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 (Unaudited)</w:t>
      </w:r>
    </w:p>
    <w:p>
      <w:pPr>
        <w:spacing w:after="0" w:line="39"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2700" w:type="dxa"/>
            <w:vAlign w:val="bottom"/>
          </w:tcPr>
          <w:p>
            <w:pPr>
              <w:spacing w:after="0"/>
              <w:rPr>
                <w:sz w:val="16"/>
                <w:szCs w:val="16"/>
                <w:color w:val="auto"/>
              </w:rPr>
            </w:pPr>
          </w:p>
        </w:tc>
        <w:tc>
          <w:tcPr>
            <w:tcW w:w="106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Class A</w:t>
            </w: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40" w:type="dxa"/>
            <w:vAlign w:val="bottom"/>
            <w:gridSpan w:val="5"/>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Treasury</w:t>
            </w: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gridSpan w:val="5"/>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27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(Amounts in thousands, except share</w:t>
            </w:r>
          </w:p>
        </w:tc>
        <w:tc>
          <w:tcPr>
            <w:tcW w:w="1620" w:type="dxa"/>
            <w:vAlign w:val="bottom"/>
            <w:gridSpan w:val="7"/>
            <w:vMerge w:val="restart"/>
          </w:tcPr>
          <w:p>
            <w:pPr>
              <w:ind w:left="24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gridSpan w:val="4"/>
            <w:vMerge w:val="restart"/>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5"/>
            <w:vMerge w:val="continue"/>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700" w:type="dxa"/>
            <w:vAlign w:val="bottom"/>
            <w:vMerge w:val="continue"/>
          </w:tcPr>
          <w:p>
            <w:pPr>
              <w:spacing w:after="0"/>
              <w:rPr>
                <w:sz w:val="8"/>
                <w:szCs w:val="8"/>
                <w:color w:val="auto"/>
              </w:rPr>
            </w:pPr>
          </w:p>
        </w:tc>
        <w:tc>
          <w:tcPr>
            <w:tcW w:w="1620" w:type="dxa"/>
            <w:vAlign w:val="bottom"/>
            <w:gridSpan w:val="7"/>
            <w:vMerge w:val="continue"/>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gridSpan w:val="4"/>
            <w:vMerge w:val="continue"/>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gridSpan w:val="5"/>
            <w:vMerge w:val="restart"/>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Additional</w:t>
            </w: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5"/>
            <w:vMerge w:val="restart"/>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Other</w:t>
            </w:r>
          </w:p>
        </w:tc>
        <w:tc>
          <w:tcPr>
            <w:tcW w:w="240" w:type="dxa"/>
            <w:vAlign w:val="bottom"/>
          </w:tcPr>
          <w:p>
            <w:pPr>
              <w:spacing w:after="0"/>
              <w:rPr>
                <w:sz w:val="8"/>
                <w:szCs w:val="8"/>
                <w:color w:val="auto"/>
              </w:rPr>
            </w:pPr>
          </w:p>
        </w:tc>
        <w:tc>
          <w:tcPr>
            <w:tcW w:w="680" w:type="dxa"/>
            <w:vAlign w:val="bottom"/>
            <w:gridSpan w:val="5"/>
            <w:vMerge w:val="restart"/>
          </w:tcPr>
          <w:p>
            <w:pPr>
              <w:jc w:val="center"/>
              <w:ind w:right="340"/>
              <w:spacing w:after="0" w:line="162" w:lineRule="exact"/>
              <w:rPr>
                <w:sz w:val="20"/>
                <w:szCs w:val="20"/>
                <w:color w:val="auto"/>
              </w:rPr>
            </w:pPr>
            <w:r>
              <w:rPr>
                <w:rFonts w:ascii="Times New Roman" w:cs="Times New Roman" w:eastAsia="Times New Roman" w:hAnsi="Times New Roman"/>
                <w:sz w:val="16"/>
                <w:szCs w:val="16"/>
                <w:b w:val="1"/>
                <w:bCs w:val="1"/>
                <w:color w:val="auto"/>
              </w:rPr>
              <w:t>Non-</w:t>
            </w: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gridSpan w:val="2"/>
            <w:vMerge w:val="restart"/>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27"/>
        </w:trPr>
        <w:tc>
          <w:tcPr>
            <w:tcW w:w="27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data)</w:t>
            </w: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gridSpan w:val="5"/>
            <w:vMerge w:val="continue"/>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gridSpan w:val="5"/>
            <w:vMerge w:val="continue"/>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gridSpan w:val="5"/>
            <w:vMerge w:val="continue"/>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700" w:type="dxa"/>
            <w:vAlign w:val="bottom"/>
            <w:vMerge w:val="continu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gridSpan w:val="5"/>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gridSpan w:val="3"/>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gridSpan w:val="5"/>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gridSpan w:val="5"/>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700" w:type="dxa"/>
            <w:vAlign w:val="bottom"/>
            <w:vMerge w:val="continue"/>
          </w:tcPr>
          <w:p>
            <w:pPr>
              <w:spacing w:after="0"/>
              <w:rPr>
                <w:sz w:val="14"/>
                <w:szCs w:val="14"/>
                <w:color w:val="auto"/>
              </w:rPr>
            </w:pPr>
          </w:p>
        </w:tc>
        <w:tc>
          <w:tcPr>
            <w:tcW w:w="940" w:type="dxa"/>
            <w:vAlign w:val="bottom"/>
            <w:gridSpan w:val="3"/>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80" w:type="dxa"/>
            <w:vAlign w:val="bottom"/>
            <w:gridSpan w:val="4"/>
            <w:vMerge w:val="restart"/>
          </w:tcPr>
          <w:p>
            <w:pPr>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0" w:type="dxa"/>
            <w:vAlign w:val="bottom"/>
          </w:tcPr>
          <w:p>
            <w:pPr>
              <w:spacing w:after="0"/>
              <w:rPr>
                <w:sz w:val="14"/>
                <w:szCs w:val="14"/>
                <w:color w:val="auto"/>
              </w:rPr>
            </w:pPr>
          </w:p>
        </w:tc>
        <w:tc>
          <w:tcPr>
            <w:tcW w:w="940" w:type="dxa"/>
            <w:vAlign w:val="bottom"/>
            <w:gridSpan w:val="4"/>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60" w:type="dxa"/>
            <w:vAlign w:val="bottom"/>
            <w:gridSpan w:val="3"/>
            <w:vMerge w:val="restart"/>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4"/>
          </w:tcPr>
          <w:p>
            <w:pPr>
              <w:jc w:val="center"/>
              <w:ind w:right="39"/>
              <w:spacing w:after="0" w:line="162" w:lineRule="exact"/>
              <w:rPr>
                <w:sz w:val="20"/>
                <w:szCs w:val="20"/>
                <w:color w:val="auto"/>
              </w:rPr>
            </w:pPr>
            <w:r>
              <w:rPr>
                <w:rFonts w:ascii="Times New Roman" w:cs="Times New Roman" w:eastAsia="Times New Roman" w:hAnsi="Times New Roman"/>
                <w:sz w:val="16"/>
                <w:szCs w:val="16"/>
                <w:b w:val="1"/>
                <w:bCs w:val="1"/>
                <w:color w:val="auto"/>
              </w:rPr>
              <w:t>Paid-In</w:t>
            </w:r>
          </w:p>
        </w:tc>
        <w:tc>
          <w:tcPr>
            <w:tcW w:w="80" w:type="dxa"/>
            <w:vAlign w:val="bottom"/>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5"/>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920" w:type="dxa"/>
            <w:vAlign w:val="bottom"/>
            <w:gridSpan w:val="6"/>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Controlling</w:t>
            </w:r>
          </w:p>
        </w:tc>
        <w:tc>
          <w:tcPr>
            <w:tcW w:w="1000" w:type="dxa"/>
            <w:vAlign w:val="bottom"/>
            <w:gridSpan w:val="5"/>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14"/>
        </w:trPr>
        <w:tc>
          <w:tcPr>
            <w:tcW w:w="2700" w:type="dxa"/>
            <w:vAlign w:val="bottom"/>
          </w:tcPr>
          <w:p>
            <w:pPr>
              <w:spacing w:after="0"/>
              <w:rPr>
                <w:sz w:val="18"/>
                <w:szCs w:val="18"/>
                <w:color w:val="auto"/>
              </w:rPr>
            </w:pPr>
          </w:p>
        </w:tc>
        <w:tc>
          <w:tcPr>
            <w:tcW w:w="940" w:type="dxa"/>
            <w:vAlign w:val="bottom"/>
            <w:gridSpan w:val="3"/>
            <w:vMerge w:val="continue"/>
          </w:tcPr>
          <w:p>
            <w:pPr>
              <w:spacing w:after="0"/>
              <w:rPr>
                <w:sz w:val="18"/>
                <w:szCs w:val="18"/>
                <w:color w:val="auto"/>
              </w:rPr>
            </w:pPr>
          </w:p>
        </w:tc>
        <w:tc>
          <w:tcPr>
            <w:tcW w:w="680" w:type="dxa"/>
            <w:vAlign w:val="bottom"/>
            <w:gridSpan w:val="4"/>
            <w:vMerge w:val="continue"/>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gridSpan w:val="4"/>
            <w:vMerge w:val="continue"/>
          </w:tcPr>
          <w:p>
            <w:pPr>
              <w:spacing w:after="0"/>
              <w:rPr>
                <w:sz w:val="18"/>
                <w:szCs w:val="18"/>
                <w:color w:val="auto"/>
              </w:rPr>
            </w:pPr>
          </w:p>
        </w:tc>
        <w:tc>
          <w:tcPr>
            <w:tcW w:w="860" w:type="dxa"/>
            <w:vAlign w:val="bottom"/>
            <w:gridSpan w:val="3"/>
            <w:vMerge w:val="continue"/>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4"/>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8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5"/>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Income (Loss)</w:t>
            </w:r>
          </w:p>
        </w:tc>
        <w:tc>
          <w:tcPr>
            <w:tcW w:w="920" w:type="dxa"/>
            <w:vAlign w:val="bottom"/>
            <w:gridSpan w:val="6"/>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211"/>
        </w:trPr>
        <w:tc>
          <w:tcPr>
            <w:tcW w:w="2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March 31, 2022</w:t>
            </w:r>
          </w:p>
        </w:tc>
        <w:tc>
          <w:tcPr>
            <w:tcW w:w="8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164,372,545</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1,646</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(31,788,197)</w:t>
            </w:r>
          </w:p>
        </w:tc>
        <w:tc>
          <w:tcPr>
            <w:tcW w:w="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(1,635,454)</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656,222</w:t>
            </w:r>
          </w:p>
        </w:tc>
        <w:tc>
          <w:tcPr>
            <w:tcW w:w="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99"/>
              </w:rPr>
              <w:t>$</w:t>
            </w:r>
            <w:r>
              <w:rPr>
                <w:rFonts w:ascii="Times New Roman" w:cs="Times New Roman" w:eastAsia="Times New Roman" w:hAnsi="Times New Roman"/>
                <w:sz w:val="16"/>
                <w:szCs w:val="16"/>
                <w:color w:val="auto"/>
                <w:w w:val="99"/>
              </w:rPr>
              <w:t>2,015,071</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8,585</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651</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1,046,721</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Issuance of common stock</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385,009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7"/>
              </w:rPr>
              <w:t>—</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6,078</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6,081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Stock options exercised</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143,325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87"/>
              </w:rPr>
              <w:t>—</w:t>
            </w: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4,595</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4,596</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Repurchase of common stock (1)</w:t>
            </w:r>
          </w:p>
        </w:tc>
        <w:tc>
          <w:tcPr>
            <w:tcW w:w="940" w:type="dxa"/>
            <w:vAlign w:val="bottom"/>
            <w:gridSpan w:val="3"/>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56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(689,304)</w:t>
            </w:r>
          </w:p>
        </w:tc>
        <w:tc>
          <w:tcPr>
            <w:tcW w:w="8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(57,558)</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(57,558)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70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Recognition of liability related to</w:t>
            </w:r>
          </w:p>
        </w:tc>
        <w:tc>
          <w:tcPr>
            <w:tcW w:w="940" w:type="dxa"/>
            <w:vAlign w:val="bottom"/>
            <w:gridSpan w:val="3"/>
            <w:vMerge w:val="restart"/>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56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87"/>
              </w:rPr>
              <w:t>—</w:t>
            </w: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6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future restricted stock units vesting</w:t>
            </w:r>
          </w:p>
        </w:tc>
        <w:tc>
          <w:tcPr>
            <w:tcW w:w="940" w:type="dxa"/>
            <w:vAlign w:val="bottom"/>
            <w:gridSpan w:val="3"/>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3"/>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gridSpan w:val="2"/>
            <w:vMerge w:val="continue"/>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gridSpan w:val="3"/>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940" w:type="dxa"/>
            <w:vAlign w:val="bottom"/>
            <w:gridSpan w:val="3"/>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56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w w:val="87"/>
              </w:rPr>
              <w:t>—</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138,284</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7"/>
              </w:rPr>
              <w:t>(191)</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138,093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70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Other comprehensive income, net of</w:t>
            </w:r>
          </w:p>
        </w:tc>
        <w:tc>
          <w:tcPr>
            <w:tcW w:w="940" w:type="dxa"/>
            <w:vAlign w:val="bottom"/>
            <w:gridSpan w:val="3"/>
            <w:vMerge w:val="restart"/>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56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87"/>
              </w:rPr>
              <w:t>—</w:t>
            </w: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6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5,757</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5,757</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tax</w:t>
            </w:r>
          </w:p>
        </w:tc>
        <w:tc>
          <w:tcPr>
            <w:tcW w:w="940" w:type="dxa"/>
            <w:vAlign w:val="bottom"/>
            <w:gridSpan w:val="3"/>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3"/>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gridSpan w:val="2"/>
            <w:vMerge w:val="continue"/>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gridSpan w:val="3"/>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70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Dividends declared of $0.43 per</w:t>
            </w:r>
          </w:p>
        </w:tc>
        <w:tc>
          <w:tcPr>
            <w:tcW w:w="940" w:type="dxa"/>
            <w:vAlign w:val="bottom"/>
            <w:gridSpan w:val="3"/>
            <w:vMerge w:val="restart"/>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56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w w:val="87"/>
              </w:rPr>
              <w:t>—</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4"/>
            <w:vMerge w:val="restart"/>
          </w:tcPr>
          <w:p>
            <w:pPr>
              <w:jc w:val="right"/>
              <w:spacing w:after="0"/>
              <w:rPr>
                <w:sz w:val="20"/>
                <w:szCs w:val="20"/>
                <w:color w:val="auto"/>
              </w:rPr>
            </w:pPr>
            <w:r>
              <w:rPr>
                <w:rFonts w:ascii="Times New Roman" w:cs="Times New Roman" w:eastAsia="Times New Roman" w:hAnsi="Times New Roman"/>
                <w:sz w:val="16"/>
                <w:szCs w:val="16"/>
                <w:color w:val="auto"/>
              </w:rPr>
              <w:t>(58,262)</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(58,262)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share of common stock</w:t>
            </w:r>
          </w:p>
        </w:tc>
        <w:tc>
          <w:tcPr>
            <w:tcW w:w="94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gridSpan w:val="2"/>
            <w:vMerge w:val="continue"/>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gridSpan w:val="3"/>
            <w:vMerge w:val="continue"/>
          </w:tcPr>
          <w:p>
            <w:pPr>
              <w:spacing w:after="0"/>
              <w:rPr>
                <w:sz w:val="18"/>
                <w:szCs w:val="18"/>
                <w:color w:val="auto"/>
              </w:rPr>
            </w:pPr>
          </w:p>
        </w:tc>
        <w:tc>
          <w:tcPr>
            <w:tcW w:w="860" w:type="dxa"/>
            <w:vAlign w:val="bottom"/>
            <w:gridSpan w:val="4"/>
            <w:vMerge w:val="continue"/>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94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5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87"/>
              </w:rPr>
              <w:t>—</w:t>
            </w: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13,696</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13,696</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270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Contribution to non-controlling</w:t>
            </w:r>
          </w:p>
        </w:tc>
        <w:tc>
          <w:tcPr>
            <w:tcW w:w="94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56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4"/>
            <w:vMerge w:val="restart"/>
          </w:tcPr>
          <w:p>
            <w:pPr>
              <w:jc w:val="right"/>
              <w:spacing w:after="0"/>
              <w:rPr>
                <w:sz w:val="20"/>
                <w:szCs w:val="20"/>
                <w:color w:val="auto"/>
              </w:rPr>
            </w:pPr>
            <w:r>
              <w:rPr>
                <w:rFonts w:ascii="Times New Roman" w:cs="Times New Roman" w:eastAsia="Times New Roman" w:hAnsi="Times New Roman"/>
                <w:sz w:val="16"/>
                <w:szCs w:val="16"/>
                <w:color w:val="auto"/>
              </w:rPr>
              <w:t>(959)</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959</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w:t>
            </w:r>
          </w:p>
        </w:tc>
        <w:tc>
          <w:tcPr>
            <w:tcW w:w="94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gridSpan w:val="2"/>
            <w:vMerge w:val="continue"/>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4"/>
            <w:vMerge w:val="continue"/>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June 30, 2022</w:t>
            </w:r>
          </w:p>
        </w:tc>
        <w:tc>
          <w:tcPr>
            <w:tcW w:w="8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164,900,879</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1,650</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(32,477,501)</w:t>
            </w:r>
          </w:p>
        </w:tc>
        <w:tc>
          <w:tcPr>
            <w:tcW w:w="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(1,693,012)</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679,632</w:t>
            </w:r>
          </w:p>
        </w:tc>
        <w:tc>
          <w:tcPr>
            <w:tcW w:w="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99"/>
              </w:rPr>
              <w:t>$</w:t>
            </w:r>
            <w:r>
              <w:rPr>
                <w:rFonts w:ascii="Times New Roman" w:cs="Times New Roman" w:eastAsia="Times New Roman" w:hAnsi="Times New Roman"/>
                <w:sz w:val="16"/>
                <w:szCs w:val="16"/>
                <w:color w:val="auto"/>
                <w:w w:val="99"/>
              </w:rPr>
              <w:t>2,095,093</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14,342</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1,419</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1,099,124</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1"/>
        </w:trPr>
        <w:tc>
          <w:tcPr>
            <w:tcW w:w="2700" w:type="dxa"/>
            <w:vAlign w:val="bottom"/>
            <w:tcBorders>
              <w:bottom w:val="single" w:sz="8" w:color="CCEEFF"/>
            </w:tcBorders>
          </w:tcPr>
          <w:p>
            <w:pPr>
              <w:spacing w:after="0"/>
              <w:rPr>
                <w:sz w:val="24"/>
                <w:szCs w:val="24"/>
                <w:color w:val="auto"/>
              </w:rPr>
            </w:pPr>
          </w:p>
        </w:tc>
        <w:tc>
          <w:tcPr>
            <w:tcW w:w="700" w:type="dxa"/>
            <w:vAlign w:val="bottom"/>
            <w:tcBorders>
              <w:bottom w:val="single" w:sz="8" w:color="CCEEFF"/>
            </w:tcBorders>
          </w:tcPr>
          <w:p>
            <w:pPr>
              <w:spacing w:after="0"/>
              <w:rPr>
                <w:sz w:val="24"/>
                <w:szCs w:val="24"/>
                <w:color w:val="auto"/>
              </w:rPr>
            </w:pPr>
          </w:p>
        </w:tc>
        <w:tc>
          <w:tcPr>
            <w:tcW w:w="840" w:type="dxa"/>
            <w:vAlign w:val="bottom"/>
            <w:tcBorders>
              <w:bottom w:val="single" w:sz="8" w:color="auto"/>
            </w:tcBorders>
            <w:gridSpan w:val="4"/>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880" w:type="dxa"/>
            <w:vAlign w:val="bottom"/>
            <w:tcBorders>
              <w:bottom w:val="single" w:sz="8" w:color="auto"/>
            </w:tcBorders>
            <w:gridSpan w:val="3"/>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860" w:type="dxa"/>
            <w:vAlign w:val="bottom"/>
            <w:tcBorders>
              <w:bottom w:val="single" w:sz="8" w:color="auto"/>
            </w:tcBorders>
            <w:gridSpan w:val="5"/>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700" w:type="dxa"/>
            <w:vAlign w:val="bottom"/>
            <w:tcBorders>
              <w:bottom w:val="single" w:sz="8" w:color="auto"/>
            </w:tcBorders>
            <w:gridSpan w:val="3"/>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840" w:type="dxa"/>
            <w:vAlign w:val="bottom"/>
            <w:tcBorders>
              <w:bottom w:val="single" w:sz="8" w:color="auto"/>
            </w:tcBorders>
            <w:gridSpan w:val="4"/>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3"/>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gridSpan w:val="2"/>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March 31, 2021</w:t>
            </w:r>
          </w:p>
        </w:tc>
        <w:tc>
          <w:tcPr>
            <w:tcW w:w="700" w:type="dxa"/>
            <w:vAlign w:val="bottom"/>
            <w:shd w:val="clear" w:color="auto" w:fill="CCEEFF"/>
          </w:tcPr>
          <w:p>
            <w:pPr>
              <w:spacing w:after="0"/>
              <w:rPr>
                <w:sz w:val="18"/>
                <w:szCs w:val="18"/>
                <w:color w:val="auto"/>
              </w:rPr>
            </w:pPr>
          </w:p>
        </w:tc>
        <w:tc>
          <w:tcPr>
            <w:tcW w:w="84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162,950,606</w:t>
            </w:r>
          </w:p>
        </w:tc>
        <w:tc>
          <w:tcPr>
            <w:tcW w:w="2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99"/>
              </w:rPr>
              <w:t>$</w:t>
            </w:r>
            <w:r>
              <w:rPr>
                <w:rFonts w:ascii="Times New Roman" w:cs="Times New Roman" w:eastAsia="Times New Roman" w:hAnsi="Times New Roman"/>
                <w:sz w:val="16"/>
                <w:szCs w:val="16"/>
                <w:color w:val="auto"/>
                <w:w w:val="99"/>
              </w:rPr>
              <w:t>1,629</w:t>
            </w:r>
          </w:p>
        </w:tc>
        <w:tc>
          <w:tcPr>
            <w:tcW w:w="80" w:type="dxa"/>
            <w:vAlign w:val="bottom"/>
            <w:shd w:val="clear" w:color="auto" w:fill="CCEEFF"/>
          </w:tcPr>
          <w:p>
            <w:pPr>
              <w:spacing w:after="0"/>
              <w:rPr>
                <w:sz w:val="18"/>
                <w:szCs w:val="18"/>
                <w:color w:val="auto"/>
              </w:rPr>
            </w:pPr>
          </w:p>
        </w:tc>
        <w:tc>
          <w:tcPr>
            <w:tcW w:w="8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(26,704,577)</w:t>
            </w:r>
          </w:p>
        </w:tc>
        <w:tc>
          <w:tcPr>
            <w:tcW w:w="80" w:type="dxa"/>
            <w:vAlign w:val="bottom"/>
            <w:shd w:val="clear" w:color="auto" w:fill="CCEEFF"/>
          </w:tcPr>
          <w:p>
            <w:pPr>
              <w:spacing w:after="0"/>
              <w:rPr>
                <w:sz w:val="18"/>
                <w:szCs w:val="18"/>
                <w:color w:val="auto"/>
              </w:rPr>
            </w:pPr>
          </w:p>
        </w:tc>
        <w:tc>
          <w:tcPr>
            <w:tcW w:w="860" w:type="dxa"/>
            <w:vAlign w:val="bottom"/>
            <w:tcBorders>
              <w:bottom w:val="single" w:sz="8" w:color="auto"/>
            </w:tcBorders>
            <w:gridSpan w:val="5"/>
            <w:shd w:val="clear" w:color="auto" w:fill="CCEEFF"/>
          </w:tcPr>
          <w:p>
            <w:pPr>
              <w:ind w:left="20"/>
              <w:spacing w:after="0"/>
              <w:rPr>
                <w:sz w:val="20"/>
                <w:szCs w:val="20"/>
                <w:color w:val="auto"/>
              </w:rPr>
            </w:pPr>
            <w:r>
              <w:rPr>
                <w:rFonts w:ascii="Times New Roman" w:cs="Times New Roman" w:eastAsia="Times New Roman" w:hAnsi="Times New Roman"/>
                <w:sz w:val="16"/>
                <w:szCs w:val="16"/>
                <w:u w:val="single" w:color="auto"/>
                <w:color w:val="auto"/>
                <w:w w:val="99"/>
              </w:rPr>
              <w:t>$</w:t>
            </w:r>
            <w:r>
              <w:rPr>
                <w:rFonts w:ascii="Times New Roman" w:cs="Times New Roman" w:eastAsia="Times New Roman" w:hAnsi="Times New Roman"/>
                <w:sz w:val="16"/>
                <w:szCs w:val="16"/>
                <w:color w:val="auto"/>
                <w:w w:val="99"/>
              </w:rPr>
              <w:t>(1,216,163)</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557,957</w:t>
            </w:r>
          </w:p>
        </w:tc>
        <w:tc>
          <w:tcPr>
            <w:tcW w:w="80" w:type="dxa"/>
            <w:vAlign w:val="bottom"/>
            <w:shd w:val="clear" w:color="auto" w:fill="CCEEFF"/>
          </w:tcPr>
          <w:p>
            <w:pPr>
              <w:spacing w:after="0"/>
              <w:rPr>
                <w:sz w:val="18"/>
                <w:szCs w:val="18"/>
                <w:color w:val="auto"/>
              </w:rPr>
            </w:pPr>
          </w:p>
        </w:tc>
        <w:tc>
          <w:tcPr>
            <w:tcW w:w="84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1,757,524</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(29,771)</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1,071,176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Issuance of common stock</w:t>
            </w: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458,943</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jc w:val="center"/>
              <w:ind w:left="99"/>
              <w:spacing w:after="0"/>
              <w:rPr>
                <w:sz w:val="20"/>
                <w:szCs w:val="20"/>
                <w:color w:val="auto"/>
              </w:rPr>
            </w:pPr>
            <w:r>
              <w:rPr>
                <w:rFonts w:ascii="Times New Roman" w:cs="Times New Roman" w:eastAsia="Times New Roman" w:hAnsi="Times New Roman"/>
                <w:sz w:val="16"/>
                <w:szCs w:val="16"/>
                <w:color w:val="auto"/>
                <w:w w:val="99"/>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4,674</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4,679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Stock options exercised</w:t>
            </w:r>
          </w:p>
        </w:tc>
        <w:tc>
          <w:tcPr>
            <w:tcW w:w="7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55,205</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center"/>
              <w:ind w:left="99"/>
              <w:spacing w:after="0"/>
              <w:rPr>
                <w:sz w:val="20"/>
                <w:szCs w:val="20"/>
                <w:color w:val="auto"/>
              </w:rPr>
            </w:pPr>
            <w:r>
              <w:rPr>
                <w:rFonts w:ascii="Times New Roman" w:cs="Times New Roman" w:eastAsia="Times New Roman" w:hAnsi="Times New Roman"/>
                <w:sz w:val="16"/>
                <w:szCs w:val="16"/>
                <w:color w:val="auto"/>
                <w:w w:val="99"/>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Repurchase of common stock (2)</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3"/>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(1,330,820)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w w:val="98"/>
              </w:rPr>
              <w:t>(111,438)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(111,438)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3640" w:type="dxa"/>
            <w:vAlign w:val="bottom"/>
            <w:gridSpan w:val="4"/>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Recognition of liability related to future</w:t>
            </w:r>
          </w:p>
        </w:tc>
        <w:tc>
          <w:tcPr>
            <w:tcW w:w="120" w:type="dxa"/>
            <w:vAlign w:val="bottom"/>
            <w:shd w:val="clear" w:color="auto" w:fill="CCEEFF"/>
          </w:tcPr>
          <w:p>
            <w:pPr>
              <w:spacing w:after="0"/>
              <w:rPr>
                <w:sz w:val="14"/>
                <w:szCs w:val="14"/>
                <w:color w:val="auto"/>
              </w:rPr>
            </w:pPr>
          </w:p>
        </w:tc>
        <w:tc>
          <w:tcPr>
            <w:tcW w:w="560" w:type="dxa"/>
            <w:vAlign w:val="bottom"/>
            <w:gridSpan w:val="3"/>
            <w:vMerge w:val="restart"/>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4"/>
                <w:szCs w:val="14"/>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vMerge w:val="restart"/>
            <w:shd w:val="clear" w:color="auto" w:fill="CCEEFF"/>
          </w:tcPr>
          <w:p>
            <w:pPr>
              <w:jc w:val="center"/>
              <w:ind w:left="99"/>
              <w:spacing w:after="0"/>
              <w:rPr>
                <w:sz w:val="20"/>
                <w:szCs w:val="20"/>
                <w:color w:val="auto"/>
              </w:rPr>
            </w:pPr>
            <w:r>
              <w:rPr>
                <w:rFonts w:ascii="Times New Roman" w:cs="Times New Roman" w:eastAsia="Times New Roman" w:hAnsi="Times New Roman"/>
                <w:sz w:val="16"/>
                <w:szCs w:val="16"/>
                <w:color w:val="auto"/>
                <w:w w:val="99"/>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restricted stock units vesting</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3"/>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3"/>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center"/>
              <w:ind w:left="99"/>
              <w:spacing w:after="0"/>
              <w:rPr>
                <w:sz w:val="20"/>
                <w:szCs w:val="20"/>
                <w:color w:val="auto"/>
              </w:rPr>
            </w:pPr>
            <w:r>
              <w:rPr>
                <w:rFonts w:ascii="Times New Roman" w:cs="Times New Roman" w:eastAsia="Times New Roman" w:hAnsi="Times New Roman"/>
                <w:sz w:val="16"/>
                <w:szCs w:val="16"/>
                <w:color w:val="auto"/>
                <w:w w:val="99"/>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92,102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92,102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4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120" w:type="dxa"/>
            <w:vAlign w:val="bottom"/>
            <w:shd w:val="clear" w:color="auto" w:fill="CCEEFF"/>
          </w:tcPr>
          <w:p>
            <w:pPr>
              <w:spacing w:after="0"/>
              <w:rPr>
                <w:sz w:val="19"/>
                <w:szCs w:val="19"/>
                <w:color w:val="auto"/>
              </w:rPr>
            </w:pPr>
          </w:p>
        </w:tc>
        <w:tc>
          <w:tcPr>
            <w:tcW w:w="56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center"/>
              <w:ind w:left="99"/>
              <w:spacing w:after="0"/>
              <w:rPr>
                <w:sz w:val="20"/>
                <w:szCs w:val="20"/>
                <w:color w:val="auto"/>
              </w:rPr>
            </w:pPr>
            <w:r>
              <w:rPr>
                <w:rFonts w:ascii="Times New Roman" w:cs="Times New Roman" w:eastAsia="Times New Roman" w:hAnsi="Times New Roman"/>
                <w:sz w:val="16"/>
                <w:szCs w:val="16"/>
                <w:color w:val="auto"/>
                <w:w w:val="99"/>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3640" w:type="dxa"/>
            <w:vAlign w:val="bottom"/>
            <w:gridSpan w:val="4"/>
          </w:tcPr>
          <w:p>
            <w:pPr>
              <w:ind w:left="140"/>
              <w:spacing w:after="0" w:line="162" w:lineRule="exact"/>
              <w:rPr>
                <w:sz w:val="20"/>
                <w:szCs w:val="20"/>
                <w:color w:val="auto"/>
              </w:rPr>
            </w:pPr>
            <w:r>
              <w:rPr>
                <w:rFonts w:ascii="Times New Roman" w:cs="Times New Roman" w:eastAsia="Times New Roman" w:hAnsi="Times New Roman"/>
                <w:sz w:val="16"/>
                <w:szCs w:val="16"/>
                <w:color w:val="auto"/>
              </w:rPr>
              <w:t>Dividends declared of $0.37 per share of</w:t>
            </w:r>
          </w:p>
        </w:tc>
        <w:tc>
          <w:tcPr>
            <w:tcW w:w="120" w:type="dxa"/>
            <w:vAlign w:val="bottom"/>
          </w:tcPr>
          <w:p>
            <w:pPr>
              <w:spacing w:after="0"/>
              <w:rPr>
                <w:sz w:val="14"/>
                <w:szCs w:val="14"/>
                <w:color w:val="auto"/>
              </w:rPr>
            </w:pPr>
          </w:p>
        </w:tc>
        <w:tc>
          <w:tcPr>
            <w:tcW w:w="560" w:type="dxa"/>
            <w:vAlign w:val="bottom"/>
            <w:gridSpan w:val="3"/>
            <w:vMerge w:val="restart"/>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4"/>
                <w:szCs w:val="14"/>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vMerge w:val="restart"/>
          </w:tcPr>
          <w:p>
            <w:pPr>
              <w:jc w:val="center"/>
              <w:ind w:left="99"/>
              <w:spacing w:after="0"/>
              <w:rPr>
                <w:sz w:val="20"/>
                <w:szCs w:val="20"/>
                <w:color w:val="auto"/>
              </w:rPr>
            </w:pPr>
            <w:r>
              <w:rPr>
                <w:rFonts w:ascii="Times New Roman" w:cs="Times New Roman" w:eastAsia="Times New Roman" w:hAnsi="Times New Roman"/>
                <w:sz w:val="16"/>
                <w:szCs w:val="16"/>
                <w:color w:val="auto"/>
                <w:w w:val="99"/>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4"/>
                <w:szCs w:val="14"/>
                <w:color w:val="auto"/>
              </w:rPr>
            </w:pPr>
          </w:p>
        </w:tc>
        <w:tc>
          <w:tcPr>
            <w:tcW w:w="6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auto"/>
                <w:w w:val="98"/>
              </w:rPr>
              <w:t>(50,597)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(50,597)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common stock</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gridSpan w:val="3"/>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7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center"/>
              <w:ind w:left="99"/>
              <w:spacing w:after="0"/>
              <w:rPr>
                <w:sz w:val="20"/>
                <w:szCs w:val="20"/>
                <w:color w:val="auto"/>
              </w:rPr>
            </w:pPr>
            <w:r>
              <w:rPr>
                <w:rFonts w:ascii="Times New Roman" w:cs="Times New Roman" w:eastAsia="Times New Roman" w:hAnsi="Times New Roman"/>
                <w:sz w:val="16"/>
                <w:szCs w:val="16"/>
                <w:color w:val="auto"/>
                <w:w w:val="99"/>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12,444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7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June 30, 2021</w:t>
            </w:r>
          </w:p>
        </w:tc>
        <w:tc>
          <w:tcPr>
            <w:tcW w:w="700" w:type="dxa"/>
            <w:vAlign w:val="bottom"/>
          </w:tcPr>
          <w:p>
            <w:pPr>
              <w:spacing w:after="0"/>
              <w:rPr>
                <w:sz w:val="17"/>
                <w:szCs w:val="17"/>
                <w:color w:val="auto"/>
              </w:rPr>
            </w:pPr>
          </w:p>
        </w:tc>
        <w:tc>
          <w:tcPr>
            <w:tcW w:w="84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color w:val="auto"/>
              </w:rPr>
              <w:t>163,464,754</w:t>
            </w:r>
          </w:p>
        </w:tc>
        <w:tc>
          <w:tcPr>
            <w:tcW w:w="20" w:type="dxa"/>
            <w:vAlign w:val="bottom"/>
            <w:tcBorders>
              <w:top w:val="single" w:sz="8" w:color="auto"/>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99"/>
              </w:rPr>
              <w:t>$</w:t>
            </w:r>
            <w:r>
              <w:rPr>
                <w:rFonts w:ascii="Times New Roman" w:cs="Times New Roman" w:eastAsia="Times New Roman" w:hAnsi="Times New Roman"/>
                <w:sz w:val="16"/>
                <w:szCs w:val="16"/>
                <w:color w:val="auto"/>
                <w:w w:val="99"/>
              </w:rPr>
              <w:t>1,635</w:t>
            </w:r>
          </w:p>
        </w:tc>
        <w:tc>
          <w:tcPr>
            <w:tcW w:w="80" w:type="dxa"/>
            <w:vAlign w:val="bottom"/>
          </w:tcPr>
          <w:p>
            <w:pPr>
              <w:spacing w:after="0"/>
              <w:rPr>
                <w:sz w:val="17"/>
                <w:szCs w:val="17"/>
                <w:color w:val="auto"/>
              </w:rPr>
            </w:pPr>
          </w:p>
        </w:tc>
        <w:tc>
          <w:tcPr>
            <w:tcW w:w="8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(28,035,397)</w:t>
            </w:r>
          </w:p>
        </w:tc>
        <w:tc>
          <w:tcPr>
            <w:tcW w:w="80" w:type="dxa"/>
            <w:vAlign w:val="bottom"/>
          </w:tcPr>
          <w:p>
            <w:pPr>
              <w:spacing w:after="0"/>
              <w:rPr>
                <w:sz w:val="17"/>
                <w:szCs w:val="17"/>
                <w:color w:val="auto"/>
              </w:rPr>
            </w:pPr>
          </w:p>
        </w:tc>
        <w:tc>
          <w:tcPr>
            <w:tcW w:w="860" w:type="dxa"/>
            <w:vAlign w:val="bottom"/>
            <w:tcBorders>
              <w:top w:val="single" w:sz="8" w:color="auto"/>
              <w:bottom w:val="single" w:sz="8" w:color="auto"/>
            </w:tcBorders>
            <w:gridSpan w:val="5"/>
          </w:tcPr>
          <w:p>
            <w:pPr>
              <w:ind w:left="20"/>
              <w:spacing w:after="0"/>
              <w:rPr>
                <w:sz w:val="20"/>
                <w:szCs w:val="20"/>
                <w:color w:val="auto"/>
              </w:rPr>
            </w:pPr>
            <w:r>
              <w:rPr>
                <w:rFonts w:ascii="Times New Roman" w:cs="Times New Roman" w:eastAsia="Times New Roman" w:hAnsi="Times New Roman"/>
                <w:sz w:val="16"/>
                <w:szCs w:val="16"/>
                <w:u w:val="single" w:color="auto"/>
                <w:color w:val="auto"/>
                <w:w w:val="99"/>
              </w:rPr>
              <w:t>$</w:t>
            </w:r>
            <w:r>
              <w:rPr>
                <w:rFonts w:ascii="Times New Roman" w:cs="Times New Roman" w:eastAsia="Times New Roman" w:hAnsi="Times New Roman"/>
                <w:sz w:val="16"/>
                <w:szCs w:val="16"/>
                <w:color w:val="auto"/>
                <w:w w:val="99"/>
              </w:rPr>
              <w:t>(1,327,601)</w:t>
            </w:r>
          </w:p>
        </w:tc>
        <w:tc>
          <w:tcPr>
            <w:tcW w:w="20" w:type="dxa"/>
            <w:vAlign w:val="bottom"/>
            <w:tcBorders>
              <w:top w:val="single" w:sz="8" w:color="auto"/>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577,228</w:t>
            </w:r>
          </w:p>
        </w:tc>
        <w:tc>
          <w:tcPr>
            <w:tcW w:w="80" w:type="dxa"/>
            <w:vAlign w:val="bottom"/>
          </w:tcPr>
          <w:p>
            <w:pPr>
              <w:spacing w:after="0"/>
              <w:rPr>
                <w:sz w:val="17"/>
                <w:szCs w:val="17"/>
                <w:color w:val="auto"/>
              </w:rPr>
            </w:pPr>
          </w:p>
        </w:tc>
        <w:tc>
          <w:tcPr>
            <w:tcW w:w="84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1,799,029</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(26,758)</w:t>
            </w:r>
          </w:p>
        </w:tc>
        <w:tc>
          <w:tcPr>
            <w:tcW w:w="20" w:type="dxa"/>
            <w:vAlign w:val="bottom"/>
            <w:tcBorders>
              <w:top w:val="single" w:sz="8" w:color="auto"/>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480" w:type="dxa"/>
            <w:vAlign w:val="bottom"/>
            <w:tcBorders>
              <w:top w:val="single" w:sz="8" w:color="auto"/>
              <w:bottom w:val="single" w:sz="8" w:color="auto"/>
            </w:tcBorders>
            <w:gridSpan w:val="2"/>
          </w:tcPr>
          <w:p>
            <w:pPr>
              <w:jc w:val="right"/>
              <w:spacing w:after="0" w:line="193" w:lineRule="exact"/>
              <w:rPr>
                <w:sz w:val="20"/>
                <w:szCs w:val="20"/>
                <w:color w:val="auto"/>
              </w:rPr>
            </w:pPr>
            <w:r>
              <w:rPr>
                <w:rFonts w:ascii="Calibri" w:cs="Calibri" w:eastAsia="Calibri" w:hAnsi="Calibri"/>
                <w:sz w:val="16"/>
                <w:szCs w:val="16"/>
                <w:color w:val="auto"/>
              </w:rPr>
              <w:t>—</w:t>
            </w:r>
          </w:p>
        </w:tc>
        <w:tc>
          <w:tcPr>
            <w:tcW w:w="60" w:type="dxa"/>
            <w:vAlign w:val="bottom"/>
            <w:tcBorders>
              <w:top w:val="single" w:sz="8" w:color="auto"/>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1,023,533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right="120" w:firstLine="170"/>
        <w:spacing w:after="0" w:line="266" w:lineRule="auto"/>
        <w:tabs>
          <w:tab w:leader="none" w:pos="417"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months ended June 30, 2022, the Company purchased 0.6 million shares of the Company’s Class A Common Stock in a series of open market transactions for $46.9 million. Additionally, the Company repurchased shares for $10.6 million during the three months ended June 30, 2022 to cover the minimum statutory withholding taxes on restricted stock units that vested on various dates during the period.</w:t>
      </w:r>
    </w:p>
    <w:p>
      <w:pPr>
        <w:spacing w:after="0" w:line="67" w:lineRule="exact"/>
        <w:rPr>
          <w:rFonts w:ascii="Times New Roman" w:cs="Times New Roman" w:eastAsia="Times New Roman" w:hAnsi="Times New Roman"/>
          <w:sz w:val="18"/>
          <w:szCs w:val="18"/>
          <w:color w:val="auto"/>
        </w:rPr>
      </w:pPr>
    </w:p>
    <w:p>
      <w:pPr>
        <w:ind w:right="120" w:firstLine="170"/>
        <w:spacing w:after="0" w:line="266" w:lineRule="auto"/>
        <w:tabs>
          <w:tab w:leader="none" w:pos="417"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months ended June 30, 2021, the Company purchased 1.2 million shares of the Company’s Class A Common Stock in a series of open market transactions for $98.2 million. Additionally, the Company repurchased shares for $13.3 million during the three months ended June 30, 2021 to cover the minimum statutory withholding taxes on restricted stock units that vested on various dates during the period.</w:t>
      </w: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BOOZ ALLEN HAMILTON HOLDING CORPORATION</w:t>
      </w:r>
    </w:p>
    <w:p>
      <w:pPr>
        <w:spacing w:after="0" w:line="9" w:lineRule="exact"/>
        <w:rPr>
          <w:sz w:val="20"/>
          <w:szCs w:val="20"/>
          <w:color w:val="auto"/>
        </w:rPr>
      </w:pPr>
    </w:p>
    <w:p>
      <w:pPr>
        <w:jc w:val="both"/>
        <w:ind w:left="2100" w:right="2080" w:firstLine="10"/>
        <w:spacing w:after="0" w:line="290" w:lineRule="auto"/>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 (Amounts in tables in thousands, except share and per share data or unless otherwise noted)</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BUSINESS OVERVIEW</w:t>
      </w:r>
    </w:p>
    <w:p>
      <w:pPr>
        <w:spacing w:after="0" w:line="121" w:lineRule="exact"/>
        <w:rPr>
          <w:sz w:val="20"/>
          <w:szCs w:val="20"/>
          <w:color w:val="auto"/>
        </w:rPr>
      </w:pPr>
    </w:p>
    <w:p>
      <w:pPr>
        <w:ind w:right="100" w:firstLine="405"/>
        <w:spacing w:after="0" w:line="261" w:lineRule="auto"/>
        <w:rPr>
          <w:sz w:val="20"/>
          <w:szCs w:val="20"/>
          <w:color w:val="auto"/>
        </w:rPr>
      </w:pPr>
      <w:r>
        <w:rPr>
          <w:rFonts w:ascii="Times New Roman" w:cs="Times New Roman" w:eastAsia="Times New Roman" w:hAnsi="Times New Roman"/>
          <w:sz w:val="18"/>
          <w:szCs w:val="18"/>
          <w:color w:val="auto"/>
        </w:rPr>
        <w:t>Booz Allen Hamilton Holding Corporation, including its wholly owned subsidiaries, or the Company, we, us, and our, was incorporated in Delaware in May 2008. The Company provides management and technology consulting, analytics, engineering, digital solutions, mission operations, and cyber services to U.S. and international governments, major corporations, and not-for-profit organizations. The Company reports operating results and financial data in one reportable segment. The Company is headquartered in McLean, Virginia, with approximately 29,300 employees as of June 30, 2022.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BASIS OF PRESENTATION</w:t>
      </w:r>
    </w:p>
    <w:p>
      <w:pPr>
        <w:spacing w:after="0" w:line="121"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U.S. generally accepted accounting principles, or GAAP, and pursuant to the rules and regulations of the U.S. Securities and Exchange Commission, or SEC, and should be read in conjunction with the information contained in the Company's Annual Report on Form 10-K for the year ended March 31, 2022. The interim period unaudited condensed consolidated financial statements are presented as described below. Certain information and disclosures normally required for annual financial statements have been condensed or omitted pursuant to GAAP and SEC rules and regulations. In the opinion of management, all adjustments considered necessary for fair presentation of the results of the interim periods presented have been included. The Company’s fiscal year ends on March 31 and unless otherwise noted, references to fiscal year or fiscal are for fiscal years ended March 31. The results of operations for the three months ended June 30, 2022 are not necessarily indicative of results to be expected for the full fiscal year.</w:t>
      </w:r>
    </w:p>
    <w:p>
      <w:pPr>
        <w:spacing w:after="0" w:line="84" w:lineRule="exact"/>
        <w:rPr>
          <w:sz w:val="20"/>
          <w:szCs w:val="20"/>
          <w:color w:val="auto"/>
        </w:rPr>
      </w:pPr>
    </w:p>
    <w:p>
      <w:pPr>
        <w:ind w:right="80" w:firstLine="405"/>
        <w:spacing w:after="0" w:line="258" w:lineRule="auto"/>
        <w:rPr>
          <w:sz w:val="20"/>
          <w:szCs w:val="20"/>
          <w:color w:val="auto"/>
        </w:rPr>
      </w:pPr>
      <w:r>
        <w:rPr>
          <w:rFonts w:ascii="Times New Roman" w:cs="Times New Roman" w:eastAsia="Times New Roman" w:hAnsi="Times New Roman"/>
          <w:sz w:val="18"/>
          <w:szCs w:val="18"/>
          <w:color w:val="auto"/>
        </w:rPr>
        <w:t>The condensed consolidated financial statements and notes of the Company include its subsidiaries, and other entities over which the Company has a controlling financial interest or where the Company is a primary beneficiary. The Company uses the equity method to account for investments in entities that it does not control if it is otherwise able to exert significant influence over the entities' operating and financial policies. Equity investments in entities over which the Company does not have the ability to exercise significant influence and whose securities do not have a readily determinable fair value are carried at cost or cost net of other-than-temporary impairments.</w:t>
      </w:r>
    </w:p>
    <w:p>
      <w:pPr>
        <w:spacing w:after="0" w:line="75" w:lineRule="exact"/>
        <w:rPr>
          <w:sz w:val="20"/>
          <w:szCs w:val="20"/>
          <w:color w:val="auto"/>
        </w:rPr>
      </w:pPr>
    </w:p>
    <w:p>
      <w:pPr>
        <w:ind w:right="220" w:firstLine="405"/>
        <w:spacing w:after="0" w:line="282" w:lineRule="auto"/>
        <w:rPr>
          <w:sz w:val="20"/>
          <w:szCs w:val="20"/>
          <w:color w:val="auto"/>
        </w:rPr>
      </w:pPr>
      <w:r>
        <w:rPr>
          <w:rFonts w:ascii="Times New Roman" w:cs="Times New Roman" w:eastAsia="Times New Roman" w:hAnsi="Times New Roman"/>
          <w:sz w:val="18"/>
          <w:szCs w:val="18"/>
          <w:color w:val="auto"/>
        </w:rPr>
        <w:t>Certain amounts reported in the Company's prior year condensed consolidated financial statements have been reclassified to conform to the current year presentation.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Estimates</w:t>
      </w:r>
    </w:p>
    <w:p>
      <w:pPr>
        <w:spacing w:after="0" w:line="121" w:lineRule="exact"/>
        <w:rPr>
          <w:sz w:val="20"/>
          <w:szCs w:val="20"/>
          <w:color w:val="auto"/>
        </w:rPr>
      </w:pPr>
    </w:p>
    <w:p>
      <w:pPr>
        <w:ind w:right="20" w:firstLine="405"/>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 and expenses during the reporting periods. Areas of the financial statements where estimates may have the most significant effect include the provision for claimed indirect costs, valuation and lives of tangible and intangible assets, impairment of long-lived assets, accrued liabilities, revenue recognition, including the accrual of indirect costs, bonus and other incentive compensation, stock-based compensation, reserves for uncertain tax positions and valuation allowances on deferred tax assets, provisions for income taxes, postretirement obligations, collectability of receivables, and loss accruals for litigation. Actual results experienced by the Company may differ materially from management's estimates.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 Not Yet Adopted</w:t>
      </w:r>
    </w:p>
    <w:p>
      <w:pPr>
        <w:spacing w:after="0" w:line="121" w:lineRule="exact"/>
        <w:rPr>
          <w:sz w:val="20"/>
          <w:szCs w:val="20"/>
          <w:color w:val="auto"/>
        </w:rPr>
      </w:pPr>
    </w:p>
    <w:p>
      <w:pPr>
        <w:ind w:right="100" w:firstLine="405"/>
        <w:spacing w:after="0" w:line="282" w:lineRule="auto"/>
        <w:rPr>
          <w:sz w:val="20"/>
          <w:szCs w:val="20"/>
          <w:color w:val="auto"/>
        </w:rPr>
      </w:pPr>
      <w:r>
        <w:rPr>
          <w:rFonts w:ascii="Times New Roman" w:cs="Times New Roman" w:eastAsia="Times New Roman" w:hAnsi="Times New Roman"/>
          <w:sz w:val="18"/>
          <w:szCs w:val="18"/>
          <w:color w:val="auto"/>
        </w:rPr>
        <w:t>Accounting and reporting pronouncements effective after June 30, 2022 and issued through the filing date are not expected to have a material impact on the Company's condensed consolidated financial statements.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REVENUE</w:t>
      </w:r>
    </w:p>
    <w:p>
      <w:pPr>
        <w:spacing w:after="0" w:line="121"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The Company's revenues from contracts with customers (clients) are derived from offerings that include consulting, analytics, digital solutions, engineering, mission, and cyber services, substantially with the U.S. government and its agencies and, to a lesser extent, subcontractors. The Company also serves foreign governments, as well as domestic and international commercial clients. The Company performs under various types of contracts, which include cost-reimbursable contracts, time-and-materials contracts, and fixed-price contracts.</w:t>
      </w: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BOOZ ALLEN HAMILTON HOLDING CORPORATION</w:t>
      </w:r>
    </w:p>
    <w:p>
      <w:pPr>
        <w:spacing w:after="0" w:line="9" w:lineRule="exact"/>
        <w:rPr>
          <w:sz w:val="20"/>
          <w:szCs w:val="20"/>
          <w:color w:val="auto"/>
        </w:rPr>
      </w:pPr>
    </w:p>
    <w:p>
      <w:pPr>
        <w:jc w:val="both"/>
        <w:ind w:left="2100" w:right="1980" w:firstLine="10"/>
        <w:spacing w:after="0" w:line="290" w:lineRule="auto"/>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 (Amounts in tables in thousands, except share and per share data or unless otherwise noted)</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Estimates</w:t>
      </w:r>
    </w:p>
    <w:p>
      <w:pPr>
        <w:spacing w:after="0" w:line="121"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We recognize revenue for many of our contracts under a contract cost-based input method and require an Estimate-at-Completion ("EAC") process, which management uses to review and monitor the progress towards the completion of our performance obligations. Under this process, management considers various inputs and assumptions related to the EAC, including, but not limited to, progress towards completion, labor costs and productivity, material and subcontractor costs, and identified risks. Estimating the total cost at the completion of our performance obligations is subjective and requires management to make assumptions about future activity and cost drivers under the contract. Changes in these estimates can occur for a variety of reasons and, if significant, may impact the revenue and profitability of the Company’s contracts. Changes in estimates related to contracts accounted for under the EAC process are recognized on a cumulative catch-up basis in the period when such changes are determinable and reasonably estimable. If the estimate of contract profitability indicates an anticipated loss on a contract, the Company recognizes the total loss at the time it is identified. For each of the three months ended June 30, 2022 and 2021, the aggregate impact of adjustments in contract estimates was not material.</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121" w:lineRule="exact"/>
        <w:rPr>
          <w:sz w:val="20"/>
          <w:szCs w:val="20"/>
          <w:color w:val="auto"/>
        </w:rPr>
      </w:pPr>
    </w:p>
    <w:p>
      <w:pPr>
        <w:ind w:right="60" w:firstLine="405"/>
        <w:spacing w:after="0" w:line="266" w:lineRule="auto"/>
        <w:rPr>
          <w:sz w:val="20"/>
          <w:szCs w:val="20"/>
          <w:color w:val="auto"/>
        </w:rPr>
      </w:pPr>
      <w:r>
        <w:rPr>
          <w:rFonts w:ascii="Times New Roman" w:cs="Times New Roman" w:eastAsia="Times New Roman" w:hAnsi="Times New Roman"/>
          <w:sz w:val="18"/>
          <w:szCs w:val="18"/>
          <w:color w:val="auto"/>
        </w:rPr>
        <w:t>We disaggregate our revenue from contracts with customers by contract type, customer, as well as whether the Company acts as prime contractor or subcontractor, as we believe these categories best depict how the nature, amount, timing and uncertainty of our revenue and cash flows are affected by economic factors. The following series of tables presents our revenue disaggregated by these categories.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by Contract Type:</w:t>
      </w:r>
    </w:p>
    <w:p>
      <w:pPr>
        <w:spacing w:after="0" w:line="11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We generate revenue under the following three basic types of contracts:</w:t>
      </w:r>
    </w:p>
    <w:p>
      <w:pPr>
        <w:spacing w:after="0" w:line="117" w:lineRule="exact"/>
        <w:rPr>
          <w:sz w:val="20"/>
          <w:szCs w:val="20"/>
          <w:color w:val="auto"/>
        </w:rPr>
      </w:pPr>
    </w:p>
    <w:p>
      <w:pPr>
        <w:ind w:left="1300" w:right="140" w:hanging="320"/>
        <w:spacing w:after="0" w:line="282" w:lineRule="auto"/>
        <w:tabs>
          <w:tab w:leader="none" w:pos="12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Cost-Reimbursable Contracts: Cost-reimbursable contracts provide for the payment of allowable costs incurred during performance of the contract, up to a ceiling based on the amount that has been funded, plus a fixed fee or award fee.</w:t>
      </w:r>
    </w:p>
    <w:p>
      <w:pPr>
        <w:spacing w:after="0" w:line="53" w:lineRule="exact"/>
        <w:rPr>
          <w:rFonts w:ascii="Times New Roman" w:cs="Times New Roman" w:eastAsia="Times New Roman" w:hAnsi="Times New Roman"/>
          <w:sz w:val="18"/>
          <w:szCs w:val="18"/>
          <w:color w:val="auto"/>
        </w:rPr>
      </w:pPr>
    </w:p>
    <w:p>
      <w:pPr>
        <w:ind w:left="1300" w:right="20" w:hanging="320"/>
        <w:spacing w:after="0" w:line="266" w:lineRule="auto"/>
        <w:tabs>
          <w:tab w:leader="none" w:pos="12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Time-and-Materials Contracts: Under contracts in this category, we are paid a fixed hourly rate for each direct labor hour expended, and we are reimbursed for billable material costs and billable out-of-pocket expenses inclusive of allocable indirect costs. We assume the financial risk on time-and-materials contracts because our costs of performance may exceed negotiated hourly rates.</w:t>
      </w:r>
    </w:p>
    <w:p>
      <w:pPr>
        <w:spacing w:after="0" w:line="67" w:lineRule="exact"/>
        <w:rPr>
          <w:rFonts w:ascii="Times New Roman" w:cs="Times New Roman" w:eastAsia="Times New Roman" w:hAnsi="Times New Roman"/>
          <w:sz w:val="18"/>
          <w:szCs w:val="18"/>
          <w:color w:val="auto"/>
        </w:rPr>
      </w:pPr>
    </w:p>
    <w:p>
      <w:pPr>
        <w:ind w:left="1300" w:right="20" w:hanging="320"/>
        <w:spacing w:after="0" w:line="266" w:lineRule="auto"/>
        <w:tabs>
          <w:tab w:leader="none" w:pos="12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Fixed-Price Contracts: Under a fixed-price contract, we agree to perform the specified work for a predetermined price. To the extent our actual direct and allocated indirect costs decrease or increase from the estimates upon which the price was negotiated, we will generate more or less profit, respectively, or could incur a loss.</w:t>
      </w:r>
    </w:p>
    <w:p>
      <w:pPr>
        <w:spacing w:after="0" w:line="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presents the total revenue for each type of contract:</w:t>
      </w:r>
    </w:p>
    <w:p>
      <w:pPr>
        <w:spacing w:after="0" w:line="79" w:lineRule="exact"/>
        <w:rPr>
          <w:sz w:val="20"/>
          <w:szCs w:val="20"/>
          <w:color w:val="auto"/>
        </w:rPr>
      </w:pPr>
    </w:p>
    <w:p>
      <w:pPr>
        <w:jc w:val="center"/>
        <w:ind w:left="550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jc w:val="center"/>
        <w:ind w:left="5500"/>
        <w:spacing w:after="0"/>
        <w:rPr>
          <w:sz w:val="20"/>
          <w:szCs w:val="20"/>
          <w:color w:val="auto"/>
        </w:rPr>
      </w:pPr>
      <w:r>
        <w:rPr>
          <w:rFonts w:ascii="Times New Roman" w:cs="Times New Roman" w:eastAsia="Times New Roman" w:hAnsi="Times New Roman"/>
          <w:sz w:val="18"/>
          <w:szCs w:val="18"/>
          <w:b w:val="1"/>
          <w:bCs w:val="1"/>
          <w:color w:val="auto"/>
        </w:rPr>
        <w:t>June 30,</w:t>
      </w:r>
    </w:p>
    <w:p>
      <w:pPr>
        <w:spacing w:after="0" w:line="7" w:lineRule="exact"/>
        <w:rPr>
          <w:sz w:val="20"/>
          <w:szCs w:val="20"/>
          <w:color w:val="auto"/>
        </w:rPr>
      </w:pPr>
    </w:p>
    <w:tbl>
      <w:tblPr>
        <w:tblLayout w:type="fixed"/>
        <w:tblInd w:w="180" w:type="dxa"/>
        <w:tblCellMar>
          <w:top w:w="0" w:type="dxa"/>
          <w:left w:w="0" w:type="dxa"/>
          <w:bottom w:w="0" w:type="dxa"/>
          <w:right w:w="0" w:type="dxa"/>
        </w:tblCellMar>
      </w:tblPr>
      <w:tr>
        <w:trPr>
          <w:trHeight w:val="236"/>
        </w:trPr>
        <w:tc>
          <w:tcPr>
            <w:tcW w:w="5520" w:type="dxa"/>
            <w:vAlign w:val="bottom"/>
            <w:tcBorders>
              <w:bottom w:val="single" w:sz="8" w:color="CCEEFF"/>
            </w:tcBorders>
          </w:tcPr>
          <w:p>
            <w:pPr>
              <w:spacing w:after="0"/>
              <w:rPr>
                <w:sz w:val="20"/>
                <w:szCs w:val="20"/>
                <w:color w:val="auto"/>
              </w:rPr>
            </w:pPr>
          </w:p>
        </w:tc>
        <w:tc>
          <w:tcPr>
            <w:tcW w:w="420" w:type="dxa"/>
            <w:vAlign w:val="bottom"/>
            <w:tcBorders>
              <w:top w:val="single" w:sz="8" w:color="auto"/>
              <w:bottom w:val="single" w:sz="8" w:color="auto"/>
            </w:tcBorders>
          </w:tcPr>
          <w:p>
            <w:pPr>
              <w:spacing w:after="0"/>
              <w:rPr>
                <w:sz w:val="20"/>
                <w:szCs w:val="20"/>
                <w:color w:val="auto"/>
              </w:rPr>
            </w:pPr>
          </w:p>
        </w:tc>
        <w:tc>
          <w:tcPr>
            <w:tcW w:w="140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2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CCEEFF"/>
            </w:tcBorders>
          </w:tcPr>
          <w:p>
            <w:pPr>
              <w:spacing w:after="0"/>
              <w:rPr>
                <w:sz w:val="20"/>
                <w:szCs w:val="20"/>
                <w:color w:val="auto"/>
              </w:rPr>
            </w:pPr>
          </w:p>
        </w:tc>
        <w:tc>
          <w:tcPr>
            <w:tcW w:w="420" w:type="dxa"/>
            <w:vAlign w:val="bottom"/>
            <w:tcBorders>
              <w:top w:val="single" w:sz="8" w:color="auto"/>
              <w:bottom w:val="single" w:sz="8" w:color="auto"/>
            </w:tcBorders>
          </w:tcPr>
          <w:p>
            <w:pPr>
              <w:spacing w:after="0"/>
              <w:rPr>
                <w:sz w:val="20"/>
                <w:szCs w:val="20"/>
                <w:color w:val="auto"/>
              </w:rPr>
            </w:pPr>
          </w:p>
        </w:tc>
        <w:tc>
          <w:tcPr>
            <w:tcW w:w="140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20" w:type="dxa"/>
            <w:vAlign w:val="bottom"/>
            <w:tcBorders>
              <w:top w:val="single" w:sz="8" w:color="auto"/>
              <w:bottom w:val="single" w:sz="8" w:color="auto"/>
            </w:tcBorders>
          </w:tcPr>
          <w:p>
            <w:pPr>
              <w:spacing w:after="0"/>
              <w:rPr>
                <w:sz w:val="20"/>
                <w:szCs w:val="20"/>
                <w:color w:val="auto"/>
              </w:rPr>
            </w:pPr>
          </w:p>
        </w:tc>
      </w:tr>
      <w:tr>
        <w:trPr>
          <w:trHeight w:val="223"/>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Cost-reimbursable</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1,190,828</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1,115,426</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56 %</w:t>
            </w:r>
          </w:p>
        </w:tc>
      </w:tr>
      <w:tr>
        <w:trPr>
          <w:trHeight w:val="230"/>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Time-and-materials</w:t>
            </w:r>
          </w:p>
        </w:tc>
        <w:tc>
          <w:tcPr>
            <w:tcW w:w="420" w:type="dxa"/>
            <w:vAlign w:val="bottom"/>
          </w:tcPr>
          <w:p>
            <w:pPr>
              <w:spacing w:after="0"/>
              <w:rPr>
                <w:sz w:val="19"/>
                <w:szCs w:val="19"/>
                <w:color w:val="auto"/>
              </w:rPr>
            </w:pPr>
          </w:p>
        </w:tc>
        <w:tc>
          <w:tcPr>
            <w:tcW w:w="14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545,902</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497,449</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r>
      <w:tr>
        <w:trPr>
          <w:trHeight w:val="230"/>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Fixed-price</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512,870</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376,191</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r>
      <w:tr>
        <w:trPr>
          <w:trHeight w:val="22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2,249,600</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1,989,066</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55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BOOZ ALLEN HAMILTON HOLDING CORPORATION</w:t>
      </w:r>
    </w:p>
    <w:p>
      <w:pPr>
        <w:spacing w:after="0" w:line="9" w:lineRule="exact"/>
        <w:rPr>
          <w:sz w:val="20"/>
          <w:szCs w:val="20"/>
          <w:color w:val="auto"/>
        </w:rPr>
      </w:pPr>
    </w:p>
    <w:p>
      <w:pPr>
        <w:jc w:val="both"/>
        <w:ind w:left="2100" w:right="2100" w:firstLine="10"/>
        <w:spacing w:after="0" w:line="290" w:lineRule="auto"/>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 (Amounts in tables in thousands, except share and per share data or unless otherwise noted)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Revenue by Customer Type:</w:t>
            </w:r>
          </w:p>
        </w:tc>
        <w:tc>
          <w:tcPr>
            <w:tcW w:w="4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43"/>
        </w:trPr>
        <w:tc>
          <w:tcPr>
            <w:tcW w:w="180" w:type="dxa"/>
            <w:vAlign w:val="bottom"/>
          </w:tcPr>
          <w:p>
            <w:pPr>
              <w:spacing w:after="0"/>
              <w:rPr>
                <w:sz w:val="21"/>
                <w:szCs w:val="21"/>
                <w:color w:val="auto"/>
              </w:rPr>
            </w:pPr>
          </w:p>
        </w:tc>
        <w:tc>
          <w:tcPr>
            <w:tcW w:w="55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880" w:type="dxa"/>
            <w:vAlign w:val="bottom"/>
            <w:gridSpan w:val="4"/>
          </w:tcPr>
          <w:p>
            <w:pPr>
              <w:jc w:val="right"/>
              <w:ind w:right="97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820" w:type="dxa"/>
            <w:vAlign w:val="bottom"/>
          </w:tcPr>
          <w:p>
            <w:pPr>
              <w:spacing w:after="0"/>
              <w:rPr>
                <w:sz w:val="21"/>
                <w:szCs w:val="21"/>
                <w:color w:val="auto"/>
              </w:rPr>
            </w:pPr>
          </w:p>
        </w:tc>
      </w:tr>
      <w:tr>
        <w:trPr>
          <w:trHeight w:val="241"/>
        </w:trPr>
        <w:tc>
          <w:tcPr>
            <w:tcW w:w="180" w:type="dxa"/>
            <w:vAlign w:val="bottom"/>
          </w:tcPr>
          <w:p>
            <w:pPr>
              <w:spacing w:after="0"/>
              <w:rPr>
                <w:sz w:val="20"/>
                <w:szCs w:val="20"/>
                <w:color w:val="auto"/>
              </w:rPr>
            </w:pPr>
          </w:p>
        </w:tc>
        <w:tc>
          <w:tcPr>
            <w:tcW w:w="55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r>
      <w:tr>
        <w:trPr>
          <w:trHeight w:val="225"/>
        </w:trPr>
        <w:tc>
          <w:tcPr>
            <w:tcW w:w="180" w:type="dxa"/>
            <w:vAlign w:val="bottom"/>
          </w:tcPr>
          <w:p>
            <w:pPr>
              <w:spacing w:after="0"/>
              <w:rPr>
                <w:sz w:val="19"/>
                <w:szCs w:val="19"/>
                <w:color w:val="auto"/>
              </w:rPr>
            </w:pPr>
          </w:p>
        </w:tc>
        <w:tc>
          <w:tcPr>
            <w:tcW w:w="55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9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20" w:type="dxa"/>
            <w:vAlign w:val="bottom"/>
            <w:tcBorders>
              <w:bottom w:val="single" w:sz="8" w:color="auto"/>
            </w:tcBorders>
          </w:tcPr>
          <w:p>
            <w:pPr>
              <w:spacing w:after="0"/>
              <w:rPr>
                <w:sz w:val="19"/>
                <w:szCs w:val="19"/>
                <w:color w:val="auto"/>
              </w:rPr>
            </w:pPr>
          </w:p>
        </w:tc>
      </w:tr>
      <w:tr>
        <w:trPr>
          <w:trHeight w:val="209"/>
        </w:trPr>
        <w:tc>
          <w:tcPr>
            <w:tcW w:w="180" w:type="dxa"/>
            <w:vAlign w:val="bottom"/>
          </w:tcPr>
          <w:p>
            <w:pPr>
              <w:spacing w:after="0"/>
              <w:rPr>
                <w:sz w:val="18"/>
                <w:szCs w:val="18"/>
                <w:color w:val="auto"/>
              </w:rPr>
            </w:pPr>
          </w:p>
        </w:tc>
        <w:tc>
          <w:tcPr>
            <w:tcW w:w="5520" w:type="dxa"/>
            <w:vAlign w:val="bottom"/>
            <w:shd w:val="clear" w:color="auto" w:fill="CCEEFF"/>
          </w:tcPr>
          <w:p>
            <w:pPr>
              <w:ind w:left="20"/>
              <w:spacing w:after="0" w:line="210" w:lineRule="exact"/>
              <w:rPr>
                <w:sz w:val="20"/>
                <w:szCs w:val="20"/>
                <w:color w:val="auto"/>
              </w:rPr>
            </w:pPr>
            <w:r>
              <w:rPr>
                <w:rFonts w:ascii="Times New Roman" w:cs="Times New Roman" w:eastAsia="Times New Roman" w:hAnsi="Times New Roman"/>
                <w:sz w:val="18"/>
                <w:szCs w:val="18"/>
                <w:color w:val="auto"/>
              </w:rPr>
              <w:t>U.S. government</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30"/>
        </w:trPr>
        <w:tc>
          <w:tcPr>
            <w:tcW w:w="180" w:type="dxa"/>
            <w:vAlign w:val="bottom"/>
          </w:tcPr>
          <w:p>
            <w:pPr>
              <w:spacing w:after="0"/>
              <w:rPr>
                <w:sz w:val="19"/>
                <w:szCs w:val="19"/>
                <w:color w:val="auto"/>
              </w:rPr>
            </w:pPr>
          </w:p>
        </w:tc>
        <w:tc>
          <w:tcPr>
            <w:tcW w:w="5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Defense Clients</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1,019,991</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973,605</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49 %</w:t>
            </w:r>
          </w:p>
        </w:tc>
      </w:tr>
      <w:tr>
        <w:trPr>
          <w:trHeight w:val="229"/>
        </w:trPr>
        <w:tc>
          <w:tcPr>
            <w:tcW w:w="180" w:type="dxa"/>
            <w:vAlign w:val="bottom"/>
          </w:tcPr>
          <w:p>
            <w:pPr>
              <w:spacing w:after="0"/>
              <w:rPr>
                <w:sz w:val="19"/>
                <w:szCs w:val="19"/>
                <w:color w:val="auto"/>
              </w:rPr>
            </w:pPr>
          </w:p>
        </w:tc>
        <w:tc>
          <w:tcPr>
            <w:tcW w:w="5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Intelligence Clients</w:t>
            </w:r>
          </w:p>
        </w:tc>
        <w:tc>
          <w:tcPr>
            <w:tcW w:w="4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408,883</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379,174</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r>
      <w:tr>
        <w:trPr>
          <w:trHeight w:val="229"/>
        </w:trPr>
        <w:tc>
          <w:tcPr>
            <w:tcW w:w="180" w:type="dxa"/>
            <w:vAlign w:val="bottom"/>
          </w:tcPr>
          <w:p>
            <w:pPr>
              <w:spacing w:after="0"/>
              <w:rPr>
                <w:sz w:val="19"/>
                <w:szCs w:val="19"/>
                <w:color w:val="auto"/>
              </w:rPr>
            </w:pPr>
          </w:p>
        </w:tc>
        <w:tc>
          <w:tcPr>
            <w:tcW w:w="55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Civil Clients</w:t>
            </w:r>
          </w:p>
        </w:tc>
        <w:tc>
          <w:tcPr>
            <w:tcW w:w="4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757,714</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592,796</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30 %</w:t>
            </w:r>
          </w:p>
        </w:tc>
      </w:tr>
      <w:tr>
        <w:trPr>
          <w:trHeight w:val="223"/>
        </w:trPr>
        <w:tc>
          <w:tcPr>
            <w:tcW w:w="180" w:type="dxa"/>
            <w:vAlign w:val="bottom"/>
          </w:tcPr>
          <w:p>
            <w:pPr>
              <w:spacing w:after="0"/>
              <w:rPr>
                <w:sz w:val="19"/>
                <w:szCs w:val="19"/>
                <w:color w:val="auto"/>
              </w:rPr>
            </w:pPr>
          </w:p>
        </w:tc>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U.S. government</w:t>
            </w:r>
          </w:p>
        </w:tc>
        <w:tc>
          <w:tcPr>
            <w:tcW w:w="4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2,186,588</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97 %</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1,945,575</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98 %</w:t>
            </w:r>
          </w:p>
        </w:tc>
      </w:tr>
      <w:tr>
        <w:trPr>
          <w:trHeight w:val="229"/>
        </w:trPr>
        <w:tc>
          <w:tcPr>
            <w:tcW w:w="180" w:type="dxa"/>
            <w:vAlign w:val="bottom"/>
          </w:tcPr>
          <w:p>
            <w:pPr>
              <w:spacing w:after="0"/>
              <w:rPr>
                <w:sz w:val="19"/>
                <w:szCs w:val="19"/>
                <w:color w:val="auto"/>
              </w:rPr>
            </w:pPr>
          </w:p>
        </w:tc>
        <w:tc>
          <w:tcPr>
            <w:tcW w:w="5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Global Commercial Clients</w:t>
            </w:r>
          </w:p>
        </w:tc>
        <w:tc>
          <w:tcPr>
            <w:tcW w:w="4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63,012</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43,491</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48"/>
        </w:trPr>
        <w:tc>
          <w:tcPr>
            <w:tcW w:w="180" w:type="dxa"/>
            <w:vAlign w:val="bottom"/>
          </w:tcPr>
          <w:p>
            <w:pPr>
              <w:spacing w:after="0"/>
              <w:rPr>
                <w:sz w:val="21"/>
                <w:szCs w:val="21"/>
                <w:color w:val="auto"/>
              </w:rPr>
            </w:pPr>
          </w:p>
        </w:tc>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2,249,600</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1,989,066</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180" w:type="dxa"/>
            <w:vAlign w:val="bottom"/>
          </w:tcPr>
          <w:p>
            <w:pPr>
              <w:spacing w:after="0" w:line="20" w:lineRule="exact"/>
              <w:rPr>
                <w:sz w:val="1"/>
                <w:szCs w:val="1"/>
                <w:color w:val="auto"/>
              </w:rPr>
            </w:pPr>
          </w:p>
        </w:tc>
        <w:tc>
          <w:tcPr>
            <w:tcW w:w="55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180" w:firstLine="233"/>
        <w:spacing w:after="0" w:line="229" w:lineRule="auto"/>
        <w:tabs>
          <w:tab w:leader="none" w:pos="602"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Certain contracts were reassigned between the various verticals of our U.S. government business shown in the table above to better align our operations to the customers we serve within each market. Prior year revenue by customer type has been recast to reflect the changes.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by Whether the Company Acts as a Prime Contractor or a Subcontractor:</w:t>
      </w:r>
    </w:p>
    <w:p>
      <w:pPr>
        <w:spacing w:after="0" w:line="75" w:lineRule="exact"/>
        <w:rPr>
          <w:sz w:val="20"/>
          <w:szCs w:val="20"/>
          <w:color w:val="auto"/>
        </w:rPr>
      </w:pPr>
    </w:p>
    <w:p>
      <w:pPr>
        <w:jc w:val="center"/>
        <w:ind w:left="590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6" w:lineRule="exact"/>
        <w:rPr>
          <w:sz w:val="20"/>
          <w:szCs w:val="20"/>
          <w:color w:val="auto"/>
        </w:rPr>
      </w:pPr>
    </w:p>
    <w:p>
      <w:pPr>
        <w:jc w:val="center"/>
        <w:ind w:left="5900"/>
        <w:spacing w:after="0"/>
        <w:rPr>
          <w:sz w:val="20"/>
          <w:szCs w:val="20"/>
          <w:color w:val="auto"/>
        </w:rPr>
      </w:pPr>
      <w:r>
        <w:rPr>
          <w:rFonts w:ascii="Times New Roman" w:cs="Times New Roman" w:eastAsia="Times New Roman" w:hAnsi="Times New Roman"/>
          <w:sz w:val="18"/>
          <w:szCs w:val="18"/>
          <w:b w:val="1"/>
          <w:bCs w:val="1"/>
          <w:color w:val="auto"/>
        </w:rPr>
        <w:t>June 30,</w:t>
      </w:r>
    </w:p>
    <w:p>
      <w:pPr>
        <w:spacing w:after="0" w:line="7" w:lineRule="exact"/>
        <w:rPr>
          <w:sz w:val="20"/>
          <w:szCs w:val="20"/>
          <w:color w:val="auto"/>
        </w:rPr>
      </w:pPr>
    </w:p>
    <w:tbl>
      <w:tblPr>
        <w:tblLayout w:type="fixed"/>
        <w:tblInd w:w="280" w:type="dxa"/>
        <w:tblCellMar>
          <w:top w:w="0" w:type="dxa"/>
          <w:left w:w="0" w:type="dxa"/>
          <w:bottom w:w="0" w:type="dxa"/>
          <w:right w:w="0" w:type="dxa"/>
        </w:tblCellMar>
      </w:tblPr>
      <w:tr>
        <w:trPr>
          <w:trHeight w:val="223"/>
        </w:trPr>
        <w:tc>
          <w:tcPr>
            <w:tcW w:w="59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74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740" w:type="dxa"/>
            <w:vAlign w:val="bottom"/>
            <w:tcBorders>
              <w:top w:val="single" w:sz="8" w:color="auto"/>
              <w:bottom w:val="single" w:sz="8" w:color="auto"/>
            </w:tcBorders>
          </w:tcPr>
          <w:p>
            <w:pPr>
              <w:spacing w:after="0"/>
              <w:rPr>
                <w:sz w:val="19"/>
                <w:szCs w:val="19"/>
                <w:color w:val="auto"/>
              </w:rPr>
            </w:pPr>
          </w:p>
        </w:tc>
      </w:tr>
      <w:tr>
        <w:trPr>
          <w:trHeight w:val="223"/>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Prime Contractor</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2,131,295</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1,861,722</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94 %</w:t>
            </w:r>
          </w:p>
        </w:tc>
      </w:tr>
      <w:tr>
        <w:trPr>
          <w:trHeight w:val="229"/>
        </w:trPr>
        <w:tc>
          <w:tcPr>
            <w:tcW w:w="5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Subcontractor</w:t>
            </w:r>
          </w:p>
        </w:tc>
        <w:tc>
          <w:tcPr>
            <w:tcW w:w="2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118,305</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127,344</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6 %</w:t>
            </w:r>
          </w:p>
        </w:tc>
      </w:tr>
      <w:tr>
        <w:trPr>
          <w:trHeight w:val="248"/>
        </w:trPr>
        <w:tc>
          <w:tcPr>
            <w:tcW w:w="5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2,249,600</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1,989,066</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Obligations</w:t>
      </w:r>
    </w:p>
    <w:p>
      <w:pPr>
        <w:spacing w:after="0" w:line="121" w:lineRule="exact"/>
        <w:rPr>
          <w:sz w:val="20"/>
          <w:szCs w:val="20"/>
          <w:color w:val="auto"/>
        </w:rPr>
      </w:pPr>
    </w:p>
    <w:p>
      <w:pPr>
        <w:ind w:right="140" w:firstLine="405"/>
        <w:spacing w:after="0" w:line="261" w:lineRule="auto"/>
        <w:rPr>
          <w:sz w:val="20"/>
          <w:szCs w:val="20"/>
          <w:color w:val="auto"/>
        </w:rPr>
      </w:pPr>
      <w:r>
        <w:rPr>
          <w:rFonts w:ascii="Times New Roman" w:cs="Times New Roman" w:eastAsia="Times New Roman" w:hAnsi="Times New Roman"/>
          <w:sz w:val="18"/>
          <w:szCs w:val="18"/>
          <w:color w:val="auto"/>
        </w:rPr>
        <w:t>Remaining performance obligations represent the transaction price of exercised contracts for which work has not yet been performed, irrespective of whether funding has or has not been authorized and appropriated as of the date of exercise. Remaining performance obligations exclude negotiated but unexercised options, the unfunded value of expired contracts, and certain variable consideration which the Company does not expect to recognize as revenue.</w:t>
      </w:r>
    </w:p>
    <w:p>
      <w:pPr>
        <w:spacing w:after="0" w:line="72" w:lineRule="exact"/>
        <w:rPr>
          <w:sz w:val="20"/>
          <w:szCs w:val="20"/>
          <w:color w:val="auto"/>
        </w:rPr>
      </w:pPr>
    </w:p>
    <w:p>
      <w:pPr>
        <w:ind w:right="80" w:firstLine="405"/>
        <w:spacing w:after="0" w:line="266" w:lineRule="auto"/>
        <w:rPr>
          <w:sz w:val="20"/>
          <w:szCs w:val="20"/>
          <w:color w:val="auto"/>
        </w:rPr>
      </w:pPr>
      <w:r>
        <w:rPr>
          <w:rFonts w:ascii="Times New Roman" w:cs="Times New Roman" w:eastAsia="Times New Roman" w:hAnsi="Times New Roman"/>
          <w:sz w:val="18"/>
          <w:szCs w:val="18"/>
          <w:color w:val="auto"/>
        </w:rPr>
        <w:t>As of June 30, 2022 and March 31, 2022, the Company had $7.5 billion and $7.4 billion of remaining performance obligations, respectively. We expect to recognize approximately 70% of the remaining performance obligations at June 30, 2022 as revenue over the next 12 months, and approximately 85% over the next 24 months. The remainder is expected to be recognized thereafter.</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121"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The Company's performance obligations are typically satisfied over time and revenue is generally recognized using a cost-based input method. Fixed-price contracts are typically billed to the customer using milestone or fixed monthly payments, while cost-reimbursable-plus-fee and time-and-material contracts are typically billed to the customer at periodic intervals (e.g. monthly or weekly) as indicated by the terms of the contract. Disparities between the timing of revenue recognition and customer billings and cash collections result in net contract assets or liabilities being recognized at the end of each reporting period.</w:t>
      </w:r>
    </w:p>
    <w:p>
      <w:pPr>
        <w:spacing w:after="0" w:line="75" w:lineRule="exact"/>
        <w:rPr>
          <w:sz w:val="20"/>
          <w:szCs w:val="20"/>
          <w:color w:val="auto"/>
        </w:rPr>
      </w:pPr>
    </w:p>
    <w:p>
      <w:pPr>
        <w:ind w:right="60" w:firstLine="405"/>
        <w:spacing w:after="0" w:line="254" w:lineRule="auto"/>
        <w:rPr>
          <w:sz w:val="20"/>
          <w:szCs w:val="20"/>
          <w:color w:val="auto"/>
        </w:rPr>
      </w:pPr>
      <w:r>
        <w:rPr>
          <w:rFonts w:ascii="Times New Roman" w:cs="Times New Roman" w:eastAsia="Times New Roman" w:hAnsi="Times New Roman"/>
          <w:sz w:val="18"/>
          <w:szCs w:val="18"/>
          <w:color w:val="auto"/>
        </w:rPr>
        <w:t>Contract assets primarily consist of unbilled receivables typically resulting from revenue recognized exceeding the amount billed to the customer and right to payment is not just subject to the passage of time. Unbilled amounts represent revenues for which billings have not been presented to customers. These amounts are generally billed and collected within one year subject to various conditions including, without limitation, appropriated and available funding. Long-term unbilled receivables not anticipated to be billed and collected within one year, which are primarily related to retainage, holdbacks, and long-term rate settlements to be billed at contract closeout, are included in other long-term assets in the accompanying condensed consolidated balance sheets. Contract liabilities primarily consist of advance payments, billings in excess of costs incurred and deferred revenue. Contract assets and liabilities are reported on a net contract basis at the end of each reporting period. The Company maintains an allowance for credit losses to provide for an estimate of uncollectible receivables. Provision for credit losses recognized was not material for the three months ended June 30, 2022 and 2021.</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BOOZ ALLEN HAMILTON HOLDING CORPORATION</w:t>
      </w:r>
    </w:p>
    <w:p>
      <w:pPr>
        <w:spacing w:after="0" w:line="9" w:lineRule="exact"/>
        <w:rPr>
          <w:sz w:val="20"/>
          <w:szCs w:val="20"/>
          <w:color w:val="auto"/>
        </w:rPr>
      </w:pPr>
    </w:p>
    <w:p>
      <w:pPr>
        <w:jc w:val="both"/>
        <w:ind w:left="2100" w:right="2080" w:firstLine="10"/>
        <w:spacing w:after="0" w:line="290" w:lineRule="auto"/>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 (Amounts in tables in thousands, except share and per share data or unless otherwise noted)</w:t>
      </w:r>
    </w:p>
    <w:p>
      <w:pPr>
        <w:spacing w:after="0" w:line="319" w:lineRule="exact"/>
        <w:rPr>
          <w:sz w:val="20"/>
          <w:szCs w:val="20"/>
          <w:color w:val="auto"/>
        </w:rPr>
      </w:pPr>
    </w:p>
    <w:p>
      <w:pPr>
        <w:ind w:right="20" w:firstLine="405"/>
        <w:spacing w:after="0" w:line="271" w:lineRule="auto"/>
        <w:rPr>
          <w:sz w:val="20"/>
          <w:szCs w:val="20"/>
          <w:color w:val="auto"/>
        </w:rPr>
      </w:pPr>
      <w:r>
        <w:rPr>
          <w:rFonts w:ascii="Times New Roman" w:cs="Times New Roman" w:eastAsia="Times New Roman" w:hAnsi="Times New Roman"/>
          <w:sz w:val="18"/>
          <w:szCs w:val="18"/>
          <w:color w:val="auto"/>
        </w:rPr>
        <w:t>The following table summarizes the contract assets and liabilities, and accounts receivable, net of allowance recognized on the Company’s condensed consolidated balance sheets:</w:t>
      </w:r>
    </w:p>
    <w:tbl>
      <w:tblPr>
        <w:tblLayout w:type="fixed"/>
        <w:tblInd w:w="0" w:type="dxa"/>
        <w:tblCellMar>
          <w:top w:w="0" w:type="dxa"/>
          <w:left w:w="0" w:type="dxa"/>
          <w:bottom w:w="0" w:type="dxa"/>
          <w:right w:w="0" w:type="dxa"/>
        </w:tblCellMar>
      </w:tblPr>
      <w:tr>
        <w:trPr>
          <w:trHeight w:val="185"/>
        </w:trPr>
        <w:tc>
          <w:tcPr>
            <w:tcW w:w="7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gridSpan w:val="2"/>
          </w:tcPr>
          <w:p>
            <w:pPr>
              <w:ind w:left="180"/>
              <w:spacing w:after="0" w:line="185" w:lineRule="exact"/>
              <w:rPr>
                <w:sz w:val="20"/>
                <w:szCs w:val="20"/>
                <w:color w:val="auto"/>
              </w:rPr>
            </w:pPr>
            <w:r>
              <w:rPr>
                <w:rFonts w:ascii="Times New Roman" w:cs="Times New Roman" w:eastAsia="Times New Roman" w:hAnsi="Times New Roman"/>
                <w:sz w:val="18"/>
                <w:szCs w:val="18"/>
                <w:b w:val="1"/>
                <w:bCs w:val="1"/>
                <w:color w:val="auto"/>
              </w:rPr>
              <w:t>June 30,</w:t>
            </w:r>
          </w:p>
        </w:tc>
        <w:tc>
          <w:tcPr>
            <w:tcW w:w="260" w:type="dxa"/>
            <w:vAlign w:val="bottom"/>
          </w:tcPr>
          <w:p>
            <w:pPr>
              <w:spacing w:after="0"/>
              <w:rPr>
                <w:sz w:val="16"/>
                <w:szCs w:val="16"/>
                <w:color w:val="auto"/>
              </w:rPr>
            </w:pPr>
          </w:p>
        </w:tc>
        <w:tc>
          <w:tcPr>
            <w:tcW w:w="1320" w:type="dxa"/>
            <w:vAlign w:val="bottom"/>
          </w:tcPr>
          <w:p>
            <w:pPr>
              <w:jc w:val="right"/>
              <w:ind w:right="310"/>
              <w:spacing w:after="0" w:line="185" w:lineRule="exact"/>
              <w:rPr>
                <w:sz w:val="20"/>
                <w:szCs w:val="20"/>
                <w:color w:val="auto"/>
              </w:rPr>
            </w:pPr>
            <w:r>
              <w:rPr>
                <w:rFonts w:ascii="Times New Roman" w:cs="Times New Roman" w:eastAsia="Times New Roman" w:hAnsi="Times New Roman"/>
                <w:sz w:val="18"/>
                <w:szCs w:val="18"/>
                <w:b w:val="1"/>
                <w:bCs w:val="1"/>
                <w:color w:val="auto"/>
              </w:rPr>
              <w:t>March 31,</w:t>
            </w:r>
          </w:p>
        </w:tc>
      </w:tr>
      <w:tr>
        <w:trPr>
          <w:trHeight w:val="241"/>
        </w:trPr>
        <w:tc>
          <w:tcPr>
            <w:tcW w:w="7300" w:type="dxa"/>
            <w:vAlign w:val="bottom"/>
            <w:tcBorders>
              <w:bottom w:val="single" w:sz="8" w:color="auto"/>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5"/>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0"/>
        </w:trPr>
        <w:tc>
          <w:tcPr>
            <w:tcW w:w="74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Accounts receivable–billed</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627,774</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465,322</w:t>
            </w:r>
          </w:p>
        </w:tc>
      </w:tr>
      <w:tr>
        <w:trPr>
          <w:trHeight w:val="229"/>
        </w:trPr>
        <w:tc>
          <w:tcPr>
            <w:tcW w:w="74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receivable–unbilled (contract assets)</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1,200,602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1,157,667</w:t>
            </w:r>
          </w:p>
        </w:tc>
      </w:tr>
      <w:tr>
        <w:trPr>
          <w:trHeight w:val="229"/>
        </w:trPr>
        <w:tc>
          <w:tcPr>
            <w:tcW w:w="74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8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440" w:type="dxa"/>
            <w:vAlign w:val="bottom"/>
            <w:tcBorders>
              <w:top w:val="single" w:sz="8" w:color="CCEEFF"/>
            </w:tcBorders>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Accounts receivable, net</w:t>
            </w:r>
          </w:p>
        </w:tc>
        <w:tc>
          <w:tcPr>
            <w:tcW w:w="28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1,828,376</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1,622,989</w:t>
            </w:r>
          </w:p>
        </w:tc>
      </w:tr>
      <w:tr>
        <w:trPr>
          <w:trHeight w:val="229"/>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long-term assets</w:t>
            </w: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74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receivable–unbilled (contract assets)</w:t>
            </w: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63,960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64,339</w:t>
            </w:r>
          </w:p>
        </w:tc>
      </w:tr>
      <w:tr>
        <w:trPr>
          <w:trHeight w:val="223"/>
        </w:trPr>
        <w:tc>
          <w:tcPr>
            <w:tcW w:w="74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Total accounts receivable, net</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1,892,336</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1,687,328</w:t>
            </w:r>
          </w:p>
        </w:tc>
      </w:tr>
      <w:tr>
        <w:trPr>
          <w:trHeight w:val="20"/>
        </w:trPr>
        <w:tc>
          <w:tcPr>
            <w:tcW w:w="73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97"/>
        </w:trPr>
        <w:tc>
          <w:tcPr>
            <w:tcW w:w="7440" w:type="dxa"/>
            <w:vAlign w:val="bottom"/>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Other current liabilities</w:t>
            </w:r>
          </w:p>
        </w:tc>
        <w:tc>
          <w:tcPr>
            <w:tcW w:w="2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176"/>
        </w:trPr>
        <w:tc>
          <w:tcPr>
            <w:tcW w:w="7440" w:type="dxa"/>
            <w:vAlign w:val="bottom"/>
            <w:gridSpan w:val="2"/>
          </w:tcPr>
          <w:p>
            <w:pPr>
              <w:ind w:left="360"/>
              <w:spacing w:after="0" w:line="176" w:lineRule="exact"/>
              <w:rPr>
                <w:sz w:val="20"/>
                <w:szCs w:val="20"/>
                <w:color w:val="auto"/>
              </w:rPr>
            </w:pPr>
            <w:r>
              <w:rPr>
                <w:rFonts w:ascii="Times New Roman" w:cs="Times New Roman" w:eastAsia="Times New Roman" w:hAnsi="Times New Roman"/>
                <w:sz w:val="18"/>
                <w:szCs w:val="18"/>
                <w:color w:val="auto"/>
              </w:rPr>
              <w:t>Advance payments, billings in excess of costs incurred and deferred revenue (contract</w:t>
            </w:r>
          </w:p>
        </w:tc>
        <w:tc>
          <w:tcPr>
            <w:tcW w:w="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243"/>
        </w:trPr>
        <w:tc>
          <w:tcPr>
            <w:tcW w:w="74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liabilities)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33,762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26,747</w:t>
            </w:r>
          </w:p>
        </w:tc>
      </w:tr>
    </w:tbl>
    <w:p>
      <w:pPr>
        <w:spacing w:after="0" w:line="130" w:lineRule="exact"/>
        <w:rPr>
          <w:sz w:val="20"/>
          <w:szCs w:val="20"/>
          <w:color w:val="auto"/>
        </w:rPr>
      </w:pPr>
    </w:p>
    <w:p>
      <w:pPr>
        <w:ind w:right="280" w:firstLine="405"/>
        <w:spacing w:after="0" w:line="258" w:lineRule="auto"/>
        <w:rPr>
          <w:sz w:val="20"/>
          <w:szCs w:val="20"/>
          <w:color w:val="auto"/>
        </w:rPr>
      </w:pPr>
      <w:r>
        <w:rPr>
          <w:rFonts w:ascii="Times New Roman" w:cs="Times New Roman" w:eastAsia="Times New Roman" w:hAnsi="Times New Roman"/>
          <w:sz w:val="18"/>
          <w:szCs w:val="18"/>
          <w:color w:val="auto"/>
        </w:rPr>
        <w:t>Changes in contract assets and contract liabilities are primarily due to the timing difference between the Company’s performance of services and payments from customers. For the three months ended June 30, 2022 and 2021, we recognized revenue of $16.3 million and $11.9 million, respectively, related to our contract liabilities on April 1, 2022 and 2021, respectively. To determine revenue recognized from contract liabilities during the reporting periods, the Company allocates revenue to individual contract liability balances and applies revenue recognized during the reporting periods first to the beginning balances of contract liabilities until the revenue exceeds the balances.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EARNINGS PER SHARE</w:t>
      </w:r>
    </w:p>
    <w:p>
      <w:pPr>
        <w:spacing w:after="0" w:line="121"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The Company computes basic and diluted earnings per share amounts based on net income attributable to common stockholders for the periods presented. The Company uses the weighted-average number of common shares outstanding during the period to calculate basic earnings per share, or EPS. Diluted EPS adjusts the weighted average number of shares outstanding to include the dilutive effect of outstanding common stock options and other stock-based awards.</w:t>
      </w:r>
    </w:p>
    <w:p>
      <w:pPr>
        <w:spacing w:after="0" w:line="72" w:lineRule="exact"/>
        <w:rPr>
          <w:sz w:val="20"/>
          <w:szCs w:val="20"/>
          <w:color w:val="auto"/>
        </w:rPr>
      </w:pPr>
    </w:p>
    <w:p>
      <w:pPr>
        <w:ind w:right="140" w:firstLine="405"/>
        <w:spacing w:after="0" w:line="258" w:lineRule="auto"/>
        <w:rPr>
          <w:sz w:val="20"/>
          <w:szCs w:val="20"/>
          <w:color w:val="auto"/>
        </w:rPr>
      </w:pPr>
      <w:r>
        <w:rPr>
          <w:rFonts w:ascii="Times New Roman" w:cs="Times New Roman" w:eastAsia="Times New Roman" w:hAnsi="Times New Roman"/>
          <w:sz w:val="18"/>
          <w:szCs w:val="18"/>
          <w:color w:val="auto"/>
        </w:rPr>
        <w:t>The Company currently has outstanding shares of Class A Common Stock. Unvested Class A Restricted Common Stock holders are entitled to participate in non-forfeitable dividends or other distributions. These unvested restricted shares participated in the Company's dividends declared and were paid in the first quarter of fiscal 2023 and 2022. As such, EPS is calculated using the two-class method whereby earnings are reduced by distributed earnings as well as any available undistributed earnings allocable to holders of unvested restricted shares. A reconciliation of the income used to compute basic and diluted EPS for the periods presented are as follows:</w:t>
      </w:r>
    </w:p>
    <w:p>
      <w:pPr>
        <w:spacing w:after="0" w:line="31" w:lineRule="exact"/>
        <w:rPr>
          <w:sz w:val="20"/>
          <w:szCs w:val="20"/>
          <w:color w:val="auto"/>
        </w:rPr>
      </w:pPr>
    </w:p>
    <w:p>
      <w:pPr>
        <w:jc w:val="center"/>
        <w:ind w:left="78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6" w:lineRule="exact"/>
        <w:rPr>
          <w:sz w:val="20"/>
          <w:szCs w:val="20"/>
          <w:color w:val="auto"/>
        </w:rPr>
      </w:pPr>
    </w:p>
    <w:p>
      <w:pPr>
        <w:jc w:val="center"/>
        <w:ind w:left="7840"/>
        <w:spacing w:after="0"/>
        <w:rPr>
          <w:sz w:val="20"/>
          <w:szCs w:val="20"/>
          <w:color w:val="auto"/>
        </w:rPr>
      </w:pPr>
      <w:r>
        <w:rPr>
          <w:rFonts w:ascii="Times New Roman" w:cs="Times New Roman" w:eastAsia="Times New Roman" w:hAnsi="Times New Roman"/>
          <w:sz w:val="18"/>
          <w:szCs w:val="18"/>
          <w:b w:val="1"/>
          <w:bCs w:val="1"/>
          <w:color w:val="auto"/>
        </w:rPr>
        <w:t>June 30,</w:t>
      </w:r>
    </w:p>
    <w:p>
      <w:pPr>
        <w:spacing w:after="0" w:line="7" w:lineRule="exact"/>
        <w:rPr>
          <w:sz w:val="20"/>
          <w:szCs w:val="20"/>
          <w:color w:val="auto"/>
        </w:rPr>
      </w:pPr>
    </w:p>
    <w:tbl>
      <w:tblPr>
        <w:tblLayout w:type="fixed"/>
        <w:tblInd w:w="220" w:type="dxa"/>
        <w:tblCellMar>
          <w:top w:w="0" w:type="dxa"/>
          <w:left w:w="0" w:type="dxa"/>
          <w:bottom w:w="0" w:type="dxa"/>
          <w:right w:w="0" w:type="dxa"/>
        </w:tblCellMar>
      </w:tblPr>
      <w:tr>
        <w:trPr>
          <w:trHeight w:val="223"/>
        </w:trPr>
        <w:tc>
          <w:tcPr>
            <w:tcW w:w="784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23"/>
        </w:trPr>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for basic computations (1)</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137,369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91,621</w:t>
            </w:r>
          </w:p>
        </w:tc>
        <w:tc>
          <w:tcPr>
            <w:tcW w:w="0" w:type="dxa"/>
            <w:vAlign w:val="bottom"/>
          </w:tcPr>
          <w:p>
            <w:pPr>
              <w:spacing w:after="0"/>
              <w:rPr>
                <w:sz w:val="1"/>
                <w:szCs w:val="1"/>
                <w:color w:val="auto"/>
              </w:rPr>
            </w:pPr>
          </w:p>
        </w:tc>
      </w:tr>
      <w:tr>
        <w:trPr>
          <w:trHeight w:val="230"/>
        </w:trPr>
        <w:tc>
          <w:tcPr>
            <w:tcW w:w="78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Weighted-average common shares outstanding for basic computations</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132,371,487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135,569,968</w:t>
            </w:r>
          </w:p>
        </w:tc>
        <w:tc>
          <w:tcPr>
            <w:tcW w:w="0" w:type="dxa"/>
            <w:vAlign w:val="bottom"/>
          </w:tcPr>
          <w:p>
            <w:pPr>
              <w:spacing w:after="0"/>
              <w:rPr>
                <w:sz w:val="1"/>
                <w:szCs w:val="1"/>
                <w:color w:val="auto"/>
              </w:rPr>
            </w:pPr>
          </w:p>
        </w:tc>
      </w:tr>
      <w:tr>
        <w:trPr>
          <w:trHeight w:val="223"/>
        </w:trPr>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for diluted computations (1)</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137,372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91,622</w:t>
            </w:r>
          </w:p>
        </w:tc>
        <w:tc>
          <w:tcPr>
            <w:tcW w:w="0" w:type="dxa"/>
            <w:vAlign w:val="bottom"/>
          </w:tcPr>
          <w:p>
            <w:pPr>
              <w:spacing w:after="0"/>
              <w:rPr>
                <w:sz w:val="1"/>
                <w:szCs w:val="1"/>
                <w:color w:val="auto"/>
              </w:rPr>
            </w:pPr>
          </w:p>
        </w:tc>
      </w:tr>
      <w:tr>
        <w:trPr>
          <w:trHeight w:val="230"/>
        </w:trPr>
        <w:tc>
          <w:tcPr>
            <w:tcW w:w="78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Dilutive stock options and restricted stock</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639,601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822,375</w:t>
            </w:r>
          </w:p>
        </w:tc>
        <w:tc>
          <w:tcPr>
            <w:tcW w:w="0" w:type="dxa"/>
            <w:vAlign w:val="bottom"/>
          </w:tcPr>
          <w:p>
            <w:pPr>
              <w:spacing w:after="0"/>
              <w:rPr>
                <w:sz w:val="1"/>
                <w:szCs w:val="1"/>
                <w:color w:val="auto"/>
              </w:rPr>
            </w:pPr>
          </w:p>
        </w:tc>
      </w:tr>
      <w:tr>
        <w:trPr>
          <w:trHeight w:val="223"/>
        </w:trPr>
        <w:tc>
          <w:tcPr>
            <w:tcW w:w="7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Weighted-average common shares outstanding for diluted computations</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133,011,088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136,392,343</w:t>
            </w:r>
          </w:p>
        </w:tc>
        <w:tc>
          <w:tcPr>
            <w:tcW w:w="0" w:type="dxa"/>
            <w:vAlign w:val="bottom"/>
          </w:tcPr>
          <w:p>
            <w:pPr>
              <w:spacing w:after="0"/>
              <w:rPr>
                <w:sz w:val="1"/>
                <w:szCs w:val="1"/>
                <w:color w:val="auto"/>
              </w:rPr>
            </w:pPr>
          </w:p>
        </w:tc>
      </w:tr>
      <w:tr>
        <w:trPr>
          <w:trHeight w:val="209"/>
        </w:trPr>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Earnings per common share</w:t>
            </w: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78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bottom w:val="single" w:sz="8" w:color="CCEEFF"/>
            </w:tcBorders>
            <w:vMerge w:val="restart"/>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840" w:type="dxa"/>
            <w:vAlign w:val="bottom"/>
            <w:vMerge w:val="continue"/>
          </w:tcPr>
          <w:p>
            <w:pPr>
              <w:spacing w:after="0"/>
              <w:rPr>
                <w:sz w:val="17"/>
                <w:szCs w:val="17"/>
                <w:color w:val="auto"/>
              </w:rPr>
            </w:pPr>
          </w:p>
        </w:tc>
        <w:tc>
          <w:tcPr>
            <w:tcW w:w="300" w:type="dxa"/>
            <w:vAlign w:val="bottom"/>
            <w:tcBorders>
              <w:bottom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0.67</w:t>
            </w:r>
          </w:p>
        </w:tc>
        <w:tc>
          <w:tcPr>
            <w:tcW w:w="0" w:type="dxa"/>
            <w:vAlign w:val="bottom"/>
          </w:tcPr>
          <w:p>
            <w:pPr>
              <w:spacing w:after="0"/>
              <w:rPr>
                <w:sz w:val="1"/>
                <w:szCs w:val="1"/>
                <w:color w:val="auto"/>
              </w:rPr>
            </w:pPr>
          </w:p>
        </w:tc>
      </w:tr>
      <w:tr>
        <w:trPr>
          <w:trHeight w:val="20"/>
        </w:trPr>
        <w:tc>
          <w:tcPr>
            <w:tcW w:w="78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260" w:right="460" w:hanging="9"/>
        <w:spacing w:after="0" w:line="276" w:lineRule="auto"/>
        <w:tabs>
          <w:tab w:leader="none" w:pos="515"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the three months ended June 30, 2022 and 2021, approximately 0.9 million and 0.7 million participating securities were paid dividends totaling $0.4 million and $0.3 million, respectively. There were undistributed earnings of $0.5 million and $0.2 million for the three months</w:t>
      </w:r>
    </w:p>
    <w:p>
      <w:pPr>
        <w:ind w:left="260" w:right="100"/>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ended June 30, 2022 and 2021, respectively, allocated to the participating class of securities in both basic and diluted EPS. The allocated undistributed earnings and the dividends paid comprise the difference between net income presented on the condensed consolidated statements of operations and earnings for basic and diluted computations for the three months ended June 30, 2022 and 2021. The impact of any anti-dilutive options excluded from the calculation of EPS was not material.</w:t>
      </w:r>
    </w:p>
    <w:p>
      <w:pPr>
        <w:spacing w:after="0" w:line="200" w:lineRule="exact"/>
        <w:rPr>
          <w:sz w:val="20"/>
          <w:szCs w:val="20"/>
          <w:color w:val="auto"/>
        </w:rPr>
      </w:pPr>
    </w:p>
    <w:p>
      <w:pPr>
        <w:spacing w:after="0" w:line="3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BOOZ ALLEN HAMILTON HOLDING CORPORATION</w:t>
      </w:r>
    </w:p>
    <w:p>
      <w:pPr>
        <w:spacing w:after="0" w:line="9" w:lineRule="exact"/>
        <w:rPr>
          <w:sz w:val="20"/>
          <w:szCs w:val="20"/>
          <w:color w:val="auto"/>
        </w:rPr>
      </w:pPr>
    </w:p>
    <w:p>
      <w:pPr>
        <w:jc w:val="both"/>
        <w:ind w:left="2100" w:right="2100" w:firstLine="10"/>
        <w:spacing w:after="0" w:line="290" w:lineRule="auto"/>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 (Amounts in tables in thousands, except share and per share data or unless otherwise noted)</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ACQUISITIONS, DIVESTITURES, AND GOODWILL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EverWatch</w:t>
      </w:r>
    </w:p>
    <w:p>
      <w:pPr>
        <w:spacing w:after="0" w:line="117" w:lineRule="exact"/>
        <w:rPr>
          <w:sz w:val="20"/>
          <w:szCs w:val="20"/>
          <w:color w:val="auto"/>
        </w:rPr>
      </w:pPr>
    </w:p>
    <w:p>
      <w:pPr>
        <w:ind w:right="80" w:firstLine="405"/>
        <w:spacing w:after="0" w:line="254" w:lineRule="auto"/>
        <w:rPr>
          <w:sz w:val="20"/>
          <w:szCs w:val="20"/>
          <w:color w:val="auto"/>
        </w:rPr>
      </w:pPr>
      <w:r>
        <w:rPr>
          <w:rFonts w:ascii="Times New Roman" w:cs="Times New Roman" w:eastAsia="Times New Roman" w:hAnsi="Times New Roman"/>
          <w:sz w:val="18"/>
          <w:szCs w:val="18"/>
          <w:color w:val="auto"/>
        </w:rPr>
        <w:t>On March 16, 2022, the Company announced that it had entered into a stock purchase agreement to acquire EverWatch Corp. ("EverWatch"), a leading provider of advanced solutions to the defense and intelligence communities for approximately $440.0 million, subject to customary adjustments. If consummated, the Company expects to fund the acquisition with cash on hand. The transaction is subject to satisfaction of customary closing conditions. On June 29, 2022, the U.S. Department of Justice (“DOJ”) initiated a lawsuit seeking to enjoin consummation of the transaction. In connection with the DOJ’s lawsuit, the Company and EverWatch agreed to delay any closing of the transaction until October 9, 2022 or the date on which the court denies the DOJ’s request for a preliminary injunction and/or permanent injunction, whichever is earlier. The DOJ litigation and related delay have introduced an increased level of uncertainty regarding the ability of the parties to consummate the transaction. The Company can make no assurances that the transaction will be consummated.</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Divestitures</w:t>
      </w:r>
    </w:p>
    <w:p>
      <w:pPr>
        <w:spacing w:after="0" w:line="67" w:lineRule="exact"/>
        <w:rPr>
          <w:sz w:val="20"/>
          <w:szCs w:val="20"/>
          <w:color w:val="auto"/>
        </w:rPr>
      </w:pPr>
    </w:p>
    <w:p>
      <w:pPr>
        <w:ind w:right="220" w:firstLine="405"/>
        <w:spacing w:after="0" w:line="255" w:lineRule="auto"/>
        <w:rPr>
          <w:sz w:val="20"/>
          <w:szCs w:val="20"/>
          <w:color w:val="auto"/>
        </w:rPr>
      </w:pPr>
      <w:r>
        <w:rPr>
          <w:rFonts w:ascii="Times New Roman" w:cs="Times New Roman" w:eastAsia="Times New Roman" w:hAnsi="Times New Roman"/>
          <w:sz w:val="18"/>
          <w:szCs w:val="18"/>
          <w:color w:val="auto"/>
        </w:rPr>
        <w:t>In April 2022, the Company entered into an agreement with Oliver Wyman, a global management consulting firm and a business of Marsh McLennan, to divest the Company's management consulting business serving the Middle East and North Africa (MENA) region, which is substantially comprised of the contracts associated with the MENA business and the team of management consultants that provide services under those contracts. The Company concluded that the assets and liabilities associated with the MENA business met the criteria to be reported as held for sale on the consolidated balance sheet as of March 31, 2022. As of June 30, 2022, $9.2 million of net accounts receivable, $0.7 million of other assets, $1.3 million of deferred revenue, $0.8 million of bonus payable, and $0.1 million of accounts payable were included in other current assets and other current liabilities on the consolidated balance sheet. The transaction is expected to close in fiscal 2023, subject to customary closing conditions, including regulatory approvals.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21" w:lineRule="exact"/>
        <w:rPr>
          <w:sz w:val="20"/>
          <w:szCs w:val="20"/>
          <w:color w:val="auto"/>
        </w:rPr>
      </w:pPr>
    </w:p>
    <w:p>
      <w:pPr>
        <w:ind w:right="460" w:firstLine="405"/>
        <w:spacing w:after="0" w:line="282" w:lineRule="auto"/>
        <w:rPr>
          <w:sz w:val="20"/>
          <w:szCs w:val="20"/>
          <w:color w:val="auto"/>
        </w:rPr>
      </w:pPr>
      <w:r>
        <w:rPr>
          <w:rFonts w:ascii="Times New Roman" w:cs="Times New Roman" w:eastAsia="Times New Roman" w:hAnsi="Times New Roman"/>
          <w:sz w:val="18"/>
          <w:szCs w:val="18"/>
          <w:color w:val="auto"/>
        </w:rPr>
        <w:t>As of June 30, 2022 and March 31, 2022, goodwill was $2,021.9 million. As of June 30, 2022, approximately $7.9 million of goodwill has been allocated to the assets held for sale related to the Company's divestiture of its MENA business noted above.</w:t>
      </w:r>
    </w:p>
    <w:p>
      <w:pPr>
        <w:spacing w:after="0" w:line="50" w:lineRule="exact"/>
        <w:rPr>
          <w:sz w:val="20"/>
          <w:szCs w:val="20"/>
          <w:color w:val="auto"/>
        </w:rPr>
      </w:pPr>
    </w:p>
    <w:p>
      <w:pPr>
        <w:ind w:left="460" w:right="5520" w:hanging="452"/>
        <w:spacing w:after="0" w:line="356" w:lineRule="auto"/>
        <w:tabs>
          <w:tab w:leader="none" w:pos="195" w:val="left"/>
        </w:tabs>
        <w:numPr>
          <w:ilvl w:val="0"/>
          <w:numId w:val="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ACCOUNTS PAYABLE AND OTHER ACCRUED EXPENSES </w:t>
      </w:r>
      <w:r>
        <w:rPr>
          <w:rFonts w:ascii="Times New Roman" w:cs="Times New Roman" w:eastAsia="Times New Roman" w:hAnsi="Times New Roman"/>
          <w:sz w:val="17"/>
          <w:szCs w:val="17"/>
          <w:color w:val="auto"/>
        </w:rPr>
        <w:t>Accounts payable and other accrued expenses consisted of the following:</w:t>
      </w:r>
    </w:p>
    <w:tbl>
      <w:tblPr>
        <w:tblLayout w:type="fixed"/>
        <w:tblInd w:w="460" w:type="dxa"/>
        <w:tblCellMar>
          <w:top w:w="0" w:type="dxa"/>
          <w:left w:w="0" w:type="dxa"/>
          <w:bottom w:w="0" w:type="dxa"/>
          <w:right w:w="0" w:type="dxa"/>
        </w:tblCellMar>
      </w:tblPr>
      <w:tr>
        <w:trPr>
          <w:trHeight w:val="185"/>
        </w:trPr>
        <w:tc>
          <w:tcPr>
            <w:tcW w:w="7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2"/>
          </w:tcPr>
          <w:p>
            <w:pPr>
              <w:ind w:left="160"/>
              <w:spacing w:after="0" w:line="185" w:lineRule="exact"/>
              <w:rPr>
                <w:sz w:val="20"/>
                <w:szCs w:val="20"/>
                <w:color w:val="auto"/>
              </w:rPr>
            </w:pPr>
            <w:r>
              <w:rPr>
                <w:rFonts w:ascii="Times New Roman" w:cs="Times New Roman" w:eastAsia="Times New Roman" w:hAnsi="Times New Roman"/>
                <w:sz w:val="18"/>
                <w:szCs w:val="18"/>
                <w:b w:val="1"/>
                <w:bCs w:val="1"/>
                <w:color w:val="auto"/>
              </w:rPr>
              <w:t>June 30,</w:t>
            </w:r>
          </w:p>
        </w:tc>
        <w:tc>
          <w:tcPr>
            <w:tcW w:w="220" w:type="dxa"/>
            <w:vAlign w:val="bottom"/>
          </w:tcPr>
          <w:p>
            <w:pPr>
              <w:spacing w:after="0"/>
              <w:rPr>
                <w:sz w:val="16"/>
                <w:szCs w:val="16"/>
                <w:color w:val="auto"/>
              </w:rPr>
            </w:pPr>
          </w:p>
        </w:tc>
        <w:tc>
          <w:tcPr>
            <w:tcW w:w="1240" w:type="dxa"/>
            <w:vAlign w:val="bottom"/>
          </w:tcPr>
          <w:p>
            <w:pPr>
              <w:jc w:val="right"/>
              <w:ind w:right="250"/>
              <w:spacing w:after="0" w:line="185" w:lineRule="exact"/>
              <w:rPr>
                <w:sz w:val="20"/>
                <w:szCs w:val="20"/>
                <w:color w:val="auto"/>
              </w:rPr>
            </w:pPr>
            <w:r>
              <w:rPr>
                <w:rFonts w:ascii="Times New Roman" w:cs="Times New Roman" w:eastAsia="Times New Roman" w:hAnsi="Times New Roman"/>
                <w:sz w:val="18"/>
                <w:szCs w:val="18"/>
                <w:b w:val="1"/>
                <w:bCs w:val="1"/>
                <w:color w:val="auto"/>
              </w:rPr>
              <w:t>March 31,</w:t>
            </w:r>
          </w:p>
        </w:tc>
      </w:tr>
      <w:tr>
        <w:trPr>
          <w:trHeight w:val="241"/>
        </w:trPr>
        <w:tc>
          <w:tcPr>
            <w:tcW w:w="7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5"/>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Vendor payables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502,372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539,524</w:t>
            </w:r>
          </w:p>
        </w:tc>
      </w:tr>
      <w:tr>
        <w:trPr>
          <w:trHeight w:val="230"/>
        </w:trPr>
        <w:tc>
          <w:tcPr>
            <w:tcW w:w="7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395,957</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363,092</w:t>
            </w:r>
          </w:p>
        </w:tc>
      </w:tr>
      <w:tr>
        <w:trPr>
          <w:trHeight w:val="248"/>
        </w:trPr>
        <w:tc>
          <w:tcPr>
            <w:tcW w:w="71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accounts payable and other accrued expenses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898,329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902,616</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180" w:firstLine="445"/>
        <w:spacing w:after="0" w:line="282" w:lineRule="auto"/>
        <w:rPr>
          <w:sz w:val="20"/>
          <w:szCs w:val="20"/>
          <w:color w:val="auto"/>
        </w:rPr>
      </w:pPr>
      <w:r>
        <w:rPr>
          <w:rFonts w:ascii="Times New Roman" w:cs="Times New Roman" w:eastAsia="Times New Roman" w:hAnsi="Times New Roman"/>
          <w:sz w:val="18"/>
          <w:szCs w:val="18"/>
          <w:color w:val="auto"/>
        </w:rPr>
        <w:t>Accrued expenses consisted primarily of the Company’s provision for claimed indirect costs, which were approximately $295.6 million and $290.4 million as of June 30, 2022 and March 31, 2022, respectively. See Note 15 for further discussion of this provision.</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7. ACCRUED COMPENSATION AND BENEFITS</w:t>
            </w:r>
          </w:p>
        </w:tc>
        <w:tc>
          <w:tcPr>
            <w:tcW w:w="2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52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Accrued compensation and benefits consisted of the following:</w:t>
            </w:r>
          </w:p>
        </w:tc>
        <w:tc>
          <w:tcPr>
            <w:tcW w:w="2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40" w:type="dxa"/>
            <w:vAlign w:val="bottom"/>
          </w:tcPr>
          <w:p>
            <w:pPr>
              <w:spacing w:after="0"/>
              <w:rPr>
                <w:sz w:val="22"/>
                <w:szCs w:val="22"/>
                <w:color w:val="auto"/>
              </w:rPr>
            </w:pPr>
          </w:p>
        </w:tc>
        <w:tc>
          <w:tcPr>
            <w:tcW w:w="5200" w:type="dxa"/>
            <w:vAlign w:val="bottom"/>
          </w:tcPr>
          <w:p>
            <w:pPr>
              <w:spacing w:after="0"/>
              <w:rPr>
                <w:sz w:val="22"/>
                <w:szCs w:val="22"/>
                <w:color w:val="auto"/>
              </w:rPr>
            </w:pPr>
          </w:p>
        </w:tc>
        <w:tc>
          <w:tcPr>
            <w:tcW w:w="29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220" w:type="dxa"/>
            <w:vAlign w:val="bottom"/>
          </w:tcPr>
          <w:p>
            <w:pPr>
              <w:spacing w:after="0"/>
              <w:rPr>
                <w:sz w:val="22"/>
                <w:szCs w:val="22"/>
                <w:color w:val="auto"/>
              </w:rPr>
            </w:pPr>
          </w:p>
        </w:tc>
        <w:tc>
          <w:tcPr>
            <w:tcW w:w="12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0" w:type="dxa"/>
            <w:vAlign w:val="bottom"/>
          </w:tcPr>
          <w:p>
            <w:pPr>
              <w:spacing w:after="0"/>
              <w:rPr>
                <w:sz w:val="1"/>
                <w:szCs w:val="1"/>
                <w:color w:val="auto"/>
              </w:rPr>
            </w:pPr>
          </w:p>
        </w:tc>
      </w:tr>
      <w:tr>
        <w:trPr>
          <w:trHeight w:val="241"/>
        </w:trPr>
        <w:tc>
          <w:tcPr>
            <w:tcW w:w="40" w:type="dxa"/>
            <w:vAlign w:val="bottom"/>
          </w:tcPr>
          <w:p>
            <w:pPr>
              <w:spacing w:after="0"/>
              <w:rPr>
                <w:sz w:val="20"/>
                <w:szCs w:val="20"/>
                <w:color w:val="auto"/>
              </w:rPr>
            </w:pPr>
          </w:p>
        </w:tc>
        <w:tc>
          <w:tcPr>
            <w:tcW w:w="5200" w:type="dxa"/>
            <w:vAlign w:val="bottom"/>
            <w:tcBorders>
              <w:bottom w:val="single" w:sz="8" w:color="CCEEFF"/>
            </w:tcBorders>
          </w:tcPr>
          <w:p>
            <w:pPr>
              <w:spacing w:after="0"/>
              <w:rPr>
                <w:sz w:val="20"/>
                <w:szCs w:val="20"/>
                <w:color w:val="auto"/>
              </w:rPr>
            </w:pPr>
          </w:p>
        </w:tc>
        <w:tc>
          <w:tcPr>
            <w:tcW w:w="294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Bonus</w:t>
            </w:r>
          </w:p>
        </w:tc>
        <w:tc>
          <w:tcPr>
            <w:tcW w:w="29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32,140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Retirement</w:t>
            </w:r>
          </w:p>
        </w:tc>
        <w:tc>
          <w:tcPr>
            <w:tcW w:w="2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67,794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48,169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Vacation</w:t>
            </w:r>
          </w:p>
        </w:tc>
        <w:tc>
          <w:tcPr>
            <w:tcW w:w="29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205,298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206,199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29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55,887</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88,226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52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accrued compensation and benefits</w:t>
            </w:r>
          </w:p>
        </w:tc>
        <w:tc>
          <w:tcPr>
            <w:tcW w:w="29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361,119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438,634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200" w:type="dxa"/>
            <w:vAlign w:val="bottom"/>
            <w:tcBorders>
              <w:top w:val="single" w:sz="8" w:color="CCEEFF"/>
            </w:tcBorders>
          </w:tcPr>
          <w:p>
            <w:pPr>
              <w:spacing w:after="0" w:line="20" w:lineRule="exact"/>
              <w:rPr>
                <w:sz w:val="1"/>
                <w:szCs w:val="1"/>
                <w:color w:val="auto"/>
              </w:rPr>
            </w:pPr>
          </w:p>
        </w:tc>
        <w:tc>
          <w:tcPr>
            <w:tcW w:w="2940" w:type="dxa"/>
            <w:vAlign w:val="bottom"/>
            <w:tcBorders>
              <w:top w:val="single" w:sz="8" w:color="CCEEFF"/>
              <w:bottom w:val="single" w:sz="8" w:color="CCEEFF"/>
            </w:tcBorders>
            <w:vMerge w:val="restart"/>
          </w:tcPr>
          <w:p>
            <w:pPr>
              <w:jc w:val="right"/>
              <w:ind w:right="2370"/>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4"/>
        </w:trPr>
        <w:tc>
          <w:tcPr>
            <w:tcW w:w="4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29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5200" w:type="dxa"/>
            <w:vAlign w:val="bottom"/>
            <w:tcBorders>
              <w:bottom w:val="single" w:sz="8" w:color="9A9A9A"/>
            </w:tcBorders>
          </w:tcPr>
          <w:p>
            <w:pPr>
              <w:spacing w:after="0"/>
              <w:rPr>
                <w:sz w:val="10"/>
                <w:szCs w:val="10"/>
                <w:color w:val="auto"/>
              </w:rPr>
            </w:pPr>
          </w:p>
        </w:tc>
        <w:tc>
          <w:tcPr>
            <w:tcW w:w="29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BOOZ ALLEN HAMILTON HOLDING CORPORATION</w:t>
      </w:r>
    </w:p>
    <w:p>
      <w:pPr>
        <w:spacing w:after="0" w:line="9" w:lineRule="exact"/>
        <w:rPr>
          <w:sz w:val="20"/>
          <w:szCs w:val="20"/>
          <w:color w:val="auto"/>
        </w:rPr>
      </w:pPr>
    </w:p>
    <w:p>
      <w:pPr>
        <w:jc w:val="both"/>
        <w:ind w:left="2100" w:right="2100" w:firstLine="10"/>
        <w:spacing w:after="0" w:line="290" w:lineRule="auto"/>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 (Amounts in tables in thousands, except share and per share data or unless otherwise noted)</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8. DEBT</w:t>
            </w: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24"/>
        </w:trPr>
        <w:tc>
          <w:tcPr>
            <w:tcW w:w="51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Debt consisted of the following:</w:t>
            </w: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24"/>
        </w:trPr>
        <w:tc>
          <w:tcPr>
            <w:tcW w:w="5180" w:type="dxa"/>
            <w:vAlign w:val="bottom"/>
          </w:tcPr>
          <w:p>
            <w:pPr>
              <w:spacing w:after="0"/>
              <w:rPr>
                <w:sz w:val="24"/>
                <w:szCs w:val="24"/>
                <w:color w:val="auto"/>
              </w:rPr>
            </w:pPr>
          </w:p>
        </w:tc>
        <w:tc>
          <w:tcPr>
            <w:tcW w:w="2920" w:type="dxa"/>
            <w:vAlign w:val="bottom"/>
            <w:tcBorders>
              <w:bottom w:val="single" w:sz="8" w:color="auto"/>
            </w:tcBorders>
            <w:gridSpan w:val="4"/>
          </w:tcPr>
          <w:p>
            <w:pPr>
              <w:ind w:left="94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120" w:type="dxa"/>
            <w:vAlign w:val="bottom"/>
          </w:tcPr>
          <w:p>
            <w:pPr>
              <w:spacing w:after="0"/>
              <w:rPr>
                <w:sz w:val="24"/>
                <w:szCs w:val="24"/>
                <w:color w:val="auto"/>
              </w:rPr>
            </w:pPr>
          </w:p>
        </w:tc>
        <w:tc>
          <w:tcPr>
            <w:tcW w:w="2920" w:type="dxa"/>
            <w:vAlign w:val="bottom"/>
            <w:tcBorders>
              <w:bottom w:val="single" w:sz="8" w:color="auto"/>
            </w:tcBorders>
            <w:gridSpan w:val="4"/>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March 31, 2022</w:t>
            </w:r>
          </w:p>
        </w:tc>
      </w:tr>
      <w:tr>
        <w:trPr>
          <w:trHeight w:val="169"/>
        </w:trPr>
        <w:tc>
          <w:tcPr>
            <w:tcW w:w="5180" w:type="dxa"/>
            <w:vAlign w:val="bottom"/>
          </w:tcPr>
          <w:p>
            <w:pPr>
              <w:spacing w:after="0"/>
              <w:rPr>
                <w:sz w:val="14"/>
                <w:szCs w:val="14"/>
                <w:color w:val="auto"/>
              </w:rPr>
            </w:pPr>
          </w:p>
        </w:tc>
        <w:tc>
          <w:tcPr>
            <w:tcW w:w="1580" w:type="dxa"/>
            <w:vAlign w:val="bottom"/>
            <w:gridSpan w:val="2"/>
          </w:tcPr>
          <w:p>
            <w:pPr>
              <w:ind w:left="440"/>
              <w:spacing w:after="0" w:line="169" w:lineRule="exact"/>
              <w:rPr>
                <w:sz w:val="20"/>
                <w:szCs w:val="20"/>
                <w:color w:val="auto"/>
              </w:rPr>
            </w:pPr>
            <w:r>
              <w:rPr>
                <w:rFonts w:ascii="Times New Roman" w:cs="Times New Roman" w:eastAsia="Times New Roman" w:hAnsi="Times New Roman"/>
                <w:sz w:val="18"/>
                <w:szCs w:val="18"/>
                <w:b w:val="1"/>
                <w:bCs w:val="1"/>
                <w:color w:val="auto"/>
              </w:rPr>
              <w:t>Interest</w:t>
            </w:r>
          </w:p>
        </w:tc>
        <w:tc>
          <w:tcPr>
            <w:tcW w:w="140" w:type="dxa"/>
            <w:vAlign w:val="bottom"/>
          </w:tcPr>
          <w:p>
            <w:pPr>
              <w:spacing w:after="0"/>
              <w:rPr>
                <w:sz w:val="14"/>
                <w:szCs w:val="14"/>
                <w:color w:val="auto"/>
              </w:rPr>
            </w:pPr>
          </w:p>
        </w:tc>
        <w:tc>
          <w:tcPr>
            <w:tcW w:w="1200" w:type="dxa"/>
            <w:vAlign w:val="bottom"/>
          </w:tcPr>
          <w:p>
            <w:pPr>
              <w:jc w:val="right"/>
              <w:ind w:right="90"/>
              <w:spacing w:after="0" w:line="169" w:lineRule="exact"/>
              <w:rPr>
                <w:sz w:val="20"/>
                <w:szCs w:val="20"/>
                <w:color w:val="auto"/>
              </w:rPr>
            </w:pPr>
            <w:r>
              <w:rPr>
                <w:rFonts w:ascii="Times New Roman" w:cs="Times New Roman" w:eastAsia="Times New Roman" w:hAnsi="Times New Roman"/>
                <w:sz w:val="18"/>
                <w:szCs w:val="18"/>
                <w:b w:val="1"/>
                <w:bCs w:val="1"/>
                <w:color w:val="auto"/>
              </w:rPr>
              <w:t>Outstanding</w:t>
            </w:r>
          </w:p>
        </w:tc>
        <w:tc>
          <w:tcPr>
            <w:tcW w:w="120" w:type="dxa"/>
            <w:vAlign w:val="bottom"/>
          </w:tcPr>
          <w:p>
            <w:pPr>
              <w:spacing w:after="0"/>
              <w:rPr>
                <w:sz w:val="14"/>
                <w:szCs w:val="14"/>
                <w:color w:val="auto"/>
              </w:rPr>
            </w:pPr>
          </w:p>
        </w:tc>
        <w:tc>
          <w:tcPr>
            <w:tcW w:w="1720" w:type="dxa"/>
            <w:vAlign w:val="bottom"/>
            <w:gridSpan w:val="3"/>
          </w:tcPr>
          <w:p>
            <w:pPr>
              <w:jc w:val="right"/>
              <w:ind w:right="590"/>
              <w:spacing w:after="0" w:line="169" w:lineRule="exact"/>
              <w:rPr>
                <w:sz w:val="20"/>
                <w:szCs w:val="20"/>
                <w:color w:val="auto"/>
              </w:rPr>
            </w:pPr>
            <w:r>
              <w:rPr>
                <w:rFonts w:ascii="Times New Roman" w:cs="Times New Roman" w:eastAsia="Times New Roman" w:hAnsi="Times New Roman"/>
                <w:sz w:val="18"/>
                <w:szCs w:val="18"/>
                <w:b w:val="1"/>
                <w:bCs w:val="1"/>
                <w:color w:val="auto"/>
              </w:rPr>
              <w:t>Interest</w:t>
            </w:r>
          </w:p>
        </w:tc>
        <w:tc>
          <w:tcPr>
            <w:tcW w:w="1200" w:type="dxa"/>
            <w:vAlign w:val="bottom"/>
          </w:tcPr>
          <w:p>
            <w:pPr>
              <w:jc w:val="right"/>
              <w:ind w:right="90"/>
              <w:spacing w:after="0" w:line="169" w:lineRule="exact"/>
              <w:rPr>
                <w:sz w:val="20"/>
                <w:szCs w:val="20"/>
                <w:color w:val="auto"/>
              </w:rPr>
            </w:pPr>
            <w:r>
              <w:rPr>
                <w:rFonts w:ascii="Times New Roman" w:cs="Times New Roman" w:eastAsia="Times New Roman" w:hAnsi="Times New Roman"/>
                <w:sz w:val="18"/>
                <w:szCs w:val="18"/>
                <w:b w:val="1"/>
                <w:bCs w:val="1"/>
                <w:color w:val="auto"/>
              </w:rPr>
              <w:t>Outstanding</w:t>
            </w:r>
          </w:p>
        </w:tc>
      </w:tr>
      <w:tr>
        <w:trPr>
          <w:trHeight w:val="241"/>
        </w:trPr>
        <w:tc>
          <w:tcPr>
            <w:tcW w:w="5180" w:type="dxa"/>
            <w:vAlign w:val="bottom"/>
          </w:tcPr>
          <w:p>
            <w:pPr>
              <w:spacing w:after="0"/>
              <w:rPr>
                <w:sz w:val="20"/>
                <w:szCs w:val="20"/>
                <w:color w:val="auto"/>
              </w:rPr>
            </w:pPr>
          </w:p>
        </w:tc>
        <w:tc>
          <w:tcPr>
            <w:tcW w:w="1580" w:type="dxa"/>
            <w:vAlign w:val="bottom"/>
            <w:gridSpan w:val="2"/>
          </w:tcPr>
          <w:p>
            <w:pPr>
              <w:ind w:left="560"/>
              <w:spacing w:after="0"/>
              <w:rPr>
                <w:sz w:val="20"/>
                <w:szCs w:val="20"/>
                <w:color w:val="auto"/>
              </w:rPr>
            </w:pPr>
            <w:r>
              <w:rPr>
                <w:rFonts w:ascii="Times New Roman" w:cs="Times New Roman" w:eastAsia="Times New Roman" w:hAnsi="Times New Roman"/>
                <w:sz w:val="18"/>
                <w:szCs w:val="18"/>
                <w:b w:val="1"/>
                <w:bCs w:val="1"/>
                <w:color w:val="auto"/>
              </w:rPr>
              <w:t>Rate</w:t>
            </w:r>
          </w:p>
        </w:tc>
        <w:tc>
          <w:tcPr>
            <w:tcW w:w="140" w:type="dxa"/>
            <w:vAlign w:val="bottom"/>
          </w:tcPr>
          <w:p>
            <w:pPr>
              <w:spacing w:after="0"/>
              <w:rPr>
                <w:sz w:val="20"/>
                <w:szCs w:val="20"/>
                <w:color w:val="auto"/>
              </w:rPr>
            </w:pPr>
          </w:p>
        </w:tc>
        <w:tc>
          <w:tcPr>
            <w:tcW w:w="12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120" w:type="dxa"/>
            <w:vAlign w:val="bottom"/>
          </w:tcPr>
          <w:p>
            <w:pPr>
              <w:spacing w:after="0"/>
              <w:rPr>
                <w:sz w:val="20"/>
                <w:szCs w:val="20"/>
                <w:color w:val="auto"/>
              </w:rPr>
            </w:pPr>
          </w:p>
        </w:tc>
        <w:tc>
          <w:tcPr>
            <w:tcW w:w="1720" w:type="dxa"/>
            <w:vAlign w:val="bottom"/>
            <w:gridSpan w:val="3"/>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Rate</w:t>
            </w:r>
          </w:p>
        </w:tc>
        <w:tc>
          <w:tcPr>
            <w:tcW w:w="12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Balance</w:t>
            </w:r>
          </w:p>
        </w:tc>
      </w:tr>
      <w:tr>
        <w:trPr>
          <w:trHeight w:val="225"/>
        </w:trPr>
        <w:tc>
          <w:tcPr>
            <w:tcW w:w="5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 A</w:t>
            </w:r>
          </w:p>
        </w:tc>
        <w:tc>
          <w:tcPr>
            <w:tcW w:w="1460" w:type="dxa"/>
            <w:vAlign w:val="bottom"/>
            <w:tcBorders>
              <w:top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w w:val="97"/>
              </w:rPr>
              <w:t>2.31 %</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1,225,276</w:t>
            </w:r>
          </w:p>
        </w:tc>
        <w:tc>
          <w:tcPr>
            <w:tcW w:w="12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1.71 %</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1,241,398</w:t>
            </w:r>
          </w:p>
        </w:tc>
      </w:tr>
      <w:tr>
        <w:trPr>
          <w:trHeight w:val="230"/>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Loan B</w:t>
            </w:r>
          </w:p>
        </w:tc>
        <w:tc>
          <w:tcPr>
            <w:tcW w:w="146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97"/>
              </w:rPr>
              <w:t>2.81 %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379,348</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2.21 %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380,321</w:t>
            </w:r>
          </w:p>
        </w:tc>
      </w:tr>
      <w:tr>
        <w:trPr>
          <w:trHeight w:val="229"/>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 due 2028</w:t>
            </w:r>
          </w:p>
        </w:tc>
        <w:tc>
          <w:tcPr>
            <w:tcW w:w="14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w w:val="97"/>
              </w:rPr>
              <w:t>3.88 %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700,000</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700,000</w:t>
            </w:r>
          </w:p>
        </w:tc>
      </w:tr>
      <w:tr>
        <w:trPr>
          <w:trHeight w:val="230"/>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 due 2029</w:t>
            </w:r>
          </w:p>
        </w:tc>
        <w:tc>
          <w:tcPr>
            <w:tcW w:w="146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97"/>
              </w:rPr>
              <w:t>4.00 %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4.00 %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r>
      <w:tr>
        <w:trPr>
          <w:trHeight w:val="229"/>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Unamortized debt issuance costs and discount on debt</w:t>
            </w: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(20,748)</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(21,647)</w:t>
            </w:r>
          </w:p>
        </w:tc>
      </w:tr>
      <w:tr>
        <w:trPr>
          <w:trHeight w:val="223"/>
        </w:trPr>
        <w:tc>
          <w:tcPr>
            <w:tcW w:w="5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2,783,876</w:t>
            </w: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2,800,072</w:t>
            </w:r>
          </w:p>
        </w:tc>
      </w:tr>
      <w:tr>
        <w:trPr>
          <w:trHeight w:val="230"/>
        </w:trPr>
        <w:tc>
          <w:tcPr>
            <w:tcW w:w="5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(68,379)</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(68,379)</w:t>
            </w:r>
          </w:p>
        </w:tc>
      </w:tr>
      <w:tr>
        <w:trPr>
          <w:trHeight w:val="223"/>
        </w:trPr>
        <w:tc>
          <w:tcPr>
            <w:tcW w:w="518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Long-term debt, net of current portion</w:t>
            </w: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2,715,497</w:t>
            </w: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2,731,693</w:t>
            </w:r>
          </w:p>
        </w:tc>
      </w:tr>
      <w:tr>
        <w:trPr>
          <w:trHeight w:val="21"/>
        </w:trPr>
        <w:tc>
          <w:tcPr>
            <w:tcW w:w="5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Agreement</w:t>
      </w:r>
    </w:p>
    <w:p>
      <w:pPr>
        <w:spacing w:after="0" w:line="108" w:lineRule="exact"/>
        <w:rPr>
          <w:sz w:val="20"/>
          <w:szCs w:val="20"/>
          <w:color w:val="auto"/>
        </w:rPr>
      </w:pPr>
    </w:p>
    <w:p>
      <w:pPr>
        <w:ind w:right="40" w:firstLine="405"/>
        <w:spacing w:after="0" w:line="237" w:lineRule="auto"/>
        <w:rPr>
          <w:sz w:val="20"/>
          <w:szCs w:val="20"/>
          <w:color w:val="auto"/>
        </w:rPr>
      </w:pPr>
      <w:r>
        <w:rPr>
          <w:rFonts w:ascii="Times New Roman" w:cs="Times New Roman" w:eastAsia="Times New Roman" w:hAnsi="Times New Roman"/>
          <w:sz w:val="18"/>
          <w:szCs w:val="18"/>
          <w:color w:val="auto"/>
        </w:rPr>
        <w:t>As of June 30, 2022, the Credit Agreement provided Booz Allen Hamilton Inc. ("Booz Allen Hamilton") with a $1,225.3 million Term Loan A ("Term Loan A"), a $379.3 million Term Loan B ("Term Loan B", and, together with Term Loan A, the "Term Loans"), and a $1,000.0 million revolving credit facility (the "Revolving Credit Facility"), with a sub-limit for letters of credit of $200.0 million (collectively, the "Secured Credit Facility"). As of June 30, 2022, the maturity date of Term Loan A and Term Loan B are June 24, 2026 and November 26, 2026, respectively. Booz Allen Hamilton’s obligations and the guarantors’ guarantees under the Credit Agreement (the "Guarantee") are secured by a first priority lien on substantially all of the assets (including capital stock of subsidiaries) of Booz Allen Hamilton, Booz Allen Hamilton Investor Corporation, and the subsidiary guarantors, subject to certain exceptions set forth in the Credit Agreement and related documentation.</w:t>
      </w:r>
    </w:p>
    <w:p>
      <w:pPr>
        <w:spacing w:after="0" w:line="81" w:lineRule="exact"/>
        <w:rPr>
          <w:sz w:val="20"/>
          <w:szCs w:val="20"/>
          <w:color w:val="auto"/>
        </w:rPr>
      </w:pPr>
    </w:p>
    <w:p>
      <w:pPr>
        <w:ind w:right="80" w:firstLine="405"/>
        <w:spacing w:after="0" w:line="260" w:lineRule="auto"/>
        <w:rPr>
          <w:sz w:val="20"/>
          <w:szCs w:val="20"/>
          <w:color w:val="auto"/>
        </w:rPr>
      </w:pPr>
      <w:r>
        <w:rPr>
          <w:rFonts w:ascii="Times New Roman" w:cs="Times New Roman" w:eastAsia="Times New Roman" w:hAnsi="Times New Roman"/>
          <w:sz w:val="17"/>
          <w:szCs w:val="17"/>
          <w:color w:val="auto"/>
        </w:rPr>
        <w:t>At Booz Allen Hamilton’s option, borrowings under the Secured Credit Facility bear interest based either at LIBOR (adjusted for maximum reserves, and subject to a floor of zero) for the applicable interest period or a base rate (equal to the highest of (i) the administrative agent’s prime corporate rate,</w:t>
      </w:r>
    </w:p>
    <w:p>
      <w:pPr>
        <w:spacing w:after="0" w:line="1" w:lineRule="exact"/>
        <w:rPr>
          <w:sz w:val="20"/>
          <w:szCs w:val="20"/>
          <w:color w:val="auto"/>
        </w:rPr>
      </w:pPr>
    </w:p>
    <w:p>
      <w:pPr>
        <w:ind w:right="80" w:firstLine="8"/>
        <w:spacing w:after="0" w:line="234" w:lineRule="auto"/>
        <w:tabs>
          <w:tab w:leader="none" w:pos="26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overnight federal funds rate plus 0.50%, and (iii) three-month LIBOR (adjusted for maximum reserves, and subject to a floor of zero) plus 1.00%), in each case plus an applicable margin as determined by the pricing grid, payable at the end of the applicable interest period and in any event at least quarterly. The applicable margin for Term Loan A and borrowings under the Revolving Credit Facility ranges from 1.125% to 2.00% for LIBOR loans and 0.125% to 1.00% for base rate loans, in each case based on Booz Allen Hamilton’s consolidated total net leverage ratio. Unused commitments under the Revolving Credit Facility are subject to a quarterly fee ranging from 0.175% to 0.35% based on Booz Allen Hamilton’s consolidated total net leverage ratio. Booz Allen Hamilton also agreed to pay customary letter of credit and agency fees. The applicable margin for Term Loan B is 1.75% for LIBOR loans and 0.75% for base rate loans.</w:t>
      </w:r>
    </w:p>
    <w:p>
      <w:pPr>
        <w:spacing w:after="0" w:line="93" w:lineRule="exact"/>
        <w:rPr>
          <w:sz w:val="20"/>
          <w:szCs w:val="20"/>
          <w:color w:val="auto"/>
        </w:rPr>
      </w:pPr>
    </w:p>
    <w:p>
      <w:pPr>
        <w:ind w:right="320" w:firstLine="405"/>
        <w:spacing w:after="0" w:line="282" w:lineRule="auto"/>
        <w:rPr>
          <w:sz w:val="20"/>
          <w:szCs w:val="20"/>
          <w:color w:val="auto"/>
        </w:rPr>
      </w:pPr>
      <w:r>
        <w:rPr>
          <w:rFonts w:ascii="Times New Roman" w:cs="Times New Roman" w:eastAsia="Times New Roman" w:hAnsi="Times New Roman"/>
          <w:sz w:val="18"/>
          <w:szCs w:val="18"/>
          <w:color w:val="auto"/>
        </w:rPr>
        <w:t>The Credit Agreement requires quarterly principal payments of 1.25% of the stated principal amount of Term Loan A until maturity, and quarterly principal payments of 0.25% of the stated principal amount of Term Loan B until maturity.</w:t>
      </w:r>
    </w:p>
    <w:p>
      <w:pPr>
        <w:spacing w:after="0" w:line="54" w:lineRule="exact"/>
        <w:rPr>
          <w:sz w:val="20"/>
          <w:szCs w:val="20"/>
          <w:color w:val="auto"/>
        </w:rPr>
      </w:pPr>
    </w:p>
    <w:p>
      <w:pPr>
        <w:jc w:val="both"/>
        <w:ind w:right="40" w:firstLine="405"/>
        <w:spacing w:after="0" w:line="261" w:lineRule="auto"/>
        <w:rPr>
          <w:sz w:val="20"/>
          <w:szCs w:val="20"/>
          <w:color w:val="auto"/>
        </w:rPr>
      </w:pPr>
      <w:r>
        <w:rPr>
          <w:rFonts w:ascii="Times New Roman" w:cs="Times New Roman" w:eastAsia="Times New Roman" w:hAnsi="Times New Roman"/>
          <w:sz w:val="18"/>
          <w:szCs w:val="18"/>
          <w:color w:val="auto"/>
        </w:rPr>
        <w:t>The Credit Agreement contains customary representations and warranties and customary affirmative and negative covenants. In addition, Booz Allen Hamilton is required to meet certain financial covenants at each quarter end, namely consolidated net total leverage and consolidated net interest coverage ratios. As of June 30, 2022 and March 31, 2022, Booz Allen Hamilton was in compliance with all financial covenants associated with its debt and debt-like instruments.</w:t>
      </w:r>
    </w:p>
    <w:p>
      <w:pPr>
        <w:spacing w:after="0" w:line="72"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For the three months ended June 30, 2022 and 2021, interest payments of $6.3 million and $4.9 million were made for Term Loan A, respectively, and $2.4 million and $1.8 million were made for Term Loan B, respectively.</w:t>
      </w:r>
    </w:p>
    <w:p>
      <w:pPr>
        <w:spacing w:after="0" w:line="54"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Borrowings under the Term Loans, and if used, the Revolving Credit Facility, incur interest at a variable rate. As of June 30, 2022, Booz Allen Hamilton had interest rate swaps with an aggregate notional amount of $550.0 million. These instruments hedge the variability of cash outflows for interest payments on the Term Loans and Revolving Credit Facility. The Company's objectives in using cash flow hedges are to reduce volatility due to interest rate movements and to add stability to interest expense (see Note 9 to our condensed consolidated financial statements).</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BOOZ ALLEN HAMILTON HOLDING CORPORATION</w:t>
      </w:r>
    </w:p>
    <w:p>
      <w:pPr>
        <w:spacing w:after="0" w:line="9" w:lineRule="exact"/>
        <w:rPr>
          <w:sz w:val="20"/>
          <w:szCs w:val="20"/>
          <w:color w:val="auto"/>
        </w:rPr>
      </w:pPr>
    </w:p>
    <w:p>
      <w:pPr>
        <w:jc w:val="both"/>
        <w:ind w:left="2100" w:right="2100" w:firstLine="10"/>
        <w:spacing w:after="0" w:line="290" w:lineRule="auto"/>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 (Amounts in tables in thousands, except share and per share data or unless otherwise noted)</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Notes</w:t>
      </w:r>
    </w:p>
    <w:p>
      <w:pPr>
        <w:spacing w:after="0" w:line="108" w:lineRule="exact"/>
        <w:rPr>
          <w:sz w:val="20"/>
          <w:szCs w:val="20"/>
          <w:color w:val="auto"/>
        </w:rPr>
      </w:pPr>
    </w:p>
    <w:p>
      <w:pPr>
        <w:ind w:right="60" w:firstLine="405"/>
        <w:spacing w:after="0" w:line="237" w:lineRule="auto"/>
        <w:rPr>
          <w:sz w:val="20"/>
          <w:szCs w:val="20"/>
          <w:color w:val="auto"/>
        </w:rPr>
      </w:pPr>
      <w:r>
        <w:rPr>
          <w:rFonts w:ascii="Times New Roman" w:cs="Times New Roman" w:eastAsia="Times New Roman" w:hAnsi="Times New Roman"/>
          <w:sz w:val="18"/>
          <w:szCs w:val="18"/>
          <w:color w:val="auto"/>
        </w:rPr>
        <w:t>On June 17, 2021, Booz Allen Hamilton issued $500.0 million aggregate principal amounts of its 4.000% Senior Notes due July 1, 2029 (the “Senior Notes due 2029”) under an Indenture, dated as of June 17, 2021, among Booz Allen Hamilton, certain subsidiaries of Booz Allen Hamilton, as guarantors (the “2029 Subsidiary Guarantors”), and Wilmington Trust, National Association (in such capacity, the “2029 Trustee”), as supplemented by the First Supplemental Indenture, dated as of June 17, 2021, among Booz Allen Hamilton, the 2029 Subsidiary Guarantors and the 2029 Trustee. The Senior Notes due 2029 and the related guarantees are Booz Allen Hamilton’s and each 2029 Subsidiary Guarantor's senior unsecured obligations and rank equally in right of payment with all of Booz Allen Hamilton’s and the 2029 Subsidiary Guarantors’ existing and future senior indebtedness and rank senior in right of payment to any of Booz Allen Hamilton’s and the 2029 Subsidiary Guarantors’ future subordinated indebtedness. The net proceeds from the sale of the Senior Notes due 2029 were used to fund the acquisition of Liberty IT Solutions, LLC ("Liberty"), a leading digital partner driving transformation across the federal IT ecosystem, in June of 2021 and to pay related fees and expenses.</w:t>
      </w:r>
    </w:p>
    <w:p>
      <w:pPr>
        <w:spacing w:after="0" w:line="77" w:lineRule="exact"/>
        <w:rPr>
          <w:sz w:val="20"/>
          <w:szCs w:val="20"/>
          <w:color w:val="auto"/>
        </w:rPr>
      </w:pPr>
    </w:p>
    <w:p>
      <w:pPr>
        <w:ind w:right="80" w:firstLine="405"/>
        <w:spacing w:after="0" w:line="250" w:lineRule="auto"/>
        <w:rPr>
          <w:sz w:val="20"/>
          <w:szCs w:val="20"/>
          <w:color w:val="auto"/>
        </w:rPr>
      </w:pPr>
      <w:r>
        <w:rPr>
          <w:rFonts w:ascii="Times New Roman" w:cs="Times New Roman" w:eastAsia="Times New Roman" w:hAnsi="Times New Roman"/>
          <w:sz w:val="18"/>
          <w:szCs w:val="18"/>
          <w:color w:val="auto"/>
        </w:rPr>
        <w:t>Interest is payable on the Senior Notes due 2029 semi-annually in cash in arrears on July 1 and January 1 of each year, beginning on January 1, 2022. In connection with the issuance of the Senior Notes due 2029, the Company recognized $6.5 million of issuance costs, which were recorded as an offset against the carrying value of debt and will be amortized to interest expense over the term of the Senior Notes due 2029.</w:t>
      </w:r>
    </w:p>
    <w:p>
      <w:pPr>
        <w:spacing w:after="0" w:line="69" w:lineRule="exact"/>
        <w:rPr>
          <w:sz w:val="20"/>
          <w:szCs w:val="20"/>
          <w:color w:val="auto"/>
        </w:rPr>
      </w:pPr>
    </w:p>
    <w:p>
      <w:pPr>
        <w:ind w:firstLine="405"/>
        <w:spacing w:after="0" w:line="237" w:lineRule="auto"/>
        <w:rPr>
          <w:sz w:val="20"/>
          <w:szCs w:val="20"/>
          <w:color w:val="auto"/>
        </w:rPr>
      </w:pPr>
      <w:r>
        <w:rPr>
          <w:rFonts w:ascii="Times New Roman" w:cs="Times New Roman" w:eastAsia="Times New Roman" w:hAnsi="Times New Roman"/>
          <w:sz w:val="18"/>
          <w:szCs w:val="18"/>
          <w:color w:val="auto"/>
        </w:rPr>
        <w:t>On August 24, 2020, Booz Allen Hamilton issued $700.0 million aggregate principal amount of its 3.875% Senior Notes due 2028 (the “Senior Notes due 2028”, and, together with the Senior Notes due 2029, the "Senior Notes") under an Indenture, dated as of August 24, 2020, among Booz Allen Hamilton, certain subsidiaries of Booz Allen Hamilton, as guarantors (the “2028 Subsidiary Guarantors”), and Wilmington Trust, National Association as trustee (in such capacity, the “2028 Trustee”), as supplemented by the First Supplemental Indenture, dated as of August 24, 2020, among Booz Allen Hamilton, the 2028 Subsidiary Guarantors and the 2028 Trustee. Each of Booz Allen Hamilton's existing and future restricted subsidiaries that guarantee its obligations under the Secured Credit Facility or certain other indebtedness guarantee the Senior Notes due 2028 on a senior unsecured basis. The Senior Notes due 2028 and the guarantees are Booz Allen Hamilton’s and each 2028 Subsidiary Guarantors’ senior unsecured obligations and rank equally in right of payment with all of Booz Allen Hamilton’s and the 2028 Subsidiary Guarantors’ existing and future senior indebtedness and rank senior in right of payment to any of Booz Allen Hamilton’s and the Subsidiary Guarantors’ future subordinated indebtedness.</w:t>
      </w:r>
    </w:p>
    <w:p>
      <w:pPr>
        <w:spacing w:after="0" w:line="77" w:lineRule="exact"/>
        <w:rPr>
          <w:sz w:val="20"/>
          <w:szCs w:val="20"/>
          <w:color w:val="auto"/>
        </w:rPr>
      </w:pPr>
    </w:p>
    <w:p>
      <w:pPr>
        <w:ind w:right="60" w:firstLine="405"/>
        <w:spacing w:after="0" w:line="245" w:lineRule="auto"/>
        <w:rPr>
          <w:sz w:val="20"/>
          <w:szCs w:val="20"/>
          <w:color w:val="auto"/>
        </w:rPr>
      </w:pPr>
      <w:r>
        <w:rPr>
          <w:rFonts w:ascii="Times New Roman" w:cs="Times New Roman" w:eastAsia="Times New Roman" w:hAnsi="Times New Roman"/>
          <w:sz w:val="18"/>
          <w:szCs w:val="18"/>
          <w:color w:val="auto"/>
        </w:rPr>
        <w:t>Interest is payable on the Senior Notes due 2028 semi-annually on March 1 and September 1 of each year, beginning on March 1, 2021, and principal is due at maturity on September 1, 2028. In connection with the issuance of the Senior Notes due 2028, the Company recognized $9.2 million of issuance costs, which were recorded as an offset against the carrying value of debt and will be amortized to interest expense over the term of the Senior Notes due 2028.</w:t>
      </w:r>
    </w:p>
    <w:p>
      <w:pPr>
        <w:spacing w:after="0" w:line="86" w:lineRule="exact"/>
        <w:rPr>
          <w:sz w:val="20"/>
          <w:szCs w:val="20"/>
          <w:color w:val="auto"/>
        </w:rPr>
      </w:pPr>
    </w:p>
    <w:p>
      <w:pPr>
        <w:ind w:right="420" w:firstLine="405"/>
        <w:spacing w:after="0" w:line="281" w:lineRule="auto"/>
        <w:rPr>
          <w:sz w:val="20"/>
          <w:szCs w:val="20"/>
          <w:color w:val="auto"/>
        </w:rPr>
      </w:pPr>
      <w:r>
        <w:rPr>
          <w:rFonts w:ascii="Times New Roman" w:cs="Times New Roman" w:eastAsia="Times New Roman" w:hAnsi="Times New Roman"/>
          <w:sz w:val="18"/>
          <w:szCs w:val="18"/>
          <w:color w:val="auto"/>
        </w:rPr>
        <w:t>There were no changes to the Company’s outstanding debt obligations during the quarter. For additional information on the Company’s debt arrangements and default provisions, see Note 10, “Debt,” of the Company’s consolidated financial statements included in the fiscal 2022 Form 10-K.</w:t>
      </w:r>
    </w:p>
    <w:p>
      <w:pPr>
        <w:spacing w:after="0" w:line="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Interest on debt and debt-like instruments consisted of the following:</w:t>
      </w:r>
    </w:p>
    <w:p>
      <w:pPr>
        <w:spacing w:after="0" w:line="38" w:lineRule="exact"/>
        <w:rPr>
          <w:sz w:val="20"/>
          <w:szCs w:val="20"/>
          <w:color w:val="auto"/>
        </w:rPr>
      </w:pPr>
    </w:p>
    <w:p>
      <w:pPr>
        <w:jc w:val="center"/>
        <w:ind w:left="810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jc w:val="center"/>
        <w:ind w:left="8100"/>
        <w:spacing w:after="0"/>
        <w:rPr>
          <w:sz w:val="20"/>
          <w:szCs w:val="20"/>
          <w:color w:val="auto"/>
        </w:rPr>
      </w:pPr>
      <w:r>
        <w:rPr>
          <w:rFonts w:ascii="Times New Roman" w:cs="Times New Roman" w:eastAsia="Times New Roman" w:hAnsi="Times New Roman"/>
          <w:sz w:val="18"/>
          <w:szCs w:val="18"/>
          <w:b w:val="1"/>
          <w:bCs w:val="1"/>
          <w:color w:val="auto"/>
        </w:rPr>
        <w:t>June 30,</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140" w:type="dxa"/>
            <w:vAlign w:val="bottom"/>
            <w:tcBorders>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196"/>
        </w:trPr>
        <w:tc>
          <w:tcPr>
            <w:tcW w:w="8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0" w:type="dxa"/>
            <w:vAlign w:val="bottom"/>
            <w:shd w:val="clear" w:color="auto" w:fill="CCEEFF"/>
          </w:tcPr>
          <w:p>
            <w:pPr>
              <w:spacing w:after="0"/>
              <w:rPr>
                <w:sz w:val="17"/>
                <w:szCs w:val="17"/>
                <w:color w:val="auto"/>
              </w:rPr>
            </w:pP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Loan A Interest Expense</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6,359</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5,229</w:t>
            </w: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 B Interest Expense</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1,801</w:t>
            </w: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on Revolving Credit Facility</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 Interest Expense</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7,559</w:t>
            </w:r>
          </w:p>
        </w:tc>
      </w:tr>
      <w:tr>
        <w:trPr>
          <w:trHeight w:val="230"/>
        </w:trPr>
        <w:tc>
          <w:tcPr>
            <w:tcW w:w="81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Amortization of Debt Issuance Cost (DIC) and Original Issue Discount (OID) </w:t>
            </w:r>
            <w:r>
              <w:rPr>
                <w:rFonts w:ascii="Times New Roman" w:cs="Times New Roman" w:eastAsia="Times New Roman" w:hAnsi="Times New Roman"/>
                <w:sz w:val="23"/>
                <w:szCs w:val="23"/>
                <w:color w:val="auto"/>
                <w:vertAlign w:val="superscript"/>
              </w:rPr>
              <w:t>(1)</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w:t>
            </w: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Swap Expense</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5,443</w:t>
            </w:r>
          </w:p>
        </w:tc>
      </w:tr>
      <w:tr>
        <w:trPr>
          <w:trHeight w:val="230"/>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48"/>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Interest Expense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24,655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21,270</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jc w:val="both"/>
        <w:ind w:left="180" w:right="200" w:hanging="10"/>
        <w:spacing w:after="0" w:line="251" w:lineRule="auto"/>
        <w:tabs>
          <w:tab w:leader="none" w:pos="345" w:val="left"/>
        </w:tabs>
        <w:numPr>
          <w:ilvl w:val="0"/>
          <w:numId w:val="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DIC and OID on the Term Loans and senior notes are recorded as a reduction of long-term debt in the condensed consolidated balance sheet and are amortized ratably over the life of the related debt using the effective rate method. DIC on the Revolving Credit Facility is recorded as a long-term asset on the condensed consolidated balance sheet and amortized ratably over the term of the Revolving Credit Facility.</w:t>
      </w: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BOOZ ALLEN HAMILTON HOLDING CORPORATION</w:t>
      </w:r>
    </w:p>
    <w:p>
      <w:pPr>
        <w:spacing w:after="0" w:line="9" w:lineRule="exact"/>
        <w:rPr>
          <w:sz w:val="20"/>
          <w:szCs w:val="20"/>
          <w:color w:val="auto"/>
        </w:rPr>
      </w:pPr>
    </w:p>
    <w:p>
      <w:pPr>
        <w:jc w:val="both"/>
        <w:ind w:left="2100" w:right="2100" w:firstLine="10"/>
        <w:spacing w:after="0" w:line="290" w:lineRule="auto"/>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 (Amounts in tables in thousands, except share and per share data or unless otherwise noted)</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DERIVATIVES</w:t>
      </w:r>
    </w:p>
    <w:p>
      <w:pPr>
        <w:spacing w:after="0" w:line="121" w:lineRule="exact"/>
        <w:rPr>
          <w:sz w:val="20"/>
          <w:szCs w:val="20"/>
          <w:color w:val="auto"/>
        </w:rPr>
      </w:pPr>
    </w:p>
    <w:p>
      <w:pPr>
        <w:ind w:right="60" w:firstLine="405"/>
        <w:spacing w:after="0" w:line="258" w:lineRule="auto"/>
        <w:rPr>
          <w:sz w:val="20"/>
          <w:szCs w:val="20"/>
          <w:color w:val="auto"/>
        </w:rPr>
      </w:pPr>
      <w:r>
        <w:rPr>
          <w:rFonts w:ascii="Times New Roman" w:cs="Times New Roman" w:eastAsia="Times New Roman" w:hAnsi="Times New Roman"/>
          <w:sz w:val="18"/>
          <w:szCs w:val="18"/>
          <w:color w:val="auto"/>
        </w:rPr>
        <w:t>The Company utilizes derivative financial instruments to manage interest rate risk related to its variable rate debt. The Company’s objectives in using these interest rate derivatives, which were designated as cash flow hedges, are to manage its exposure to interest rate movements and reduce volatility of interest expense. The aggregate notional amount of all interest rate swap agreements was $550.0 million as of June 30, 2022. The swaps have staggered maturities, ranging from June 30, 2023 to June 30, 2025. These swaps mature within the last tranche of the Company's floating rate debt (November 26, 2026).</w:t>
      </w:r>
    </w:p>
    <w:p>
      <w:pPr>
        <w:spacing w:after="0" w:line="75" w:lineRule="exact"/>
        <w:rPr>
          <w:sz w:val="20"/>
          <w:szCs w:val="20"/>
          <w:color w:val="auto"/>
        </w:rPr>
      </w:pPr>
    </w:p>
    <w:p>
      <w:pPr>
        <w:ind w:right="120" w:firstLine="405"/>
        <w:spacing w:after="0" w:line="266" w:lineRule="auto"/>
        <w:rPr>
          <w:sz w:val="20"/>
          <w:szCs w:val="20"/>
          <w:color w:val="auto"/>
        </w:rPr>
      </w:pPr>
      <w:r>
        <w:rPr>
          <w:rFonts w:ascii="Times New Roman" w:cs="Times New Roman" w:eastAsia="Times New Roman" w:hAnsi="Times New Roman"/>
          <w:sz w:val="18"/>
          <w:szCs w:val="18"/>
          <w:color w:val="auto"/>
        </w:rPr>
        <w:t>The floating-to-fixed interest rate swaps involve the exchange of variable interest amounts from a counterparty for the Company making fixed-rate interest payments over the life of the agreements without exchange of the underlying notional amount and effectively convert a portion of the variable rate debt into fixed interest rate debt.</w:t>
      </w:r>
    </w:p>
    <w:p>
      <w:pPr>
        <w:spacing w:after="0" w:line="68" w:lineRule="exact"/>
        <w:rPr>
          <w:sz w:val="20"/>
          <w:szCs w:val="20"/>
          <w:color w:val="auto"/>
        </w:rPr>
      </w:pPr>
    </w:p>
    <w:p>
      <w:pPr>
        <w:ind w:right="220" w:firstLine="405"/>
        <w:spacing w:after="0" w:line="261" w:lineRule="auto"/>
        <w:rPr>
          <w:sz w:val="20"/>
          <w:szCs w:val="20"/>
          <w:color w:val="auto"/>
        </w:rPr>
      </w:pPr>
      <w:r>
        <w:rPr>
          <w:rFonts w:ascii="Times New Roman" w:cs="Times New Roman" w:eastAsia="Times New Roman" w:hAnsi="Times New Roman"/>
          <w:sz w:val="18"/>
          <w:szCs w:val="18"/>
          <w:color w:val="auto"/>
        </w:rPr>
        <w:t>Derivative instruments are recorded in the condensed consolidated balance sheet on a gross basis at estimated fair value. As of June 30, 2022, $3.4 million and $4.1 million, were classified as other current assets and other long-term assets, respectively, on the condensed consolidated balance sheet. As of March 31, 2022, $4.1 million, $4.3 million and $39 thousand were classified as other long-term assets, other current liabilities, and other long-term liabilities, respectively, on the condensed consolidated balance sheet.</w:t>
      </w:r>
    </w:p>
    <w:p>
      <w:pPr>
        <w:spacing w:after="0" w:line="72" w:lineRule="exact"/>
        <w:rPr>
          <w:sz w:val="20"/>
          <w:szCs w:val="20"/>
          <w:color w:val="auto"/>
        </w:rPr>
      </w:pPr>
    </w:p>
    <w:p>
      <w:pPr>
        <w:ind w:right="100" w:firstLine="405"/>
        <w:spacing w:after="0" w:line="261" w:lineRule="auto"/>
        <w:rPr>
          <w:sz w:val="20"/>
          <w:szCs w:val="20"/>
          <w:color w:val="auto"/>
        </w:rPr>
      </w:pPr>
      <w:r>
        <w:rPr>
          <w:rFonts w:ascii="Times New Roman" w:cs="Times New Roman" w:eastAsia="Times New Roman" w:hAnsi="Times New Roman"/>
          <w:sz w:val="18"/>
          <w:szCs w:val="18"/>
          <w:color w:val="auto"/>
        </w:rPr>
        <w:t>For interest rate swaps designated as cash flow hedges, the changes in the fair value of derivatives is recorded in Accumulated Other Comprehensive Loss, or AOCL, net of taxes, and is subsequently reclassified into interest expense in the period that the hedged forecasted interest payments are made on the Company's variable-rate debt. The effect of derivative instruments on the accompanying condensed consolidated financial statements for the three months ended June 30, 2022 and 2021 is as follows:</w:t>
      </w:r>
    </w:p>
    <w:p>
      <w:pPr>
        <w:spacing w:after="0" w:line="54"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p>
      <w:pPr>
        <w:sectPr>
          <w:pgSz w:w="11900" w:h="16838" w:orient="portrait"/>
          <w:cols w:equalWidth="0" w:num="1">
            <w:col w:w="11240"/>
          </w:cols>
          <w:pgMar w:left="320" w:top="121" w:right="339" w:bottom="1440" w:gutter="0" w:footer="0" w:header="0"/>
        </w:sectPr>
      </w:pPr>
    </w:p>
    <w:p>
      <w:pPr>
        <w:spacing w:after="0" w:line="27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8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Derivatives in Cash Flow Hedging</w:t>
            </w:r>
          </w:p>
        </w:tc>
        <w:tc>
          <w:tcPr>
            <w:tcW w:w="218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Location of Gain or Loss</w:t>
            </w:r>
          </w:p>
        </w:tc>
        <w:tc>
          <w:tcPr>
            <w:tcW w:w="0" w:type="dxa"/>
            <w:vAlign w:val="bottom"/>
          </w:tcPr>
          <w:p>
            <w:pPr>
              <w:spacing w:after="0"/>
              <w:rPr>
                <w:sz w:val="1"/>
                <w:szCs w:val="1"/>
                <w:color w:val="auto"/>
              </w:rPr>
            </w:pPr>
          </w:p>
        </w:tc>
      </w:tr>
      <w:tr>
        <w:trPr>
          <w:trHeight w:val="176"/>
        </w:trPr>
        <w:tc>
          <w:tcPr>
            <w:tcW w:w="2880" w:type="dxa"/>
            <w:vAlign w:val="bottom"/>
            <w:vMerge w:val="continue"/>
          </w:tcPr>
          <w:p>
            <w:pPr>
              <w:spacing w:after="0"/>
              <w:rPr>
                <w:sz w:val="15"/>
                <w:szCs w:val="15"/>
                <w:color w:val="auto"/>
              </w:rPr>
            </w:pPr>
          </w:p>
        </w:tc>
        <w:tc>
          <w:tcPr>
            <w:tcW w:w="2180" w:type="dxa"/>
            <w:vAlign w:val="bottom"/>
          </w:tcPr>
          <w:p>
            <w:pPr>
              <w:jc w:val="center"/>
              <w:ind w:left="170"/>
              <w:spacing w:after="0" w:line="176" w:lineRule="exact"/>
              <w:rPr>
                <w:sz w:val="20"/>
                <w:szCs w:val="20"/>
                <w:color w:val="auto"/>
              </w:rPr>
            </w:pPr>
            <w:r>
              <w:rPr>
                <w:rFonts w:ascii="Times New Roman" w:cs="Times New Roman" w:eastAsia="Times New Roman" w:hAnsi="Times New Roman"/>
                <w:sz w:val="18"/>
                <w:szCs w:val="18"/>
                <w:b w:val="1"/>
                <w:bCs w:val="1"/>
                <w:color w:val="auto"/>
                <w:w w:val="99"/>
              </w:rPr>
              <w:t>Recognized in Income on</w:t>
            </w:r>
          </w:p>
        </w:tc>
        <w:tc>
          <w:tcPr>
            <w:tcW w:w="0" w:type="dxa"/>
            <w:vAlign w:val="bottom"/>
          </w:tcPr>
          <w:p>
            <w:pPr>
              <w:spacing w:after="0"/>
              <w:rPr>
                <w:sz w:val="1"/>
                <w:szCs w:val="1"/>
                <w:color w:val="auto"/>
              </w:rPr>
            </w:pPr>
          </w:p>
        </w:tc>
      </w:tr>
      <w:tr>
        <w:trPr>
          <w:trHeight w:val="243"/>
        </w:trPr>
        <w:tc>
          <w:tcPr>
            <w:tcW w:w="2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Relationships</w:t>
            </w:r>
          </w:p>
        </w:tc>
        <w:tc>
          <w:tcPr>
            <w:tcW w:w="218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Derivatives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9"/>
        </w:trPr>
        <w:tc>
          <w:tcPr>
            <w:tcW w:w="2640" w:type="dxa"/>
            <w:vAlign w:val="bottom"/>
            <w:tcBorders>
              <w:top w:val="single" w:sz="8" w:color="auto"/>
            </w:tcBorders>
            <w:gridSpan w:val="2"/>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9"/>
              </w:rPr>
              <w:t>Amount of Pre-Tax Gain or</w:t>
            </w:r>
          </w:p>
        </w:tc>
        <w:tc>
          <w:tcPr>
            <w:tcW w:w="2640" w:type="dxa"/>
            <w:vAlign w:val="bottom"/>
            <w:tcBorders>
              <w:top w:val="single" w:sz="8" w:color="auto"/>
            </w:tcBorders>
            <w:gridSpan w:val="2"/>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9"/>
              </w:rPr>
              <w:t>Amount of Pre-Tax Gain or</w:t>
            </w:r>
          </w:p>
        </w:tc>
      </w:tr>
      <w:tr>
        <w:trPr>
          <w:trHeight w:val="179"/>
        </w:trPr>
        <w:tc>
          <w:tcPr>
            <w:tcW w:w="2640" w:type="dxa"/>
            <w:vAlign w:val="bottom"/>
            <w:gridSpan w:val="2"/>
          </w:tcPr>
          <w:p>
            <w:pPr>
              <w:jc w:val="center"/>
              <w:spacing w:after="0" w:line="179" w:lineRule="exact"/>
              <w:rPr>
                <w:sz w:val="20"/>
                <w:szCs w:val="20"/>
                <w:color w:val="auto"/>
              </w:rPr>
            </w:pPr>
            <w:r>
              <w:rPr>
                <w:rFonts w:ascii="Times New Roman" w:cs="Times New Roman" w:eastAsia="Times New Roman" w:hAnsi="Times New Roman"/>
                <w:sz w:val="18"/>
                <w:szCs w:val="18"/>
                <w:b w:val="1"/>
                <w:bCs w:val="1"/>
                <w:color w:val="auto"/>
              </w:rPr>
              <w:t>(Loss) Recognized in AOCL on</w:t>
            </w:r>
          </w:p>
        </w:tc>
        <w:tc>
          <w:tcPr>
            <w:tcW w:w="2640" w:type="dxa"/>
            <w:vAlign w:val="bottom"/>
            <w:gridSpan w:val="2"/>
          </w:tcPr>
          <w:p>
            <w:pPr>
              <w:jc w:val="center"/>
              <w:spacing w:after="0" w:line="179" w:lineRule="exact"/>
              <w:rPr>
                <w:sz w:val="20"/>
                <w:szCs w:val="20"/>
                <w:color w:val="auto"/>
              </w:rPr>
            </w:pPr>
            <w:r>
              <w:rPr>
                <w:rFonts w:ascii="Times New Roman" w:cs="Times New Roman" w:eastAsia="Times New Roman" w:hAnsi="Times New Roman"/>
                <w:sz w:val="18"/>
                <w:szCs w:val="18"/>
                <w:b w:val="1"/>
                <w:bCs w:val="1"/>
                <w:color w:val="auto"/>
              </w:rPr>
              <w:t>(Loss) Reclassified from AOCL</w:t>
            </w:r>
          </w:p>
        </w:tc>
      </w:tr>
      <w:tr>
        <w:trPr>
          <w:trHeight w:val="240"/>
        </w:trPr>
        <w:tc>
          <w:tcPr>
            <w:tcW w:w="8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center"/>
              <w:ind w:right="770"/>
              <w:spacing w:after="0"/>
              <w:rPr>
                <w:sz w:val="20"/>
                <w:szCs w:val="20"/>
                <w:color w:val="auto"/>
              </w:rPr>
            </w:pPr>
            <w:r>
              <w:rPr>
                <w:rFonts w:ascii="Times New Roman" w:cs="Times New Roman" w:eastAsia="Times New Roman" w:hAnsi="Times New Roman"/>
                <w:sz w:val="18"/>
                <w:szCs w:val="18"/>
                <w:b w:val="1"/>
                <w:bCs w:val="1"/>
                <w:color w:val="auto"/>
              </w:rPr>
              <w:t>Derivatives</w:t>
            </w:r>
          </w:p>
        </w:tc>
        <w:tc>
          <w:tcPr>
            <w:tcW w:w="2640" w:type="dxa"/>
            <w:vAlign w:val="bottom"/>
            <w:tcBorders>
              <w:bottom w:val="single" w:sz="8" w:color="auto"/>
            </w:tcBorders>
            <w:gridSpan w:val="2"/>
          </w:tcPr>
          <w:p>
            <w:pPr>
              <w:jc w:val="center"/>
              <w:spacing w:after="0" w:line="240" w:lineRule="exact"/>
              <w:rPr>
                <w:sz w:val="20"/>
                <w:szCs w:val="20"/>
                <w:color w:val="auto"/>
              </w:rPr>
            </w:pPr>
            <w:r>
              <w:rPr>
                <w:rFonts w:ascii="Times New Roman" w:cs="Times New Roman" w:eastAsia="Times New Roman" w:hAnsi="Times New Roman"/>
                <w:sz w:val="18"/>
                <w:szCs w:val="18"/>
                <w:b w:val="1"/>
                <w:bCs w:val="1"/>
                <w:color w:val="auto"/>
                <w:w w:val="94"/>
              </w:rPr>
              <w:t xml:space="preserve">into Income </w:t>
            </w:r>
            <w:r>
              <w:rPr>
                <w:rFonts w:ascii="Times New Roman" w:cs="Times New Roman" w:eastAsia="Times New Roman" w:hAnsi="Times New Roman"/>
                <w:sz w:val="23"/>
                <w:szCs w:val="23"/>
                <w:b w:val="1"/>
                <w:bCs w:val="1"/>
                <w:color w:val="auto"/>
                <w:w w:val="94"/>
                <w:vertAlign w:val="superscript"/>
              </w:rPr>
              <w:t>(1)</w:t>
            </w:r>
          </w:p>
        </w:tc>
      </w:tr>
      <w:tr>
        <w:trPr>
          <w:trHeight w:val="236"/>
        </w:trPr>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178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3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3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-3499485</wp:posOffset>
            </wp:positionH>
            <wp:positionV relativeFrom="paragraph">
              <wp:posOffset>0</wp:posOffset>
            </wp:positionV>
            <wp:extent cx="6858000"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00" cy="154305"/>
                    </a:xfrm>
                    <a:prstGeom prst="rect">
                      <a:avLst/>
                    </a:prstGeom>
                    <a:noFill/>
                  </pic:spPr>
                </pic:pic>
              </a:graphicData>
            </a:graphic>
          </wp:anchor>
        </w:drawing>
      </w:r>
    </w:p>
    <w:p>
      <w:pPr>
        <w:spacing w:after="0" w:line="9" w:lineRule="exact"/>
        <w:rPr>
          <w:sz w:val="20"/>
          <w:szCs w:val="20"/>
          <w:color w:val="auto"/>
        </w:rPr>
      </w:pPr>
    </w:p>
    <w:p>
      <w:pPr>
        <w:sectPr>
          <w:pgSz w:w="11900" w:h="16838" w:orient="portrait"/>
          <w:cols w:equalWidth="0" w:num="2">
            <w:col w:w="5080" w:space="440"/>
            <w:col w:w="5720"/>
          </w:cols>
          <w:pgMar w:left="320" w:top="121" w:right="339" w:bottom="1440" w:gutter="0" w:footer="0" w:header="0"/>
          <w:type w:val="continuous"/>
        </w:sectPr>
      </w:pPr>
    </w:p>
    <w:p>
      <w:pPr>
        <w:ind w:left="20"/>
        <w:spacing w:after="0"/>
        <w:tabs>
          <w:tab w:leader="none" w:pos="3520" w:val="left"/>
          <w:tab w:leader="none" w:pos="5520" w:val="left"/>
          <w:tab w:leader="none" w:pos="6340" w:val="left"/>
          <w:tab w:leader="none" w:pos="7600" w:val="left"/>
          <w:tab w:leader="none" w:pos="8920" w:val="left"/>
          <w:tab w:leader="none" w:pos="10240" w:val="left"/>
        </w:tabs>
        <w:rPr>
          <w:sz w:val="20"/>
          <w:szCs w:val="20"/>
          <w:color w:val="auto"/>
        </w:rPr>
      </w:pPr>
      <w:r>
        <w:rPr>
          <w:rFonts w:ascii="Times New Roman" w:cs="Times New Roman" w:eastAsia="Times New Roman" w:hAnsi="Times New Roman"/>
          <w:sz w:val="18"/>
          <w:szCs w:val="18"/>
          <w:color w:val="auto"/>
        </w:rPr>
        <w:t>Interest rate swaps</w:t>
      </w:r>
      <w:r>
        <w:rPr>
          <w:sz w:val="20"/>
          <w:szCs w:val="20"/>
          <w:color w:val="auto"/>
        </w:rPr>
        <w:tab/>
      </w:r>
      <w:r>
        <w:rPr>
          <w:rFonts w:ascii="Times New Roman" w:cs="Times New Roman" w:eastAsia="Times New Roman" w:hAnsi="Times New Roman"/>
          <w:sz w:val="18"/>
          <w:szCs w:val="18"/>
          <w:color w:val="auto"/>
        </w:rPr>
        <w:t>Interest expense</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4,966 $</w:t>
      </w:r>
      <w:r>
        <w:rPr>
          <w:sz w:val="20"/>
          <w:szCs w:val="20"/>
          <w:color w:val="auto"/>
        </w:rPr>
        <w:tab/>
      </w:r>
      <w:r>
        <w:rPr>
          <w:rFonts w:ascii="Times New Roman" w:cs="Times New Roman" w:eastAsia="Times New Roman" w:hAnsi="Times New Roman"/>
          <w:sz w:val="18"/>
          <w:szCs w:val="18"/>
          <w:color w:val="auto"/>
        </w:rPr>
        <w:t>(1,394) $</w:t>
      </w:r>
      <w:r>
        <w:rPr>
          <w:sz w:val="20"/>
          <w:szCs w:val="20"/>
          <w:color w:val="auto"/>
        </w:rPr>
        <w:tab/>
      </w:r>
      <w:r>
        <w:rPr>
          <w:rFonts w:ascii="Times New Roman" w:cs="Times New Roman" w:eastAsia="Times New Roman" w:hAnsi="Times New Roman"/>
          <w:sz w:val="18"/>
          <w:szCs w:val="18"/>
          <w:color w:val="auto"/>
        </w:rPr>
        <w:t>(2,831) $</w:t>
      </w:r>
      <w:r>
        <w:rPr>
          <w:sz w:val="20"/>
          <w:szCs w:val="20"/>
          <w:color w:val="auto"/>
        </w:rPr>
        <w:tab/>
      </w:r>
      <w:r>
        <w:rPr>
          <w:rFonts w:ascii="Times New Roman" w:cs="Times New Roman" w:eastAsia="Times New Roman" w:hAnsi="Times New Roman"/>
          <w:sz w:val="17"/>
          <w:szCs w:val="17"/>
          <w:color w:val="auto"/>
        </w:rPr>
        <w:t>(5,443)</w:t>
      </w:r>
    </w:p>
    <w:p>
      <w:pPr>
        <w:spacing w:after="0" w:line="212" w:lineRule="exact"/>
        <w:rPr>
          <w:sz w:val="20"/>
          <w:szCs w:val="20"/>
          <w:color w:val="auto"/>
        </w:rPr>
      </w:pPr>
    </w:p>
    <w:p>
      <w:pPr>
        <w:ind w:right="400" w:firstLine="413"/>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reclassifications from accumulated other comprehensive loss to net income was reduced by taxes of $0.7 million and $1.4 million for the three months ended June 30, 2022 and 2021, respectively.</w:t>
      </w:r>
    </w:p>
    <w:p>
      <w:pPr>
        <w:spacing w:after="0" w:line="54" w:lineRule="exact"/>
        <w:rPr>
          <w:sz w:val="20"/>
          <w:szCs w:val="20"/>
          <w:color w:val="auto"/>
        </w:rPr>
      </w:pPr>
    </w:p>
    <w:p>
      <w:pPr>
        <w:ind w:right="220" w:firstLine="405"/>
        <w:spacing w:after="0" w:line="282" w:lineRule="auto"/>
        <w:rPr>
          <w:sz w:val="20"/>
          <w:szCs w:val="20"/>
          <w:color w:val="auto"/>
        </w:rPr>
      </w:pPr>
      <w:r>
        <w:rPr>
          <w:rFonts w:ascii="Times New Roman" w:cs="Times New Roman" w:eastAsia="Times New Roman" w:hAnsi="Times New Roman"/>
          <w:sz w:val="18"/>
          <w:szCs w:val="18"/>
          <w:color w:val="auto"/>
        </w:rPr>
        <w:t>Over the next 12 months, the Company estimates that $3.4 million will be reclassified as a decrease to interest expense. Cash flows associated with periodic settlements of interest rate swaps will be classified as operating activities in the condensed consolidated statement of cash flows.</w:t>
      </w:r>
    </w:p>
    <w:p>
      <w:pPr>
        <w:spacing w:after="0" w:line="54" w:lineRule="exact"/>
        <w:rPr>
          <w:sz w:val="20"/>
          <w:szCs w:val="20"/>
          <w:color w:val="auto"/>
        </w:rPr>
      </w:pPr>
    </w:p>
    <w:p>
      <w:pPr>
        <w:jc w:val="both"/>
        <w:ind w:right="120" w:firstLine="405"/>
        <w:spacing w:after="0" w:line="266" w:lineRule="auto"/>
        <w:rPr>
          <w:sz w:val="20"/>
          <w:szCs w:val="20"/>
          <w:color w:val="auto"/>
        </w:rPr>
      </w:pPr>
      <w:r>
        <w:rPr>
          <w:rFonts w:ascii="Times New Roman" w:cs="Times New Roman" w:eastAsia="Times New Roman" w:hAnsi="Times New Roman"/>
          <w:sz w:val="18"/>
          <w:szCs w:val="18"/>
          <w:color w:val="auto"/>
        </w:rPr>
        <w:t>The Company is subject to counterparty risk in connection with its interest rate swap derivative contracts. Credit risk related to a derivative financial instrument represents the possibility that the counterparty will not fulfill the terms of the contract. The Company mitigates this credit risk by entering into agreements with credit-worthy counterparties and regularly reviews its credit exposure and the creditworthiness of the counterparties.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INCOME TAXES</w:t>
      </w:r>
    </w:p>
    <w:p>
      <w:pPr>
        <w:spacing w:after="0" w:line="121" w:lineRule="exact"/>
        <w:rPr>
          <w:sz w:val="20"/>
          <w:szCs w:val="20"/>
          <w:color w:val="auto"/>
        </w:rPr>
      </w:pPr>
    </w:p>
    <w:p>
      <w:pPr>
        <w:ind w:right="240" w:firstLine="405"/>
        <w:spacing w:after="0" w:line="261" w:lineRule="auto"/>
        <w:rPr>
          <w:sz w:val="20"/>
          <w:szCs w:val="20"/>
          <w:color w:val="auto"/>
        </w:rPr>
      </w:pPr>
      <w:r>
        <w:rPr>
          <w:rFonts w:ascii="Times New Roman" w:cs="Times New Roman" w:eastAsia="Times New Roman" w:hAnsi="Times New Roman"/>
          <w:sz w:val="18"/>
          <w:szCs w:val="18"/>
          <w:color w:val="auto"/>
        </w:rPr>
        <w:t>The Company’s effective income tax rates were 23.1% and 22.9% for the three months ended June 30, 2022 and 2021. Our effective tax rates for these periods differ from the federal statutory rate 21.0% primarily due to the inclusion of state and foreign income taxes and permanent rate differences, which are predominantly related to certain executive compensation and the accrual of reserves for uncertain tax positions, offset by research and development tax credits, excess tax benefits for employee share-based compensation, and the Foreign Derived Intangible Income deduction.</w:t>
      </w:r>
    </w:p>
    <w:p>
      <w:pPr>
        <w:spacing w:after="0" w:line="72" w:lineRule="exact"/>
        <w:rPr>
          <w:sz w:val="20"/>
          <w:szCs w:val="20"/>
          <w:color w:val="auto"/>
        </w:rPr>
      </w:pPr>
    </w:p>
    <w:p>
      <w:pPr>
        <w:ind w:right="320" w:firstLine="405"/>
        <w:spacing w:after="0" w:line="282" w:lineRule="auto"/>
        <w:rPr>
          <w:sz w:val="20"/>
          <w:szCs w:val="20"/>
          <w:color w:val="auto"/>
        </w:rPr>
      </w:pPr>
      <w:r>
        <w:rPr>
          <w:rFonts w:ascii="Times New Roman" w:cs="Times New Roman" w:eastAsia="Times New Roman" w:hAnsi="Times New Roman"/>
          <w:sz w:val="18"/>
          <w:szCs w:val="18"/>
          <w:color w:val="auto"/>
        </w:rPr>
        <w:t>The Company is currently contesting tax assessments from the District of Columbia Office of Tax and Revenue ("DC OTR") for fiscal years 2013 through 2015. The assessment relates to $11.7 million of taxes, net of federal tax benefits, as of June 30, 2022.</w:t>
      </w:r>
    </w:p>
    <w:p>
      <w:pPr>
        <w:spacing w:after="0" w:line="54"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During fiscal 2022, the Company received notification that the District of Columbia Office of Administrative Hearings ruled in favor of the DC OTR. The Company is currently appealing the decision with the District of Columbia Court of Appeals. The Company intends to continue to vigorously defend this matter and filed its appellate brief on May 9, 2022. DC OTR's response brief is due August 8, 2022, absent an extension, while the Company's response brief is due August 29, 2022.</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BOOZ ALLEN HAMILTON HOLDING CORPORATION</w:t>
      </w:r>
    </w:p>
    <w:p>
      <w:pPr>
        <w:spacing w:after="0" w:line="9" w:lineRule="exact"/>
        <w:rPr>
          <w:sz w:val="20"/>
          <w:szCs w:val="20"/>
          <w:color w:val="auto"/>
        </w:rPr>
      </w:pPr>
    </w:p>
    <w:p>
      <w:pPr>
        <w:jc w:val="both"/>
        <w:ind w:left="2100" w:right="2100" w:firstLine="10"/>
        <w:spacing w:after="0" w:line="290" w:lineRule="auto"/>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 (Amounts in tables in thousands, except share and per share data or unless otherwise noted)</w:t>
      </w:r>
    </w:p>
    <w:p>
      <w:pPr>
        <w:spacing w:after="0" w:line="319" w:lineRule="exact"/>
        <w:rPr>
          <w:sz w:val="20"/>
          <w:szCs w:val="20"/>
          <w:color w:val="auto"/>
        </w:rPr>
      </w:pPr>
    </w:p>
    <w:p>
      <w:pPr>
        <w:ind w:right="120" w:firstLine="405"/>
        <w:spacing w:after="0" w:line="258" w:lineRule="auto"/>
        <w:rPr>
          <w:sz w:val="20"/>
          <w:szCs w:val="20"/>
          <w:color w:val="auto"/>
        </w:rPr>
      </w:pPr>
      <w:r>
        <w:rPr>
          <w:rFonts w:ascii="Times New Roman" w:cs="Times New Roman" w:eastAsia="Times New Roman" w:hAnsi="Times New Roman"/>
          <w:sz w:val="18"/>
          <w:szCs w:val="18"/>
          <w:color w:val="auto"/>
        </w:rPr>
        <w:t>The Company has taken similar tax positions with respect to subsequent fiscal years. As of June 30, 2022, the Company does not maintain reserves for any uncertain tax positions related to the contested tax benefits related to 2013 through 2015, nor does it maintain reserves for the similar tax positions taken in the subsequent fiscal years. Management continues to evaluate this position quarterly to determine if a change in estimate is needed. If an adverse final resolution were to occur with respect to uncertain tax positions related to the contested tax benefits or the similar tax positions taken for fiscal years 2013 through 2020, the total potential future tax expense that would arise would be approximately $40.2 million to $55.9 million, net of federal benefits.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EMPLOYEE BENEFIT PLANS</w:t>
      </w:r>
    </w:p>
    <w:p>
      <w:pPr>
        <w:spacing w:after="0" w:line="121" w:lineRule="exact"/>
        <w:rPr>
          <w:sz w:val="20"/>
          <w:szCs w:val="20"/>
          <w:color w:val="auto"/>
        </w:rPr>
      </w:pPr>
    </w:p>
    <w:p>
      <w:pPr>
        <w:ind w:right="100" w:firstLine="405"/>
        <w:spacing w:after="0" w:line="261" w:lineRule="auto"/>
        <w:rPr>
          <w:sz w:val="20"/>
          <w:szCs w:val="20"/>
          <w:color w:val="auto"/>
        </w:rPr>
      </w:pPr>
      <w:r>
        <w:rPr>
          <w:rFonts w:ascii="Times New Roman" w:cs="Times New Roman" w:eastAsia="Times New Roman" w:hAnsi="Times New Roman"/>
          <w:sz w:val="18"/>
          <w:szCs w:val="18"/>
          <w:color w:val="auto"/>
        </w:rPr>
        <w:t>The Company sponsors the Employees’ Capital Accumulation Plan, or ECAP, which is a qualified defined contribution plan that covers eligible U.S. and certain international employees. ECAP provides for distributions to participants by reason of retirement, death, disability, or termination of employment. The Company provides an annual matching contribution of up to 6% of eligible annual compensation. Total expenses recognized under ECAP were $46.2 million and $43.2 million for the three months ended June 30, 2022 and 2021, respectively.</w:t>
      </w:r>
    </w:p>
    <w:p>
      <w:pPr>
        <w:spacing w:after="0" w:line="58" w:lineRule="exact"/>
        <w:rPr>
          <w:sz w:val="20"/>
          <w:szCs w:val="20"/>
          <w:color w:val="auto"/>
        </w:rPr>
      </w:pPr>
    </w:p>
    <w:p>
      <w:pPr>
        <w:ind w:right="140" w:firstLine="405"/>
        <w:spacing w:after="0" w:line="245" w:lineRule="auto"/>
        <w:rPr>
          <w:sz w:val="20"/>
          <w:szCs w:val="20"/>
          <w:color w:val="auto"/>
        </w:rPr>
      </w:pPr>
      <w:r>
        <w:rPr>
          <w:rFonts w:ascii="Times New Roman" w:cs="Times New Roman" w:eastAsia="Times New Roman" w:hAnsi="Times New Roman"/>
          <w:sz w:val="18"/>
          <w:szCs w:val="18"/>
          <w:color w:val="auto"/>
        </w:rPr>
        <w:t>The Company also provides post-retirement healthcare benefits to former officers under a medical indemnity insurance plan, with premiums paid by the Company. As of June 30, 2022 and March 31, 2022, the unfunded status of the post-retirement medical plan was $115.0 million and $113.5 million, respectively, which is included in other long-term liabilities in the accompanying condensed consolidated balance sheets. Remaining balance sheet and income statement impacts of any benefit plans are immaterial for all periods presented in these Condensed Consolidated Financial Statements.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ACCUMULATED OTHER COMPREHENSIVE LOSS</w:t>
      </w:r>
    </w:p>
    <w:p>
      <w:pPr>
        <w:spacing w:after="0" w:line="121"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All amounts recorded in other comprehensive loss are related to the Company's post-retirement plans and interest rate swaps designated as cash flow hedges. The following table shows the changes in accumulated other comprehensive loss, net of tax:</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440" w:type="dxa"/>
            <w:vAlign w:val="bottom"/>
            <w:tcBorders>
              <w:bottom w:val="single" w:sz="8" w:color="auto"/>
            </w:tcBorders>
            <w:gridSpan w:val="5"/>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Three Months Ended June 30, 2022</w:t>
            </w:r>
          </w:p>
        </w:tc>
        <w:tc>
          <w:tcPr>
            <w:tcW w:w="0" w:type="dxa"/>
            <w:vAlign w:val="bottom"/>
          </w:tcPr>
          <w:p>
            <w:pPr>
              <w:spacing w:after="0"/>
              <w:rPr>
                <w:sz w:val="1"/>
                <w:szCs w:val="1"/>
                <w:color w:val="auto"/>
              </w:rPr>
            </w:pPr>
          </w:p>
        </w:tc>
      </w:tr>
      <w:tr>
        <w:trPr>
          <w:trHeight w:val="169"/>
        </w:trPr>
        <w:tc>
          <w:tcPr>
            <w:tcW w:w="7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Post-</w:t>
            </w:r>
          </w:p>
        </w:tc>
        <w:tc>
          <w:tcPr>
            <w:tcW w:w="120" w:type="dxa"/>
            <w:vAlign w:val="bottom"/>
          </w:tcPr>
          <w:p>
            <w:pPr>
              <w:spacing w:after="0"/>
              <w:rPr>
                <w:sz w:val="14"/>
                <w:szCs w:val="14"/>
                <w:color w:val="auto"/>
              </w:rPr>
            </w:pPr>
          </w:p>
        </w:tc>
        <w:tc>
          <w:tcPr>
            <w:tcW w:w="1120" w:type="dxa"/>
            <w:vAlign w:val="bottom"/>
          </w:tcPr>
          <w:p>
            <w:pPr>
              <w:jc w:val="center"/>
              <w:ind w:right="30"/>
              <w:spacing w:after="0" w:line="169" w:lineRule="exact"/>
              <w:rPr>
                <w:sz w:val="20"/>
                <w:szCs w:val="20"/>
                <w:color w:val="auto"/>
              </w:rPr>
            </w:pPr>
            <w:r>
              <w:rPr>
                <w:rFonts w:ascii="Times New Roman" w:cs="Times New Roman" w:eastAsia="Times New Roman" w:hAnsi="Times New Roman"/>
                <w:sz w:val="18"/>
                <w:szCs w:val="18"/>
                <w:b w:val="1"/>
                <w:bCs w:val="1"/>
                <w:color w:val="auto"/>
              </w:rPr>
              <w:t>Derivatives</w:t>
            </w: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center"/>
              <w:ind w:right="10"/>
              <w:spacing w:after="0" w:line="176" w:lineRule="exact"/>
              <w:rPr>
                <w:sz w:val="20"/>
                <w:szCs w:val="20"/>
                <w:color w:val="auto"/>
              </w:rPr>
            </w:pPr>
            <w:r>
              <w:rPr>
                <w:rFonts w:ascii="Times New Roman" w:cs="Times New Roman" w:eastAsia="Times New Roman" w:hAnsi="Times New Roman"/>
                <w:sz w:val="18"/>
                <w:szCs w:val="18"/>
                <w:b w:val="1"/>
                <w:bCs w:val="1"/>
                <w:color w:val="auto"/>
                <w:w w:val="99"/>
              </w:rPr>
              <w:t>designated as</w:t>
            </w: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jc w:val="center"/>
              <w:ind w:right="50"/>
              <w:spacing w:after="0" w:line="176" w:lineRule="exact"/>
              <w:rPr>
                <w:sz w:val="20"/>
                <w:szCs w:val="20"/>
                <w:color w:val="auto"/>
              </w:rPr>
            </w:pPr>
            <w:r>
              <w:rPr>
                <w:rFonts w:ascii="Times New Roman" w:cs="Times New Roman" w:eastAsia="Times New Roman" w:hAnsi="Times New Roman"/>
                <w:sz w:val="18"/>
                <w:szCs w:val="18"/>
                <w:b w:val="1"/>
                <w:bCs w:val="1"/>
                <w:color w:val="auto"/>
                <w:w w:val="97"/>
              </w:rPr>
              <w:t>retirement</w:t>
            </w:r>
          </w:p>
        </w:tc>
        <w:tc>
          <w:tcPr>
            <w:tcW w:w="120" w:type="dxa"/>
            <w:vAlign w:val="bottom"/>
          </w:tcPr>
          <w:p>
            <w:pPr>
              <w:spacing w:after="0"/>
              <w:rPr>
                <w:sz w:val="15"/>
                <w:szCs w:val="15"/>
                <w:color w:val="auto"/>
              </w:rPr>
            </w:pPr>
          </w:p>
        </w:tc>
        <w:tc>
          <w:tcPr>
            <w:tcW w:w="1120" w:type="dxa"/>
            <w:vAlign w:val="bottom"/>
          </w:tcPr>
          <w:p>
            <w:pPr>
              <w:jc w:val="center"/>
              <w:ind w:right="30"/>
              <w:spacing w:after="0" w:line="176" w:lineRule="exact"/>
              <w:rPr>
                <w:sz w:val="20"/>
                <w:szCs w:val="20"/>
                <w:color w:val="auto"/>
              </w:rPr>
            </w:pPr>
            <w:r>
              <w:rPr>
                <w:rFonts w:ascii="Times New Roman" w:cs="Times New Roman" w:eastAsia="Times New Roman" w:hAnsi="Times New Roman"/>
                <w:sz w:val="18"/>
                <w:szCs w:val="18"/>
                <w:b w:val="1"/>
                <w:bCs w:val="1"/>
                <w:color w:val="auto"/>
              </w:rPr>
              <w:t>cash flow</w:t>
            </w:r>
          </w:p>
        </w:tc>
        <w:tc>
          <w:tcPr>
            <w:tcW w:w="240" w:type="dxa"/>
            <w:vAlign w:val="bottom"/>
          </w:tcPr>
          <w:p>
            <w:pPr>
              <w:spacing w:after="0"/>
              <w:rPr>
                <w:sz w:val="15"/>
                <w:szCs w:val="15"/>
                <w:color w:val="auto"/>
              </w:rPr>
            </w:pPr>
          </w:p>
        </w:tc>
        <w:tc>
          <w:tcPr>
            <w:tcW w:w="94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Totals</w:t>
            </w:r>
          </w:p>
        </w:tc>
        <w:tc>
          <w:tcPr>
            <w:tcW w:w="0" w:type="dxa"/>
            <w:vAlign w:val="bottom"/>
          </w:tcPr>
          <w:p>
            <w:pPr>
              <w:spacing w:after="0"/>
              <w:rPr>
                <w:sz w:val="1"/>
                <w:szCs w:val="1"/>
                <w:color w:val="auto"/>
              </w:rPr>
            </w:pPr>
          </w:p>
        </w:tc>
      </w:tr>
      <w:tr>
        <w:trPr>
          <w:trHeight w:val="243"/>
        </w:trPr>
        <w:tc>
          <w:tcPr>
            <w:tcW w:w="764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plans</w:t>
            </w:r>
          </w:p>
        </w:tc>
        <w:tc>
          <w:tcPr>
            <w:tcW w:w="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hedges</w:t>
            </w:r>
          </w:p>
        </w:tc>
        <w:tc>
          <w:tcPr>
            <w:tcW w:w="2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of period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8,585</w:t>
            </w:r>
          </w:p>
        </w:tc>
        <w:tc>
          <w:tcPr>
            <w:tcW w:w="0" w:type="dxa"/>
            <w:vAlign w:val="bottom"/>
          </w:tcPr>
          <w:p>
            <w:pPr>
              <w:spacing w:after="0"/>
              <w:rPr>
                <w:sz w:val="1"/>
                <w:szCs w:val="1"/>
                <w:color w:val="auto"/>
              </w:rPr>
            </w:pPr>
          </w:p>
        </w:tc>
      </w:tr>
      <w:tr>
        <w:trPr>
          <w:trHeight w:val="230"/>
        </w:trPr>
        <w:tc>
          <w:tcPr>
            <w:tcW w:w="764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Other comprehensive income before reclassifications</w:t>
            </w:r>
            <w:r>
              <w:rPr>
                <w:rFonts w:ascii="Times New Roman" w:cs="Times New Roman" w:eastAsia="Times New Roman" w:hAnsi="Times New Roman"/>
                <w:sz w:val="23"/>
                <w:szCs w:val="23"/>
                <w:color w:val="auto"/>
                <w:vertAlign w:val="superscript"/>
              </w:rPr>
              <w:t>(1)</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3,668</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3,668</w:t>
            </w:r>
          </w:p>
        </w:tc>
        <w:tc>
          <w:tcPr>
            <w:tcW w:w="0" w:type="dxa"/>
            <w:vAlign w:val="bottom"/>
          </w:tcPr>
          <w:p>
            <w:pPr>
              <w:spacing w:after="0"/>
              <w:rPr>
                <w:sz w:val="1"/>
                <w:szCs w:val="1"/>
                <w:color w:val="auto"/>
              </w:rPr>
            </w:pPr>
          </w:p>
        </w:tc>
      </w:tr>
      <w:tr>
        <w:trPr>
          <w:trHeight w:val="230"/>
        </w:trPr>
        <w:tc>
          <w:tcPr>
            <w:tcW w:w="7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income (loss)</w:t>
            </w: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2,091</w:t>
            </w: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2,089</w:t>
            </w:r>
          </w:p>
        </w:tc>
        <w:tc>
          <w:tcPr>
            <w:tcW w:w="0" w:type="dxa"/>
            <w:vAlign w:val="bottom"/>
          </w:tcPr>
          <w:p>
            <w:pPr>
              <w:spacing w:after="0"/>
              <w:rPr>
                <w:sz w:val="1"/>
                <w:szCs w:val="1"/>
                <w:color w:val="auto"/>
              </w:rPr>
            </w:pPr>
          </w:p>
        </w:tc>
      </w:tr>
      <w:tr>
        <w:trPr>
          <w:trHeight w:val="223"/>
        </w:trPr>
        <w:tc>
          <w:tcPr>
            <w:tcW w:w="76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Net current-period other comprehensive income (loss)</w:t>
            </w: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5,759</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5,757</w:t>
            </w:r>
          </w:p>
        </w:tc>
        <w:tc>
          <w:tcPr>
            <w:tcW w:w="0" w:type="dxa"/>
            <w:vAlign w:val="bottom"/>
          </w:tcPr>
          <w:p>
            <w:pPr>
              <w:spacing w:after="0"/>
              <w:rPr>
                <w:sz w:val="1"/>
                <w:szCs w:val="1"/>
                <w:color w:val="auto"/>
              </w:rPr>
            </w:pPr>
          </w:p>
        </w:tc>
      </w:tr>
      <w:tr>
        <w:trPr>
          <w:trHeight w:val="248"/>
        </w:trPr>
        <w:tc>
          <w:tcPr>
            <w:tcW w:w="7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 of period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8,809</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5,533</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14,342</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right="340" w:firstLine="8"/>
        <w:spacing w:after="0" w:line="242" w:lineRule="auto"/>
        <w:tabs>
          <w:tab w:leader="none" w:pos="181" w:val="left"/>
        </w:tabs>
        <w:numPr>
          <w:ilvl w:val="0"/>
          <w:numId w:val="1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Changes in other comprehensive income before reclassification for derivatives designated as cash flow hedges are recorded net of tax benefit of $1.3 million for the three months ended June 30, 2022, respectively.</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500" w:type="dxa"/>
            <w:vAlign w:val="bottom"/>
            <w:tcBorders>
              <w:bottom w:val="single" w:sz="8" w:color="auto"/>
            </w:tcBorders>
            <w:gridSpan w:val="5"/>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Three Months Ended June 30, 2021</w:t>
            </w:r>
          </w:p>
        </w:tc>
        <w:tc>
          <w:tcPr>
            <w:tcW w:w="0" w:type="dxa"/>
            <w:vAlign w:val="bottom"/>
          </w:tcPr>
          <w:p>
            <w:pPr>
              <w:spacing w:after="0"/>
              <w:rPr>
                <w:sz w:val="1"/>
                <w:szCs w:val="1"/>
                <w:color w:val="auto"/>
              </w:rPr>
            </w:pPr>
          </w:p>
        </w:tc>
      </w:tr>
      <w:tr>
        <w:trPr>
          <w:trHeight w:val="174"/>
        </w:trPr>
        <w:tc>
          <w:tcPr>
            <w:tcW w:w="7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Post-</w:t>
            </w:r>
          </w:p>
        </w:tc>
        <w:tc>
          <w:tcPr>
            <w:tcW w:w="140" w:type="dxa"/>
            <w:vAlign w:val="bottom"/>
          </w:tcPr>
          <w:p>
            <w:pPr>
              <w:spacing w:after="0"/>
              <w:rPr>
                <w:sz w:val="15"/>
                <w:szCs w:val="15"/>
                <w:color w:val="auto"/>
              </w:rPr>
            </w:pPr>
          </w:p>
        </w:tc>
        <w:tc>
          <w:tcPr>
            <w:tcW w:w="1160" w:type="dxa"/>
            <w:vAlign w:val="bottom"/>
          </w:tcPr>
          <w:p>
            <w:pPr>
              <w:jc w:val="center"/>
              <w:ind w:right="30"/>
              <w:spacing w:after="0" w:line="174" w:lineRule="exact"/>
              <w:rPr>
                <w:sz w:val="20"/>
                <w:szCs w:val="20"/>
                <w:color w:val="auto"/>
              </w:rPr>
            </w:pPr>
            <w:r>
              <w:rPr>
                <w:rFonts w:ascii="Times New Roman" w:cs="Times New Roman" w:eastAsia="Times New Roman" w:hAnsi="Times New Roman"/>
                <w:sz w:val="18"/>
                <w:szCs w:val="18"/>
                <w:b w:val="1"/>
                <w:bCs w:val="1"/>
                <w:color w:val="auto"/>
              </w:rPr>
              <w:t>Derivatives</w:t>
            </w: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center"/>
              <w:ind w:right="50"/>
              <w:spacing w:after="0" w:line="184" w:lineRule="exact"/>
              <w:rPr>
                <w:sz w:val="20"/>
                <w:szCs w:val="20"/>
                <w:color w:val="auto"/>
              </w:rPr>
            </w:pPr>
            <w:r>
              <w:rPr>
                <w:rFonts w:ascii="Times New Roman" w:cs="Times New Roman" w:eastAsia="Times New Roman" w:hAnsi="Times New Roman"/>
                <w:sz w:val="18"/>
                <w:szCs w:val="18"/>
                <w:b w:val="1"/>
                <w:bCs w:val="1"/>
                <w:color w:val="auto"/>
                <w:w w:val="99"/>
              </w:rPr>
              <w:t>designated as</w:t>
            </w: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7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center"/>
              <w:ind w:right="50"/>
              <w:spacing w:after="0" w:line="176" w:lineRule="exact"/>
              <w:rPr>
                <w:sz w:val="20"/>
                <w:szCs w:val="20"/>
                <w:color w:val="auto"/>
              </w:rPr>
            </w:pPr>
            <w:r>
              <w:rPr>
                <w:rFonts w:ascii="Times New Roman" w:cs="Times New Roman" w:eastAsia="Times New Roman" w:hAnsi="Times New Roman"/>
                <w:sz w:val="18"/>
                <w:szCs w:val="18"/>
                <w:b w:val="1"/>
                <w:bCs w:val="1"/>
                <w:color w:val="auto"/>
                <w:w w:val="97"/>
              </w:rPr>
              <w:t>retirement</w:t>
            </w:r>
          </w:p>
        </w:tc>
        <w:tc>
          <w:tcPr>
            <w:tcW w:w="140" w:type="dxa"/>
            <w:vAlign w:val="bottom"/>
          </w:tcPr>
          <w:p>
            <w:pPr>
              <w:spacing w:after="0"/>
              <w:rPr>
                <w:sz w:val="15"/>
                <w:szCs w:val="15"/>
                <w:color w:val="auto"/>
              </w:rPr>
            </w:pPr>
          </w:p>
        </w:tc>
        <w:tc>
          <w:tcPr>
            <w:tcW w:w="1160" w:type="dxa"/>
            <w:vAlign w:val="bottom"/>
          </w:tcPr>
          <w:p>
            <w:pPr>
              <w:jc w:val="center"/>
              <w:ind w:right="30"/>
              <w:spacing w:after="0" w:line="176" w:lineRule="exact"/>
              <w:rPr>
                <w:sz w:val="20"/>
                <w:szCs w:val="20"/>
                <w:color w:val="auto"/>
              </w:rPr>
            </w:pPr>
            <w:r>
              <w:rPr>
                <w:rFonts w:ascii="Times New Roman" w:cs="Times New Roman" w:eastAsia="Times New Roman" w:hAnsi="Times New Roman"/>
                <w:sz w:val="18"/>
                <w:szCs w:val="18"/>
                <w:b w:val="1"/>
                <w:bCs w:val="1"/>
                <w:color w:val="auto"/>
              </w:rPr>
              <w:t>cash flow</w:t>
            </w:r>
          </w:p>
        </w:tc>
        <w:tc>
          <w:tcPr>
            <w:tcW w:w="240" w:type="dxa"/>
            <w:vAlign w:val="bottom"/>
          </w:tcPr>
          <w:p>
            <w:pPr>
              <w:spacing w:after="0"/>
              <w:rPr>
                <w:sz w:val="15"/>
                <w:szCs w:val="15"/>
                <w:color w:val="auto"/>
              </w:rPr>
            </w:pPr>
          </w:p>
        </w:tc>
        <w:tc>
          <w:tcPr>
            <w:tcW w:w="94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Totals</w:t>
            </w:r>
          </w:p>
        </w:tc>
        <w:tc>
          <w:tcPr>
            <w:tcW w:w="0" w:type="dxa"/>
            <w:vAlign w:val="bottom"/>
          </w:tcPr>
          <w:p>
            <w:pPr>
              <w:spacing w:after="0"/>
              <w:rPr>
                <w:sz w:val="1"/>
                <w:szCs w:val="1"/>
                <w:color w:val="auto"/>
              </w:rPr>
            </w:pPr>
          </w:p>
        </w:tc>
      </w:tr>
      <w:tr>
        <w:trPr>
          <w:trHeight w:val="229"/>
        </w:trPr>
        <w:tc>
          <w:tcPr>
            <w:tcW w:w="76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plans</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hedges</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of period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(28,209)</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(29,771)</w:t>
            </w:r>
          </w:p>
        </w:tc>
        <w:tc>
          <w:tcPr>
            <w:tcW w:w="0" w:type="dxa"/>
            <w:vAlign w:val="bottom"/>
          </w:tcPr>
          <w:p>
            <w:pPr>
              <w:spacing w:after="0"/>
              <w:rPr>
                <w:sz w:val="1"/>
                <w:szCs w:val="1"/>
                <w:color w:val="auto"/>
              </w:rPr>
            </w:pPr>
          </w:p>
        </w:tc>
      </w:tr>
      <w:tr>
        <w:trPr>
          <w:trHeight w:val="229"/>
        </w:trPr>
        <w:tc>
          <w:tcPr>
            <w:tcW w:w="760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Other comprehensive loss before reclassifications</w:t>
            </w:r>
            <w:r>
              <w:rPr>
                <w:rFonts w:ascii="Times New Roman" w:cs="Times New Roman" w:eastAsia="Times New Roman" w:hAnsi="Times New Roman"/>
                <w:sz w:val="23"/>
                <w:szCs w:val="23"/>
                <w:color w:val="auto"/>
                <w:vertAlign w:val="superscript"/>
              </w:rPr>
              <w:t>(2)</w:t>
            </w:r>
          </w:p>
        </w:tc>
        <w:tc>
          <w:tcPr>
            <w:tcW w:w="140" w:type="dxa"/>
            <w:vAlign w:val="bottom"/>
          </w:tcPr>
          <w:p>
            <w:pPr>
              <w:spacing w:after="0"/>
              <w:rPr>
                <w:sz w:val="19"/>
                <w:szCs w:val="19"/>
                <w:color w:val="auto"/>
              </w:rPr>
            </w:pPr>
          </w:p>
        </w:tc>
        <w:tc>
          <w:tcPr>
            <w:tcW w:w="102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loss</w:t>
            </w: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4,025</w:t>
            </w: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4,044</w:t>
            </w:r>
          </w:p>
        </w:tc>
        <w:tc>
          <w:tcPr>
            <w:tcW w:w="0" w:type="dxa"/>
            <w:vAlign w:val="bottom"/>
          </w:tcPr>
          <w:p>
            <w:pPr>
              <w:spacing w:after="0"/>
              <w:rPr>
                <w:sz w:val="1"/>
                <w:szCs w:val="1"/>
                <w:color w:val="auto"/>
              </w:rPr>
            </w:pPr>
          </w:p>
        </w:tc>
      </w:tr>
      <w:tr>
        <w:trPr>
          <w:trHeight w:val="223"/>
        </w:trPr>
        <w:tc>
          <w:tcPr>
            <w:tcW w:w="76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Net current-period other comprehensive income</w:t>
            </w: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2,994</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3,013</w:t>
            </w:r>
          </w:p>
        </w:tc>
        <w:tc>
          <w:tcPr>
            <w:tcW w:w="0" w:type="dxa"/>
            <w:vAlign w:val="bottom"/>
          </w:tcPr>
          <w:p>
            <w:pPr>
              <w:spacing w:after="0"/>
              <w:rPr>
                <w:sz w:val="1"/>
                <w:szCs w:val="1"/>
                <w:color w:val="auto"/>
              </w:rPr>
            </w:pPr>
          </w:p>
        </w:tc>
      </w:tr>
      <w:tr>
        <w:trPr>
          <w:trHeight w:val="248"/>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 of period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(25,215)</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(26,758)</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right="900" w:firstLine="8"/>
        <w:spacing w:after="0" w:line="287" w:lineRule="auto"/>
        <w:tabs>
          <w:tab w:leader="none" w:pos="165" w:val="left"/>
        </w:tabs>
        <w:numPr>
          <w:ilvl w:val="0"/>
          <w:numId w:val="11"/>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Changes in other comprehensive loss before reclassification for derivatives designated as cash flow hedges are recorded net of tax benefits of $0.4 million for the three months ended June 30, 2021.</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BOOZ ALLEN HAMILTON HOLDING CORPORATION</w:t>
      </w:r>
    </w:p>
    <w:p>
      <w:pPr>
        <w:spacing w:after="0" w:line="9" w:lineRule="exact"/>
        <w:rPr>
          <w:sz w:val="20"/>
          <w:szCs w:val="20"/>
          <w:color w:val="auto"/>
        </w:rPr>
      </w:pPr>
    </w:p>
    <w:p>
      <w:pPr>
        <w:jc w:val="both"/>
        <w:ind w:left="2100" w:right="2080" w:firstLine="10"/>
        <w:spacing w:after="0" w:line="290" w:lineRule="auto"/>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 (Amounts in tables in thousands, except share and per share data or unless otherwise noted)</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STOCK-BASED COMPENSATION</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stock-based compensation expense recognized in the condensed consolidated statements of operations:</w:t>
      </w:r>
    </w:p>
    <w:p>
      <w:pPr>
        <w:spacing w:after="0" w:line="92" w:lineRule="exact"/>
        <w:rPr>
          <w:sz w:val="20"/>
          <w:szCs w:val="20"/>
          <w:color w:val="auto"/>
        </w:rPr>
      </w:pPr>
    </w:p>
    <w:p>
      <w:pPr>
        <w:jc w:val="center"/>
        <w:ind w:left="758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jc w:val="center"/>
        <w:ind w:left="7580"/>
        <w:spacing w:after="0"/>
        <w:rPr>
          <w:sz w:val="20"/>
          <w:szCs w:val="20"/>
          <w:color w:val="auto"/>
        </w:rPr>
      </w:pPr>
      <w:r>
        <w:rPr>
          <w:rFonts w:ascii="Times New Roman" w:cs="Times New Roman" w:eastAsia="Times New Roman" w:hAnsi="Times New Roman"/>
          <w:sz w:val="18"/>
          <w:szCs w:val="18"/>
          <w:b w:val="1"/>
          <w:bCs w:val="1"/>
          <w:color w:val="auto"/>
        </w:rPr>
        <w:t>June 30,</w:t>
      </w:r>
    </w:p>
    <w:p>
      <w:pPr>
        <w:spacing w:after="0" w:line="7" w:lineRule="exact"/>
        <w:rPr>
          <w:sz w:val="20"/>
          <w:szCs w:val="20"/>
          <w:color w:val="auto"/>
        </w:rPr>
      </w:pPr>
    </w:p>
    <w:tbl>
      <w:tblPr>
        <w:tblLayout w:type="fixed"/>
        <w:tblInd w:w="340" w:type="dxa"/>
        <w:tblCellMar>
          <w:top w:w="0" w:type="dxa"/>
          <w:left w:w="0" w:type="dxa"/>
          <w:bottom w:w="0" w:type="dxa"/>
          <w:right w:w="0" w:type="dxa"/>
        </w:tblCellMar>
      </w:tblPr>
      <w:tr>
        <w:trPr>
          <w:trHeight w:val="237"/>
        </w:trPr>
        <w:tc>
          <w:tcPr>
            <w:tcW w:w="7600" w:type="dxa"/>
            <w:vAlign w:val="bottom"/>
            <w:tcBorders>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5,885</w:t>
            </w:r>
          </w:p>
        </w:tc>
      </w:tr>
      <w:tr>
        <w:trPr>
          <w:trHeight w:val="230"/>
        </w:trPr>
        <w:tc>
          <w:tcPr>
            <w:tcW w:w="7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6,559</w:t>
            </w:r>
          </w:p>
        </w:tc>
      </w:tr>
      <w:tr>
        <w:trPr>
          <w:trHeight w:val="248"/>
        </w:trPr>
        <w:tc>
          <w:tcPr>
            <w:tcW w:w="76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12,444</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22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total stock-based compensation expense recognized in the condensed consolidated statements of operations by the following types of equity awards:</w:t>
      </w:r>
    </w:p>
    <w:p>
      <w:pPr>
        <w:spacing w:after="0" w:line="29" w:lineRule="exact"/>
        <w:rPr>
          <w:sz w:val="20"/>
          <w:szCs w:val="20"/>
          <w:color w:val="auto"/>
        </w:rPr>
      </w:pPr>
    </w:p>
    <w:p>
      <w:pPr>
        <w:jc w:val="center"/>
        <w:ind w:left="752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jc w:val="center"/>
        <w:ind w:left="7520"/>
        <w:spacing w:after="0"/>
        <w:rPr>
          <w:sz w:val="20"/>
          <w:szCs w:val="20"/>
          <w:color w:val="auto"/>
        </w:rPr>
      </w:pPr>
      <w:r>
        <w:rPr>
          <w:rFonts w:ascii="Times New Roman" w:cs="Times New Roman" w:eastAsia="Times New Roman" w:hAnsi="Times New Roman"/>
          <w:sz w:val="18"/>
          <w:szCs w:val="18"/>
          <w:b w:val="1"/>
          <w:bCs w:val="1"/>
          <w:color w:val="auto"/>
        </w:rPr>
        <w:t>June 30,</w:t>
      </w:r>
    </w:p>
    <w:p>
      <w:pPr>
        <w:spacing w:after="0" w:line="7" w:lineRule="exact"/>
        <w:rPr>
          <w:sz w:val="20"/>
          <w:szCs w:val="20"/>
          <w:color w:val="auto"/>
        </w:rPr>
      </w:pPr>
    </w:p>
    <w:tbl>
      <w:tblPr>
        <w:tblLayout w:type="fixed"/>
        <w:tblInd w:w="360" w:type="dxa"/>
        <w:tblCellMar>
          <w:top w:w="0" w:type="dxa"/>
          <w:left w:w="0" w:type="dxa"/>
          <w:bottom w:w="0" w:type="dxa"/>
          <w:right w:w="0" w:type="dxa"/>
        </w:tblCellMar>
      </w:tblPr>
      <w:tr>
        <w:trPr>
          <w:trHeight w:val="236"/>
        </w:trPr>
        <w:tc>
          <w:tcPr>
            <w:tcW w:w="7540" w:type="dxa"/>
            <w:vAlign w:val="bottom"/>
            <w:tcBorders>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7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Equity Incentive Plan Options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w:t>
            </w:r>
          </w:p>
        </w:tc>
      </w:tr>
      <w:tr>
        <w:trPr>
          <w:trHeight w:val="229"/>
        </w:trPr>
        <w:tc>
          <w:tcPr>
            <w:tcW w:w="75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Restricted Stock and other awards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13,144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11,871</w:t>
            </w:r>
          </w:p>
        </w:tc>
      </w:tr>
      <w:tr>
        <w:trPr>
          <w:trHeight w:val="248"/>
        </w:trPr>
        <w:tc>
          <w:tcPr>
            <w:tcW w:w="75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12,444</w:t>
            </w: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As of June 30, 2022, there was $99.2 million of total unrecognized compensation cost related to unvested stock-based compensation agreements. The unrecognized compensation cost as of June 30, 2022 is expected to be fully amortized over the next 4.92 years. Absent the effect of accelerating stock compensation cost for any departures of employees who may continue to vest in their equity awards, the following table summarizes the unrecognized compensation cost and the weighted-average period the cost is expected to be amortized.</w:t>
      </w:r>
    </w:p>
    <w:p>
      <w:pPr>
        <w:spacing w:after="0" w:line="54"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7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820" w:type="dxa"/>
            <w:vAlign w:val="bottom"/>
            <w:tcBorders>
              <w:bottom w:val="single" w:sz="8" w:color="auto"/>
            </w:tcBorders>
            <w:gridSpan w:val="3"/>
          </w:tcPr>
          <w:p>
            <w:pPr>
              <w:ind w:left="132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0" w:type="dxa"/>
            <w:vAlign w:val="bottom"/>
          </w:tcPr>
          <w:p>
            <w:pPr>
              <w:spacing w:after="0"/>
              <w:rPr>
                <w:sz w:val="1"/>
                <w:szCs w:val="1"/>
                <w:color w:val="auto"/>
              </w:rPr>
            </w:pPr>
          </w:p>
        </w:tc>
      </w:tr>
      <w:tr>
        <w:trPr>
          <w:trHeight w:val="155"/>
        </w:trPr>
        <w:tc>
          <w:tcPr>
            <w:tcW w:w="7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60" w:type="dxa"/>
            <w:vAlign w:val="bottom"/>
            <w:vMerge w:val="restart"/>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Unrecognized</w:t>
            </w:r>
          </w:p>
        </w:tc>
        <w:tc>
          <w:tcPr>
            <w:tcW w:w="100" w:type="dxa"/>
            <w:vAlign w:val="bottom"/>
          </w:tcPr>
          <w:p>
            <w:pPr>
              <w:spacing w:after="0"/>
              <w:rPr>
                <w:sz w:val="13"/>
                <w:szCs w:val="13"/>
                <w:color w:val="auto"/>
              </w:rPr>
            </w:pPr>
          </w:p>
        </w:tc>
        <w:tc>
          <w:tcPr>
            <w:tcW w:w="216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rPr>
              <w:t>Weighted Average Remaining</w:t>
            </w:r>
          </w:p>
        </w:tc>
        <w:tc>
          <w:tcPr>
            <w:tcW w:w="0" w:type="dxa"/>
            <w:vAlign w:val="bottom"/>
          </w:tcPr>
          <w:p>
            <w:pPr>
              <w:spacing w:after="0"/>
              <w:rPr>
                <w:sz w:val="1"/>
                <w:szCs w:val="1"/>
                <w:color w:val="auto"/>
              </w:rPr>
            </w:pPr>
          </w:p>
        </w:tc>
      </w:tr>
      <w:tr>
        <w:trPr>
          <w:trHeight w:val="162"/>
        </w:trPr>
        <w:tc>
          <w:tcPr>
            <w:tcW w:w="7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Period to be Recognized (in</w:t>
            </w:r>
          </w:p>
        </w:tc>
        <w:tc>
          <w:tcPr>
            <w:tcW w:w="0" w:type="dxa"/>
            <w:vAlign w:val="bottom"/>
          </w:tcPr>
          <w:p>
            <w:pPr>
              <w:spacing w:after="0"/>
              <w:rPr>
                <w:sz w:val="1"/>
                <w:szCs w:val="1"/>
                <w:color w:val="auto"/>
              </w:rPr>
            </w:pPr>
          </w:p>
        </w:tc>
      </w:tr>
      <w:tr>
        <w:trPr>
          <w:trHeight w:val="214"/>
        </w:trPr>
        <w:tc>
          <w:tcPr>
            <w:tcW w:w="72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6"/>
                <w:szCs w:val="16"/>
                <w:b w:val="1"/>
                <w:bCs w:val="1"/>
                <w:color w:val="auto"/>
              </w:rPr>
              <w:t>Compensation Cost</w:t>
            </w:r>
          </w:p>
        </w:tc>
        <w:tc>
          <w:tcPr>
            <w:tcW w:w="100" w:type="dxa"/>
            <w:vAlign w:val="bottom"/>
            <w:tcBorders>
              <w:bottom w:val="single" w:sz="8" w:color="CCEEFF"/>
            </w:tcBorders>
          </w:tcPr>
          <w:p>
            <w:pPr>
              <w:spacing w:after="0"/>
              <w:rPr>
                <w:sz w:val="18"/>
                <w:szCs w:val="18"/>
                <w:color w:val="auto"/>
              </w:rPr>
            </w:pPr>
          </w:p>
        </w:tc>
        <w:tc>
          <w:tcPr>
            <w:tcW w:w="2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years)</w:t>
            </w:r>
          </w:p>
        </w:tc>
        <w:tc>
          <w:tcPr>
            <w:tcW w:w="0" w:type="dxa"/>
            <w:vAlign w:val="bottom"/>
          </w:tcPr>
          <w:p>
            <w:pPr>
              <w:spacing w:after="0"/>
              <w:rPr>
                <w:sz w:val="1"/>
                <w:szCs w:val="1"/>
                <w:color w:val="auto"/>
              </w:rPr>
            </w:pPr>
          </w:p>
        </w:tc>
      </w:tr>
      <w:tr>
        <w:trPr>
          <w:trHeight w:val="225"/>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Incentive Plan Options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5,518</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4.11</w:t>
            </w:r>
          </w:p>
        </w:tc>
        <w:tc>
          <w:tcPr>
            <w:tcW w:w="0" w:type="dxa"/>
            <w:vAlign w:val="bottom"/>
          </w:tcPr>
          <w:p>
            <w:pPr>
              <w:spacing w:after="0"/>
              <w:rPr>
                <w:sz w:val="1"/>
                <w:szCs w:val="1"/>
                <w:color w:val="auto"/>
              </w:rPr>
            </w:pPr>
          </w:p>
        </w:tc>
      </w:tr>
      <w:tr>
        <w:trPr>
          <w:trHeight w:val="230"/>
        </w:trPr>
        <w:tc>
          <w:tcPr>
            <w:tcW w:w="7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Restricted Stock and other Awards</w:t>
            </w:r>
          </w:p>
        </w:tc>
        <w:tc>
          <w:tcPr>
            <w:tcW w:w="1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93,632</w:t>
            </w:r>
          </w:p>
        </w:tc>
        <w:tc>
          <w:tcPr>
            <w:tcW w:w="2260" w:type="dxa"/>
            <w:vAlign w:val="bottom"/>
            <w:tcBorders>
              <w:bottom w:val="single" w:sz="8" w:color="CCEEFF"/>
            </w:tcBorders>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48"/>
        </w:trPr>
        <w:tc>
          <w:tcPr>
            <w:tcW w:w="72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99,150</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of June 30, 2022, there were 1.3 million EIP options outstanding, of which 0.6 million were unvested.</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During the three months ended June 30, 2022, the Board of Directors granted 0.8 million restricted stock units to certain employees of the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aggregate value of these awards was $66.4 million based on the grant date stock price.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FAIR VALUE MEASUREMENTS</w:t>
      </w:r>
    </w:p>
    <w:p>
      <w:pPr>
        <w:spacing w:after="0" w:line="121"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The accounting standard for fair value measurements establishes a three-tier value hierarchy, which prioritizes the inputs used in measuring fair value as follows: observable inputs such as quoted prices in active markets (Level 1); inputs other than quoted prices in active markets that are observable either directly or indirectly (Level 2); and unobservable inputs in which there is little or no market data, which requires the Company to develop its own assumptions (Level 3).</w:t>
      </w:r>
    </w:p>
    <w:p>
      <w:pPr>
        <w:spacing w:after="0" w:line="72"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A financial instrument's level within the fair value hierarchy is based on the lowest level of input that is significant to the fair value measurement. The financial instruments measured at fair value in the accompanying condensed consolidated balance sheets consist of the following:</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BOOZ ALLEN HAMILTON HOLDING CORPORATION</w:t>
      </w:r>
    </w:p>
    <w:p>
      <w:pPr>
        <w:spacing w:after="0" w:line="9" w:lineRule="exact"/>
        <w:rPr>
          <w:sz w:val="20"/>
          <w:szCs w:val="20"/>
          <w:color w:val="auto"/>
        </w:rPr>
      </w:pPr>
    </w:p>
    <w:p>
      <w:pPr>
        <w:jc w:val="both"/>
        <w:ind w:left="2100" w:right="2080" w:firstLine="10"/>
        <w:spacing w:after="0" w:line="290" w:lineRule="auto"/>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 (Amounts in tables in thousands, except share and per share data or unless otherwise noted)</w:t>
      </w:r>
    </w:p>
    <w:p>
      <w:pPr>
        <w:spacing w:after="0" w:line="279"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6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0" w:type="dxa"/>
            <w:vAlign w:val="bottom"/>
            <w:gridSpan w:val="9"/>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Recurring Fair Value Measurements</w:t>
            </w:r>
          </w:p>
        </w:tc>
        <w:tc>
          <w:tcPr>
            <w:tcW w:w="920" w:type="dxa"/>
            <w:vAlign w:val="bottom"/>
          </w:tcPr>
          <w:p>
            <w:pPr>
              <w:spacing w:after="0"/>
              <w:rPr>
                <w:sz w:val="17"/>
                <w:szCs w:val="17"/>
                <w:color w:val="auto"/>
              </w:rPr>
            </w:pPr>
          </w:p>
        </w:tc>
      </w:tr>
      <w:tr>
        <w:trPr>
          <w:trHeight w:val="241"/>
        </w:trPr>
        <w:tc>
          <w:tcPr>
            <w:tcW w:w="61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as of June 30, 2022</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r>
      <w:tr>
        <w:trPr>
          <w:trHeight w:val="225"/>
        </w:trPr>
        <w:tc>
          <w:tcPr>
            <w:tcW w:w="6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r>
      <w:tr>
        <w:trPr>
          <w:trHeight w:val="229"/>
        </w:trPr>
        <w:tc>
          <w:tcPr>
            <w:tcW w:w="618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Current derivative instruments </w:t>
            </w:r>
            <w:r>
              <w:rPr>
                <w:rFonts w:ascii="Times New Roman" w:cs="Times New Roman" w:eastAsia="Times New Roman" w:hAnsi="Times New Roman"/>
                <w:sz w:val="23"/>
                <w:szCs w:val="23"/>
                <w:color w:val="auto"/>
                <w:vertAlign w:val="superscript"/>
              </w:rPr>
              <w:t>(2)</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3,424</w:t>
            </w:r>
          </w:p>
        </w:tc>
      </w:tr>
      <w:tr>
        <w:trPr>
          <w:trHeight w:val="229"/>
        </w:trPr>
        <w:tc>
          <w:tcPr>
            <w:tcW w:w="618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Long-term deferred compensation plan asset </w:t>
            </w:r>
            <w:r>
              <w:rPr>
                <w:rFonts w:ascii="Times New Roman" w:cs="Times New Roman" w:eastAsia="Times New Roman" w:hAnsi="Times New Roman"/>
                <w:sz w:val="23"/>
                <w:szCs w:val="23"/>
                <w:color w:val="auto"/>
                <w:vertAlign w:val="superscript"/>
              </w:rPr>
              <w:t>(1)</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20,186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20,186</w:t>
            </w:r>
          </w:p>
        </w:tc>
      </w:tr>
      <w:tr>
        <w:trPr>
          <w:trHeight w:val="230"/>
        </w:trPr>
        <w:tc>
          <w:tcPr>
            <w:tcW w:w="618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Long term derivative instruments </w:t>
            </w:r>
            <w:r>
              <w:rPr>
                <w:rFonts w:ascii="Times New Roman" w:cs="Times New Roman" w:eastAsia="Times New Roman" w:hAnsi="Times New Roman"/>
                <w:sz w:val="23"/>
                <w:szCs w:val="23"/>
                <w:color w:val="auto"/>
                <w:vertAlign w:val="superscript"/>
              </w:rPr>
              <w:t>(2)</w:t>
            </w: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4,099</w:t>
            </w:r>
          </w:p>
        </w:tc>
        <w:tc>
          <w:tcPr>
            <w:tcW w:w="1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4,099</w:t>
            </w:r>
          </w:p>
        </w:tc>
      </w:tr>
      <w:tr>
        <w:trPr>
          <w:trHeight w:val="223"/>
        </w:trPr>
        <w:tc>
          <w:tcPr>
            <w:tcW w:w="6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20,186</w:t>
            </w:r>
          </w:p>
        </w:tc>
        <w:tc>
          <w:tcPr>
            <w:tcW w:w="40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7,523</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27,709</w:t>
            </w:r>
          </w:p>
        </w:tc>
      </w:tr>
      <w:tr>
        <w:trPr>
          <w:trHeight w:val="210"/>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29"/>
        </w:trPr>
        <w:tc>
          <w:tcPr>
            <w:tcW w:w="6180" w:type="dxa"/>
            <w:vAlign w:val="bottom"/>
            <w:tcBorders>
              <w:bottom w:val="single" w:sz="8" w:color="CCEEFF"/>
            </w:tcBorders>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Long-term deferred compensation plan liability </w:t>
            </w:r>
            <w:r>
              <w:rPr>
                <w:rFonts w:ascii="Times New Roman" w:cs="Times New Roman" w:eastAsia="Times New Roman" w:hAnsi="Times New Roman"/>
                <w:sz w:val="23"/>
                <w:szCs w:val="23"/>
                <w:color w:val="auto"/>
                <w:vertAlign w:val="superscript"/>
              </w:rPr>
              <w:t>(1)</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20,186</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20,186</w:t>
            </w:r>
          </w:p>
        </w:tc>
      </w:tr>
      <w:tr>
        <w:trPr>
          <w:trHeight w:val="223"/>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20,186</w:t>
            </w:r>
          </w:p>
        </w:tc>
        <w:tc>
          <w:tcPr>
            <w:tcW w:w="400" w:type="dxa"/>
            <w:vAlign w:val="bottom"/>
            <w:tcBorders>
              <w:bottom w:val="single" w:sz="8" w:color="auto"/>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20,186</w:t>
            </w:r>
          </w:p>
        </w:tc>
      </w:tr>
    </w:tbl>
    <w:p>
      <w:pPr>
        <w:spacing w:after="0" w:line="144"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6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0" w:type="dxa"/>
            <w:vAlign w:val="bottom"/>
            <w:gridSpan w:val="9"/>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Recurring Fair Value Measurements</w:t>
            </w:r>
          </w:p>
        </w:tc>
        <w:tc>
          <w:tcPr>
            <w:tcW w:w="920" w:type="dxa"/>
            <w:vAlign w:val="bottom"/>
          </w:tcPr>
          <w:p>
            <w:pPr>
              <w:spacing w:after="0"/>
              <w:rPr>
                <w:sz w:val="17"/>
                <w:szCs w:val="17"/>
                <w:color w:val="auto"/>
              </w:rPr>
            </w:pPr>
          </w:p>
        </w:tc>
      </w:tr>
      <w:tr>
        <w:trPr>
          <w:trHeight w:val="241"/>
        </w:trPr>
        <w:tc>
          <w:tcPr>
            <w:tcW w:w="61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as of March 31, 2022</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r>
      <w:tr>
        <w:trPr>
          <w:trHeight w:val="225"/>
        </w:trPr>
        <w:tc>
          <w:tcPr>
            <w:tcW w:w="6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r>
      <w:tr>
        <w:trPr>
          <w:trHeight w:val="229"/>
        </w:trPr>
        <w:tc>
          <w:tcPr>
            <w:tcW w:w="618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Long-term deferred compensation plan asset </w:t>
            </w:r>
            <w:r>
              <w:rPr>
                <w:rFonts w:ascii="Times New Roman" w:cs="Times New Roman" w:eastAsia="Times New Roman" w:hAnsi="Times New Roman"/>
                <w:sz w:val="23"/>
                <w:szCs w:val="23"/>
                <w:color w:val="auto"/>
                <w:vertAlign w:val="superscript"/>
              </w:rPr>
              <w:t>(1)</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16,512</w:t>
            </w:r>
          </w:p>
        </w:tc>
        <w:tc>
          <w:tcPr>
            <w:tcW w:w="4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16,512</w:t>
            </w:r>
          </w:p>
        </w:tc>
      </w:tr>
      <w:tr>
        <w:trPr>
          <w:trHeight w:val="229"/>
        </w:trPr>
        <w:tc>
          <w:tcPr>
            <w:tcW w:w="6180" w:type="dxa"/>
            <w:vAlign w:val="bottom"/>
            <w:tcBorders>
              <w:bottom w:val="single" w:sz="8" w:color="CCEEFF"/>
            </w:tcBorders>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Long term derivative instruments </w:t>
            </w:r>
            <w:r>
              <w:rPr>
                <w:rFonts w:ascii="Times New Roman" w:cs="Times New Roman" w:eastAsia="Times New Roman" w:hAnsi="Times New Roman"/>
                <w:sz w:val="23"/>
                <w:szCs w:val="23"/>
                <w:color w:val="auto"/>
                <w:vertAlign w:val="superscript"/>
              </w:rPr>
              <w:t>(2)</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4,088</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4,088</w:t>
            </w:r>
          </w:p>
        </w:tc>
      </w:tr>
      <w:tr>
        <w:trPr>
          <w:trHeight w:val="223"/>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bottom w:val="single" w:sz="8" w:color="auto"/>
            </w:tcBorders>
            <w:shd w:val="clear" w:color="auto" w:fill="BFE4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16,512</w:t>
            </w:r>
          </w:p>
        </w:tc>
        <w:tc>
          <w:tcPr>
            <w:tcW w:w="400" w:type="dxa"/>
            <w:vAlign w:val="bottom"/>
            <w:tcBorders>
              <w:bottom w:val="single" w:sz="8" w:color="auto"/>
            </w:tcBorders>
            <w:gridSpan w:val="3"/>
            <w:shd w:val="clear" w:color="auto" w:fill="BFE4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4,088</w:t>
            </w:r>
          </w:p>
        </w:tc>
        <w:tc>
          <w:tcPr>
            <w:tcW w:w="100" w:type="dxa"/>
            <w:vAlign w:val="bottom"/>
            <w:tcBorders>
              <w:bottom w:val="single" w:sz="8" w:color="auto"/>
            </w:tcBorders>
            <w:shd w:val="clear" w:color="auto" w:fill="BFE4FF"/>
          </w:tcPr>
          <w:p>
            <w:pPr>
              <w:spacing w:after="0"/>
              <w:rPr>
                <w:sz w:val="19"/>
                <w:szCs w:val="19"/>
                <w:color w:val="auto"/>
              </w:rPr>
            </w:pPr>
          </w:p>
        </w:tc>
        <w:tc>
          <w:tcPr>
            <w:tcW w:w="220" w:type="dxa"/>
            <w:vAlign w:val="bottom"/>
            <w:tcBorders>
              <w:bottom w:val="single" w:sz="8" w:color="auto"/>
            </w:tcBorders>
            <w:shd w:val="clear" w:color="auto" w:fill="BFE4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gridSpan w:val="2"/>
            <w:shd w:val="clear" w:color="auto" w:fill="BFE4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BFE4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20,600</w:t>
            </w:r>
          </w:p>
        </w:tc>
      </w:tr>
      <w:tr>
        <w:trPr>
          <w:trHeight w:val="209"/>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0"/>
        </w:trPr>
        <w:tc>
          <w:tcPr>
            <w:tcW w:w="618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Current derivative instruments </w:t>
            </w:r>
            <w:r>
              <w:rPr>
                <w:rFonts w:ascii="Times New Roman" w:cs="Times New Roman" w:eastAsia="Times New Roman" w:hAnsi="Times New Roman"/>
                <w:sz w:val="23"/>
                <w:szCs w:val="23"/>
                <w:color w:val="auto"/>
                <w:vertAlign w:val="superscript"/>
              </w:rPr>
              <w:t>(2)</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4,324</w:t>
            </w:r>
          </w:p>
        </w:tc>
      </w:tr>
      <w:tr>
        <w:trPr>
          <w:trHeight w:val="229"/>
        </w:trPr>
        <w:tc>
          <w:tcPr>
            <w:tcW w:w="618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Long-term derivative instruments </w:t>
            </w:r>
            <w:r>
              <w:rPr>
                <w:rFonts w:ascii="Times New Roman" w:cs="Times New Roman" w:eastAsia="Times New Roman" w:hAnsi="Times New Roman"/>
                <w:sz w:val="23"/>
                <w:szCs w:val="23"/>
                <w:color w:val="auto"/>
                <w:vertAlign w:val="superscript"/>
              </w:rPr>
              <w:t>(2)</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29"/>
        </w:trPr>
        <w:tc>
          <w:tcPr>
            <w:tcW w:w="618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Long-term deferred compensation plan liability </w:t>
            </w:r>
            <w:r>
              <w:rPr>
                <w:rFonts w:ascii="Times New Roman" w:cs="Times New Roman" w:eastAsia="Times New Roman" w:hAnsi="Times New Roman"/>
                <w:sz w:val="23"/>
                <w:szCs w:val="23"/>
                <w:color w:val="auto"/>
                <w:vertAlign w:val="superscript"/>
              </w:rPr>
              <w:t>(1)</w:t>
            </w: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16,512</w:t>
            </w: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16,512</w:t>
            </w:r>
          </w:p>
        </w:tc>
      </w:tr>
      <w:tr>
        <w:trPr>
          <w:trHeight w:val="223"/>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16,512</w:t>
            </w:r>
          </w:p>
        </w:tc>
        <w:tc>
          <w:tcPr>
            <w:tcW w:w="40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4,363</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20,875</w:t>
            </w:r>
          </w:p>
        </w:tc>
      </w:tr>
    </w:tbl>
    <w:p>
      <w:pPr>
        <w:spacing w:after="0" w:line="117" w:lineRule="exact"/>
        <w:rPr>
          <w:sz w:val="20"/>
          <w:szCs w:val="20"/>
          <w:color w:val="auto"/>
        </w:rPr>
      </w:pPr>
    </w:p>
    <w:p>
      <w:pPr>
        <w:ind w:right="20" w:firstLine="8"/>
        <w:spacing w:after="0" w:line="368" w:lineRule="auto"/>
        <w:tabs>
          <w:tab w:leader="none" w:pos="165" w:val="left"/>
        </w:tabs>
        <w:numPr>
          <w:ilvl w:val="0"/>
          <w:numId w:val="12"/>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Investments in this category consist primarily of mutual funds whose fair values are determined by reference to the quoted market price per unit in active markets multiplied by the number of units held without consideration of transaction costs. These assets and liabilities represent investments held in a consolidated trust to fund the Company's non-qualified deferred compensation plan and are recorded in other long-term assets and other long-term liabilities on our condensed consolidated balance sheets.</w:t>
      </w:r>
    </w:p>
    <w:p>
      <w:pPr>
        <w:spacing w:after="0" w:line="1" w:lineRule="exact"/>
        <w:rPr>
          <w:rFonts w:ascii="Times New Roman" w:cs="Times New Roman" w:eastAsia="Times New Roman" w:hAnsi="Times New Roman"/>
          <w:sz w:val="20"/>
          <w:szCs w:val="20"/>
          <w:color w:val="auto"/>
          <w:vertAlign w:val="superscript"/>
        </w:rPr>
      </w:pPr>
    </w:p>
    <w:p>
      <w:pPr>
        <w:ind w:firstLine="8"/>
        <w:spacing w:after="0" w:line="251" w:lineRule="auto"/>
        <w:tabs>
          <w:tab w:leader="none" w:pos="181" w:val="left"/>
        </w:tabs>
        <w:numPr>
          <w:ilvl w:val="0"/>
          <w:numId w:val="1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Company’s interest rate swaps are considered over-the-counter derivatives and fair value is estimated based on the present value of future cash flows using a model-derived valuation that uses Level 2 observable inputs such as interest rate yield curves. See Note 9 to the condensed consolidated financial statements for further discussion on the Company’s derivative instruments designated as cash flow hedges.</w:t>
      </w:r>
    </w:p>
    <w:p>
      <w:pPr>
        <w:spacing w:after="0" w:line="8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fair value of the Company's cash and cash equivalents, which are Level 1 inputs, approximated its carrying values at June 30, 2022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2022. The fair value of the Company's debt instruments approximated its carrying value at June 30, 2022 and March 31, 2022. The fair value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debt is determined using quoted prices or other market information obtained from recent trading activity of each debt tranche in markets that are not active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2 inputs). The fair value is corroborated by prices derived from the interest rate spreads of recently completed leveraged loan transactions of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similar credit profile, industry, and terms to that of the Company. The fair value of the Senior Notes due 2029 and the Senior Notes due 2028 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determined using quoted prices or other market information obtained from recent trading activity in the high-yield bond market (Level 2 inputs).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Letters of Credit and Third-Party Guarantees</w:t>
      </w:r>
    </w:p>
    <w:p>
      <w:pPr>
        <w:spacing w:after="0" w:line="121"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As of June 30, 2022 and March 31, 2022, the Company was contingently liable under open standby letters of credit and bank guarantees issued by our banks in favor of third parties that totaled $7.7 million and $8.4 million, respectively. These letters of credit and bank guarantees primarily support insurance and bid and performance obligations. At both June 30, 2022 and March 31, 2022, approximately $1.0 million of these instruments reduced the available borrowings under the Revolving Credit Facility. The remainder is guaranteed under a separate $20.0 million facility of which $13.2 million and $12.6 million were available to the Company at June 30, 2022 and March 31, 2022, respectively.</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BOOZ ALLEN HAMILTON HOLDING CORPORATION</w:t>
      </w:r>
    </w:p>
    <w:p>
      <w:pPr>
        <w:spacing w:after="0" w:line="9" w:lineRule="exact"/>
        <w:rPr>
          <w:sz w:val="20"/>
          <w:szCs w:val="20"/>
          <w:color w:val="auto"/>
        </w:rPr>
      </w:pPr>
    </w:p>
    <w:p>
      <w:pPr>
        <w:jc w:val="both"/>
        <w:ind w:left="2100" w:right="2080" w:firstLine="10"/>
        <w:spacing w:after="0" w:line="290" w:lineRule="auto"/>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 (Amounts in tables in thousands, except share and per share data or unless otherwise noted)</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 Contracting Matters - Provision for Claimed Indirect Costs</w:t>
      </w:r>
    </w:p>
    <w:p>
      <w:pPr>
        <w:spacing w:after="0" w:line="121"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For the three months ended June 30, 2022 and 2021, approximately 97% and 98%, respectively, of the Company's revenue was generated from contracts where the end user was an agency or department of the U.S. government, including contracts where the Company performed either as a prime contractor or subcontractor, and regardless of the geographic location in which the work was performed. As noted in the Company's Annual Report on Form 10-K for the fiscal year ended March 31, 2022, in the ordinary course of business, agencies of the U.S. government, including the Defense Contract Audit Agency (DCAA), audit the Company’s claimed indirect costs and conduct inquiries and investigations of our business practices with respect to government contracts to determine whether the Company's operations are conducted in accordance with these requirements and the terms of the relevant contracts. Management believes it has recorded the appropriate provision for claimed indirect costs for any audit, inquiry, or investigation of which it is aware that may be subject to any reductions and/or penalties. As of June 30, 2022 and March 31, 2022, the Company had recorded liabilities of approximately $295.6 million and $290.4 million, respectively, for estimated adjustments to claimed indirect costs based on its historical DCAA audit results, including the final resolution of such audits with the Defense Contract Management Agency, for claimed indirect costs incurred subsequent to fiscal 2011, and for contracts not yet closed that are subject to audit and final resolution.</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121" w:lineRule="exact"/>
        <w:rPr>
          <w:sz w:val="20"/>
          <w:szCs w:val="20"/>
          <w:color w:val="auto"/>
        </w:rPr>
      </w:pPr>
    </w:p>
    <w:p>
      <w:pPr>
        <w:ind w:right="60" w:firstLine="405"/>
        <w:spacing w:after="0" w:line="252" w:lineRule="auto"/>
        <w:rPr>
          <w:sz w:val="20"/>
          <w:szCs w:val="20"/>
          <w:color w:val="auto"/>
        </w:rPr>
      </w:pPr>
      <w:r>
        <w:rPr>
          <w:rFonts w:ascii="Times New Roman" w:cs="Times New Roman" w:eastAsia="Times New Roman" w:hAnsi="Times New Roman"/>
          <w:sz w:val="18"/>
          <w:szCs w:val="18"/>
          <w:color w:val="auto"/>
        </w:rPr>
        <w:t>Our performance under U.S. government contracts and compliance with the terms of those contracts and applicable laws and regulations are subject to continuous audit, review, and investigation by the U.S. government, which may include such investigative techniques as subpoenas or civil investigative demands. Given the nature of our business, these audits, reviews, and investigations may focus, among other areas, on various aspects of procurement integrity, labor time reporting, sensitive and/or classified information access and control, executive compensation, and post government employment restrictions. We are not always aware of our status in such matters, but we are currently aware of certain pending audits and investigations involving labor time reporting, procurement integrity, and classified information access. In addition, from time to time, we are also involved in legal proceedings and investigations arising in the ordinary course of business, including those relating to employment matters, relationships with clients and contractors, intellectual property disputes, and other business matters. These legal proceedings seek various remedies, including claims for monetary damages in varying amounts, none of which are considered material, or are unspecified as to amount. Although the outcome of any such matter is inherently uncertain and may be materially adverse, based on current information, we do not expect any of the currently ongoing audits, reviews, investigations, or litigation to have a material adverse effect on our financial condition and results of operations. As of June 30, 2022 and March 31, 2022, there were no material amounts accrued in the condensed consolidated financial statements related to these proceedings. As previously disclosed in Note 20 to the consolidated financial statements of the Company's Annual Report on Form 10-K for the fiscal year ended March 31, 2022, the Company is not able to reasonably estimate the expected amount or range of cost or any loss associated with these matters.</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19" w:lineRule="exact"/>
        <w:rPr>
          <w:sz w:val="20"/>
          <w:szCs w:val="20"/>
          <w:color w:val="auto"/>
        </w:rPr>
      </w:pPr>
    </w:p>
    <w:p>
      <w:pPr>
        <w:ind w:right="200"/>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is intended to help the reader understand our business, financial condition, results of operations, and liquidity and capital resources. You should read this discussion in conjunction with our condensed consolidated financial statements and the related notes contained elsewhere in this Quarterly Report on Form 10-Q, or Quarterly Report.</w:t>
      </w:r>
    </w:p>
    <w:p>
      <w:pPr>
        <w:spacing w:after="0" w:line="65"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i w:val="1"/>
          <w:iCs w:val="1"/>
          <w:color w:val="auto"/>
        </w:rPr>
        <w:t>The statements in this discussion regarding industry outlook, our expectations regarding our future performance, liquidity and capital resources, and other non-historical statements in this discussion are forward-looking statements. These forward-looking statements are subject to numerous risks and uncertainties, including, but not limited to, the risks and uncertainties described in our Annual Report on Form 10-K for the fiscal year ended March 31, 2022 filed with the Securities and Exchange Commission on May 20, 2022, or Annual Report, and under Part II, “Item 1A. Risk Factors,” and “— Special Note Regarding Forward Looking Statements” of this Quarterly Report. Our actual results may differ materially from those contained in or implied by any forward-looking statements.</w:t>
      </w:r>
    </w:p>
    <w:p>
      <w:pPr>
        <w:spacing w:after="0" w:line="74" w:lineRule="exact"/>
        <w:rPr>
          <w:sz w:val="20"/>
          <w:szCs w:val="20"/>
          <w:color w:val="auto"/>
        </w:rPr>
      </w:pPr>
    </w:p>
    <w:p>
      <w:pPr>
        <w:ind w:right="920"/>
        <w:spacing w:after="0" w:line="284" w:lineRule="auto"/>
        <w:rPr>
          <w:sz w:val="20"/>
          <w:szCs w:val="20"/>
          <w:color w:val="auto"/>
        </w:rPr>
      </w:pPr>
      <w:r>
        <w:rPr>
          <w:rFonts w:ascii="Times New Roman" w:cs="Times New Roman" w:eastAsia="Times New Roman" w:hAnsi="Times New Roman"/>
          <w:sz w:val="18"/>
          <w:szCs w:val="18"/>
          <w:i w:val="1"/>
          <w:iCs w:val="1"/>
          <w:color w:val="auto"/>
        </w:rPr>
        <w:t>Our fiscal year ends March 31 and, unless otherwise noted, references to years or fiscal are for fiscal years ended March 31. See “—Results of Operations.”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right="20" w:firstLine="405"/>
        <w:spacing w:after="0" w:line="258" w:lineRule="auto"/>
        <w:rPr>
          <w:sz w:val="20"/>
          <w:szCs w:val="20"/>
          <w:color w:val="auto"/>
        </w:rPr>
      </w:pPr>
      <w:r>
        <w:rPr>
          <w:rFonts w:ascii="Times New Roman" w:cs="Times New Roman" w:eastAsia="Times New Roman" w:hAnsi="Times New Roman"/>
          <w:sz w:val="18"/>
          <w:szCs w:val="18"/>
          <w:color w:val="auto"/>
        </w:rPr>
        <w:t>We are a leading provider of management and technology consulting, analytics, engineering, digital solutions, mission operations, and cyber services to U.S. and international governments, major corporations, and not-for-profit organizations. Our ability to deliver value to our clients has always been, and continues to be, a product of the strong character, expertise and tremendous passion of our people. Our approximately 29,300 employees work to solve hard problems by making clients' missions their own, combining decades of consulting and domain expertise with functional expertise in areas such as analytics, digital solutions, engineering, and cyber, all fostered by a culture of innovation that extends to all reaches of the company.</w:t>
      </w:r>
    </w:p>
    <w:p>
      <w:pPr>
        <w:spacing w:after="0" w:line="75" w:lineRule="exact"/>
        <w:rPr>
          <w:sz w:val="20"/>
          <w:szCs w:val="20"/>
          <w:color w:val="auto"/>
        </w:rPr>
      </w:pPr>
    </w:p>
    <w:p>
      <w:pPr>
        <w:ind w:right="20" w:firstLine="405"/>
        <w:spacing w:after="0" w:line="255" w:lineRule="auto"/>
        <w:rPr>
          <w:sz w:val="20"/>
          <w:szCs w:val="20"/>
          <w:color w:val="auto"/>
        </w:rPr>
      </w:pPr>
      <w:r>
        <w:rPr>
          <w:rFonts w:ascii="Times New Roman" w:cs="Times New Roman" w:eastAsia="Times New Roman" w:hAnsi="Times New Roman"/>
          <w:sz w:val="18"/>
          <w:szCs w:val="18"/>
          <w:color w:val="auto"/>
        </w:rPr>
        <w:t>Through our dedication to our clients' missions, and a commitment to evolving our business to address their needs, we have longstanding relationships with our clients, the longest of which is more than 80 years. We support critical missions for a diverse base of federal government clients, including nearly all of the U.S. government's cabinet-level departments, as well as for commercial clients, both domestically and internationally. We support our federal government clients by helping them tackle their most complex and pressing challenges such as protecting soldiers in combat and supporting their families, advancing cyber capabilities, keeping our national infrastructure secure, enabling and enhancing digital services, transforming the healthcare system, and improving government efficiency to achieve better outcomes. We serve commercial clients across industries, including financial services, health and life sciences, energy, and technology.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and Other Highlights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During the first quarter of fiscal 2023, the Company generated year over year revenue growth and increased client staff headcount.</w:t>
      </w:r>
    </w:p>
    <w:p>
      <w:pPr>
        <w:spacing w:after="0" w:line="117" w:lineRule="exact"/>
        <w:rPr>
          <w:sz w:val="20"/>
          <w:szCs w:val="20"/>
          <w:color w:val="auto"/>
        </w:rPr>
      </w:pPr>
    </w:p>
    <w:p>
      <w:pPr>
        <w:ind w:right="80" w:firstLine="405"/>
        <w:spacing w:after="0" w:line="282" w:lineRule="auto"/>
        <w:rPr>
          <w:sz w:val="20"/>
          <w:szCs w:val="20"/>
          <w:color w:val="auto"/>
        </w:rPr>
      </w:pPr>
      <w:r>
        <w:rPr>
          <w:rFonts w:ascii="Times New Roman" w:cs="Times New Roman" w:eastAsia="Times New Roman" w:hAnsi="Times New Roman"/>
          <w:sz w:val="18"/>
          <w:szCs w:val="18"/>
          <w:color w:val="auto"/>
        </w:rPr>
        <w:t>Revenue increased 13.1% from the three months ended June 30, 2021 to the three months ended June 30, 2022. The increase was primarily driven by a combination of headcount and salary increases and higher billable expenses, partially offset by lower staff utilization.</w:t>
      </w:r>
    </w:p>
    <w:p>
      <w:pPr>
        <w:spacing w:after="0" w:line="54"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Operating income increased 46.7% to $207.2 million in the three months ended June 30, 2022 from $141.3 million in the three months ended June 30, 2021, which reflects an increase in operating margin from 7.1% to 9.2%. The increases in operating income and operating margin for the three months ended June 30, 2022 were primarily driven by the same drivers benefiting revenue growth, partially offset by higher unallowable spend.</w:t>
      </w:r>
    </w:p>
    <w:p>
      <w:pPr>
        <w:spacing w:after="0" w:line="68" w:lineRule="exact"/>
        <w:rPr>
          <w:sz w:val="20"/>
          <w:szCs w:val="20"/>
          <w:color w:val="auto"/>
        </w:rPr>
      </w:pPr>
    </w:p>
    <w:p>
      <w:pPr>
        <w:ind w:right="80" w:firstLine="405"/>
        <w:spacing w:after="0" w:line="261" w:lineRule="auto"/>
        <w:rPr>
          <w:sz w:val="20"/>
          <w:szCs w:val="20"/>
          <w:color w:val="auto"/>
        </w:rPr>
      </w:pPr>
      <w:r>
        <w:rPr>
          <w:rFonts w:ascii="Times New Roman" w:cs="Times New Roman" w:eastAsia="Times New Roman" w:hAnsi="Times New Roman"/>
          <w:sz w:val="18"/>
          <w:szCs w:val="18"/>
          <w:color w:val="auto"/>
        </w:rPr>
        <w:t>The Company also incurred incremental legal costs during the three months ended June 30, 2022 in response to the U.S. Department of Justice investigation and matters which purport to relate to the investigation, a portion of which was offset by the receipt of insurance reimbursements. We expect to incur additional costs in the future. Based on the information currently available, the Company is not able to reasonably estimate the expected long-term incremental legal costs or amounts that may be reimbursed associated with this investigation and these related matters.</w:t>
      </w:r>
    </w:p>
    <w:p>
      <w:pPr>
        <w:spacing w:after="0" w:line="72"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We are monitoring the evolving situation related to COVID-19, and we continue to work with our stakeholders to assess further possible implications to our business. We could be impacted by the implementation of our Company policy requiring full COVID-19 vaccinations of all employees, except for employees who qualify for medical or religious exemptions. Although we cannot currently predict the overall impact of COVID-19, the longer the duration of the event, the more likely it is that it could have an adverse effect on our business, financial position, results of operations, billable expenses, and/or cash flows.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Measures</w:t>
      </w:r>
    </w:p>
    <w:p>
      <w:pPr>
        <w:spacing w:after="0" w:line="121" w:lineRule="exact"/>
        <w:rPr>
          <w:sz w:val="20"/>
          <w:szCs w:val="20"/>
          <w:color w:val="auto"/>
        </w:rPr>
      </w:pPr>
    </w:p>
    <w:p>
      <w:pPr>
        <w:ind w:firstLine="405"/>
        <w:spacing w:after="0" w:line="251" w:lineRule="auto"/>
        <w:rPr>
          <w:sz w:val="20"/>
          <w:szCs w:val="20"/>
          <w:color w:val="auto"/>
        </w:rPr>
      </w:pPr>
      <w:r>
        <w:rPr>
          <w:rFonts w:ascii="Times New Roman" w:cs="Times New Roman" w:eastAsia="Times New Roman" w:hAnsi="Times New Roman"/>
          <w:sz w:val="18"/>
          <w:szCs w:val="18"/>
          <w:color w:val="auto"/>
        </w:rPr>
        <w:t>We publicly disclose certain non-GAAP financial measurements, including Revenue, Excluding Billable Expenses, Adjusted Operating Income, Adjusted EBITDA, Adjusted EBITDA Margin on Revenue, Adjusted EBITDA Margin on Revenue, Excluding Billable Expenses, Adjusted Net Income, and Adjusted Diluted Earnings Per Share, or Adjusted Diluted EPS, because management uses these measures for business planning purposes, including to manage our business against internal projected results of operations and measure our performance. We view Adjusted Operating Income, Adjusted EBITDA, Adjusted EBITDA Margin on Revenue, Adjusted EBITDA Margin on Revenue, Excluding Billable Expenses, Adjusted Net Income, and Adjusted Diluted EPS as measures of our core operating business, which exclude the impact of the items detailed below, as these items are generally not operational in nature. These non-GAAP measures also provide another basis for comparing period to period results by excluding potential differences caused by non-operational and unusual or non-recurring items. In addition, we use Revenue, Excluding Billable Expenses because it provides management useful information about the Company's operating performance by excluding the impact of costs that are not indicative of the level of productivity of our client staff headcount and our overall direct labor, which management believes provides useful information to our investors about our core operations. We also utilize and discuss Free Cash Flow because management uses this measure for business planning purposes, measuring the cash generating ability of the operating business, and measuring liquidity generally. We present these supplemental measures because we believe that these measures provide investors and securities analysts with important supplemental information with which to evaluate our performance, long-term earnings potential, or liquidity, as applicable, and to enable them to assess our performance on the same basis as management. These supplemental performance measurements may vary from and may not be comparable to similarly titled measures by other companies in our industry. Revenue, Excluding Billable Expenses, Adjusted Operating Income, Adjusted EBITDA, Adjusted EBITDA Margin on Revenue, Adjusted EBITDA Margin on Revenue, Excluding Billable Expenses, Adjusted Net Income, Adjusted Diluted EPS, and Free Cash Flow are not recognized measurements under accounting principles generally accepted in the United States, or GAAP, and when analyzing our performance or liquidity, as applicable, investors should (i) evaluate each adjustment in our reconciliation of revenue to Revenue, Excluding Billable Expenses, operating income to Adjusted Operating Income, net income to Adjusted EBITDA, Adjusted EBITDA Margin on Revenue, Adjusted EBITDA Margin on Revenue, Excluding Billable Expenses, Adjusted Net Income and Adjusted Diluted Earnings Per Share, and net cash provided by operating activities to Free Cash Flow, (ii) use Revenue, Excluding Billable Expenses, Adjusted Operating Income, Adjusted EBITDA, Adjusted EBITDA Margin on Revenue, Adjusted EBITDA Margin on Revenue, Excluding Billable Expenses, Adjusted Net Income, and Adjusted Diluted EPS in addition to, and not as an alternative to, revenue, operating income, net income or diluted EPS, as measures of operating results, each as defined under GAAP and (iii) use Free Cash Flow in addition to, and not as an alternative to, net cash provided by operating activities as a measure of liquidity, each as defined under GAAP. We have defined the aforementioned non-GAAP measures as follows:</w:t>
      </w:r>
    </w:p>
    <w:p>
      <w:pPr>
        <w:spacing w:after="0" w:line="42" w:lineRule="exact"/>
        <w:rPr>
          <w:sz w:val="20"/>
          <w:szCs w:val="20"/>
          <w:color w:val="auto"/>
        </w:rPr>
      </w:pPr>
    </w:p>
    <w:p>
      <w:pPr>
        <w:ind w:left="660" w:right="140" w:hanging="328"/>
        <w:spacing w:after="0" w:line="261"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Excluding Billable Expenses" represents revenue less billable expenses. We use Revenue, Excluding Billable Expenses because it provides management useful information about the Company's operating performance by excluding the impact of costs that are not indicative of the level of productivity of our client staff headcount and our overall direct labor, which management believes provides useful information to our investors about our core operations.</w:t>
      </w:r>
    </w:p>
    <w:p>
      <w:pPr>
        <w:spacing w:after="0" w:line="17" w:lineRule="exact"/>
        <w:rPr>
          <w:rFonts w:ascii="Times New Roman" w:cs="Times New Roman" w:eastAsia="Times New Roman" w:hAnsi="Times New Roman"/>
          <w:sz w:val="18"/>
          <w:szCs w:val="18"/>
          <w:color w:val="auto"/>
        </w:rPr>
      </w:pPr>
    </w:p>
    <w:p>
      <w:pPr>
        <w:ind w:left="660" w:right="360" w:hanging="328"/>
        <w:spacing w:after="0" w:line="261"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Operating Income" represents operating income before acquisition and divestiture costs, financing transaction costs, and significant acquisition amortization. We prepare Adjusted Operating Income to eliminate the impact of items we do not consider indicative of ongoing operating performance due to their inherent unusual, extraordinary, or non-recurring nature or because they result from an event of a similar nature.</w:t>
      </w:r>
    </w:p>
    <w:p>
      <w:pPr>
        <w:spacing w:after="0" w:line="17" w:lineRule="exact"/>
        <w:rPr>
          <w:rFonts w:ascii="Times New Roman" w:cs="Times New Roman" w:eastAsia="Times New Roman" w:hAnsi="Times New Roman"/>
          <w:sz w:val="18"/>
          <w:szCs w:val="18"/>
          <w:color w:val="auto"/>
        </w:rPr>
      </w:pPr>
    </w:p>
    <w:p>
      <w:pPr>
        <w:ind w:left="660" w:right="20" w:hanging="328"/>
        <w:spacing w:after="0" w:line="255"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represents net income attributable to common stockholders before income taxes, net interest and other expense and depreciation and amortization and before certain other items, including acquisition and divestiture costs, and financing transaction costs. "Adjusted EBITDA Margin on Revenue" is calculated as Adjusted EBITDA divided by revenue. "Adjusted EBITDA Margin on Revenue, Excluding Billable Expenses" is calculated as Adjusted EBITDA divided by Revenue, Excluding Billable Expenses. The Company prepares Adjusted EBITDA, Adjusted EBITDA Margin on Revenue, and Adjusted EBITDA Margin on Revenue, Excluding Billable Expenses to eliminate the impact of items it does not consider indicative of ongoing operating performance due to their inherent unusual, extraordinary or non-recurring nature or because they result from an event of a similar nature.</w:t>
      </w:r>
    </w:p>
    <w:p>
      <w:pPr>
        <w:spacing w:after="0" w:line="26" w:lineRule="exact"/>
        <w:rPr>
          <w:rFonts w:ascii="Times New Roman" w:cs="Times New Roman" w:eastAsia="Times New Roman" w:hAnsi="Times New Roman"/>
          <w:sz w:val="18"/>
          <w:szCs w:val="18"/>
          <w:color w:val="auto"/>
        </w:rPr>
      </w:pPr>
    </w:p>
    <w:p>
      <w:pPr>
        <w:ind w:left="660" w:right="60" w:hanging="328"/>
        <w:spacing w:after="0" w:line="255"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Income" represents net income attributable to common stockholders before: (i) acquisition and divestiture costs, (ii) financing transaction costs, (iii) significant acquisition amortization, and (iv) amortization or write-off of debt issuance costs and debt discount, in each case net of the tax effect where appropriate calculated using an assumed effective tax rate. We prepare Adjusted Net Income to eliminate the impact of items, net of tax, we do not consider indicative of ongoing operating performance due to their inherent unusual, extraordinary, or non-recurring nature or because they result from an event of a similar nature. We view Adjusted Net Income as an important indicator of performance consistent with the manner in which management measures and forecasts the Company's performance and the way in which management is incentivized to perform.</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left="660" w:hanging="328"/>
        <w:spacing w:after="0" w:line="266"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Diluted EPS" represents diluted EPS calculated using Adjusted Net Income as opposed to net income. Additionally, Adjusted Diluted EPS does not contemplate any adjustments to net income as required under the two-class method as disclosed in the footnotes to the condensed consolidated financial statements.</w:t>
      </w:r>
    </w:p>
    <w:p>
      <w:pPr>
        <w:spacing w:after="0" w:line="1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"Free Cash Flow" represents the net cash generated from operating activities less the impact of purchases of property, equipment, and software.</w:t>
      </w:r>
    </w:p>
    <w:p>
      <w:pPr>
        <w:spacing w:after="0" w:line="117" w:lineRule="exact"/>
        <w:rPr>
          <w:sz w:val="20"/>
          <w:szCs w:val="20"/>
          <w:color w:val="auto"/>
        </w:rPr>
      </w:pPr>
    </w:p>
    <w:p>
      <w:pPr>
        <w:jc w:val="both"/>
        <w:ind w:right="20" w:firstLine="405"/>
        <w:spacing w:after="0" w:line="266" w:lineRule="auto"/>
        <w:rPr>
          <w:sz w:val="20"/>
          <w:szCs w:val="20"/>
          <w:color w:val="auto"/>
        </w:rPr>
      </w:pPr>
      <w:r>
        <w:rPr>
          <w:rFonts w:ascii="Times New Roman" w:cs="Times New Roman" w:eastAsia="Times New Roman" w:hAnsi="Times New Roman"/>
          <w:sz w:val="18"/>
          <w:szCs w:val="18"/>
          <w:color w:val="auto"/>
        </w:rPr>
        <w:t>Below is a reconciliation of Revenue, Excluding Billable Expenses, Adjusted Operating Income, Adjusted EBITDA, Adjusted EBITDA Margin on Revenue, Adjusted EBITDA Margin on Revenue, Excluding Billable Expenses, Adjusted Net Income, Adjusted Diluted EPS, and Free Cash Flow to the most directly comparable financial measure calculated and presented in accordance with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21" w:right="5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40" w:type="dxa"/>
            <w:vAlign w:val="bottom"/>
            <w:gridSpan w:val="4"/>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0" w:type="dxa"/>
            <w:vAlign w:val="bottom"/>
          </w:tcPr>
          <w:p>
            <w:pPr>
              <w:spacing w:after="0"/>
              <w:rPr>
                <w:sz w:val="1"/>
                <w:szCs w:val="1"/>
                <w:color w:val="auto"/>
              </w:rPr>
            </w:pPr>
          </w:p>
        </w:tc>
      </w:tr>
      <w:tr>
        <w:trPr>
          <w:trHeight w:val="241"/>
        </w:trPr>
        <w:tc>
          <w:tcPr>
            <w:tcW w:w="76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center"/>
              <w:ind w:left="731"/>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1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7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190"/>
        </w:trPr>
        <w:tc>
          <w:tcPr>
            <w:tcW w:w="7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60" w:type="dxa"/>
            <w:vAlign w:val="bottom"/>
            <w:gridSpan w:val="3"/>
          </w:tcPr>
          <w:p>
            <w:pPr>
              <w:jc w:val="center"/>
              <w:ind w:left="711"/>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Revenue, Excluding Billable Expenses</w:t>
            </w:r>
          </w:p>
        </w:tc>
        <w:tc>
          <w:tcPr>
            <w:tcW w:w="3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Revenue</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2,249,600</w:t>
            </w:r>
          </w:p>
        </w:tc>
        <w:tc>
          <w:tcPr>
            <w:tcW w:w="58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1,989,066</w:t>
            </w:r>
          </w:p>
        </w:tc>
        <w:tc>
          <w:tcPr>
            <w:tcW w:w="0" w:type="dxa"/>
            <w:vAlign w:val="bottom"/>
          </w:tcPr>
          <w:p>
            <w:pPr>
              <w:spacing w:after="0"/>
              <w:rPr>
                <w:sz w:val="1"/>
                <w:szCs w:val="1"/>
                <w:color w:val="auto"/>
              </w:rPr>
            </w:pPr>
          </w:p>
        </w:tc>
      </w:tr>
      <w:tr>
        <w:trPr>
          <w:trHeight w:val="229"/>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Less: Billable expenses</w:t>
            </w: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674,266</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555,545</w:t>
            </w:r>
          </w:p>
        </w:tc>
        <w:tc>
          <w:tcPr>
            <w:tcW w:w="0" w:type="dxa"/>
            <w:vAlign w:val="bottom"/>
          </w:tcPr>
          <w:p>
            <w:pPr>
              <w:spacing w:after="0"/>
              <w:rPr>
                <w:sz w:val="1"/>
                <w:szCs w:val="1"/>
                <w:color w:val="auto"/>
              </w:rPr>
            </w:pPr>
          </w:p>
        </w:tc>
      </w:tr>
      <w:tr>
        <w:trPr>
          <w:trHeight w:val="223"/>
        </w:trPr>
        <w:tc>
          <w:tcPr>
            <w:tcW w:w="76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Revenue, Excluding Billable Expenses</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1,575,334</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1,433,521</w:t>
            </w:r>
          </w:p>
        </w:tc>
        <w:tc>
          <w:tcPr>
            <w:tcW w:w="0" w:type="dxa"/>
            <w:vAlign w:val="bottom"/>
          </w:tcPr>
          <w:p>
            <w:pPr>
              <w:spacing w:after="0"/>
              <w:rPr>
                <w:sz w:val="1"/>
                <w:szCs w:val="1"/>
                <w:color w:val="auto"/>
              </w:rPr>
            </w:pPr>
          </w:p>
        </w:tc>
      </w:tr>
      <w:tr>
        <w:trPr>
          <w:trHeight w:val="20"/>
        </w:trPr>
        <w:tc>
          <w:tcPr>
            <w:tcW w:w="76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6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i w:val="1"/>
                <w:iCs w:val="1"/>
                <w:color w:val="auto"/>
              </w:rPr>
              <w:t>Adjusted Operating Income</w:t>
            </w:r>
          </w:p>
        </w:tc>
        <w:tc>
          <w:tcPr>
            <w:tcW w:w="3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Income</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207,195</w:t>
            </w:r>
          </w:p>
        </w:tc>
        <w:tc>
          <w:tcPr>
            <w:tcW w:w="58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141,257</w:t>
            </w:r>
          </w:p>
        </w:tc>
        <w:tc>
          <w:tcPr>
            <w:tcW w:w="0" w:type="dxa"/>
            <w:vAlign w:val="bottom"/>
          </w:tcPr>
          <w:p>
            <w:pPr>
              <w:spacing w:after="0"/>
              <w:rPr>
                <w:sz w:val="1"/>
                <w:szCs w:val="1"/>
                <w:color w:val="auto"/>
              </w:rPr>
            </w:pPr>
          </w:p>
        </w:tc>
      </w:tr>
      <w:tr>
        <w:trPr>
          <w:trHeight w:val="229"/>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Acquisition and divestiture costs (a)</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5,093</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66,789</w:t>
            </w:r>
          </w:p>
        </w:tc>
        <w:tc>
          <w:tcPr>
            <w:tcW w:w="0" w:type="dxa"/>
            <w:vAlign w:val="bottom"/>
          </w:tcPr>
          <w:p>
            <w:pPr>
              <w:spacing w:after="0"/>
              <w:rPr>
                <w:sz w:val="1"/>
                <w:szCs w:val="1"/>
                <w:color w:val="auto"/>
              </w:rPr>
            </w:pPr>
          </w:p>
        </w:tc>
      </w:tr>
      <w:tr>
        <w:trPr>
          <w:trHeight w:val="230"/>
        </w:trPr>
        <w:tc>
          <w:tcPr>
            <w:tcW w:w="7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Financing transaction costs (b)</w:t>
            </w:r>
          </w:p>
        </w:tc>
        <w:tc>
          <w:tcPr>
            <w:tcW w:w="360" w:type="dxa"/>
            <w:vAlign w:val="bottom"/>
          </w:tcPr>
          <w:p>
            <w:pPr>
              <w:spacing w:after="0"/>
              <w:rPr>
                <w:sz w:val="19"/>
                <w:szCs w:val="19"/>
                <w:color w:val="auto"/>
              </w:rPr>
            </w:pP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2,348</w:t>
            </w:r>
          </w:p>
        </w:tc>
        <w:tc>
          <w:tcPr>
            <w:tcW w:w="0" w:type="dxa"/>
            <w:vAlign w:val="bottom"/>
          </w:tcPr>
          <w:p>
            <w:pPr>
              <w:spacing w:after="0"/>
              <w:rPr>
                <w:sz w:val="1"/>
                <w:szCs w:val="1"/>
                <w:color w:val="auto"/>
              </w:rPr>
            </w:pPr>
          </w:p>
        </w:tc>
      </w:tr>
      <w:tr>
        <w:trPr>
          <w:trHeight w:val="229"/>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Significant acquisition amortization (c)</w:t>
            </w: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11,087</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2,658</w:t>
            </w:r>
          </w:p>
        </w:tc>
        <w:tc>
          <w:tcPr>
            <w:tcW w:w="0" w:type="dxa"/>
            <w:vAlign w:val="bottom"/>
          </w:tcPr>
          <w:p>
            <w:pPr>
              <w:spacing w:after="0"/>
              <w:rPr>
                <w:sz w:val="1"/>
                <w:szCs w:val="1"/>
                <w:color w:val="auto"/>
              </w:rPr>
            </w:pPr>
          </w:p>
        </w:tc>
      </w:tr>
      <w:tr>
        <w:trPr>
          <w:trHeight w:val="223"/>
        </w:trPr>
        <w:tc>
          <w:tcPr>
            <w:tcW w:w="76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Adjusted Operating Income</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223,375</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213,052</w:t>
            </w:r>
          </w:p>
        </w:tc>
        <w:tc>
          <w:tcPr>
            <w:tcW w:w="0" w:type="dxa"/>
            <w:vAlign w:val="bottom"/>
          </w:tcPr>
          <w:p>
            <w:pPr>
              <w:spacing w:after="0"/>
              <w:rPr>
                <w:sz w:val="1"/>
                <w:szCs w:val="1"/>
                <w:color w:val="auto"/>
              </w:rPr>
            </w:pPr>
          </w:p>
        </w:tc>
      </w:tr>
      <w:tr>
        <w:trPr>
          <w:trHeight w:val="20"/>
        </w:trPr>
        <w:tc>
          <w:tcPr>
            <w:tcW w:w="76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64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b w:val="1"/>
                <w:bCs w:val="1"/>
                <w:i w:val="1"/>
                <w:iCs w:val="1"/>
                <w:color w:val="auto"/>
              </w:rPr>
              <w:t>EBITDA, Adjusted EBITDA, Adjusted EBITDA Margin on Revenue &amp; Adjusted EBITDA Margin on</w:t>
            </w:r>
          </w:p>
        </w:tc>
        <w:tc>
          <w:tcPr>
            <w:tcW w:w="36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Revenue, Excluding Billable Expenses</w:t>
            </w:r>
          </w:p>
        </w:tc>
        <w:tc>
          <w:tcPr>
            <w:tcW w:w="36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 attributable to common stockholders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138,284</w:t>
            </w:r>
          </w:p>
        </w:tc>
        <w:tc>
          <w:tcPr>
            <w:tcW w:w="58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92,102</w:t>
            </w:r>
          </w:p>
        </w:tc>
        <w:tc>
          <w:tcPr>
            <w:tcW w:w="0" w:type="dxa"/>
            <w:vAlign w:val="bottom"/>
          </w:tcPr>
          <w:p>
            <w:pPr>
              <w:spacing w:after="0"/>
              <w:rPr>
                <w:sz w:val="1"/>
                <w:szCs w:val="1"/>
                <w:color w:val="auto"/>
              </w:rPr>
            </w:pPr>
          </w:p>
        </w:tc>
      </w:tr>
      <w:tr>
        <w:trPr>
          <w:trHeight w:val="229"/>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tax expense</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41,489</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27,352</w:t>
            </w:r>
          </w:p>
        </w:tc>
        <w:tc>
          <w:tcPr>
            <w:tcW w:w="0" w:type="dxa"/>
            <w:vAlign w:val="bottom"/>
          </w:tcPr>
          <w:p>
            <w:pPr>
              <w:spacing w:after="0"/>
              <w:rPr>
                <w:sz w:val="1"/>
                <w:szCs w:val="1"/>
                <w:color w:val="auto"/>
              </w:rPr>
            </w:pPr>
          </w:p>
        </w:tc>
      </w:tr>
      <w:tr>
        <w:trPr>
          <w:trHeight w:val="230"/>
        </w:trPr>
        <w:tc>
          <w:tcPr>
            <w:tcW w:w="7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and other, net (d)</w:t>
            </w:r>
          </w:p>
        </w:tc>
        <w:tc>
          <w:tcPr>
            <w:tcW w:w="360" w:type="dxa"/>
            <w:vAlign w:val="bottom"/>
          </w:tcPr>
          <w:p>
            <w:pPr>
              <w:spacing w:after="0"/>
              <w:rPr>
                <w:sz w:val="19"/>
                <w:szCs w:val="19"/>
                <w:color w:val="auto"/>
              </w:rPr>
            </w:pP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27,613</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21,803</w:t>
            </w:r>
          </w:p>
        </w:tc>
        <w:tc>
          <w:tcPr>
            <w:tcW w:w="0" w:type="dxa"/>
            <w:vAlign w:val="bottom"/>
          </w:tcPr>
          <w:p>
            <w:pPr>
              <w:spacing w:after="0"/>
              <w:rPr>
                <w:sz w:val="1"/>
                <w:szCs w:val="1"/>
                <w:color w:val="auto"/>
              </w:rPr>
            </w:pPr>
          </w:p>
        </w:tc>
      </w:tr>
      <w:tr>
        <w:trPr>
          <w:trHeight w:val="229"/>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40,102</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27,745</w:t>
            </w:r>
          </w:p>
        </w:tc>
        <w:tc>
          <w:tcPr>
            <w:tcW w:w="0" w:type="dxa"/>
            <w:vAlign w:val="bottom"/>
          </w:tcPr>
          <w:p>
            <w:pPr>
              <w:spacing w:after="0"/>
              <w:rPr>
                <w:sz w:val="1"/>
                <w:szCs w:val="1"/>
                <w:color w:val="auto"/>
              </w:rPr>
            </w:pPr>
          </w:p>
        </w:tc>
      </w:tr>
      <w:tr>
        <w:trPr>
          <w:trHeight w:val="223"/>
        </w:trPr>
        <w:tc>
          <w:tcPr>
            <w:tcW w:w="76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EBITDA</w:t>
            </w:r>
          </w:p>
        </w:tc>
        <w:tc>
          <w:tcPr>
            <w:tcW w:w="360" w:type="dxa"/>
            <w:vAlign w:val="bottom"/>
          </w:tcPr>
          <w:p>
            <w:pPr>
              <w:spacing w:after="0"/>
              <w:rPr>
                <w:sz w:val="19"/>
                <w:szCs w:val="19"/>
                <w:color w:val="auto"/>
              </w:rPr>
            </w:pP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247,488</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169,002</w:t>
            </w:r>
          </w:p>
        </w:tc>
        <w:tc>
          <w:tcPr>
            <w:tcW w:w="0" w:type="dxa"/>
            <w:vAlign w:val="bottom"/>
          </w:tcPr>
          <w:p>
            <w:pPr>
              <w:spacing w:after="0"/>
              <w:rPr>
                <w:sz w:val="1"/>
                <w:szCs w:val="1"/>
                <w:color w:val="auto"/>
              </w:rPr>
            </w:pPr>
          </w:p>
        </w:tc>
      </w:tr>
      <w:tr>
        <w:trPr>
          <w:trHeight w:val="230"/>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Acquisition and divestiture costs (a)</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5,093</w:t>
            </w:r>
          </w:p>
        </w:tc>
        <w:tc>
          <w:tcPr>
            <w:tcW w:w="120" w:type="dxa"/>
            <w:vAlign w:val="bottom"/>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66,789</w:t>
            </w:r>
          </w:p>
        </w:tc>
        <w:tc>
          <w:tcPr>
            <w:tcW w:w="0" w:type="dxa"/>
            <w:vAlign w:val="bottom"/>
          </w:tcPr>
          <w:p>
            <w:pPr>
              <w:spacing w:after="0"/>
              <w:rPr>
                <w:sz w:val="1"/>
                <w:szCs w:val="1"/>
                <w:color w:val="auto"/>
              </w:rPr>
            </w:pPr>
          </w:p>
        </w:tc>
      </w:tr>
      <w:tr>
        <w:trPr>
          <w:trHeight w:val="229"/>
        </w:trPr>
        <w:tc>
          <w:tcPr>
            <w:tcW w:w="76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Financing transaction costs (b)</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2,348</w:t>
            </w:r>
          </w:p>
        </w:tc>
        <w:tc>
          <w:tcPr>
            <w:tcW w:w="0" w:type="dxa"/>
            <w:vAlign w:val="bottom"/>
          </w:tcPr>
          <w:p>
            <w:pPr>
              <w:spacing w:after="0"/>
              <w:rPr>
                <w:sz w:val="1"/>
                <w:szCs w:val="1"/>
                <w:color w:val="auto"/>
              </w:rPr>
            </w:pPr>
          </w:p>
        </w:tc>
      </w:tr>
      <w:tr>
        <w:trPr>
          <w:trHeight w:val="248"/>
        </w:trPr>
        <w:tc>
          <w:tcPr>
            <w:tcW w:w="764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Adjusted EBITDA</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252,581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238,139</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bottom w:val="single" w:sz="8" w:color="CCEEFF"/>
            </w:tcBorders>
            <w:vMerge w:val="restart"/>
          </w:tcPr>
          <w:p>
            <w:pPr>
              <w:ind w:left="480"/>
              <w:spacing w:after="0"/>
              <w:rPr>
                <w:sz w:val="20"/>
                <w:szCs w:val="20"/>
                <w:color w:val="auto"/>
              </w:rPr>
            </w:pPr>
            <w:r>
              <w:rPr>
                <w:rFonts w:ascii="Times New Roman" w:cs="Times New Roman" w:eastAsia="Times New Roman" w:hAnsi="Times New Roman"/>
                <w:sz w:val="18"/>
                <w:szCs w:val="18"/>
                <w:color w:val="auto"/>
              </w:rPr>
              <w:t>Adjusted EBITDA Margin on Revenue</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64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ind w:right="31"/>
              <w:spacing w:after="0" w:line="203" w:lineRule="exact"/>
              <w:rPr>
                <w:sz w:val="20"/>
                <w:szCs w:val="20"/>
                <w:color w:val="auto"/>
              </w:rPr>
            </w:pPr>
            <w:r>
              <w:rPr>
                <w:rFonts w:ascii="Times New Roman" w:cs="Times New Roman" w:eastAsia="Times New Roman" w:hAnsi="Times New Roman"/>
                <w:sz w:val="18"/>
                <w:szCs w:val="18"/>
                <w:color w:val="auto"/>
              </w:rPr>
              <w:t>11.2%</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80" w:type="dxa"/>
            <w:vAlign w:val="bottom"/>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30"/>
        </w:trPr>
        <w:tc>
          <w:tcPr>
            <w:tcW w:w="76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Adjusted EBITDA Margin on Revenue, Excluding Billable Expenses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29"/>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Adjusted Net Income</w:t>
            </w: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income attributable to common stockholders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138,284</w:t>
            </w:r>
          </w:p>
        </w:tc>
        <w:tc>
          <w:tcPr>
            <w:tcW w:w="580" w:type="dxa"/>
            <w:vAlign w:val="bottom"/>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92,102</w:t>
            </w:r>
          </w:p>
        </w:tc>
        <w:tc>
          <w:tcPr>
            <w:tcW w:w="0" w:type="dxa"/>
            <w:vAlign w:val="bottom"/>
          </w:tcPr>
          <w:p>
            <w:pPr>
              <w:spacing w:after="0"/>
              <w:rPr>
                <w:sz w:val="1"/>
                <w:szCs w:val="1"/>
                <w:color w:val="auto"/>
              </w:rPr>
            </w:pPr>
          </w:p>
        </w:tc>
      </w:tr>
      <w:tr>
        <w:trPr>
          <w:trHeight w:val="230"/>
        </w:trPr>
        <w:tc>
          <w:tcPr>
            <w:tcW w:w="7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Acquisition and divestiture costs (a)</w:t>
            </w:r>
          </w:p>
        </w:tc>
        <w:tc>
          <w:tcPr>
            <w:tcW w:w="360" w:type="dxa"/>
            <w:vAlign w:val="bottom"/>
          </w:tcPr>
          <w:p>
            <w:pPr>
              <w:spacing w:after="0"/>
              <w:rPr>
                <w:sz w:val="19"/>
                <w:szCs w:val="19"/>
                <w:color w:val="auto"/>
              </w:rPr>
            </w:pP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5,093</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66,789</w:t>
            </w:r>
          </w:p>
        </w:tc>
        <w:tc>
          <w:tcPr>
            <w:tcW w:w="0" w:type="dxa"/>
            <w:vAlign w:val="bottom"/>
          </w:tcPr>
          <w:p>
            <w:pPr>
              <w:spacing w:after="0"/>
              <w:rPr>
                <w:sz w:val="1"/>
                <w:szCs w:val="1"/>
                <w:color w:val="auto"/>
              </w:rPr>
            </w:pPr>
          </w:p>
        </w:tc>
      </w:tr>
      <w:tr>
        <w:trPr>
          <w:trHeight w:val="230"/>
        </w:trPr>
        <w:tc>
          <w:tcPr>
            <w:tcW w:w="7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Financing transaction costs (b)</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2,348</w:t>
            </w:r>
          </w:p>
        </w:tc>
        <w:tc>
          <w:tcPr>
            <w:tcW w:w="0" w:type="dxa"/>
            <w:vAlign w:val="bottom"/>
          </w:tcPr>
          <w:p>
            <w:pPr>
              <w:spacing w:after="0"/>
              <w:rPr>
                <w:sz w:val="1"/>
                <w:szCs w:val="1"/>
                <w:color w:val="auto"/>
              </w:rPr>
            </w:pPr>
          </w:p>
        </w:tc>
      </w:tr>
      <w:tr>
        <w:trPr>
          <w:trHeight w:val="230"/>
        </w:trPr>
        <w:tc>
          <w:tcPr>
            <w:tcW w:w="7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Significant acquisition amortization (c)</w:t>
            </w:r>
          </w:p>
        </w:tc>
        <w:tc>
          <w:tcPr>
            <w:tcW w:w="360" w:type="dxa"/>
            <w:vAlign w:val="bottom"/>
          </w:tcPr>
          <w:p>
            <w:pPr>
              <w:spacing w:after="0"/>
              <w:rPr>
                <w:sz w:val="19"/>
                <w:szCs w:val="19"/>
                <w:color w:val="auto"/>
              </w:rPr>
            </w:pP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11,087</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2,658</w:t>
            </w:r>
          </w:p>
        </w:tc>
        <w:tc>
          <w:tcPr>
            <w:tcW w:w="0" w:type="dxa"/>
            <w:vAlign w:val="bottom"/>
          </w:tcPr>
          <w:p>
            <w:pPr>
              <w:spacing w:after="0"/>
              <w:rPr>
                <w:sz w:val="1"/>
                <w:szCs w:val="1"/>
                <w:color w:val="auto"/>
              </w:rPr>
            </w:pPr>
          </w:p>
        </w:tc>
      </w:tr>
      <w:tr>
        <w:trPr>
          <w:trHeight w:val="229"/>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and write-off of debt issuance costs and debt discount</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823</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887</w:t>
            </w:r>
          </w:p>
        </w:tc>
        <w:tc>
          <w:tcPr>
            <w:tcW w:w="0" w:type="dxa"/>
            <w:vAlign w:val="bottom"/>
          </w:tcPr>
          <w:p>
            <w:pPr>
              <w:spacing w:after="0"/>
              <w:rPr>
                <w:sz w:val="1"/>
                <w:szCs w:val="1"/>
                <w:color w:val="auto"/>
              </w:rPr>
            </w:pPr>
          </w:p>
        </w:tc>
      </w:tr>
      <w:tr>
        <w:trPr>
          <w:trHeight w:val="230"/>
        </w:trPr>
        <w:tc>
          <w:tcPr>
            <w:tcW w:w="76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Adjustments for tax effect (e)</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(4,421)</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(18,897)</w:t>
            </w:r>
          </w:p>
        </w:tc>
        <w:tc>
          <w:tcPr>
            <w:tcW w:w="0" w:type="dxa"/>
            <w:vAlign w:val="bottom"/>
          </w:tcPr>
          <w:p>
            <w:pPr>
              <w:spacing w:after="0"/>
              <w:rPr>
                <w:sz w:val="1"/>
                <w:szCs w:val="1"/>
                <w:color w:val="auto"/>
              </w:rPr>
            </w:pPr>
          </w:p>
        </w:tc>
      </w:tr>
      <w:tr>
        <w:trPr>
          <w:trHeight w:val="248"/>
        </w:trPr>
        <w:tc>
          <w:tcPr>
            <w:tcW w:w="764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Adjusted Net Income</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150,866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145,887</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Adjusted Diluted Earnings Per Share</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64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Weighted-average number of diluted shares outstanding</w:t>
            </w: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133,011,088</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136,392,343</w:t>
            </w:r>
          </w:p>
        </w:tc>
        <w:tc>
          <w:tcPr>
            <w:tcW w:w="0" w:type="dxa"/>
            <w:vAlign w:val="bottom"/>
          </w:tcPr>
          <w:p>
            <w:pPr>
              <w:spacing w:after="0"/>
              <w:rPr>
                <w:sz w:val="1"/>
                <w:szCs w:val="1"/>
                <w:color w:val="auto"/>
              </w:rPr>
            </w:pPr>
          </w:p>
        </w:tc>
      </w:tr>
      <w:tr>
        <w:trPr>
          <w:trHeight w:val="223"/>
        </w:trPr>
        <w:tc>
          <w:tcPr>
            <w:tcW w:w="7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Adjusted Net Income Per Diluted Share (f)</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1.13</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0"/>
        </w:trPr>
        <w:tc>
          <w:tcPr>
            <w:tcW w:w="76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i w:val="1"/>
                <w:iCs w:val="1"/>
                <w:color w:val="auto"/>
              </w:rPr>
              <w:t>Free Cash Flow</w:t>
            </w:r>
          </w:p>
        </w:tc>
        <w:tc>
          <w:tcPr>
            <w:tcW w:w="3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(45,634)</w:t>
            </w:r>
          </w:p>
        </w:tc>
        <w:tc>
          <w:tcPr>
            <w:tcW w:w="58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(10,662)</w:t>
            </w:r>
          </w:p>
        </w:tc>
        <w:tc>
          <w:tcPr>
            <w:tcW w:w="0" w:type="dxa"/>
            <w:vAlign w:val="bottom"/>
          </w:tcPr>
          <w:p>
            <w:pPr>
              <w:spacing w:after="0"/>
              <w:rPr>
                <w:sz w:val="1"/>
                <w:szCs w:val="1"/>
                <w:color w:val="auto"/>
              </w:rPr>
            </w:pPr>
          </w:p>
        </w:tc>
      </w:tr>
      <w:tr>
        <w:trPr>
          <w:trHeight w:val="230"/>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Less: Purchases of property, equipment and software</w:t>
            </w: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(13,734)</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(9,008)</w:t>
            </w:r>
          </w:p>
        </w:tc>
        <w:tc>
          <w:tcPr>
            <w:tcW w:w="0" w:type="dxa"/>
            <w:vAlign w:val="bottom"/>
          </w:tcPr>
          <w:p>
            <w:pPr>
              <w:spacing w:after="0"/>
              <w:rPr>
                <w:sz w:val="1"/>
                <w:szCs w:val="1"/>
                <w:color w:val="auto"/>
              </w:rPr>
            </w:pPr>
          </w:p>
        </w:tc>
      </w:tr>
      <w:tr>
        <w:trPr>
          <w:trHeight w:val="223"/>
        </w:trPr>
        <w:tc>
          <w:tcPr>
            <w:tcW w:w="76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Free Cash Flow</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(59,368)</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(19,670)</w:t>
            </w: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660" w:hanging="328"/>
        <w:spacing w:after="0" w:line="256" w:lineRule="auto"/>
        <w:tabs>
          <w:tab w:leader="none" w:pos="657"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costs associated with the acquisition and divestiture efforts of the Company related to transactions for which the Company has entered into a letter of intent to either acquire a controlling financial interest in the target entity or divest a portion of our business. Acquisition and divestiture costs primarily include costs associated with (i) buy-side and sell-side due diligence activities, (ii) compensation expenses associated with employee retention, and (iii) legal and advisory fees primarily associated with the acquisitions of Liberty IT Solutions, LLC ("Liberty"), Tracepoint Holdings, LLC ("Tracepoint"), and EverWatch Corp. ("EverWatch"), as well as the planned divestiture of our management consulting business serving the Middle East and North Africa (the "MENA Divestiture").</w:t>
      </w:r>
    </w:p>
    <w:p>
      <w:pPr>
        <w:spacing w:after="0" w:line="25"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expenses associated with debt financing activities incurred during the first quarter of fiscal 2022.</w:t>
      </w:r>
    </w:p>
    <w:p>
      <w:pPr>
        <w:spacing w:after="0" w:line="63"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7"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expense associated with acquired intangibles from significant acquisitions. Significant acquisitions include acquisitions which the Company considers to be beyond the scope of our normal operations. Significant</w:t>
      </w:r>
    </w:p>
    <w:p>
      <w:pPr>
        <w:sectPr>
          <w:pgSz w:w="11900" w:h="16838" w:orient="portrait"/>
          <w:cols w:equalWidth="0" w:num="1">
            <w:col w:w="11160"/>
          </w:cols>
          <w:pgMar w:left="320" w:top="121" w:right="41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acquisition amortization includes amortization expense associated with the acquisition of Liberty in the first quarter of fiscal 2022.</w:t>
      </w:r>
    </w:p>
    <w:p>
      <w:pPr>
        <w:spacing w:after="0" w:line="63" w:lineRule="exact"/>
        <w:rPr>
          <w:sz w:val="20"/>
          <w:szCs w:val="20"/>
          <w:color w:val="auto"/>
        </w:rPr>
      </w:pPr>
    </w:p>
    <w:p>
      <w:pPr>
        <w:ind w:left="640" w:hanging="308"/>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combination of Interest expense and Other income (expense), net from the condensed consolidated statement of operations.</w:t>
      </w:r>
    </w:p>
    <w:p>
      <w:pPr>
        <w:spacing w:after="0" w:line="63" w:lineRule="exact"/>
        <w:rPr>
          <w:rFonts w:ascii="Times New Roman" w:cs="Times New Roman" w:eastAsia="Times New Roman" w:hAnsi="Times New Roman"/>
          <w:sz w:val="18"/>
          <w:szCs w:val="18"/>
          <w:color w:val="auto"/>
        </w:rPr>
      </w:pPr>
    </w:p>
    <w:p>
      <w:pPr>
        <w:ind w:left="660" w:right="400" w:hanging="328"/>
        <w:spacing w:after="0" w:line="281" w:lineRule="auto"/>
        <w:tabs>
          <w:tab w:leader="none" w:pos="65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tax effect of adjustments at an assumed effective tax rate of 26%, which approximates the blended federal and state tax rates, and consistently excludes the impact of other tax credits and incentive benefits realized.</w:t>
      </w:r>
    </w:p>
    <w:p>
      <w:pPr>
        <w:spacing w:after="0" w:line="1"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1"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adjustments of approximately $0.9 million and $0.5 million of net earnings for the three months ended June 30, 2022 and June 30, 2021, respectively, associated with the application of the two-class method for computing diluted earnings per share.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and Trends Affecting Our Results of Operations</w:t>
      </w:r>
    </w:p>
    <w:p>
      <w:pPr>
        <w:spacing w:after="0" w:line="121" w:lineRule="exact"/>
        <w:rPr>
          <w:sz w:val="20"/>
          <w:szCs w:val="20"/>
          <w:color w:val="auto"/>
        </w:rPr>
      </w:pPr>
    </w:p>
    <w:p>
      <w:pPr>
        <w:ind w:right="260" w:firstLine="405"/>
        <w:spacing w:after="0" w:line="282" w:lineRule="auto"/>
        <w:rPr>
          <w:sz w:val="20"/>
          <w:szCs w:val="20"/>
          <w:color w:val="auto"/>
        </w:rPr>
      </w:pPr>
      <w:r>
        <w:rPr>
          <w:rFonts w:ascii="Times New Roman" w:cs="Times New Roman" w:eastAsia="Times New Roman" w:hAnsi="Times New Roman"/>
          <w:sz w:val="18"/>
          <w:szCs w:val="18"/>
          <w:color w:val="auto"/>
        </w:rPr>
        <w:t>Our results of operations have been, and we expect them to continue to be, affected by the following factors, which may cause our future results of operations to differ from our historical results of operations discussed under “— Results of Operations.”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Environment and Key Trends in Our Markets</w:t>
      </w:r>
    </w:p>
    <w:p>
      <w:pPr>
        <w:spacing w:after="0" w:line="121" w:lineRule="exact"/>
        <w:rPr>
          <w:sz w:val="20"/>
          <w:szCs w:val="20"/>
          <w:color w:val="auto"/>
        </w:rPr>
      </w:pPr>
    </w:p>
    <w:p>
      <w:pPr>
        <w:ind w:right="140" w:firstLine="405"/>
        <w:spacing w:after="0" w:line="282" w:lineRule="auto"/>
        <w:rPr>
          <w:sz w:val="20"/>
          <w:szCs w:val="20"/>
          <w:color w:val="auto"/>
        </w:rPr>
      </w:pPr>
      <w:r>
        <w:rPr>
          <w:rFonts w:ascii="Times New Roman" w:cs="Times New Roman" w:eastAsia="Times New Roman" w:hAnsi="Times New Roman"/>
          <w:sz w:val="18"/>
          <w:szCs w:val="18"/>
          <w:color w:val="auto"/>
        </w:rPr>
        <w:t>We believe that the following trends and developments in the U.S. government services industry and our markets may influence our future results of operations:</w:t>
      </w:r>
    </w:p>
    <w:p>
      <w:pPr>
        <w:spacing w:after="0" w:line="54" w:lineRule="exact"/>
        <w:rPr>
          <w:sz w:val="20"/>
          <w:szCs w:val="20"/>
          <w:color w:val="auto"/>
        </w:rPr>
      </w:pPr>
    </w:p>
    <w:p>
      <w:pPr>
        <w:ind w:left="660" w:right="60" w:hanging="328"/>
        <w:spacing w:after="0" w:line="255"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around the timing, extent, nature and effect of Congressional and other U.S. government actions to approve funding of the U.S. government, address budgetary constraints, including caps on the discretionary budget for defense and non-defense departments and agencies, as established by the Bipartisan Budget Control Act of 2011 ("BCA") and subsequently adjusted by the American Taxpayer Relief Act of 2012, the Bipartisan Budget Act of 2013, the Bipartisan Budget Act of 2015, the Bipartisan Budget Act of 2018, and the Bipartisan Budget Act of 2019, the Coronavirus Aid, Relief, and Economic Security Act (the "CARES Act"), and the Consolidated Appropriations Act of 2021, and address the ability of Congress to determine how to allocate the available budget authority and pass appropriations bills to fund both U.S. government departments and agencies that are, and those that are not, subject to the caps;</w:t>
      </w:r>
    </w:p>
    <w:p>
      <w:pPr>
        <w:spacing w:after="0" w:line="80" w:lineRule="exact"/>
        <w:rPr>
          <w:rFonts w:ascii="Times New Roman" w:cs="Times New Roman" w:eastAsia="Times New Roman" w:hAnsi="Times New Roman"/>
          <w:sz w:val="18"/>
          <w:szCs w:val="18"/>
          <w:color w:val="auto"/>
        </w:rPr>
      </w:pPr>
    </w:p>
    <w:p>
      <w:pPr>
        <w:ind w:left="660" w:right="56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budget deficits and the growing U.S. national debt increasing pressure on the U.S. government to reduce federal spending across all federal agencies together with associated uncertainty about the size and timing of those reductions;</w:t>
      </w:r>
    </w:p>
    <w:p>
      <w:pPr>
        <w:spacing w:after="0" w:line="53" w:lineRule="exact"/>
        <w:rPr>
          <w:rFonts w:ascii="Times New Roman" w:cs="Times New Roman" w:eastAsia="Times New Roman" w:hAnsi="Times New Roman"/>
          <w:sz w:val="18"/>
          <w:szCs w:val="18"/>
          <w:color w:val="auto"/>
        </w:rPr>
      </w:pPr>
    </w:p>
    <w:p>
      <w:pPr>
        <w:ind w:left="660" w:hanging="328"/>
        <w:spacing w:after="0" w:line="254"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cost-cutting and efficiency initiatives, current and future budget restrictions, continued implementation of Congressionally mandated automatic spending cuts, and other efforts to reduce U.S. government spending could cause clients to reduce or delay funding for orders for services or invest appropriated funds on a less consistent or rapid basis or not at all, particularly when considering long-term initiatives and in light of current uncertainty around Congressional efforts to craft a long-term agreement on the U.S. government's ability to incur indebtedness in excess of its current limits, and generally in the current political environment, there is a risk that clients will not issue task orders in sufficient volume to reach current contract ceilings, alter historical patterns of contract awards, including the typical increase in the award of task orders or completion of other contract actions by the U.S. government in the period before the end of the U.S. government's fiscal year on September 30, delay requests for new proposals and contract awards, rely on short-term extensions and funding of current contracts, or reduce staffing levels and hours of operation;</w:t>
      </w:r>
    </w:p>
    <w:p>
      <w:pPr>
        <w:spacing w:after="0" w:line="80"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the completion of future U.S. government’s budget processes, which have in the past and could in the future delay procurement of the products, services, and solutions we provide;</w:t>
      </w:r>
    </w:p>
    <w:p>
      <w:pPr>
        <w:spacing w:after="0" w:line="53" w:lineRule="exact"/>
        <w:rPr>
          <w:rFonts w:ascii="Times New Roman" w:cs="Times New Roman" w:eastAsia="Times New Roman" w:hAnsi="Times New Roman"/>
          <w:sz w:val="18"/>
          <w:szCs w:val="18"/>
          <w:color w:val="auto"/>
        </w:rPr>
      </w:pPr>
    </w:p>
    <w:p>
      <w:pPr>
        <w:ind w:left="660" w:hanging="328"/>
        <w:spacing w:after="0" w:line="261"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relative mix of overall U.S. government spending and areas of spending growth, with lower spending on homeland security, intelligence, defense-related programs as certain overseas operations end, and continued increased spending on cybersecurity, Command, Control, Communications, Computers, Intelligence, Surveillance, and Reconnaissance (C4ISR), advanced analytics, technology integration, and healthcare, including as a result of the presidential and administration transition;</w:t>
      </w:r>
    </w:p>
    <w:p>
      <w:pPr>
        <w:spacing w:after="0" w:line="71" w:lineRule="exact"/>
        <w:rPr>
          <w:rFonts w:ascii="Times New Roman" w:cs="Times New Roman" w:eastAsia="Times New Roman" w:hAnsi="Times New Roman"/>
          <w:sz w:val="18"/>
          <w:szCs w:val="18"/>
          <w:color w:val="auto"/>
        </w:rPr>
      </w:pPr>
    </w:p>
    <w:p>
      <w:pPr>
        <w:ind w:left="660" w:right="60" w:hanging="328"/>
        <w:spacing w:after="0" w:line="261"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nature and effect of COVID-19, including the impact on federal budgets, current and pending procurements, supply chains, demand for services, deployment and productivity of our employees and the economic and societal impact of a pandemic, and the expected continued volatility in billable expenses, as well as the impact of our Company policy requiring full COVID-19 vaccinations of all employees, except for employees who qualify for medical or religious exemptions;</w:t>
      </w:r>
    </w:p>
    <w:p>
      <w:pPr>
        <w:spacing w:after="0" w:line="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inflationary pressure that could impact the cost of doing business and/or reduce customer buying power;</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right="100" w:hanging="328"/>
        <w:spacing w:after="0" w:line="261"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legislative and regulatory changes to limitations on the amount of allowable executive compensation permitted under flexibly priced contracts following implementation of interim rules adopted by federal agencies pursuant to the Bipartisan Budget Act of 2013, which substantially further reduce the amount of allowable executive compensation under these contracts and extend these limitations to a larger segment of our executives and our entire contract base;</w:t>
      </w:r>
    </w:p>
    <w:p>
      <w:pPr>
        <w:spacing w:after="0" w:line="71" w:lineRule="exact"/>
        <w:rPr>
          <w:rFonts w:ascii="Times New Roman" w:cs="Times New Roman" w:eastAsia="Times New Roman" w:hAnsi="Times New Roman"/>
          <w:sz w:val="18"/>
          <w:szCs w:val="18"/>
          <w:color w:val="auto"/>
        </w:rPr>
      </w:pPr>
    </w:p>
    <w:p>
      <w:pPr>
        <w:ind w:left="660" w:right="50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efforts by the U.S. government to address organizational conflicts of interest and related issues and the impact of those efforts on us and our competitors;</w:t>
      </w:r>
    </w:p>
    <w:p>
      <w:pPr>
        <w:spacing w:after="0" w:line="53" w:lineRule="exact"/>
        <w:rPr>
          <w:rFonts w:ascii="Times New Roman" w:cs="Times New Roman" w:eastAsia="Times New Roman" w:hAnsi="Times New Roman"/>
          <w:sz w:val="18"/>
          <w:szCs w:val="18"/>
          <w:color w:val="auto"/>
        </w:rPr>
      </w:pPr>
    </w:p>
    <w:p>
      <w:pPr>
        <w:ind w:left="660" w:right="44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audit, review, investigation, and general scrutiny by U.S. government agencies of government contractors' performance under U.S. government contracts and compliance with the terms of those contracts and applicable laws;</w:t>
      </w:r>
    </w:p>
    <w:p>
      <w:pPr>
        <w:spacing w:after="0" w:line="53" w:lineRule="exact"/>
        <w:rPr>
          <w:rFonts w:ascii="Times New Roman" w:cs="Times New Roman" w:eastAsia="Times New Roman" w:hAnsi="Times New Roman"/>
          <w:sz w:val="18"/>
          <w:szCs w:val="18"/>
          <w:color w:val="auto"/>
        </w:rPr>
      </w:pPr>
    </w:p>
    <w:p>
      <w:pPr>
        <w:ind w:left="660" w:right="540" w:hanging="328"/>
        <w:spacing w:after="0" w:line="266"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focus on refining the definition of “inherently governmental” work, including proposals to limit contractor access to sensitive or classified information and work assignments, which will continue to drive pockets of insourcing in various agencies, particularly in the intelligence market;</w:t>
      </w:r>
    </w:p>
    <w:p>
      <w:pPr>
        <w:spacing w:after="0" w:line="67" w:lineRule="exact"/>
        <w:rPr>
          <w:rFonts w:ascii="Times New Roman" w:cs="Times New Roman" w:eastAsia="Times New Roman" w:hAnsi="Times New Roman"/>
          <w:sz w:val="18"/>
          <w:szCs w:val="18"/>
          <w:color w:val="auto"/>
        </w:rPr>
      </w:pPr>
    </w:p>
    <w:p>
      <w:pPr>
        <w:ind w:left="660" w:right="64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publicity and increased scrutiny of government contractors in general, including us, relating to U.S. government expenditures for contractor services and incidents involving the mishandling of sensitive or classified information;</w:t>
      </w:r>
    </w:p>
    <w:p>
      <w:pPr>
        <w:spacing w:after="0" w:line="53"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government agencies awarding contracts on a technically acceptable/lowest cost basis, which could have a negative impact on our ability to win certain contracts;</w:t>
      </w:r>
    </w:p>
    <w:p>
      <w:pPr>
        <w:spacing w:after="0" w:line="53"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from other government contractors and market entrants seeking to take advantage of certain of the trends identified above, and an industry trend towards consolidation, which may result in the emergence of companies that are better able to compete against us;</w:t>
      </w:r>
    </w:p>
    <w:p>
      <w:pPr>
        <w:spacing w:after="0" w:line="53"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cutting and efficiency and effectiveness efforts by U.S. civilian agencies with a focus on increased use of performance measurement, “program integrity” efforts to reduce waste, fraud and abuse in entitlement programs, and renewed focus on improving procurement practices for and interagency use of IT services, including through the use of cloud based options and data center consolidation;</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by the U.S. government on the ability of federal agencies to use lead system integrators, in response to cost, schedule, and performance problems with large defense acquisition programs where contractors were performing the lead system integrator role;</w:t>
      </w:r>
    </w:p>
    <w:p>
      <w:pPr>
        <w:spacing w:after="0" w:line="53" w:lineRule="exact"/>
        <w:rPr>
          <w:rFonts w:ascii="Times New Roman" w:cs="Times New Roman" w:eastAsia="Times New Roman" w:hAnsi="Times New Roman"/>
          <w:sz w:val="18"/>
          <w:szCs w:val="18"/>
          <w:color w:val="auto"/>
        </w:rPr>
      </w:pPr>
    </w:p>
    <w:p>
      <w:pPr>
        <w:jc w:val="both"/>
        <w:ind w:left="660" w:right="40" w:hanging="328"/>
        <w:spacing w:after="0" w:line="266"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increasingly complex requirements and enforcement and reporting landscapes of the Department of Defense and the U.S. intelligence community, including cybersecurity, managing federal health care cost growth, competition, and focus on reforming existing government regulation of various sectors of the economy, such as financial regulation and healthcare; and</w:t>
      </w:r>
    </w:p>
    <w:p>
      <w:pPr>
        <w:spacing w:after="0" w:line="67"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small business regulations across the Department of Defense and civilian agency clients continue to gain traction, agencies are required to meet high small business set aside targets, and large business prime contractors are required to subcontract in accordance with considerable small business participation goals necessary for contract award.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Revenue</w:t>
      </w:r>
    </w:p>
    <w:p>
      <w:pPr>
        <w:spacing w:after="0" w:line="121" w:lineRule="exact"/>
        <w:rPr>
          <w:sz w:val="20"/>
          <w:szCs w:val="20"/>
          <w:color w:val="auto"/>
        </w:rPr>
      </w:pPr>
    </w:p>
    <w:p>
      <w:pPr>
        <w:ind w:right="20" w:firstLine="405"/>
        <w:spacing w:after="0" w:line="252" w:lineRule="auto"/>
        <w:rPr>
          <w:sz w:val="20"/>
          <w:szCs w:val="20"/>
          <w:color w:val="auto"/>
        </w:rPr>
      </w:pPr>
      <w:r>
        <w:rPr>
          <w:rFonts w:ascii="Times New Roman" w:cs="Times New Roman" w:eastAsia="Times New Roman" w:hAnsi="Times New Roman"/>
          <w:sz w:val="18"/>
          <w:szCs w:val="18"/>
          <w:color w:val="auto"/>
        </w:rPr>
        <w:t>Substantially all of our revenue is derived from services provided under contracts and task orders with the U.S. government, primarily by our client staff and, to a lesser extent, our subcontractors. Funding for our contracts and task orders is generally linked to trends in budgets and spending across various U.S. government agencies and departments. We provide services under a large portfolio of contracts and contract vehicles to a broad client base, and we believe that our diversified contract and client base lessens potential volatility in our business; however, a reduction in the amount of services that we are contracted to provide to the U.S. government or any of our significant U.S. government clients could have a material adverse effect on our business and results of operations. In particular, the Department of Defense is one of our significant clients, and the BCA originally required nine automatic spending cuts (referred to as “sequestration”) of $109 billion annually from 2013 to 2021, half of which was intended to come from defense programs, though less than $1 billion has been cut for defense programs per year under the BCA. Mandatory sequestrations under the BCA were subsequently extended by the Bipartisan Budget Act of 2013, the Bipartisan Budget Act of 2015, the Bipartisan Budget Act of 2018, the Bipartisan Budget Act of 2019, the CARES Act and the Consolidated Appropriations Act of 2021, which did not specify an amount of savings required to be achieved through sequestration after 2021 but apply an 8.3% reduction in defense spending in each year from 2021 to 2030. This could result in a commensurate reduction in the amount of services that we are contracted to provide to the Department of Defense and could have a material adverse effect on our business and results of operations, and given the uncertainty of when and how these automatic reductions required by the BCA may return and/or be applied, we are unable to predict the nature or magnitude of the potential adverse effect.</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Types</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generate revenue under the following three basic types of contracts:</w:t>
      </w:r>
    </w:p>
    <w:p>
      <w:pPr>
        <w:spacing w:after="0" w:line="115" w:lineRule="exact"/>
        <w:rPr>
          <w:sz w:val="20"/>
          <w:szCs w:val="20"/>
          <w:color w:val="auto"/>
        </w:rPr>
      </w:pPr>
    </w:p>
    <w:p>
      <w:pPr>
        <w:ind w:left="660" w:right="40" w:hanging="328"/>
        <w:spacing w:after="0" w:line="255" w:lineRule="auto"/>
        <w:tabs>
          <w:tab w:leader="none" w:pos="655" w:val="left"/>
        </w:tabs>
        <w:numPr>
          <w:ilvl w:val="0"/>
          <w:numId w:val="1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Cost-Reimbursable Contracts. </w:t>
      </w:r>
      <w:r>
        <w:rPr>
          <w:rFonts w:ascii="Times New Roman" w:cs="Times New Roman" w:eastAsia="Times New Roman" w:hAnsi="Times New Roman"/>
          <w:sz w:val="18"/>
          <w:szCs w:val="18"/>
          <w:color w:val="auto"/>
        </w:rPr>
        <w:t>Cost-reimbursable contracts provide for the payment of allowable costs incurred during performance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 up to a ceiling based on the amount that has been funded, plus a fixed fee or award fee. As we increase or decrease our spending on allowable costs, our revenue generated on cost-reimbursable contracts will increase, up to the ceiling and funded amounts, or decrease, respectively. We generate revenue under two general types of cost-reimbursable contracts: cost-plus-fixed-fee and cost-plus-award-fee, both of which reimburse allowable costs and provide for a fee. The fee under each type of cost-reimbursable contract is generally payable upon completion of services in accordance with the terms of the contract. Cost-plus-fixed-fee contracts offer no opportunity for payment beyond the fixed fee. Cost-plus-award-fee contracts also provide for an award fee that varies within specified limits based upon the client’s assessment of our performance against a predetermined set of criteria, such as targets for factors like cost, quality, schedule, and performance.</w:t>
      </w:r>
    </w:p>
    <w:p>
      <w:pPr>
        <w:spacing w:after="0" w:line="76" w:lineRule="exact"/>
        <w:rPr>
          <w:rFonts w:ascii="Times New Roman" w:cs="Times New Roman" w:eastAsia="Times New Roman" w:hAnsi="Times New Roman"/>
          <w:sz w:val="18"/>
          <w:szCs w:val="18"/>
          <w:i w:val="1"/>
          <w:iCs w:val="1"/>
          <w:color w:val="auto"/>
        </w:rPr>
      </w:pPr>
    </w:p>
    <w:p>
      <w:pPr>
        <w:ind w:left="660" w:hanging="328"/>
        <w:spacing w:after="0" w:line="258" w:lineRule="auto"/>
        <w:tabs>
          <w:tab w:leader="none" w:pos="655" w:val="left"/>
        </w:tabs>
        <w:numPr>
          <w:ilvl w:val="0"/>
          <w:numId w:val="1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Time-and-Materials Contracts. </w:t>
      </w:r>
      <w:r>
        <w:rPr>
          <w:rFonts w:ascii="Times New Roman" w:cs="Times New Roman" w:eastAsia="Times New Roman" w:hAnsi="Times New Roman"/>
          <w:sz w:val="18"/>
          <w:szCs w:val="18"/>
          <w:color w:val="auto"/>
        </w:rPr>
        <w:t>Under contracts in this category, we are paid a fixed hourly rate for each direct labor hour expended, and we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reimbursed for billable material costs and billable out-of-pocket expenses inclusive of allocable indirect costs. We assume the financial risk on time-and-materials contracts because our costs of performance may exceed negotiated hourly rates. To the extent our actual direct labor, including allocated indirect costs, and associated billable expenses decrease or increase in relation to the fixed hourly billing rates provided in the contract, we will generate more or less profit, respectively, or could incur a loss.</w:t>
      </w:r>
    </w:p>
    <w:p>
      <w:pPr>
        <w:spacing w:after="0" w:line="75" w:lineRule="exact"/>
        <w:rPr>
          <w:rFonts w:ascii="Times New Roman" w:cs="Times New Roman" w:eastAsia="Times New Roman" w:hAnsi="Times New Roman"/>
          <w:sz w:val="18"/>
          <w:szCs w:val="18"/>
          <w:i w:val="1"/>
          <w:iCs w:val="1"/>
          <w:color w:val="auto"/>
        </w:rPr>
      </w:pPr>
    </w:p>
    <w:p>
      <w:pPr>
        <w:ind w:left="660" w:right="220" w:hanging="328"/>
        <w:spacing w:after="0" w:line="258" w:lineRule="auto"/>
        <w:tabs>
          <w:tab w:leader="none" w:pos="655" w:val="left"/>
        </w:tabs>
        <w:numPr>
          <w:ilvl w:val="0"/>
          <w:numId w:val="1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Fixed-Price Contracts. </w:t>
      </w:r>
      <w:r>
        <w:rPr>
          <w:rFonts w:ascii="Times New Roman" w:cs="Times New Roman" w:eastAsia="Times New Roman" w:hAnsi="Times New Roman"/>
          <w:sz w:val="18"/>
          <w:szCs w:val="18"/>
          <w:color w:val="auto"/>
        </w:rPr>
        <w:t>Under a fixed-price contract, we agree to perform the specified work for a predetermined price. To the extent our actual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 and allocated indirect costs decrease or increase from the estimates upon which the price was negotiated, we will generate more or less profit, respectively, or could incur a loss. Some fixed-price contracts have a performance-based component, pursuant to which we can earn incentive payments or incur financial penalties based on our performance. Fixed-price level of effort contracts require us to provide a specified level of effort (i.e., labor hours), over a stated period of time, for a fixed price.</w:t>
      </w:r>
    </w:p>
    <w:p>
      <w:pPr>
        <w:spacing w:after="0" w:line="77"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The amount of risk and potential reward varies under each type of contract. Under cost-reimbursable contracts, there is limited financial risk, because we are reimbursed for all allowable costs up to a ceiling. However, profit margins on this type of contract tend to be lower than on time-and-materials and fixed-price contracts. Under time-and-materials contracts, we are reimbursed for the hours worked using the predetermined hourly rates for each labor category. In addition, we are typically reimbursed for other contract direct costs and expenses at cost. We assume financial risk on time-and-materials contracts because our labor costs may exceed the negotiated billing rates. Profit margins on well-managed time-and-materials contracts tend to be higher than profit margins on cost-reimbursable contracts as long as we are able to staff those contracts with people who have an appropriate skill set. Under fixed-price contracts, we are required to deliver the objectives under the contract for a predetermined price. Compared to time-and-materials and cost-reimbursable contracts, fixed-price contracts generally offer higher profit margin opportunities because we receive the full benefit of any cost savings but generally involve greater financial risk because we bear the impact of any cost overruns. In the aggregate, the contract type mix in our revenue for any given period will affect that period's profitability. Changes in contract type as a result of re-competes and new business could influence the percentage/mix in unanticipated ways.</w:t>
      </w:r>
    </w:p>
    <w:p>
      <w:pPr>
        <w:spacing w:after="0" w:line="8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table below presents the percentage of total revenue for each type of contract:</w:t>
      </w:r>
    </w:p>
    <w:p>
      <w:pPr>
        <w:spacing w:after="0" w:line="92"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jc w:val="center"/>
        <w:ind w:left="7600"/>
        <w:spacing w:after="0"/>
        <w:rPr>
          <w:sz w:val="20"/>
          <w:szCs w:val="20"/>
          <w:color w:val="auto"/>
        </w:rPr>
      </w:pPr>
      <w:r>
        <w:rPr>
          <w:rFonts w:ascii="Times New Roman" w:cs="Times New Roman" w:eastAsia="Times New Roman" w:hAnsi="Times New Roman"/>
          <w:sz w:val="18"/>
          <w:szCs w:val="18"/>
          <w:b w:val="1"/>
          <w:bCs w:val="1"/>
          <w:color w:val="auto"/>
        </w:rPr>
        <w:t>June 30,</w:t>
      </w:r>
    </w:p>
    <w:p>
      <w:pPr>
        <w:spacing w:after="0" w:line="7" w:lineRule="exact"/>
        <w:rPr>
          <w:sz w:val="20"/>
          <w:szCs w:val="20"/>
          <w:color w:val="auto"/>
        </w:rPr>
      </w:pPr>
    </w:p>
    <w:tbl>
      <w:tblPr>
        <w:tblLayout w:type="fixed"/>
        <w:tblInd w:w="40" w:type="dxa"/>
        <w:tblCellMar>
          <w:top w:w="0" w:type="dxa"/>
          <w:left w:w="0" w:type="dxa"/>
          <w:bottom w:w="0" w:type="dxa"/>
          <w:right w:w="0" w:type="dxa"/>
        </w:tblCellMar>
      </w:tblPr>
      <w:tr>
        <w:trPr>
          <w:trHeight w:val="236"/>
        </w:trPr>
        <w:tc>
          <w:tcPr>
            <w:tcW w:w="7900" w:type="dxa"/>
            <w:vAlign w:val="bottom"/>
            <w:tcBorders>
              <w:bottom w:val="single" w:sz="8" w:color="CCEEFF"/>
            </w:tcBorders>
          </w:tcPr>
          <w:p>
            <w:pPr>
              <w:spacing w:after="0"/>
              <w:rPr>
                <w:sz w:val="20"/>
                <w:szCs w:val="20"/>
                <w:color w:val="auto"/>
              </w:rPr>
            </w:pPr>
          </w:p>
        </w:tc>
        <w:tc>
          <w:tcPr>
            <w:tcW w:w="14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Borders>
              <w:top w:val="single" w:sz="8" w:color="auto"/>
              <w:bottom w:val="single" w:sz="8" w:color="CCEEFF"/>
            </w:tcBorders>
          </w:tcPr>
          <w:p>
            <w:pPr>
              <w:spacing w:after="0"/>
              <w:rPr>
                <w:sz w:val="20"/>
                <w:szCs w:val="20"/>
                <w:color w:val="auto"/>
              </w:rPr>
            </w:pPr>
          </w:p>
        </w:tc>
        <w:tc>
          <w:tcPr>
            <w:tcW w:w="14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2021</w:t>
            </w:r>
          </w:p>
        </w:tc>
      </w:tr>
      <w:tr>
        <w:trPr>
          <w:trHeight w:val="223"/>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Cost-reimbursable</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53%</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56%</w:t>
            </w:r>
          </w:p>
        </w:tc>
      </w:tr>
      <w:tr>
        <w:trPr>
          <w:trHeight w:val="230"/>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Time-and-materials</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24%</w:t>
            </w:r>
          </w:p>
        </w:tc>
        <w:tc>
          <w:tcPr>
            <w:tcW w:w="10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25%</w:t>
            </w:r>
          </w:p>
        </w:tc>
      </w:tr>
      <w:tr>
        <w:trPr>
          <w:trHeight w:val="23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Fixed-price</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23%</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19%</w:t>
            </w: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Diversity and Revenue Mix</w:t>
      </w:r>
    </w:p>
    <w:p>
      <w:pPr>
        <w:spacing w:after="0" w:line="119"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We provide services to our clients through a large number of single award contracts, contract vehicles, and multiple award contract vehicles. Most of our revenue is generated under indefinite delivery/indefinite quantity, or IDIQ, contract vehicles, which include multiple award government wide acquisition contract vehicles, or GWACs, and General Services Administration Multiple Award Schedule Contracts, or GSA schedules, and certain single award contracts. GWACs and GSA schedules are available to all U.S. government agencies. Any number of contractors typically competes under multiple award IDIQ contract vehicles for task orders to provide particular services, and we earn revenue under these contract vehicles only to the extent that we are successful in the bidding process for task orders.</w:t>
      </w:r>
    </w:p>
    <w:p>
      <w:pPr>
        <w:spacing w:after="0" w:line="200" w:lineRule="exact"/>
        <w:rPr>
          <w:sz w:val="20"/>
          <w:szCs w:val="20"/>
          <w:color w:val="auto"/>
        </w:rPr>
      </w:pPr>
    </w:p>
    <w:p>
      <w:pPr>
        <w:spacing w:after="0" w:line="3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80" w:firstLine="405"/>
        <w:spacing w:after="0" w:line="258" w:lineRule="auto"/>
        <w:rPr>
          <w:sz w:val="20"/>
          <w:szCs w:val="20"/>
          <w:color w:val="auto"/>
        </w:rPr>
      </w:pPr>
      <w:r>
        <w:rPr>
          <w:rFonts w:ascii="Times New Roman" w:cs="Times New Roman" w:eastAsia="Times New Roman" w:hAnsi="Times New Roman"/>
          <w:sz w:val="18"/>
          <w:szCs w:val="18"/>
          <w:color w:val="auto"/>
        </w:rPr>
        <w:t>We generate revenue under our contracts and task orders through our provision of services as both a prime contractor and subcontractor, as well as from the provision of services by subcontractors under contracts and task orders for which we act as the prime contractor. The mix of these types of revenue affects our operating margin. Substantially all of our operating margin is derived from direct client staff labor, as the portion of our operating margin derived from fees we earn on services provided by our subcontractors is not significant. We view growth in direct client staff labor as the primary driver of earnings growth. Direct client staff labor growth is driven by client staff headcount growth, after attrition, and total backlog growth.</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People</w:t>
      </w:r>
    </w:p>
    <w:p>
      <w:pPr>
        <w:spacing w:after="0" w:line="119"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Revenue from our contracts is derived from services delivered by client staff and, to a lesser extent, from our subcontractors. Our ability to hire, retain, and deploy talent with skills appropriately aligned with client needs is critical to our ability to grow our revenue. We continuously evaluate whether our talent base is properly sized and appropriately compensated, and contains an optimal mix of skills to be cost competitive and meet the rapidly evolving needs of our clients. We seek to achieve that result through recruitment and management of capacity and compensation. As of June 30, 2022 and 2021, we employed approximately 29,300 and 28,600 people, respectively, of which approximately 26,400 and 25,500, respectively, were client staff.</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Backlog</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define backlog to include the following three components:</w:t>
      </w:r>
    </w:p>
    <w:p>
      <w:pPr>
        <w:spacing w:after="0" w:line="115" w:lineRule="exact"/>
        <w:rPr>
          <w:sz w:val="20"/>
          <w:szCs w:val="20"/>
          <w:color w:val="auto"/>
        </w:rPr>
      </w:pPr>
    </w:p>
    <w:p>
      <w:pPr>
        <w:ind w:left="660" w:right="40" w:hanging="328"/>
        <w:spacing w:after="0" w:line="284" w:lineRule="auto"/>
        <w:tabs>
          <w:tab w:leader="none" w:pos="655" w:val="left"/>
        </w:tabs>
        <w:numPr>
          <w:ilvl w:val="0"/>
          <w:numId w:val="2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Funded Backlog. </w:t>
      </w:r>
      <w:r>
        <w:rPr>
          <w:rFonts w:ascii="Times New Roman" w:cs="Times New Roman" w:eastAsia="Times New Roman" w:hAnsi="Times New Roman"/>
          <w:sz w:val="18"/>
          <w:szCs w:val="18"/>
          <w:color w:val="auto"/>
        </w:rPr>
        <w:t>Funded backlog represents the revenue value of orders for services under existing contracts for which funding is appropriated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otherwise authorized less revenue previously recognized on these contracts.</w:t>
      </w:r>
    </w:p>
    <w:p>
      <w:pPr>
        <w:spacing w:after="0" w:line="50" w:lineRule="exact"/>
        <w:rPr>
          <w:rFonts w:ascii="Times New Roman" w:cs="Times New Roman" w:eastAsia="Times New Roman" w:hAnsi="Times New Roman"/>
          <w:sz w:val="18"/>
          <w:szCs w:val="18"/>
          <w:i w:val="1"/>
          <w:iCs w:val="1"/>
          <w:color w:val="auto"/>
        </w:rPr>
      </w:pPr>
    </w:p>
    <w:p>
      <w:pPr>
        <w:ind w:left="660" w:right="140" w:hanging="328"/>
        <w:spacing w:after="0" w:line="284"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Unfunded Backlog. </w:t>
      </w:r>
      <w:r>
        <w:rPr>
          <w:rFonts w:ascii="Times New Roman" w:cs="Times New Roman" w:eastAsia="Times New Roman" w:hAnsi="Times New Roman"/>
          <w:sz w:val="18"/>
          <w:szCs w:val="18"/>
          <w:color w:val="auto"/>
        </w:rPr>
        <w:t>Unfunded backlog represents the revenue value of orders (including optional orders) for services under existing contracts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funding has not been appropriated or otherwise authorized.</w:t>
      </w:r>
    </w:p>
    <w:p>
      <w:pPr>
        <w:spacing w:after="0" w:line="50" w:lineRule="exact"/>
        <w:rPr>
          <w:rFonts w:ascii="Times New Roman" w:cs="Times New Roman" w:eastAsia="Times New Roman" w:hAnsi="Times New Roman"/>
          <w:sz w:val="18"/>
          <w:szCs w:val="18"/>
          <w:color w:val="auto"/>
        </w:rPr>
      </w:pPr>
    </w:p>
    <w:p>
      <w:pPr>
        <w:ind w:left="660" w:hanging="328"/>
        <w:spacing w:after="0" w:line="284"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Priced Options. </w:t>
      </w:r>
      <w:r>
        <w:rPr>
          <w:rFonts w:ascii="Times New Roman" w:cs="Times New Roman" w:eastAsia="Times New Roman" w:hAnsi="Times New Roman"/>
          <w:sz w:val="18"/>
          <w:szCs w:val="18"/>
          <w:color w:val="auto"/>
        </w:rPr>
        <w:t>Priced contract options represent 100% of the revenue value of all future contract option periods under existing contracts that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exercised at our clients’ option and for which funding has not been appropriated or otherwise authorized.</w:t>
      </w:r>
    </w:p>
    <w:p>
      <w:pPr>
        <w:spacing w:after="0" w:line="52" w:lineRule="exact"/>
        <w:rPr>
          <w:sz w:val="20"/>
          <w:szCs w:val="20"/>
          <w:color w:val="auto"/>
        </w:rPr>
      </w:pPr>
    </w:p>
    <w:p>
      <w:pPr>
        <w:ind w:right="140" w:firstLine="405"/>
        <w:spacing w:after="0" w:line="282" w:lineRule="auto"/>
        <w:rPr>
          <w:sz w:val="20"/>
          <w:szCs w:val="20"/>
          <w:color w:val="auto"/>
        </w:rPr>
      </w:pPr>
      <w:r>
        <w:rPr>
          <w:rFonts w:ascii="Times New Roman" w:cs="Times New Roman" w:eastAsia="Times New Roman" w:hAnsi="Times New Roman"/>
          <w:sz w:val="18"/>
          <w:szCs w:val="18"/>
          <w:color w:val="auto"/>
        </w:rPr>
        <w:t>Our backlog does not include contracts that have been awarded but are currently under protest and also does not include any task orders under IDIQ contracts, except to the extent that task orders have been awarded to us under those contracts.</w:t>
      </w:r>
    </w:p>
    <w:p>
      <w:pPr>
        <w:spacing w:after="0" w:line="54" w:lineRule="exact"/>
        <w:rPr>
          <w:sz w:val="20"/>
          <w:szCs w:val="20"/>
          <w:color w:val="auto"/>
        </w:rPr>
      </w:pPr>
    </w:p>
    <w:tbl>
      <w:tblPr>
        <w:tblLayout w:type="fixed"/>
        <w:tblInd w:w="180" w:type="dxa"/>
        <w:tblCellMar>
          <w:top w:w="0" w:type="dxa"/>
          <w:left w:w="0" w:type="dxa"/>
          <w:bottom w:w="0" w:type="dxa"/>
          <w:right w:w="0" w:type="dxa"/>
        </w:tblCellMar>
      </w:tblPr>
      <w:tr>
        <w:trPr>
          <w:trHeight w:val="234"/>
        </w:trPr>
        <w:tc>
          <w:tcPr>
            <w:tcW w:w="7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The following table summarizes the value of our contract backlog at the respective dates presented:</w:t>
            </w:r>
          </w:p>
        </w:tc>
        <w:tc>
          <w:tcPr>
            <w:tcW w:w="2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56"/>
        </w:trPr>
        <w:tc>
          <w:tcPr>
            <w:tcW w:w="76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380" w:type="dxa"/>
            <w:vAlign w:val="bottom"/>
          </w:tcPr>
          <w:p>
            <w:pPr>
              <w:spacing w:after="0"/>
              <w:rPr>
                <w:sz w:val="22"/>
                <w:szCs w:val="22"/>
                <w:color w:val="auto"/>
              </w:rPr>
            </w:pPr>
          </w:p>
        </w:tc>
        <w:tc>
          <w:tcPr>
            <w:tcW w:w="118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June 30,</w:t>
            </w:r>
          </w:p>
        </w:tc>
      </w:tr>
      <w:tr>
        <w:trPr>
          <w:trHeight w:val="241"/>
        </w:trPr>
        <w:tc>
          <w:tcPr>
            <w:tcW w:w="76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192"/>
        </w:trPr>
        <w:tc>
          <w:tcPr>
            <w:tcW w:w="7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80" w:type="dxa"/>
            <w:vAlign w:val="bottom"/>
          </w:tcPr>
          <w:p>
            <w:pPr>
              <w:spacing w:after="0"/>
              <w:rPr>
                <w:sz w:val="16"/>
                <w:szCs w:val="16"/>
                <w:color w:val="auto"/>
              </w:rPr>
            </w:pPr>
          </w:p>
        </w:tc>
      </w:tr>
      <w:tr>
        <w:trPr>
          <w:trHeight w:val="236"/>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Backlog:</w:t>
            </w:r>
          </w:p>
        </w:tc>
        <w:tc>
          <w:tcPr>
            <w:tcW w:w="2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30"/>
        </w:trPr>
        <w:tc>
          <w:tcPr>
            <w:tcW w:w="7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Funded</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4,020</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3,493</w:t>
            </w:r>
          </w:p>
        </w:tc>
      </w:tr>
      <w:tr>
        <w:trPr>
          <w:trHeight w:val="230"/>
        </w:trPr>
        <w:tc>
          <w:tcPr>
            <w:tcW w:w="7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Unfunded</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9,029</w:t>
            </w:r>
          </w:p>
        </w:tc>
      </w:tr>
      <w:tr>
        <w:trPr>
          <w:trHeight w:val="229"/>
        </w:trPr>
        <w:tc>
          <w:tcPr>
            <w:tcW w:w="76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Priced options</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14,617</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14,295</w:t>
            </w:r>
          </w:p>
        </w:tc>
      </w:tr>
      <w:tr>
        <w:trPr>
          <w:trHeight w:val="248"/>
        </w:trPr>
        <w:tc>
          <w:tcPr>
            <w:tcW w:w="766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backlog</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28,628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26,817</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ind w:right="40" w:firstLine="405"/>
        <w:spacing w:after="0" w:line="253" w:lineRule="auto"/>
        <w:rPr>
          <w:sz w:val="20"/>
          <w:szCs w:val="20"/>
          <w:color w:val="auto"/>
        </w:rPr>
      </w:pPr>
      <w:r>
        <w:rPr>
          <w:rFonts w:ascii="Times New Roman" w:cs="Times New Roman" w:eastAsia="Times New Roman" w:hAnsi="Times New Roman"/>
          <w:sz w:val="18"/>
          <w:szCs w:val="18"/>
          <w:color w:val="auto"/>
        </w:rPr>
        <w:t>Our total backlog consists of remaining performance obligations, certain orders under contracts for which the period of performance has expired, and unexercised option period and other unexercised optional orders. As of June 30, 2022 and March 31, 2022, the Company had $7.5 billion and $7.4 billion of remaining performance obligations, respectively. We expect to recognize approximately 70% of the remaining performance obligations at June 30, 2022 as revenue over the next 12 months, and approximately 85% over the next 24 months. The remainder is expected to be recognized thereafter. However, given the uncertainties discussed below, as well as the risks described in "Item 1A. Risk Factors" of our Annual Report on Form 10-K for the fiscal year ended March 31, 2022, we can give no assurance that we will be able to convert our backlog into revenue in any particular period, if at all. Our backlog includes orders under contracts that in some cases extend for several years. The U.S. Congress generally appropriates funds for our clients on a yearly basis, even though their contracts with us may call for performance that is expected to take a number of years to complete. As a result, contracts typically are only partially funded at any point during their term and all or some of the work to be performed under the contracts may remain unfunded unless and until the U.S. Congress makes subsequent appropriations and the procuring agency allocates funding to the contract.</w:t>
      </w:r>
    </w:p>
    <w:p>
      <w:pPr>
        <w:spacing w:after="0" w:line="86" w:lineRule="exact"/>
        <w:rPr>
          <w:sz w:val="20"/>
          <w:szCs w:val="20"/>
          <w:color w:val="auto"/>
        </w:rPr>
      </w:pPr>
    </w:p>
    <w:p>
      <w:pPr>
        <w:ind w:right="140" w:firstLine="405"/>
        <w:spacing w:after="0" w:line="261" w:lineRule="auto"/>
        <w:rPr>
          <w:sz w:val="20"/>
          <w:szCs w:val="20"/>
          <w:color w:val="auto"/>
        </w:rPr>
      </w:pPr>
      <w:r>
        <w:rPr>
          <w:rFonts w:ascii="Times New Roman" w:cs="Times New Roman" w:eastAsia="Times New Roman" w:hAnsi="Times New Roman"/>
          <w:sz w:val="18"/>
          <w:szCs w:val="18"/>
          <w:color w:val="auto"/>
        </w:rPr>
        <w:t>We view growth in total backlog and client staff headcount as the two key measures of our potential business growth. Growing and deploying client staff is the primary means by which we are able to achieve profitable revenue growth. To the extent that we are able to hire additional client staff and deploy them against funded backlog, we generally recognize increased revenue. Total backlog increased by 6.8% from June 30, 2021 to June 30, 2022. Additions to funded backlog during the twelve</w:t>
      </w: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months ended June 30, 2022 totaled $9.2 billion in comparison to $7.9 billion for the comparable period in fiscal 2022, as a result of the conversion of unfunded backlog to funded backlog, the award of new contracts and task orders under which funding was appropriated, and the exercise and subsequent funding of priced options. We report internally on our backlog on a monthly basis and review backlog upon occurrence of certain events to determine if any adjustments are necessary.</w:t>
      </w:r>
    </w:p>
    <w:p>
      <w:pPr>
        <w:spacing w:after="0" w:line="72"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We cannot predict with any certainty the portion of our backlog that we expect to recognize as revenue in any future period and we cannot guarantee that we will recognize any revenue from our backlog. The primary risks that could affect our ability to recognize such revenue on a timely basis or at all are: program schedule changes, contract modifications, and our ability to assimilate and deploy new client staff against funded backlog; cost-cutting initiatives and other efforts to reduce U.S. government spending, which could reduce or delay funding for orders for services; and delayed funding of our contracts due to delays in the completion of the U.S. government's budgeting process and the use of continuing resolutions by the U.S. government to fund its operations. The amount of our funded backlog is also subject to change, due to, among other factors: changes in congressional appropriations that reflect changes in U.S. government policies or priorities resulting from various military, political, economic, or international developments; changes in the use of U.S. government contracting vehicles, and the provisions therein used to procure our services and adjustments to the scope of services, or cancellation of contracts, by the U.S. government at any time. In our recent experience, none of the following additional risks have had a material negative effect on our ability to realize revenue from our funded backlog: the unilateral right of the U.S. government to cancel multi-year contracts and related orders or to terminate existing contracts for convenience or default; in the case of unfunded backlog, the potential that funding will not be made available; and, in the case of priced options, the risk that our clients will not exercise their options.</w:t>
      </w:r>
    </w:p>
    <w:p>
      <w:pPr>
        <w:spacing w:after="0" w:line="82" w:lineRule="exact"/>
        <w:rPr>
          <w:sz w:val="20"/>
          <w:szCs w:val="20"/>
          <w:color w:val="auto"/>
        </w:rPr>
      </w:pPr>
    </w:p>
    <w:p>
      <w:pPr>
        <w:ind w:right="100" w:firstLine="405"/>
        <w:spacing w:after="0" w:line="258" w:lineRule="auto"/>
        <w:rPr>
          <w:sz w:val="20"/>
          <w:szCs w:val="20"/>
          <w:color w:val="auto"/>
        </w:rPr>
      </w:pPr>
      <w:r>
        <w:rPr>
          <w:rFonts w:ascii="Times New Roman" w:cs="Times New Roman" w:eastAsia="Times New Roman" w:hAnsi="Times New Roman"/>
          <w:sz w:val="18"/>
          <w:szCs w:val="18"/>
          <w:color w:val="auto"/>
        </w:rPr>
        <w:t>In addition, contract backlog includes orders under contracts for which the period of performance has expired, and we may not recognize revenue on the funded backlog that includes such orders due to, among other reasons, the tardy submission of invoices by our subcontractors and the expiration of the relevant appropriated funding in accordance with a predetermined expiration date such as the end of the U.S. government's fiscal year. The revenue value of orders included in contract backlog that has not been recognized as revenue due to period of performance expirations has not exceeded approximately 5.1% of total backlog as of June 30, 2022 and any of the four preceding fiscal quarters.</w:t>
      </w:r>
    </w:p>
    <w:p>
      <w:pPr>
        <w:spacing w:after="0" w:line="75" w:lineRule="exact"/>
        <w:rPr>
          <w:sz w:val="20"/>
          <w:szCs w:val="20"/>
          <w:color w:val="auto"/>
        </w:rPr>
      </w:pPr>
    </w:p>
    <w:p>
      <w:pPr>
        <w:jc w:val="both"/>
        <w:ind w:right="80" w:firstLine="405"/>
        <w:spacing w:after="0" w:line="266" w:lineRule="auto"/>
        <w:rPr>
          <w:sz w:val="20"/>
          <w:szCs w:val="20"/>
          <w:color w:val="auto"/>
        </w:rPr>
      </w:pPr>
      <w:r>
        <w:rPr>
          <w:rFonts w:ascii="Times New Roman" w:cs="Times New Roman" w:eastAsia="Times New Roman" w:hAnsi="Times New Roman"/>
          <w:sz w:val="18"/>
          <w:szCs w:val="18"/>
          <w:color w:val="auto"/>
        </w:rPr>
        <w:t>We expect to recognize revenue from a substantial portion of funded backlog as of June 30, 2022 within the next twelve months. However, given the uncertainties discussed above, as well as the risks described in Part I, Item 1A, of our Annual Report on Form 10-K, we can give no assurance that we will be able to convert our backlog into revenue in any particular period, if at all.</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Costs and Expenses</w:t>
      </w:r>
    </w:p>
    <w:p>
      <w:pPr>
        <w:spacing w:after="0" w:line="121" w:lineRule="exact"/>
        <w:rPr>
          <w:sz w:val="20"/>
          <w:szCs w:val="20"/>
          <w:color w:val="auto"/>
        </w:rPr>
      </w:pPr>
    </w:p>
    <w:p>
      <w:pPr>
        <w:jc w:val="both"/>
        <w:ind w:right="60" w:firstLine="405"/>
        <w:spacing w:after="0" w:line="266" w:lineRule="auto"/>
        <w:rPr>
          <w:sz w:val="20"/>
          <w:szCs w:val="20"/>
          <w:color w:val="auto"/>
        </w:rPr>
      </w:pPr>
      <w:r>
        <w:rPr>
          <w:rFonts w:ascii="Times New Roman" w:cs="Times New Roman" w:eastAsia="Times New Roman" w:hAnsi="Times New Roman"/>
          <w:sz w:val="18"/>
          <w:szCs w:val="18"/>
          <w:color w:val="auto"/>
        </w:rPr>
        <w:t>Costs associated with compensation and related expenses for our people are the most significant component of our operating costs and expenses. The principal factors that affect our costs are additional people as we grow our business and are awarded new contracts, task orders, and additional work under our existing contracts, and the hiring of people with specific skill sets and security clearances as required by our additional work.</w:t>
      </w:r>
    </w:p>
    <w:p>
      <w:pPr>
        <w:spacing w:after="0" w:line="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Our most significant operating costs and expenses are described below.</w:t>
      </w:r>
    </w:p>
    <w:p>
      <w:pPr>
        <w:spacing w:after="0" w:line="115" w:lineRule="exact"/>
        <w:rPr>
          <w:sz w:val="20"/>
          <w:szCs w:val="20"/>
          <w:color w:val="auto"/>
        </w:rPr>
      </w:pPr>
    </w:p>
    <w:p>
      <w:pPr>
        <w:ind w:left="660" w:right="300" w:hanging="328"/>
        <w:spacing w:after="0" w:line="284"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Cost of Revenue</w:t>
      </w:r>
      <w:r>
        <w:rPr>
          <w:rFonts w:ascii="Times New Roman" w:cs="Times New Roman" w:eastAsia="Times New Roman" w:hAnsi="Times New Roman"/>
          <w:sz w:val="18"/>
          <w:szCs w:val="18"/>
          <w:color w:val="auto"/>
        </w:rPr>
        <w:t>. Cost of revenue includes direct labor, related employee benefits, and overhead. Overhead consists of indirect costs,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indirect labor relating to infrastructure, management and administration, and other expenses.</w:t>
      </w:r>
    </w:p>
    <w:p>
      <w:pPr>
        <w:spacing w:after="0" w:line="5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Billable Expenses. </w:t>
      </w:r>
      <w:r>
        <w:rPr>
          <w:rFonts w:ascii="Times New Roman" w:cs="Times New Roman" w:eastAsia="Times New Roman" w:hAnsi="Times New Roman"/>
          <w:sz w:val="18"/>
          <w:szCs w:val="18"/>
          <w:color w:val="auto"/>
        </w:rPr>
        <w:t>Billable expenses include direct subcontractor expenses, travel expenses, and other expenses incurred to perform on contracts.</w:t>
      </w:r>
    </w:p>
    <w:p>
      <w:pPr>
        <w:spacing w:after="0" w:line="117" w:lineRule="exact"/>
        <w:rPr>
          <w:rFonts w:ascii="Times New Roman" w:cs="Times New Roman" w:eastAsia="Times New Roman" w:hAnsi="Times New Roman"/>
          <w:sz w:val="18"/>
          <w:szCs w:val="18"/>
          <w:color w:val="auto"/>
        </w:rPr>
      </w:pPr>
    </w:p>
    <w:p>
      <w:pPr>
        <w:ind w:left="660" w:right="600" w:hanging="328"/>
        <w:spacing w:after="0" w:line="281"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General and Administrative Expenses. </w:t>
      </w:r>
      <w:r>
        <w:rPr>
          <w:rFonts w:ascii="Times New Roman" w:cs="Times New Roman" w:eastAsia="Times New Roman" w:hAnsi="Times New Roman"/>
          <w:sz w:val="18"/>
          <w:szCs w:val="18"/>
          <w:color w:val="auto"/>
        </w:rPr>
        <w:t>General and administrative expenses include indirect labor of executive management and corporate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administrative functions, marketing and bid and proposal costs, and other discretionary spending.</w:t>
      </w:r>
    </w:p>
    <w:p>
      <w:pPr>
        <w:spacing w:after="0" w:line="1" w:lineRule="exact"/>
        <w:rPr>
          <w:rFonts w:ascii="Times New Roman" w:cs="Times New Roman" w:eastAsia="Times New Roman" w:hAnsi="Times New Roman"/>
          <w:sz w:val="18"/>
          <w:szCs w:val="18"/>
          <w:color w:val="auto"/>
        </w:rPr>
      </w:pPr>
    </w:p>
    <w:p>
      <w:pPr>
        <w:ind w:left="660" w:right="180" w:hanging="328"/>
        <w:spacing w:after="0" w:line="267"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Depreciation and Amortization</w:t>
      </w:r>
      <w:r>
        <w:rPr>
          <w:rFonts w:ascii="Times New Roman" w:cs="Times New Roman" w:eastAsia="Times New Roman" w:hAnsi="Times New Roman"/>
          <w:sz w:val="18"/>
          <w:szCs w:val="18"/>
          <w:color w:val="auto"/>
        </w:rPr>
        <w:t>. Depreciation and amortization includes the depreciation of computers, leasehold improvements, furniture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equipment, and the amortization of internally developed software, as well as third-party software that we use internally, and of identifiable long-lived intangible assets over their estimated useful lives.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Seasonality</w:t>
      </w:r>
    </w:p>
    <w:p>
      <w:pPr>
        <w:spacing w:after="0" w:line="121" w:lineRule="exact"/>
        <w:rPr>
          <w:sz w:val="20"/>
          <w:szCs w:val="20"/>
          <w:color w:val="auto"/>
        </w:rPr>
      </w:pPr>
    </w:p>
    <w:p>
      <w:pPr>
        <w:ind w:right="140" w:firstLine="405"/>
        <w:spacing w:after="0" w:line="258" w:lineRule="auto"/>
        <w:rPr>
          <w:sz w:val="20"/>
          <w:szCs w:val="20"/>
          <w:color w:val="auto"/>
        </w:rPr>
      </w:pPr>
      <w:r>
        <w:rPr>
          <w:rFonts w:ascii="Times New Roman" w:cs="Times New Roman" w:eastAsia="Times New Roman" w:hAnsi="Times New Roman"/>
          <w:sz w:val="18"/>
          <w:szCs w:val="18"/>
          <w:color w:val="auto"/>
        </w:rPr>
        <w:t>The U.S. government's fiscal year ends on September 30 of each year. While not certain, it is not uncommon for U.S. government agencies to award extra tasks or complete other contract actions in the weeks before the end of its fiscal year in order to avoid the loss of unexpended fiscal year funds. In addition, we also have historically experienced higher bid and proposal costs in the months leading up to the U.S. government's fiscal year end as we pursue new contract opportunities being awarded shortly after the U.S. government fiscal year end as new opportunities are expected to have funding appropriated in the U.S. government's subsequent fiscal year. We may continue to experience this seasonality in future periods, and our future</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periods may be affected by it. While not certain, changes in the government's funding and spending patterns have altered historical seasonality trends, supporting our approach to managing the business on an annual basis.</w:t>
      </w:r>
    </w:p>
    <w:p>
      <w:pPr>
        <w:spacing w:after="0" w:line="54" w:lineRule="exact"/>
        <w:rPr>
          <w:sz w:val="20"/>
          <w:szCs w:val="20"/>
          <w:color w:val="auto"/>
        </w:rPr>
      </w:pPr>
    </w:p>
    <w:p>
      <w:pPr>
        <w:ind w:right="300" w:firstLine="405"/>
        <w:spacing w:after="0" w:line="282" w:lineRule="auto"/>
        <w:rPr>
          <w:sz w:val="20"/>
          <w:szCs w:val="20"/>
          <w:color w:val="auto"/>
        </w:rPr>
      </w:pPr>
      <w:r>
        <w:rPr>
          <w:rFonts w:ascii="Times New Roman" w:cs="Times New Roman" w:eastAsia="Times New Roman" w:hAnsi="Times New Roman"/>
          <w:sz w:val="18"/>
          <w:szCs w:val="18"/>
          <w:color w:val="auto"/>
        </w:rPr>
        <w:t>Seasonality is just one of a number of factors, many of which are outside of our control, which may affect our results in any period. See "Item 1A. Risk Factors."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 and Policies</w:t>
      </w:r>
    </w:p>
    <w:p>
      <w:pPr>
        <w:spacing w:after="0" w:line="121" w:lineRule="exact"/>
        <w:rPr>
          <w:sz w:val="20"/>
          <w:szCs w:val="20"/>
          <w:color w:val="auto"/>
        </w:rPr>
      </w:pPr>
    </w:p>
    <w:p>
      <w:pPr>
        <w:ind w:right="440" w:firstLine="405"/>
        <w:spacing w:after="0" w:line="261" w:lineRule="auto"/>
        <w:rPr>
          <w:sz w:val="20"/>
          <w:szCs w:val="20"/>
          <w:color w:val="auto"/>
        </w:rPr>
      </w:pPr>
      <w:r>
        <w:rPr>
          <w:rFonts w:ascii="Times New Roman" w:cs="Times New Roman" w:eastAsia="Times New Roman" w:hAnsi="Times New Roman"/>
          <w:sz w:val="18"/>
          <w:szCs w:val="18"/>
          <w:color w:val="auto"/>
        </w:rPr>
        <w:t>Our critical accounting estimates and policies are disclosed in the Critical Accounting Estimates and Policies section in Part II, "Item 7. Management's Discussion and Analysis of Financial Condition and Results of Operations" of our Annual Report on Form 10-K for the year ended March 31, 2022. There were no other material changes to our critical accounting policies, estimates or judgments that occurred in the quarterly period covered by this report.</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sets forth items from our condensed consolidated statements of operations for the three months ended June 30, 2022 and June 30,</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 w:type="dxa"/>
            <w:vAlign w:val="bottom"/>
          </w:tcPr>
          <w:p>
            <w:pPr>
              <w:spacing w:after="0"/>
              <w:rPr>
                <w:sz w:val="13"/>
                <w:szCs w:val="13"/>
                <w:color w:val="auto"/>
              </w:rPr>
            </w:pPr>
          </w:p>
        </w:tc>
        <w:tc>
          <w:tcPr>
            <w:tcW w:w="5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120" w:type="dxa"/>
            <w:vAlign w:val="bottom"/>
            <w:tcBorders>
              <w:right w:val="single" w:sz="8" w:color="auto"/>
            </w:tcBorders>
            <w:gridSpan w:val="4"/>
          </w:tcPr>
          <w:p>
            <w:pPr>
              <w:jc w:val="center"/>
              <w:ind w:right="21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3"/>
                <w:szCs w:val="13"/>
                <w:color w:val="auto"/>
              </w:rPr>
            </w:pPr>
          </w:p>
        </w:tc>
        <w:tc>
          <w:tcPr>
            <w:tcW w:w="1760" w:type="dxa"/>
            <w:vAlign w:val="bottom"/>
            <w:vMerge w:val="restart"/>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94"/>
        </w:trPr>
        <w:tc>
          <w:tcPr>
            <w:tcW w:w="420" w:type="dxa"/>
            <w:vAlign w:val="bottom"/>
          </w:tcPr>
          <w:p>
            <w:pPr>
              <w:spacing w:after="0"/>
              <w:rPr>
                <w:sz w:val="16"/>
                <w:szCs w:val="16"/>
                <w:color w:val="auto"/>
              </w:rPr>
            </w:pPr>
          </w:p>
        </w:tc>
        <w:tc>
          <w:tcPr>
            <w:tcW w:w="53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center"/>
              <w:ind w:left="85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240" w:type="dxa"/>
            <w:vAlign w:val="bottom"/>
            <w:tcBorders>
              <w:bottom w:val="single" w:sz="8" w:color="auto"/>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53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240" w:type="dxa"/>
            <w:vAlign w:val="bottom"/>
            <w:tcBorders>
              <w:bottom w:val="single" w:sz="8" w:color="auto"/>
              <w:right w:val="single" w:sz="8" w:color="auto"/>
            </w:tcBorders>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7"/>
                <w:szCs w:val="17"/>
                <w:color w:val="auto"/>
              </w:rPr>
            </w:pPr>
          </w:p>
        </w:tc>
        <w:tc>
          <w:tcPr>
            <w:tcW w:w="176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0"/>
        </w:trPr>
        <w:tc>
          <w:tcPr>
            <w:tcW w:w="420" w:type="dxa"/>
            <w:vAlign w:val="bottom"/>
          </w:tcPr>
          <w:p>
            <w:pPr>
              <w:spacing w:after="0"/>
              <w:rPr>
                <w:sz w:val="16"/>
                <w:szCs w:val="16"/>
                <w:color w:val="auto"/>
              </w:rPr>
            </w:pPr>
          </w:p>
        </w:tc>
        <w:tc>
          <w:tcPr>
            <w:tcW w:w="5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40" w:type="dxa"/>
            <w:vAlign w:val="bottom"/>
            <w:tcBorders>
              <w:right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20" w:type="dxa"/>
            <w:vAlign w:val="bottom"/>
          </w:tcPr>
          <w:p>
            <w:pPr>
              <w:spacing w:after="0"/>
              <w:rPr>
                <w:sz w:val="16"/>
                <w:szCs w:val="16"/>
                <w:color w:val="auto"/>
              </w:rPr>
            </w:pPr>
          </w:p>
        </w:tc>
        <w:tc>
          <w:tcPr>
            <w:tcW w:w="5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80" w:type="dxa"/>
            <w:vAlign w:val="bottom"/>
            <w:gridSpan w:val="3"/>
          </w:tcPr>
          <w:p>
            <w:pPr>
              <w:jc w:val="center"/>
              <w:ind w:left="85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20" w:type="dxa"/>
            <w:vAlign w:val="bottom"/>
          </w:tcPr>
          <w:p>
            <w:pPr>
              <w:spacing w:after="0"/>
              <w:rPr>
                <w:sz w:val="2"/>
                <w:szCs w:val="2"/>
                <w:color w:val="auto"/>
              </w:rPr>
            </w:pPr>
          </w:p>
        </w:tc>
        <w:tc>
          <w:tcPr>
            <w:tcW w:w="5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4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20" w:type="dxa"/>
            <w:vAlign w:val="bottom"/>
          </w:tcPr>
          <w:p>
            <w:pPr>
              <w:spacing w:after="0"/>
              <w:rPr>
                <w:sz w:val="19"/>
                <w:szCs w:val="19"/>
                <w:color w:val="auto"/>
              </w:rPr>
            </w:pPr>
          </w:p>
        </w:tc>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2,249,600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right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1,989,066</w:t>
            </w: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13.1 %</w:t>
            </w:r>
          </w:p>
        </w:tc>
        <w:tc>
          <w:tcPr>
            <w:tcW w:w="0" w:type="dxa"/>
            <w:vAlign w:val="bottom"/>
          </w:tcPr>
          <w:p>
            <w:pPr>
              <w:spacing w:after="0"/>
              <w:rPr>
                <w:sz w:val="1"/>
                <w:szCs w:val="1"/>
                <w:color w:val="auto"/>
              </w:rPr>
            </w:pPr>
          </w:p>
        </w:tc>
      </w:tr>
      <w:tr>
        <w:trPr>
          <w:trHeight w:val="229"/>
        </w:trPr>
        <w:tc>
          <w:tcPr>
            <w:tcW w:w="420" w:type="dxa"/>
            <w:vAlign w:val="bottom"/>
          </w:tcPr>
          <w:p>
            <w:pPr>
              <w:spacing w:after="0"/>
              <w:rPr>
                <w:sz w:val="19"/>
                <w:szCs w:val="19"/>
                <w:color w:val="auto"/>
              </w:rPr>
            </w:pPr>
          </w:p>
        </w:tc>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5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Cost of revenue</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1,074,973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40" w:type="dxa"/>
            <w:vAlign w:val="bottom"/>
            <w:tcBorders>
              <w:right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962,719</w:t>
            </w: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11.7 %</w:t>
            </w:r>
          </w:p>
        </w:tc>
        <w:tc>
          <w:tcPr>
            <w:tcW w:w="0" w:type="dxa"/>
            <w:vAlign w:val="bottom"/>
          </w:tcPr>
          <w:p>
            <w:pPr>
              <w:spacing w:after="0"/>
              <w:rPr>
                <w:sz w:val="1"/>
                <w:szCs w:val="1"/>
                <w:color w:val="auto"/>
              </w:rPr>
            </w:pPr>
          </w:p>
        </w:tc>
      </w:tr>
      <w:tr>
        <w:trPr>
          <w:trHeight w:val="229"/>
        </w:trPr>
        <w:tc>
          <w:tcPr>
            <w:tcW w:w="420" w:type="dxa"/>
            <w:vAlign w:val="bottom"/>
          </w:tcPr>
          <w:p>
            <w:pPr>
              <w:spacing w:after="0"/>
              <w:rPr>
                <w:sz w:val="19"/>
                <w:szCs w:val="19"/>
                <w:color w:val="auto"/>
              </w:rPr>
            </w:pPr>
          </w:p>
        </w:tc>
        <w:tc>
          <w:tcPr>
            <w:tcW w:w="5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Billable expenses</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674,266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40" w:type="dxa"/>
            <w:vAlign w:val="bottom"/>
            <w:tcBorders>
              <w:right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555,545</w:t>
            </w:r>
          </w:p>
        </w:tc>
        <w:tc>
          <w:tcPr>
            <w:tcW w:w="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21.4 %</w:t>
            </w: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5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253,064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40" w:type="dxa"/>
            <w:vAlign w:val="bottom"/>
            <w:tcBorders>
              <w:right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301,800</w:t>
            </w: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29"/>
        </w:trPr>
        <w:tc>
          <w:tcPr>
            <w:tcW w:w="420" w:type="dxa"/>
            <w:vAlign w:val="bottom"/>
          </w:tcPr>
          <w:p>
            <w:pPr>
              <w:spacing w:after="0"/>
              <w:rPr>
                <w:sz w:val="19"/>
                <w:szCs w:val="19"/>
                <w:color w:val="auto"/>
              </w:rPr>
            </w:pPr>
          </w:p>
        </w:tc>
        <w:tc>
          <w:tcPr>
            <w:tcW w:w="53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40,102</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27,745</w:t>
            </w:r>
          </w:p>
        </w:tc>
        <w:tc>
          <w:tcPr>
            <w:tcW w:w="80" w:type="dxa"/>
            <w:vAlign w:val="bottom"/>
            <w:tcBorders>
              <w:bottom w:val="single" w:sz="8" w:color="CCEEFF"/>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44.5 %</w:t>
            </w: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53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2,042,405</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right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1,847,809</w:t>
            </w:r>
          </w:p>
        </w:tc>
        <w:tc>
          <w:tcPr>
            <w:tcW w:w="80" w:type="dxa"/>
            <w:vAlign w:val="bottom"/>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10.5 %</w:t>
            </w: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207,195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40" w:type="dxa"/>
            <w:vAlign w:val="bottom"/>
            <w:tcBorders>
              <w:right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141,257</w:t>
            </w:r>
          </w:p>
        </w:tc>
        <w:tc>
          <w:tcPr>
            <w:tcW w:w="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46.7 %</w:t>
            </w: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(24,655)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(21,270)</w:t>
            </w: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15.9 %</w:t>
            </w: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5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(2,958)</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80" w:type="dxa"/>
            <w:vAlign w:val="bottom"/>
            <w:tcBorders>
              <w:bottom w:val="single" w:sz="8" w:color="CCEEFF"/>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455.0 %</w:t>
            </w: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179,582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40" w:type="dxa"/>
            <w:vAlign w:val="bottom"/>
            <w:tcBorders>
              <w:right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119,454</w:t>
            </w: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50.3 %</w:t>
            </w: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5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41,489</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27,352</w:t>
            </w:r>
          </w:p>
        </w:tc>
        <w:tc>
          <w:tcPr>
            <w:tcW w:w="80" w:type="dxa"/>
            <w:vAlign w:val="bottom"/>
            <w:tcBorders>
              <w:bottom w:val="single" w:sz="8" w:color="CCEEFF"/>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51.7 %</w:t>
            </w: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138,093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right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92,102</w:t>
            </w: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49.9 %</w:t>
            </w: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5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3"/>
        </w:trPr>
        <w:tc>
          <w:tcPr>
            <w:tcW w:w="4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w w:val="98"/>
              </w:rPr>
              <w:t>2021.</w:t>
            </w:r>
          </w:p>
        </w:tc>
        <w:tc>
          <w:tcPr>
            <w:tcW w:w="5300" w:type="dxa"/>
            <w:vAlign w:val="bottom"/>
            <w:shd w:val="clear" w:color="auto" w:fill="CCEEFF"/>
          </w:tcPr>
          <w:p>
            <w:pPr>
              <w:ind w:left="20"/>
              <w:spacing w:after="0" w:line="203" w:lineRule="exact"/>
              <w:rPr>
                <w:sz w:val="20"/>
                <w:szCs w:val="20"/>
                <w:color w:val="auto"/>
              </w:rPr>
            </w:pPr>
            <w:r>
              <w:rPr>
                <w:rFonts w:ascii="Times New Roman" w:cs="Times New Roman" w:eastAsia="Times New Roman" w:hAnsi="Times New Roman"/>
                <w:sz w:val="18"/>
                <w:szCs w:val="18"/>
                <w:color w:val="auto"/>
              </w:rPr>
              <w:t>Net income attributable to common stockholders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138,284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right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92,102</w:t>
            </w: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50.1 %</w:t>
            </w:r>
          </w:p>
        </w:tc>
        <w:tc>
          <w:tcPr>
            <w:tcW w:w="0" w:type="dxa"/>
            <w:vAlign w:val="bottom"/>
          </w:tcPr>
          <w:p>
            <w:pPr>
              <w:spacing w:after="0"/>
              <w:rPr>
                <w:sz w:val="1"/>
                <w:szCs w:val="1"/>
                <w:color w:val="auto"/>
              </w:rPr>
            </w:pPr>
          </w:p>
        </w:tc>
      </w:tr>
      <w:tr>
        <w:trPr>
          <w:trHeight w:val="108"/>
        </w:trPr>
        <w:tc>
          <w:tcPr>
            <w:tcW w:w="420" w:type="dxa"/>
            <w:vAlign w:val="bottom"/>
            <w:vMerge w:val="continue"/>
          </w:tcPr>
          <w:p>
            <w:pPr>
              <w:spacing w:after="0"/>
              <w:rPr>
                <w:sz w:val="9"/>
                <w:szCs w:val="9"/>
                <w:color w:val="auto"/>
              </w:rPr>
            </w:pPr>
          </w:p>
        </w:tc>
        <w:tc>
          <w:tcPr>
            <w:tcW w:w="5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0"/>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NM - Not meaningful</w:t>
            </w:r>
            <w:r>
              <w:rPr>
                <w:rFonts w:ascii="Times New Roman" w:cs="Times New Roman" w:eastAsia="Times New Roman" w:hAnsi="Times New Roman"/>
                <w:sz w:val="18"/>
                <w:szCs w:val="18"/>
                <w:i w:val="1"/>
                <w:iCs w:val="1"/>
                <w:color w:val="auto"/>
              </w:rPr>
              <w:t>.</w:t>
            </w:r>
          </w:p>
        </w:tc>
        <w:tc>
          <w:tcPr>
            <w:tcW w:w="28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24"/>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Revenue</w:t>
            </w: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Revenue increased to $2,249.6 million from $1,989.1 million, or a 13.1% increase, for the three months ended June 30, 2022 as compared to the three months ended June 30, 2021. The increase was primarily driven by a combination of headcount growth, salary increases, and higher billable expenses, partially offset by lower staff utilization. The increase in revenue also includes approximately $103 million of inorganic contributions related to fiscal 2022 acquisitions. Total headcount as of June 30, 2022 increased approximately 750 as compared to June 30, 2021.</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106"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Cost of revenue as a percentage of revenue was 47.8% and 48.4% for the three months ended June 30, 2022 and 2021, respectively. Cost of revenue increased to $1,075.0 million from $962.7 million, or an 11.7% increase, for the three months ended June 30, 2022 as compared to the three months ended June 30, 2021. The changes were primarily due to increases in salaries and salary-related benefits in the three months ended June 30, 2022 of $86.8 million, driven by increased headcount and annual base salary increases.</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Billable Expenses</w:t>
      </w:r>
    </w:p>
    <w:p>
      <w:pPr>
        <w:spacing w:after="0" w:line="119" w:lineRule="exact"/>
        <w:rPr>
          <w:sz w:val="20"/>
          <w:szCs w:val="20"/>
          <w:color w:val="auto"/>
        </w:rPr>
      </w:pPr>
    </w:p>
    <w:p>
      <w:pPr>
        <w:ind w:right="120" w:firstLine="405"/>
        <w:spacing w:after="0" w:line="258" w:lineRule="auto"/>
        <w:rPr>
          <w:sz w:val="20"/>
          <w:szCs w:val="20"/>
          <w:color w:val="auto"/>
        </w:rPr>
      </w:pPr>
      <w:r>
        <w:rPr>
          <w:rFonts w:ascii="Times New Roman" w:cs="Times New Roman" w:eastAsia="Times New Roman" w:hAnsi="Times New Roman"/>
          <w:sz w:val="18"/>
          <w:szCs w:val="18"/>
          <w:color w:val="auto"/>
        </w:rPr>
        <w:t>Billable expenses as a percentage of revenue were 30.0% and 27.9% for the three months ended June 30, 2022 and 2021, respectively. Billable expenses increased to $674.3 million from $555.5 million, or a 21.4% increase, for the three months ended June 30, 2022 as compared to the three months ended June 30, 2021. The increase was primarily attributable to an $81.4 million increase in the use of subcontractors driven by client demand and timing of client needs, as well as increases in expenses from contracts that require the Company to incur other direct expenses and travel on behalf of clients as compared to the prior year period.</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right="120" w:firstLine="405"/>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as a percentage of revenue were 11.2% and 15.2% for the three months ended June 30, 2022 and 2021, respectively. General and administrative expenses decreased to $253.1 million from $301.8 million, or a 16.1% decrease, for the three months ended June 30, 2022 as compared to the three months ended June 30, 2021, primarily due to $66.8 million of acquisition costs incurred during the first quarter of fiscal 2022 associated with our acquisition of Liberty.</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119" w:lineRule="exact"/>
        <w:rPr>
          <w:sz w:val="20"/>
          <w:szCs w:val="20"/>
          <w:color w:val="auto"/>
        </w:rPr>
      </w:pPr>
    </w:p>
    <w:p>
      <w:pPr>
        <w:ind w:right="100" w:firstLine="405"/>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increased to $40.1 million from $27.7 million, or a 44.5% increase, for the three months ended June 30, 2022 as compared to the three months ended June 30, 2021, primarily due to increases in intangible amortization related to the acquisitions in fiscal 2022.</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19" w:lineRule="exact"/>
        <w:rPr>
          <w:sz w:val="20"/>
          <w:szCs w:val="20"/>
          <w:color w:val="auto"/>
        </w:rPr>
      </w:pPr>
    </w:p>
    <w:p>
      <w:pPr>
        <w:jc w:val="both"/>
        <w:ind w:right="360" w:firstLine="405"/>
        <w:spacing w:after="0" w:line="266" w:lineRule="auto"/>
        <w:rPr>
          <w:sz w:val="20"/>
          <w:szCs w:val="20"/>
          <w:color w:val="auto"/>
        </w:rPr>
      </w:pPr>
      <w:r>
        <w:rPr>
          <w:rFonts w:ascii="Times New Roman" w:cs="Times New Roman" w:eastAsia="Times New Roman" w:hAnsi="Times New Roman"/>
          <w:sz w:val="18"/>
          <w:szCs w:val="18"/>
          <w:color w:val="auto"/>
        </w:rPr>
        <w:t>Interest expense increased to $24.7 million from $21.3 million, or a 15.9% increase, for the three months ended June 30, 2022 as compared to the three months ended June 30, 2021, primarily due to increased expense related to the issuance of the Senior Notes due 2029 (as defined below) in fiscal 2022.</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119" w:lineRule="exact"/>
        <w:rPr>
          <w:sz w:val="20"/>
          <w:szCs w:val="20"/>
          <w:color w:val="auto"/>
        </w:rPr>
      </w:pPr>
    </w:p>
    <w:p>
      <w:pPr>
        <w:ind w:right="20" w:firstLine="405"/>
        <w:spacing w:after="0" w:line="282" w:lineRule="auto"/>
        <w:rPr>
          <w:sz w:val="20"/>
          <w:szCs w:val="20"/>
          <w:color w:val="auto"/>
        </w:rPr>
      </w:pPr>
      <w:r>
        <w:rPr>
          <w:rFonts w:ascii="Times New Roman" w:cs="Times New Roman" w:eastAsia="Times New Roman" w:hAnsi="Times New Roman"/>
          <w:sz w:val="18"/>
          <w:szCs w:val="18"/>
          <w:color w:val="auto"/>
        </w:rPr>
        <w:t>Other income (expense), net increased to a $(3.0) million net other expense for the three months ended June 30, 2022 from $(0.5) million for the three months ended June 30, 2021, respectively, primarily due to income or losses associated with our equity method investments.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119" w:lineRule="exact"/>
        <w:rPr>
          <w:sz w:val="20"/>
          <w:szCs w:val="20"/>
          <w:color w:val="auto"/>
        </w:rPr>
      </w:pPr>
    </w:p>
    <w:p>
      <w:pPr>
        <w:ind w:right="260" w:firstLine="405"/>
        <w:spacing w:after="0" w:line="266" w:lineRule="auto"/>
        <w:rPr>
          <w:sz w:val="20"/>
          <w:szCs w:val="20"/>
          <w:color w:val="auto"/>
        </w:rPr>
      </w:pPr>
      <w:r>
        <w:rPr>
          <w:rFonts w:ascii="Times New Roman" w:cs="Times New Roman" w:eastAsia="Times New Roman" w:hAnsi="Times New Roman"/>
          <w:sz w:val="18"/>
          <w:szCs w:val="18"/>
          <w:color w:val="auto"/>
        </w:rPr>
        <w:t>Income tax expense increased to $41.5 million for the three months ended June 30, 2022 from $27.4 million for the three months ended June 30, 2021, an increase of 51.7%. The increase was primarily due to the changes in pre-tax income as compared to the prior year period. The effective tax rate increased to 23.1% for the three months ended June 30, 2022 from 22.9% for the three months ended June 30, 2021.</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16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presents selected financial information as of June 30, 2022 and March 31, 2022 and for the first three months of fiscal 2023 and 2022:</w:t>
      </w:r>
    </w:p>
    <w:p>
      <w:pPr>
        <w:spacing w:after="0" w:line="13"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7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460" w:type="dxa"/>
            <w:vAlign w:val="bottom"/>
          </w:tcPr>
          <w:p>
            <w:pPr>
              <w:spacing w:after="0"/>
              <w:rPr>
                <w:sz w:val="18"/>
                <w:szCs w:val="18"/>
                <w:color w:val="auto"/>
              </w:rPr>
            </w:pPr>
          </w:p>
        </w:tc>
        <w:tc>
          <w:tcPr>
            <w:tcW w:w="140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March 31,</w:t>
            </w:r>
          </w:p>
        </w:tc>
      </w:tr>
      <w:tr>
        <w:trPr>
          <w:trHeight w:val="241"/>
        </w:trPr>
        <w:tc>
          <w:tcPr>
            <w:tcW w:w="73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center"/>
              <w:ind w:right="256"/>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186"/>
        </w:trPr>
        <w:tc>
          <w:tcPr>
            <w:tcW w:w="7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40" w:type="dxa"/>
            <w:vAlign w:val="bottom"/>
          </w:tcPr>
          <w:p>
            <w:pPr>
              <w:jc w:val="center"/>
              <w:ind w:right="236"/>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91"/>
        </w:trPr>
        <w:tc>
          <w:tcPr>
            <w:tcW w:w="7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1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0" w:type="dxa"/>
            <w:vAlign w:val="bottom"/>
          </w:tcPr>
          <w:p>
            <w:pPr>
              <w:spacing w:after="0"/>
              <w:rPr>
                <w:sz w:val="16"/>
                <w:szCs w:val="16"/>
                <w:color w:val="auto"/>
              </w:rPr>
            </w:pPr>
          </w:p>
        </w:tc>
      </w:tr>
      <w:tr>
        <w:trPr>
          <w:trHeight w:val="23"/>
        </w:trPr>
        <w:tc>
          <w:tcPr>
            <w:tcW w:w="7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29"/>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497,828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695,910</w:t>
            </w:r>
          </w:p>
        </w:tc>
      </w:tr>
      <w:tr>
        <w:trPr>
          <w:trHeight w:val="234"/>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Total debt</w:t>
            </w:r>
          </w:p>
        </w:tc>
        <w:tc>
          <w:tcPr>
            <w:tcW w:w="3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2,783,876</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2,800,072</w:t>
            </w:r>
          </w:p>
        </w:tc>
      </w:tr>
    </w:tbl>
    <w:p>
      <w:pPr>
        <w:spacing w:after="0" w:line="141" w:lineRule="exact"/>
        <w:rPr>
          <w:sz w:val="20"/>
          <w:szCs w:val="20"/>
          <w:color w:val="auto"/>
        </w:rPr>
      </w:pPr>
    </w:p>
    <w:p>
      <w:pPr>
        <w:jc w:val="center"/>
        <w:ind w:left="736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jc w:val="center"/>
        <w:ind w:left="7360"/>
        <w:spacing w:after="0"/>
        <w:rPr>
          <w:sz w:val="20"/>
          <w:szCs w:val="20"/>
          <w:color w:val="auto"/>
        </w:rPr>
      </w:pPr>
      <w:r>
        <w:rPr>
          <w:rFonts w:ascii="Times New Roman" w:cs="Times New Roman" w:eastAsia="Times New Roman" w:hAnsi="Times New Roman"/>
          <w:sz w:val="18"/>
          <w:szCs w:val="18"/>
          <w:b w:val="1"/>
          <w:bCs w:val="1"/>
          <w:color w:val="auto"/>
        </w:rPr>
        <w:t>June 30,</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540" w:type="dxa"/>
            <w:vAlign w:val="bottom"/>
            <w:tcBorders>
              <w:top w:val="single" w:sz="8" w:color="auto"/>
              <w:bottom w:val="single" w:sz="8" w:color="auto"/>
            </w:tcBorders>
          </w:tcPr>
          <w:p>
            <w:pPr>
              <w:jc w:val="right"/>
              <w:ind w:right="675"/>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spacing w:after="0"/>
              <w:rPr>
                <w:sz w:val="20"/>
                <w:szCs w:val="20"/>
                <w:color w:val="auto"/>
              </w:rPr>
            </w:pPr>
          </w:p>
        </w:tc>
        <w:tc>
          <w:tcPr>
            <w:tcW w:w="1380" w:type="dxa"/>
            <w:vAlign w:val="bottom"/>
            <w:tcBorders>
              <w:top w:val="single" w:sz="8" w:color="auto"/>
              <w:bottom w:val="single" w:sz="8" w:color="auto"/>
            </w:tcBorders>
          </w:tcPr>
          <w:p>
            <w:pPr>
              <w:jc w:val="right"/>
              <w:ind w:right="673"/>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4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4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8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1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45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0" w:type="dxa"/>
            <w:vAlign w:val="bottom"/>
          </w:tcPr>
          <w:p>
            <w:pPr>
              <w:spacing w:after="0"/>
              <w:rPr>
                <w:sz w:val="19"/>
                <w:szCs w:val="19"/>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1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(45,634)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(13,734)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(676,591)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8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(138,714)</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318,160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Total decrease in cash and cash equivalents</w:t>
            </w:r>
          </w:p>
        </w:tc>
        <w:tc>
          <w:tcPr>
            <w:tcW w:w="28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(198,082)</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(369,093)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800" w:type="dxa"/>
            <w:vAlign w:val="bottom"/>
            <w:vMerge w:val="restart"/>
          </w:tcPr>
          <w:p>
            <w:pPr>
              <w:jc w:val="right"/>
              <w:ind w:right="1590"/>
              <w:spacing w:after="0"/>
              <w:rPr>
                <w:sz w:val="20"/>
                <w:szCs w:val="20"/>
                <w:color w:val="auto"/>
              </w:rPr>
            </w:pPr>
            <w:r>
              <w:rPr>
                <w:rFonts w:ascii="Times New Roman" w:cs="Times New Roman" w:eastAsia="Times New Roman" w:hAnsi="Times New Roman"/>
                <w:sz w:val="18"/>
                <w:szCs w:val="18"/>
                <w:color w:val="auto"/>
              </w:rPr>
              <w:t>28</w:t>
            </w:r>
          </w:p>
        </w:tc>
        <w:tc>
          <w:tcPr>
            <w:tcW w:w="3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7"/>
        </w:trPr>
        <w:tc>
          <w:tcPr>
            <w:tcW w:w="4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28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4560" w:type="dxa"/>
            <w:vAlign w:val="bottom"/>
            <w:tcBorders>
              <w:bottom w:val="single" w:sz="8" w:color="9A9A9A"/>
            </w:tcBorders>
          </w:tcPr>
          <w:p>
            <w:pPr>
              <w:spacing w:after="0"/>
              <w:rPr>
                <w:sz w:val="10"/>
                <w:szCs w:val="10"/>
                <w:color w:val="auto"/>
              </w:rPr>
            </w:pPr>
          </w:p>
        </w:tc>
        <w:tc>
          <w:tcPr>
            <w:tcW w:w="28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00" w:firstLine="405"/>
        <w:spacing w:after="0" w:line="258" w:lineRule="auto"/>
        <w:rPr>
          <w:sz w:val="20"/>
          <w:szCs w:val="20"/>
          <w:color w:val="auto"/>
        </w:rPr>
      </w:pPr>
      <w:r>
        <w:rPr>
          <w:rFonts w:ascii="Times New Roman" w:cs="Times New Roman" w:eastAsia="Times New Roman" w:hAnsi="Times New Roman"/>
          <w:sz w:val="18"/>
          <w:szCs w:val="18"/>
          <w:color w:val="auto"/>
        </w:rPr>
        <w:t>To date, COVID-19 has not had a significant impact on our liquidity, cash flows or capital resources. However, COVID-19 has led to disruption and volatility in the global capital markets, which, depending on future developments, could impact our capital resources and liquidity in the future. In the opinion of management, we will be able to meet our liquidity and cash needs through a combination of cash flows from operating activities, available cash balances, and available borrowing under the Revolving Credit Facility. If these resources need to be augmented, additional cash requirements would likely be financed through the issuance of debt or equity securities.</w:t>
      </w:r>
    </w:p>
    <w:p>
      <w:pPr>
        <w:spacing w:after="0" w:line="75" w:lineRule="exact"/>
        <w:rPr>
          <w:sz w:val="20"/>
          <w:szCs w:val="20"/>
          <w:color w:val="auto"/>
        </w:rPr>
      </w:pPr>
    </w:p>
    <w:p>
      <w:pPr>
        <w:ind w:right="120" w:firstLine="405"/>
        <w:spacing w:after="0" w:line="258" w:lineRule="auto"/>
        <w:rPr>
          <w:sz w:val="20"/>
          <w:szCs w:val="20"/>
          <w:color w:val="auto"/>
        </w:rPr>
      </w:pPr>
      <w:r>
        <w:rPr>
          <w:rFonts w:ascii="Times New Roman" w:cs="Times New Roman" w:eastAsia="Times New Roman" w:hAnsi="Times New Roman"/>
          <w:sz w:val="18"/>
          <w:szCs w:val="18"/>
          <w:color w:val="auto"/>
        </w:rPr>
        <w:t>From time to time we evaluate alternative uses for excess cash resources once our operating cash flow and required debt servicing needs have been met. Some of the possible uses of our remaining excess cash at any point in time may include funding strategic acquisitions, further investment in our business and returning value to shareholders through share repurchases, quarterly dividends, and special dividends. While the timing and financial magnitude of these possible actions are currently indeterminable, the Company expects to be able to manage and adjust its capital structure in the future to meet its liquidity needs.</w:t>
      </w:r>
    </w:p>
    <w:p>
      <w:pPr>
        <w:spacing w:after="0" w:line="75" w:lineRule="exact"/>
        <w:rPr>
          <w:sz w:val="20"/>
          <w:szCs w:val="20"/>
          <w:color w:val="auto"/>
        </w:rPr>
      </w:pPr>
    </w:p>
    <w:p>
      <w:pPr>
        <w:ind w:right="20" w:firstLine="405"/>
        <w:spacing w:after="0" w:line="254" w:lineRule="auto"/>
        <w:rPr>
          <w:sz w:val="20"/>
          <w:szCs w:val="20"/>
          <w:color w:val="auto"/>
        </w:rPr>
      </w:pPr>
      <w:r>
        <w:rPr>
          <w:rFonts w:ascii="Times New Roman" w:cs="Times New Roman" w:eastAsia="Times New Roman" w:hAnsi="Times New Roman"/>
          <w:sz w:val="18"/>
          <w:szCs w:val="18"/>
          <w:color w:val="auto"/>
        </w:rPr>
        <w:t>Historically, we have been able to generate sufficient cash to fund our operations, mandatory debt and interest payments, capital expenditures, and discretionary funding needs. However, due to fluctuations in cash flows, including as a result of the trends and developments described above under "— Factors and Trends Affecting Our Results of Operations" relating to U.S. government shutdowns, U.S. government cost-cutting, reductions or delays in the U.S. government appropriations and spending process and other budgetary matters, it may be necessary from time-to-time in the future to borrow under our Secured Credit Facility to meet cash demands. While the timing and financial magnitude of these possible actions are currently indeterminable, we expect to be able to manage and adjust our capital structure to meet our liquidity needs. Our expected liquidity and capital structure may also be impacted by discretionary investments and acquisitions that we could pursue. We anticipate that cash provided by operating activities, existing cash and cash equivalents, and borrowing capacity under our Revolving Credit Facility will be sufficient to meet our anticipated cash requirements for the next twelve months, which primarily include:</w:t>
      </w:r>
    </w:p>
    <w:p>
      <w:pPr>
        <w:spacing w:after="0" w:line="26"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expenses, including salaries;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working capital requirements to fund both organic and inorganic growth of our business;</w:t>
      </w:r>
    </w:p>
    <w:p>
      <w:pPr>
        <w:spacing w:after="0" w:line="63" w:lineRule="exact"/>
        <w:rPr>
          <w:rFonts w:ascii="Times New Roman" w:cs="Times New Roman" w:eastAsia="Times New Roman" w:hAnsi="Times New Roman"/>
          <w:sz w:val="18"/>
          <w:szCs w:val="18"/>
          <w:color w:val="auto"/>
        </w:rPr>
      </w:pPr>
    </w:p>
    <w:p>
      <w:pPr>
        <w:ind w:left="660" w:right="180" w:hanging="328"/>
        <w:spacing w:after="0" w:line="281"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expenditures which primarily relate to the purchase of computers, business systems, furniture and leasehold improvements to support our operations;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ongoing maintenance around all financial management systems;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commitments and other discretionary investments;</w:t>
      </w:r>
    </w:p>
    <w:p>
      <w:pPr>
        <w:spacing w:after="0" w:line="63" w:lineRule="exact"/>
        <w:rPr>
          <w:rFonts w:ascii="Times New Roman" w:cs="Times New Roman" w:eastAsia="Times New Roman" w:hAnsi="Times New Roman"/>
          <w:sz w:val="18"/>
          <w:szCs w:val="18"/>
          <w:color w:val="auto"/>
        </w:rPr>
      </w:pPr>
    </w:p>
    <w:p>
      <w:pPr>
        <w:ind w:left="660" w:right="260" w:hanging="328"/>
        <w:spacing w:after="0" w:line="281"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service requirements for borrowings under our Secured Credit Facility and interest payments for the Senior Notes due 2029 and the Senior Notes due 2028; and</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taxes to be paid.</w:t>
      </w:r>
    </w:p>
    <w:p>
      <w:pPr>
        <w:spacing w:after="0" w:line="117"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Our ability to fund our operating needs depends, in part, on our ability to continue to generate positive cash flows from operations or, if necessary, raise cash in the capital markets. In addition, from time to time we evaluate conditions to opportunistically access the financing markets to secure additional debt capital resources and improve the terms of our indebtedness.</w:t>
      </w:r>
    </w:p>
    <w:p>
      <w:pPr>
        <w:spacing w:after="0" w:line="68" w:lineRule="exact"/>
        <w:rPr>
          <w:sz w:val="20"/>
          <w:szCs w:val="20"/>
          <w:color w:val="auto"/>
        </w:rPr>
      </w:pPr>
    </w:p>
    <w:p>
      <w:pPr>
        <w:ind w:right="80" w:firstLine="405"/>
        <w:spacing w:after="0" w:line="254" w:lineRule="auto"/>
        <w:rPr>
          <w:sz w:val="20"/>
          <w:szCs w:val="20"/>
          <w:color w:val="auto"/>
        </w:rPr>
      </w:pPr>
      <w:r>
        <w:rPr>
          <w:rFonts w:ascii="Times New Roman" w:cs="Times New Roman" w:eastAsia="Times New Roman" w:hAnsi="Times New Roman"/>
          <w:sz w:val="18"/>
          <w:szCs w:val="18"/>
          <w:color w:val="auto"/>
        </w:rPr>
        <w:t>On March 16, 2022, the Company announced that it had entered into a stock purchase agreement to acquire EverWatch Corp. ("EverWatch"), a leading provider of advanced solutions to the defense and intelligence communities for approximately $440.0 million, subject to customary adjustments. If consummated, the Company expects to fund the acquisition with cash on hand. The transaction is subject to satisfaction of customary closing conditions. On June 29, 2022, the U.S. Department of Justice (“DOJ”) initiated a lawsuit seeking to enjoin consummation of the transaction. In connection with the DOJ’s lawsuit, the Company and EverWatch agreed to delay any closing of the transaction until October 9, 2022 or the date on which the court denies the DOJ’s request for a preliminary injunction and/or permanent injunction, whichever is earlier. The DOJ litigation and related delay have introduced an increased level of uncertainty regarding the ability of the parties to consummate the transaction. The Company can make no assurances that the transaction will be consummated.</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Cash received from clients, either from the payment of invoices for work performed or for advances in excess of costs incurred, is our primary source of cash. We generally do not begin work on contracts until funding is appropriated by the client. Billing timetables and payment terms on our contracts vary based on a number of factors, including whether the contract type is cost-reimbursable, time-and-materials, or fixed-price. We generally bill and collect cash more frequently under cost-reimbursable and time-and-materials contracts, as we are authorized to bill as the costs are incurred or work is performed. In contrast, we may be limited to bill certain fixed-price contracts only when specified milestones, including deliveries, are achieved. In addition, a number of our contracts may provide for performance-based payments, which allow us to bill and collect cash prior to completing the work.</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80" w:firstLine="405"/>
        <w:spacing w:after="0" w:line="255" w:lineRule="auto"/>
        <w:rPr>
          <w:sz w:val="20"/>
          <w:szCs w:val="20"/>
          <w:color w:val="auto"/>
        </w:rPr>
      </w:pPr>
      <w:r>
        <w:rPr>
          <w:rFonts w:ascii="Times New Roman" w:cs="Times New Roman" w:eastAsia="Times New Roman" w:hAnsi="Times New Roman"/>
          <w:sz w:val="18"/>
          <w:szCs w:val="18"/>
          <w:color w:val="auto"/>
        </w:rPr>
        <w:t>Accounts receivable is the principal component of our working capital and is generally driven by revenue growth with other short-term fluctuations related to the payment practices of our clients. Our accounts receivable reflects amounts billed to our clients as of each balance sheet date. Our clients generally pay our invoices within 30 days of the invoice date, although we experience a longer billing and collection cycle with our global commercial customers. At any month-end, we also include in accounts receivable the revenue that was recognized in the preceding month, which is generally billed early in the following month. Finally, we include in accounts receivable amounts related to revenue accrued in excess of amounts billed, primarily on our fixed-price and cost-reimbursable-plus-award-fee contracts. The total amount of our accounts receivable can vary significantly over time, but is generally sensitive to revenue levels and customer mix.</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Cash Flow</w:t>
      </w:r>
    </w:p>
    <w:p>
      <w:pPr>
        <w:spacing w:after="0" w:line="119"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Net cash provided by operations is primarily affected by the overall profitability of our contracts, our ability to invoice and collect cash from clients in a timely manner, our ability to manage our vendor payments and the timing of cash paid for income taxes. Continued uncertainty in global economic conditions may also affect our business as customers and suppliers may decide to downsize, defer, or cancel contracts, which could negatively affect the operating cash flows. Net cash used in operations was $45.6 million for the three months ended June 30, 2022 compared to $10.7 million in the prior year period. Strong collections in line with revenue growth were partially offset by higher disbursements and one time payroll items associated with administrative staffing changes completed last quarter and other business transactions.</w:t>
      </w:r>
    </w:p>
    <w:p>
      <w:pPr>
        <w:spacing w:after="0" w:line="79" w:lineRule="exact"/>
        <w:rPr>
          <w:sz w:val="20"/>
          <w:szCs w:val="20"/>
          <w:color w:val="auto"/>
        </w:rPr>
      </w:pPr>
    </w:p>
    <w:p>
      <w:pPr>
        <w:ind w:right="60" w:firstLine="405"/>
        <w:spacing w:after="0" w:line="255" w:lineRule="auto"/>
        <w:rPr>
          <w:sz w:val="20"/>
          <w:szCs w:val="20"/>
          <w:color w:val="auto"/>
        </w:rPr>
      </w:pPr>
      <w:r>
        <w:rPr>
          <w:rFonts w:ascii="Times New Roman" w:cs="Times New Roman" w:eastAsia="Times New Roman" w:hAnsi="Times New Roman"/>
          <w:sz w:val="18"/>
          <w:szCs w:val="18"/>
          <w:color w:val="auto"/>
        </w:rPr>
        <w:t>Beginning in fiscal 2023, the Tax Cuts and Jobs Act of 2017 eliminates the option to deduct research and development expenditures immediately in the year incurred and requires taxpayers to amortize such expenditures over five years. We currently anticipate our fiscal 2023 cash from operations will be negatively impacted by approximately $150 million as a result of this provision, but the actual impact on the current fiscal year will depend on if and when this provision is deferred, modified, or repealed by Congress, including if retroactively, any guidance issued by the Treasury Department regarding the identification of appropriate costs for capitalization, and the amount of research and development expenses paid or incurred in fiscal 2023 (among other factors). This will also have an offsetting impact on deferred tax assets. While the largest impact will be to fiscal 2023 cash from operations, the impact would continue over the five year amortization period, but would decrease over the period and be immaterial in year six.</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Cash Flow</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Net cash used in investing activities was $13.7 million in the three months ended June 30, 2022 compared to $676.6 million in the prior year period.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in net cash used in investing activities was primarily due to the Company's acquisition of Liberty in the prior year period.</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Cash Flow</w:t>
      </w:r>
    </w:p>
    <w:p>
      <w:pPr>
        <w:spacing w:after="0" w:line="119"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Net cash used in financing activities was $138.7 million in the three months ended June 30, 2022 compared to $318.2 million in the prior year period. The decrease in net cash used in financing activities was primarily due to net proceeds in the prior year of $493.7 million from the issuance of the 4.000% Senior Notes due 2029, partially offset by a decrease in share repurchases of $50.4 million and a decrease in payments on the Company's Term Loans of $43.9 million over the prior year period.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 and Share Repurchases</w:t>
      </w:r>
    </w:p>
    <w:p>
      <w:pPr>
        <w:spacing w:after="0" w:line="121" w:lineRule="exact"/>
        <w:rPr>
          <w:sz w:val="20"/>
          <w:szCs w:val="20"/>
          <w:color w:val="auto"/>
        </w:rPr>
      </w:pPr>
    </w:p>
    <w:p>
      <w:pPr>
        <w:ind w:right="180" w:firstLine="405"/>
        <w:spacing w:after="0" w:line="282" w:lineRule="auto"/>
        <w:rPr>
          <w:sz w:val="20"/>
          <w:szCs w:val="20"/>
          <w:color w:val="auto"/>
        </w:rPr>
      </w:pPr>
      <w:r>
        <w:rPr>
          <w:rFonts w:ascii="Times New Roman" w:cs="Times New Roman" w:eastAsia="Times New Roman" w:hAnsi="Times New Roman"/>
          <w:sz w:val="18"/>
          <w:szCs w:val="18"/>
          <w:color w:val="auto"/>
        </w:rPr>
        <w:t>On July 29, 2022, the Company announced a regular quarterly cash dividend in the amount of $0.43 per share. The quarterly dividend is payable on August 31, 2022 to stockholders of record on August 15, 2022.</w:t>
      </w:r>
    </w:p>
    <w:p>
      <w:pPr>
        <w:spacing w:after="0" w:line="54" w:lineRule="exact"/>
        <w:rPr>
          <w:sz w:val="20"/>
          <w:szCs w:val="20"/>
          <w:color w:val="auto"/>
        </w:rPr>
      </w:pPr>
    </w:p>
    <w:p>
      <w:pPr>
        <w:ind w:right="440" w:firstLine="405"/>
        <w:spacing w:after="0" w:line="282" w:lineRule="auto"/>
        <w:rPr>
          <w:sz w:val="20"/>
          <w:szCs w:val="20"/>
          <w:color w:val="auto"/>
        </w:rPr>
      </w:pPr>
      <w:r>
        <w:rPr>
          <w:rFonts w:ascii="Times New Roman" w:cs="Times New Roman" w:eastAsia="Times New Roman" w:hAnsi="Times New Roman"/>
          <w:sz w:val="18"/>
          <w:szCs w:val="18"/>
          <w:color w:val="auto"/>
        </w:rPr>
        <w:t>During the first quarter of fiscal 2023, a quarterly cash dividend of $0.43 per share was declared and paid totaling $58.9 million. During the first quarter of fiscal 2022, a quarterly cash dividend of $0.37 per share was declared and paid totaling $51.6 million.</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On December 12, 2011, the Board of Directors approved a share repurchase program, which was most recently increased by $400.0 million to</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$2,560.0 million on July 27, 2022. The Company may repurchase shares pursuant to the program by means of open market repurchases, directly negotiated</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repurchases or through agents acting pursuant to negotiated repurchase agreements. During the first three months of fiscal 2023, the Company purchased</w:t>
      </w:r>
    </w:p>
    <w:p>
      <w:pPr>
        <w:spacing w:after="0" w:line="234" w:lineRule="auto"/>
        <w:rPr>
          <w:sz w:val="20"/>
          <w:szCs w:val="20"/>
          <w:color w:val="auto"/>
        </w:rPr>
      </w:pPr>
      <w:r>
        <w:rPr>
          <w:rFonts w:ascii="Times New Roman" w:cs="Times New Roman" w:eastAsia="Times New Roman" w:hAnsi="Times New Roman"/>
          <w:sz w:val="18"/>
          <w:szCs w:val="18"/>
          <w:color w:val="auto"/>
        </w:rPr>
        <w:t>$0.6 million shares of the Company's Class A Common Stock for an aggregate of $46.9 million. As of June 30, 2022, the Company had approximately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$604.7 million remaining under the repurchase program.</w:t>
      </w:r>
    </w:p>
    <w:p>
      <w:pPr>
        <w:spacing w:after="0" w:line="97" w:lineRule="exact"/>
        <w:rPr>
          <w:sz w:val="20"/>
          <w:szCs w:val="20"/>
          <w:color w:val="auto"/>
        </w:rPr>
      </w:pPr>
    </w:p>
    <w:p>
      <w:pPr>
        <w:jc w:val="both"/>
        <w:ind w:right="80" w:firstLine="405"/>
        <w:spacing w:after="0" w:line="266" w:lineRule="auto"/>
        <w:rPr>
          <w:sz w:val="20"/>
          <w:szCs w:val="20"/>
          <w:color w:val="auto"/>
        </w:rPr>
      </w:pPr>
      <w:r>
        <w:rPr>
          <w:rFonts w:ascii="Times New Roman" w:cs="Times New Roman" w:eastAsia="Times New Roman" w:hAnsi="Times New Roman"/>
          <w:sz w:val="18"/>
          <w:szCs w:val="18"/>
          <w:color w:val="auto"/>
        </w:rPr>
        <w:t>Any determination to pursue one or more of the above alternative uses for excess cash is subject to the discretion of our Board of Directors, and will depend upon various factors, including our results of operations, financial condition, liquidity requirements, restrictions that may be imposed by applicable law, our contracts, and our Credit Agreement as amended and other factors deemed relevant by our Board of Directors.</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Indebtedness</w:t>
      </w:r>
    </w:p>
    <w:p>
      <w:pPr>
        <w:spacing w:after="0" w:line="121" w:lineRule="exact"/>
        <w:rPr>
          <w:sz w:val="20"/>
          <w:szCs w:val="20"/>
          <w:color w:val="auto"/>
        </w:rPr>
      </w:pPr>
    </w:p>
    <w:p>
      <w:pPr>
        <w:ind w:right="40" w:firstLine="405"/>
        <w:spacing w:after="0" w:line="255" w:lineRule="auto"/>
        <w:rPr>
          <w:sz w:val="20"/>
          <w:szCs w:val="20"/>
          <w:color w:val="auto"/>
        </w:rPr>
      </w:pPr>
      <w:r>
        <w:rPr>
          <w:rFonts w:ascii="Times New Roman" w:cs="Times New Roman" w:eastAsia="Times New Roman" w:hAnsi="Times New Roman"/>
          <w:sz w:val="18"/>
          <w:szCs w:val="18"/>
          <w:color w:val="auto"/>
        </w:rPr>
        <w:t>As of June 30, 2022, the Credit Agreement provided Booz Allen Hamilton Inc. ("Booz Allen Hamilton") with a $1,225.3 million Term Loan A ("Term Loan A"), a $379.3 million Term Loan B ("Term Loan B" and, together with Term Loan A, the "Term Loans"), and a $1,000.0 million revolving credit facility (the "Revolving Credit Facility") with a sub-limit for letters of credit of $200.0 million (collectively, the "Secured Credit Facility"). As of June 30, 2022, the maturity date of Term Loan A and Term Loan B are June 24, 2026 and November 26, 2026, respectively. Booz Allen Hamilton’s obligations and the guarantors’ guarantees under the Credit Agreement (the "Guarantee") are secured by a first priority lien on substantially all of the assets (including capital stock of subsidiaries) of Booz Allen Hamilton, Booz Allen Hamilton Investor Corporation, and the subsidiary guarantors, subject to certain exceptions set forth in the Credit Agreement and related documentation.</w:t>
      </w:r>
    </w:p>
    <w:p>
      <w:pPr>
        <w:spacing w:after="0" w:line="67" w:lineRule="exact"/>
        <w:rPr>
          <w:sz w:val="20"/>
          <w:szCs w:val="20"/>
          <w:color w:val="auto"/>
        </w:rPr>
      </w:pPr>
    </w:p>
    <w:p>
      <w:pPr>
        <w:ind w:right="80" w:firstLine="405"/>
        <w:spacing w:after="0" w:line="260" w:lineRule="auto"/>
        <w:rPr>
          <w:sz w:val="20"/>
          <w:szCs w:val="20"/>
          <w:color w:val="auto"/>
        </w:rPr>
      </w:pPr>
      <w:r>
        <w:rPr>
          <w:rFonts w:ascii="Times New Roman" w:cs="Times New Roman" w:eastAsia="Times New Roman" w:hAnsi="Times New Roman"/>
          <w:sz w:val="17"/>
          <w:szCs w:val="17"/>
          <w:color w:val="auto"/>
        </w:rPr>
        <w:t>At Booz Allen Hamilton’s option, borrowings under the Secured Credit Facility bear interest based either at LIBOR (adjusted for maximum reserves, and subject to a floor of zero) for the applicable interest period or a base rate (equal to the highest of (i) the administrative agent’s prime corporate rate,</w:t>
      </w:r>
    </w:p>
    <w:p>
      <w:pPr>
        <w:spacing w:after="0" w:line="1" w:lineRule="exact"/>
        <w:rPr>
          <w:sz w:val="20"/>
          <w:szCs w:val="20"/>
          <w:color w:val="auto"/>
        </w:rPr>
      </w:pPr>
    </w:p>
    <w:p>
      <w:pPr>
        <w:ind w:right="80" w:firstLine="8"/>
        <w:spacing w:after="0" w:line="234" w:lineRule="auto"/>
        <w:tabs>
          <w:tab w:leader="none" w:pos="26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overnight federal funds rate plus 0.50%, and (iii) three-month LIBOR (adjusted for maximum reserves, and subject to a floor of zero) plus 1.00%), in each case plus an applicable margin as determined by the pricing grid, payable at the end of the applicable interest period and in any event at least quarterly. The applicable margin for Term Loan A and borrowings under the Revolving Credit Facility ranges from 1.125% to 2.00% for LIBOR loans and 0.125% to 1.00% for base rate loans, in each case based on Booz Allen Hamilton’s consolidated total net leverage ratio. Unused commitments under the Revolving Credit Facility are subject to a quarterly fee ranging from 0.175% to 0.35% based on Booz Allen Hamilton’s consolidated total net leverage ratio. Booz Allen Hamilton also agreed to pay customary letter of credit and agency fees. The applicable margin for Term Loan B is 1.75% for LIBOR loans and 0.75% for base rate loans.</w:t>
      </w:r>
    </w:p>
    <w:p>
      <w:pPr>
        <w:spacing w:after="0" w:line="93" w:lineRule="exact"/>
        <w:rPr>
          <w:sz w:val="20"/>
          <w:szCs w:val="20"/>
          <w:color w:val="auto"/>
        </w:rPr>
      </w:pPr>
    </w:p>
    <w:p>
      <w:pPr>
        <w:ind w:right="340" w:firstLine="405"/>
        <w:spacing w:after="0" w:line="282" w:lineRule="auto"/>
        <w:rPr>
          <w:sz w:val="20"/>
          <w:szCs w:val="20"/>
          <w:color w:val="auto"/>
        </w:rPr>
      </w:pPr>
      <w:r>
        <w:rPr>
          <w:rFonts w:ascii="Times New Roman" w:cs="Times New Roman" w:eastAsia="Times New Roman" w:hAnsi="Times New Roman"/>
          <w:sz w:val="18"/>
          <w:szCs w:val="18"/>
          <w:color w:val="auto"/>
        </w:rPr>
        <w:t>The Credit Agreement requires quarterly principal payments of 1.25% of the stated principal amount of Term Loan A until maturity and quarterly principal payments of 0.25% of the stated principal amount of Term Loan B until maturity.</w:t>
      </w:r>
    </w:p>
    <w:p>
      <w:pPr>
        <w:spacing w:after="0" w:line="54" w:lineRule="exact"/>
        <w:rPr>
          <w:sz w:val="20"/>
          <w:szCs w:val="20"/>
          <w:color w:val="auto"/>
        </w:rPr>
      </w:pPr>
    </w:p>
    <w:p>
      <w:pPr>
        <w:ind w:right="180" w:firstLine="405"/>
        <w:spacing w:after="0" w:line="256" w:lineRule="auto"/>
        <w:rPr>
          <w:sz w:val="20"/>
          <w:szCs w:val="20"/>
          <w:color w:val="auto"/>
        </w:rPr>
      </w:pPr>
      <w:r>
        <w:rPr>
          <w:rFonts w:ascii="Times New Roman" w:cs="Times New Roman" w:eastAsia="Times New Roman" w:hAnsi="Times New Roman"/>
          <w:sz w:val="18"/>
          <w:szCs w:val="18"/>
          <w:color w:val="auto"/>
        </w:rPr>
        <w:t>As of June 30, 2022 and March 31, 2022, Booz Allen Hamilton was contingently liable under open standby letters of credit and bank guarantees issued by its banks in favor of third parties that totaled $7.7 million and $8.4 million, respectively. These letters of credit and bank guarantees primarily support insurance and bid and performance obligations. For each of June 30, 2022 and March 31, 2022, approximately $1.0 million of these instruments reduced our available borrowings under the Revolving Credit Facility. The remainder is guaranteed under a separate $20.0 million facility of which $13.2 million and $12.6 million, respectively, was available to Booz Allen Hamilton at June 30, 2022 and March 31, 2022. As of June 30, 2022, we had $999.0 million of capacity available for additional borrowings under the Revolving Credit Facility.</w:t>
      </w:r>
    </w:p>
    <w:p>
      <w:pPr>
        <w:spacing w:after="0" w:line="79" w:lineRule="exact"/>
        <w:rPr>
          <w:sz w:val="20"/>
          <w:szCs w:val="20"/>
          <w:color w:val="auto"/>
        </w:rPr>
      </w:pPr>
    </w:p>
    <w:p>
      <w:pPr>
        <w:jc w:val="both"/>
        <w:ind w:right="40" w:firstLine="405"/>
        <w:spacing w:after="0" w:line="261" w:lineRule="auto"/>
        <w:rPr>
          <w:sz w:val="20"/>
          <w:szCs w:val="20"/>
          <w:color w:val="auto"/>
        </w:rPr>
      </w:pPr>
      <w:r>
        <w:rPr>
          <w:rFonts w:ascii="Times New Roman" w:cs="Times New Roman" w:eastAsia="Times New Roman" w:hAnsi="Times New Roman"/>
          <w:sz w:val="18"/>
          <w:szCs w:val="18"/>
          <w:color w:val="auto"/>
        </w:rPr>
        <w:t>The Credit Agreement contains customary representations and warranties and customary affirmative and negative covenants. In addition, Booz Allen Hamilton is required to meet certain financial covenants at each quarter end, namely consolidated net total leverage and consolidated net interest coverage ratios. As of June 30, 2022 and March 31, 2022, Booz Allen Hamilton was in compliance with all financial covenants associated with its debt and debt-like instruments.</w:t>
      </w:r>
    </w:p>
    <w:p>
      <w:pPr>
        <w:spacing w:after="0" w:line="72"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For the three months ended June 30, 2022 and 2021, interest payments of $6.3 million and $4.9 million were made for Term Loan A, respectively, and $2.4 million and $1.8 million were made for Term Loan B, respectively.</w:t>
      </w:r>
    </w:p>
    <w:p>
      <w:pPr>
        <w:spacing w:after="0" w:line="54" w:lineRule="exact"/>
        <w:rPr>
          <w:sz w:val="20"/>
          <w:szCs w:val="20"/>
          <w:color w:val="auto"/>
        </w:rPr>
      </w:pPr>
    </w:p>
    <w:p>
      <w:pPr>
        <w:ind w:right="140" w:firstLine="405"/>
        <w:spacing w:after="0" w:line="258" w:lineRule="auto"/>
        <w:rPr>
          <w:sz w:val="20"/>
          <w:szCs w:val="20"/>
          <w:color w:val="auto"/>
        </w:rPr>
      </w:pPr>
      <w:r>
        <w:rPr>
          <w:rFonts w:ascii="Times New Roman" w:cs="Times New Roman" w:eastAsia="Times New Roman" w:hAnsi="Times New Roman"/>
          <w:sz w:val="18"/>
          <w:szCs w:val="18"/>
          <w:color w:val="auto"/>
        </w:rPr>
        <w:t>Borrowings under the Term Loans and, if used, the Revolving Credit Facility, incur interest at a variable rate. In accordance with our risk management strategy, Booz Allen Hamilton executed a series of interest rate swaps. As of June 30, 2022, we had interest rate swaps with an aggregate notional amount of $550.0 million. These instruments hedge the variability of cash outflows for interest payments on the floating portion of our debt. The Company's objectives in using cash flow hedges are to reduce volatility due to interest rate movements and to add stability to interest expense (See Note 9 to our condensed consolidated financial statements).</w:t>
      </w:r>
    </w:p>
    <w:p>
      <w:pPr>
        <w:spacing w:after="0" w:line="75" w:lineRule="exact"/>
        <w:rPr>
          <w:sz w:val="20"/>
          <w:szCs w:val="20"/>
          <w:color w:val="auto"/>
        </w:rPr>
      </w:pPr>
    </w:p>
    <w:p>
      <w:pPr>
        <w:ind w:right="60" w:firstLine="405"/>
        <w:spacing w:after="0" w:line="254" w:lineRule="auto"/>
        <w:rPr>
          <w:sz w:val="20"/>
          <w:szCs w:val="20"/>
          <w:color w:val="auto"/>
        </w:rPr>
      </w:pPr>
      <w:r>
        <w:rPr>
          <w:rFonts w:ascii="Times New Roman" w:cs="Times New Roman" w:eastAsia="Times New Roman" w:hAnsi="Times New Roman"/>
          <w:sz w:val="18"/>
          <w:szCs w:val="18"/>
          <w:color w:val="auto"/>
        </w:rPr>
        <w:t>On June 17, 2021, Booz Allen Hamilton issued $500.0 million aggregate principal amounts of its 4.000% Senior Notes due July 1, 2029 (the “Senior Notes due 2029”) under an Indenture, dated as of June 17, 2021, among Booz Allen Hamilton, certain subsidiaries of Booz Allen Hamilton, as guarantors (the “2029 Subsidiary Guarantors”), and Wilmington Trust, National Association (in such capacity, the “2029 Trustee”), as supplemented by the First Supplemental Indenture, dated as of June 17, 2021, among Booz Allen Hamilton, the 2029 Subsidiary Guarantors and the 2029 Trustee. The Senior Notes due 2029 and the related guarantees are Booz Allen Hamilton’s and each 2029 Subsidiary Guarantor's senior unsecured obligations and rank equally in right of payment with all of Booz Allen Hamilton’s and the 2029 Subsidiary Guarantors’ existing and future senior indebtedness and rank senior in right of payment to any of Booz Allen Hamilton’s and the 2029 Subsidiary Guarantors’ future subordinated indebtedness. The net proceeds from the sale of the Senior Notes due 2029 were used to fund the acquisition of Liberty and to pay related fees and expenses.</w:t>
      </w:r>
    </w:p>
    <w:p>
      <w:pPr>
        <w:spacing w:after="0" w:line="84" w:lineRule="exact"/>
        <w:rPr>
          <w:sz w:val="20"/>
          <w:szCs w:val="20"/>
          <w:color w:val="auto"/>
        </w:rPr>
      </w:pPr>
    </w:p>
    <w:p>
      <w:pPr>
        <w:ind w:right="80" w:firstLine="405"/>
        <w:spacing w:after="0" w:line="266" w:lineRule="auto"/>
        <w:rPr>
          <w:sz w:val="20"/>
          <w:szCs w:val="20"/>
          <w:color w:val="auto"/>
        </w:rPr>
      </w:pPr>
      <w:r>
        <w:rPr>
          <w:rFonts w:ascii="Times New Roman" w:cs="Times New Roman" w:eastAsia="Times New Roman" w:hAnsi="Times New Roman"/>
          <w:sz w:val="18"/>
          <w:szCs w:val="18"/>
          <w:color w:val="auto"/>
        </w:rPr>
        <w:t>Interest is payable on the Senior Notes due 2029 semi-annually in cash in arrears on July 1 and January 1 of each year, beginning on January 1, 2022. In connection with the issuance of the Senior Notes due 2029, the Company recognized $6.5 million of issuance costs, which were recorded as an offset against the carrying value of debt and will be amortized to interest expense over the term of the Senior Notes due 2029.</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40" w:firstLine="405"/>
        <w:spacing w:after="0" w:line="254" w:lineRule="auto"/>
        <w:rPr>
          <w:sz w:val="20"/>
          <w:szCs w:val="20"/>
          <w:color w:val="auto"/>
        </w:rPr>
      </w:pPr>
      <w:r>
        <w:rPr>
          <w:rFonts w:ascii="Times New Roman" w:cs="Times New Roman" w:eastAsia="Times New Roman" w:hAnsi="Times New Roman"/>
          <w:sz w:val="18"/>
          <w:szCs w:val="18"/>
          <w:color w:val="auto"/>
        </w:rPr>
        <w:t>On August 24, 2020, Booz Allen Hamilton issued $700.0 million aggregate principal amount of its 3.875% Senior Notes due 2028 (the “Senior Notes due 2028”) under an Indenture, dated as of August 24, 2020, among Booz Allen Hamilton, certain subsidiaries of Booz Allen Hamilton, as guarantors (the "2028 Subsidiary Guarantors"), and Wilmington Trust, National Association, as trustee (the "2028 Trustee"), as supplemented by the First Supplemental Indenture, dated as of August 24, 2020, among Booz Allen Hamilton, the 2028 Subsidiary Guarantors and the 2028 Trustee. Each of Booz Allen Hamilton's existing and future restricted subsidiaries that guarantee its obligations under the Secured Credit Facility or certain other indebtedness guarantee the Senior Notes due 2028 on a senior unsecured basis. The Senior Notes due 2028 and the guarantees are Booz Allen Hamilton’s and each 2028 Subsidiary Guarantors’ senior unsecured obligations and rank equally in right of payment with all of Booz Allen Hamilton’s and the 2028 Subsidiary Guarantors’ existing and future senior indebtedness and rank senior in right of payment to any of Booz Allen Hamilton’s and the Subsidiary Guarantors’ future subordinated indebtedness.</w:t>
      </w:r>
    </w:p>
    <w:p>
      <w:pPr>
        <w:spacing w:after="0" w:line="67" w:lineRule="exact"/>
        <w:rPr>
          <w:sz w:val="20"/>
          <w:szCs w:val="20"/>
          <w:color w:val="auto"/>
        </w:rPr>
      </w:pPr>
    </w:p>
    <w:p>
      <w:pPr>
        <w:ind w:right="60" w:firstLine="405"/>
        <w:spacing w:after="0" w:line="245" w:lineRule="auto"/>
        <w:rPr>
          <w:sz w:val="20"/>
          <w:szCs w:val="20"/>
          <w:color w:val="auto"/>
        </w:rPr>
      </w:pPr>
      <w:r>
        <w:rPr>
          <w:rFonts w:ascii="Times New Roman" w:cs="Times New Roman" w:eastAsia="Times New Roman" w:hAnsi="Times New Roman"/>
          <w:sz w:val="18"/>
          <w:szCs w:val="18"/>
          <w:color w:val="auto"/>
        </w:rPr>
        <w:t>Interest is payable on the Senior Notes due 2028 semi-annually on March 1 and September 1 of each year, beginning on March 1, 2021, and principal is due at maturity on September 1, 2028. In connection with the issuance of the Senior Notes due 2028, the Company recognized $9.2 million of issuance costs, which were recorded as an offset against the carrying value of debt and will be amortized to interest expense over the term of the Senior Notes due 2028.</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Structure and Resources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Our stockholders’ equity amounted to $1,099.1 million as of June 30, 2022, an increase of $52.4 million, compared to stockholders’ equity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$1,046.7 million as of March 31, 2022, primarily due to $57.6 million in treasury stock resulting from the repurchase of shares of our Class A Common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and $58.3 million in quarterly dividend payments for the three months ended June 30, 2022, partially offset by net income of $138.1 million, stock-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compensation expense of $13.7 million, and issuance of common stock of $6.1 million during the three months ended June 30, 2022.</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Expenditures</w:t>
      </w:r>
    </w:p>
    <w:p>
      <w:pPr>
        <w:spacing w:after="0" w:line="121" w:lineRule="exact"/>
        <w:rPr>
          <w:sz w:val="20"/>
          <w:szCs w:val="20"/>
          <w:color w:val="auto"/>
        </w:rPr>
      </w:pPr>
    </w:p>
    <w:p>
      <w:pPr>
        <w:ind w:right="180" w:firstLine="405"/>
        <w:spacing w:after="0" w:line="261" w:lineRule="auto"/>
        <w:rPr>
          <w:sz w:val="20"/>
          <w:szCs w:val="20"/>
          <w:color w:val="auto"/>
        </w:rPr>
      </w:pPr>
      <w:r>
        <w:rPr>
          <w:rFonts w:ascii="Times New Roman" w:cs="Times New Roman" w:eastAsia="Times New Roman" w:hAnsi="Times New Roman"/>
          <w:sz w:val="18"/>
          <w:szCs w:val="18"/>
          <w:color w:val="auto"/>
        </w:rPr>
        <w:t>Since we do not own any of our facilities, our capital expenditure requirements primarily relate to the purchase of computers, management systems, furniture, and leasehold improvements to support our operations. Direct facility and equipment costs billed to clients are not treated as capital expenses. Our capital expenditures for the three months ended June 30, 2022 and 2021 were $13.7 million and $9.0 million, respectively. The increase in capital expenditures was primarily driven by the Company's continued investment in its business, technology, and infrastructure.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p>
      <w:pPr>
        <w:spacing w:after="0" w:line="121"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We are subject to a number of reviews, investigations, claims, lawsuits, and other uncertainties related to our business. For a discussion of these items, refer to Note 15 to our condensed consolidated financial statements.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Note Regarding Forward Looking Statements</w:t>
      </w:r>
    </w:p>
    <w:p>
      <w:pPr>
        <w:spacing w:after="0" w:line="121" w:lineRule="exact"/>
        <w:rPr>
          <w:sz w:val="20"/>
          <w:szCs w:val="20"/>
          <w:color w:val="auto"/>
        </w:rPr>
      </w:pPr>
    </w:p>
    <w:p>
      <w:pPr>
        <w:ind w:right="80" w:firstLine="405"/>
        <w:spacing w:after="0" w:line="254" w:lineRule="auto"/>
        <w:rPr>
          <w:sz w:val="20"/>
          <w:szCs w:val="20"/>
          <w:color w:val="auto"/>
        </w:rPr>
      </w:pPr>
      <w:r>
        <w:rPr>
          <w:rFonts w:ascii="Times New Roman" w:cs="Times New Roman" w:eastAsia="Times New Roman" w:hAnsi="Times New Roman"/>
          <w:sz w:val="18"/>
          <w:szCs w:val="18"/>
          <w:color w:val="auto"/>
        </w:rPr>
        <w:t>Certain statements contained or incorporated in this Quarterly Report on Form 10-Q, or Quarterly Report, include forward-looking statements. In some cases, you can identify forward-looking statements by terminology such as “may,” “will,” “could,” “should,” “forecasts,” “expects,” “intends,” “plans,” “anticipates,” “projects,” “outlook,” “believes,” “estimates,” “predicts,” “potential,” “continue,” “preliminary,” or the negative of these terms or other comparable terminology. Although we believe that the expectations reflected in the forward-looking statements are reasonable, we can give you no assurance these expectations will prove to have been correct. These forward-looking statements relate to future events or our future financial performance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These risks and other factors include:</w:t>
      </w:r>
    </w:p>
    <w:p>
      <w:pPr>
        <w:spacing w:after="0" w:line="30" w:lineRule="exact"/>
        <w:rPr>
          <w:sz w:val="20"/>
          <w:szCs w:val="20"/>
          <w:color w:val="auto"/>
        </w:rPr>
      </w:pPr>
    </w:p>
    <w:p>
      <w:pPr>
        <w:ind w:left="660" w:right="500" w:hanging="328"/>
        <w:spacing w:after="0" w:line="281"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issue that compromises our relationships with the U.S. government or damages our professional reputation, including negative publicity concerning government contractors in general or us in particular;</w:t>
      </w:r>
    </w:p>
    <w:p>
      <w:pPr>
        <w:spacing w:after="0" w:line="1" w:lineRule="exact"/>
        <w:rPr>
          <w:rFonts w:ascii="Times New Roman" w:cs="Times New Roman" w:eastAsia="Times New Roman" w:hAnsi="Times New Roman"/>
          <w:sz w:val="18"/>
          <w:szCs w:val="18"/>
          <w:color w:val="auto"/>
        </w:rPr>
      </w:pPr>
    </w:p>
    <w:p>
      <w:pPr>
        <w:ind w:left="660" w:right="200" w:hanging="328"/>
        <w:spacing w:after="0" w:line="266"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U.S. government spending, including a continuation of efforts by the U.S. government to decrease spending for management support service contracts, and mission priorities that shift expenditures away from agencies or programs that we support, or as a result of the U.S. administration transition;</w:t>
      </w:r>
    </w:p>
    <w:p>
      <w:pPr>
        <w:spacing w:after="0" w:line="13" w:lineRule="exact"/>
        <w:rPr>
          <w:rFonts w:ascii="Times New Roman" w:cs="Times New Roman" w:eastAsia="Times New Roman" w:hAnsi="Times New Roman"/>
          <w:sz w:val="18"/>
          <w:szCs w:val="18"/>
          <w:color w:val="auto"/>
        </w:rPr>
      </w:pPr>
    </w:p>
    <w:p>
      <w:pPr>
        <w:ind w:left="660" w:right="40" w:hanging="328"/>
        <w:spacing w:after="0" w:line="281"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efforts by Congress and other U.S. government bodies to reduce U.S. government spending and address budgetary constraints and the U.S. deficit, as well as associated uncertainty around the timing, extent, nature and effect of such efforts;</w:t>
      </w:r>
    </w:p>
    <w:p>
      <w:pPr>
        <w:spacing w:after="0" w:line="1" w:lineRule="exact"/>
        <w:rPr>
          <w:rFonts w:ascii="Times New Roman" w:cs="Times New Roman" w:eastAsia="Times New Roman" w:hAnsi="Times New Roman"/>
          <w:sz w:val="18"/>
          <w:szCs w:val="18"/>
          <w:color w:val="auto"/>
        </w:rPr>
      </w:pPr>
    </w:p>
    <w:p>
      <w:pPr>
        <w:jc w:val="both"/>
        <w:ind w:left="660" w:right="160" w:hanging="328"/>
        <w:spacing w:after="0" w:line="266"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delayed long-term funding of our contracts due to uncertainty relating to funding of the U.S. government and a possible failure of Congressional efforts to approve such funding and to craft a long-term agreement on the U.S. government’s ability to incur indebtedness in excess of its current limits, or changes in the pattern or timing of government funding and spending;</w:t>
      </w:r>
    </w:p>
    <w:p>
      <w:pPr>
        <w:spacing w:after="0" w:line="1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government shutdowns as a result of the failure by elected officials to fund the government;</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60" w:right="80" w:hanging="328"/>
        <w:spacing w:after="0" w:line="281"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numerous laws and regulations, including but not limited to, the Federal Acquisition Regulation ("FAR"), the False Claims Act, the Defense Federal Acquisition Regulation Supplement and FAR Cost Accounting Standards and Cost Principles;</w:t>
      </w:r>
    </w:p>
    <w:p>
      <w:pPr>
        <w:spacing w:after="0" w:line="1" w:lineRule="exact"/>
        <w:rPr>
          <w:rFonts w:ascii="Times New Roman" w:cs="Times New Roman" w:eastAsia="Times New Roman" w:hAnsi="Times New Roman"/>
          <w:sz w:val="18"/>
          <w:szCs w:val="18"/>
          <w:color w:val="auto"/>
        </w:rPr>
      </w:pPr>
    </w:p>
    <w:p>
      <w:pPr>
        <w:ind w:left="660" w:right="340" w:hanging="328"/>
        <w:spacing w:after="0" w:line="266"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COVID-19 and other pandemics or widespread health epidemics, including disruptions to our workforce and the impact on government spending and demand for our solutions, as well as the impact of our Company policy requiring full COVID-19 vaccinations of all employees, except for employees who qualify for medical or religious exemptions;</w:t>
      </w:r>
    </w:p>
    <w:p>
      <w:pPr>
        <w:spacing w:after="0" w:line="13" w:lineRule="exact"/>
        <w:rPr>
          <w:rFonts w:ascii="Times New Roman" w:cs="Times New Roman" w:eastAsia="Times New Roman" w:hAnsi="Times New Roman"/>
          <w:sz w:val="18"/>
          <w:szCs w:val="18"/>
          <w:color w:val="auto"/>
        </w:rPr>
      </w:pPr>
    </w:p>
    <w:p>
      <w:pPr>
        <w:ind w:left="660" w:right="320" w:hanging="328"/>
        <w:spacing w:after="0" w:line="281"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effectively in the competitive bidding process and delays or losses of contract awards caused by competitors' protests of major contract awards received by us;</w:t>
      </w:r>
    </w:p>
    <w:p>
      <w:pPr>
        <w:spacing w:after="0" w:line="1" w:lineRule="exact"/>
        <w:rPr>
          <w:rFonts w:ascii="Times New Roman" w:cs="Times New Roman" w:eastAsia="Times New Roman" w:hAnsi="Times New Roman"/>
          <w:sz w:val="18"/>
          <w:szCs w:val="18"/>
          <w:color w:val="auto"/>
        </w:rPr>
      </w:pPr>
    </w:p>
    <w:p>
      <w:pPr>
        <w:ind w:left="660" w:right="420" w:hanging="328"/>
        <w:spacing w:after="0" w:line="281"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variable purchasing patterns under U.S. government General Services Administration Multiple Award schedule contracts, or GSA schedules, blanket purchase agreements and indefinite delivery/indefinite quantity, or IDIQ, contracts;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GSA schedules or our position as prime contractor on government-wide acquisition contract vehicles, or GWACs;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mix of our contracts and our ability to accurately estimate or otherwise recover expenses, time, and resources for our contracts;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estimates used in recognizing revenue;</w:t>
      </w:r>
    </w:p>
    <w:p>
      <w:pPr>
        <w:spacing w:after="0" w:line="63" w:lineRule="exact"/>
        <w:rPr>
          <w:rFonts w:ascii="Times New Roman" w:cs="Times New Roman" w:eastAsia="Times New Roman" w:hAnsi="Times New Roman"/>
          <w:sz w:val="18"/>
          <w:szCs w:val="18"/>
          <w:color w:val="auto"/>
        </w:rPr>
      </w:pPr>
    </w:p>
    <w:p>
      <w:pPr>
        <w:ind w:left="660" w:right="200" w:hanging="328"/>
        <w:spacing w:after="0" w:line="281"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the full value of and replenish our backlog, generate revenue under certain of our contracts, and the timing of our receipt of revenue under contracts included in backlog;</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system or service failures and security breaches, including, but not limited to, those resulting from external or internal cyber attacks on our network and internal systems;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operation of financial management systems;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attract, train, or retain employees with the requisite skills and experience;</w:t>
      </w:r>
    </w:p>
    <w:p>
      <w:pPr>
        <w:spacing w:after="0" w:line="63" w:lineRule="exact"/>
        <w:rPr>
          <w:rFonts w:ascii="Times New Roman" w:cs="Times New Roman" w:eastAsia="Times New Roman" w:hAnsi="Times New Roman"/>
          <w:sz w:val="18"/>
          <w:szCs w:val="18"/>
          <w:color w:val="auto"/>
        </w:rPr>
      </w:pPr>
    </w:p>
    <w:p>
      <w:pPr>
        <w:ind w:left="660" w:right="700" w:hanging="328"/>
        <w:spacing w:after="0" w:line="281"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timely hire, assimilate and effectively utilize our employees, ensure that employees obtain and maintain necessary security clearances and/or effectively manage our cost structure;</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inflation that could impact the cost of doing business and/or reduce customer buying power;</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members of senior management or failure to develop new leaders;</w:t>
      </w:r>
    </w:p>
    <w:p>
      <w:pPr>
        <w:spacing w:after="0" w:line="63" w:lineRule="exact"/>
        <w:rPr>
          <w:rFonts w:ascii="Times New Roman" w:cs="Times New Roman" w:eastAsia="Times New Roman" w:hAnsi="Times New Roman"/>
          <w:sz w:val="18"/>
          <w:szCs w:val="18"/>
          <w:color w:val="auto"/>
        </w:rPr>
      </w:pPr>
    </w:p>
    <w:p>
      <w:pPr>
        <w:ind w:left="660" w:right="280" w:hanging="328"/>
        <w:spacing w:after="0" w:line="281"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misconduct or other improper activities from our employees or subcontractors, including the improper use or release of our clients' sensitive or classified information;</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from other companies in our industry;</w:t>
      </w:r>
    </w:p>
    <w:p>
      <w:pPr>
        <w:spacing w:after="0" w:line="63" w:lineRule="exact"/>
        <w:rPr>
          <w:rFonts w:ascii="Times New Roman" w:cs="Times New Roman" w:eastAsia="Times New Roman" w:hAnsi="Times New Roman"/>
          <w:sz w:val="18"/>
          <w:szCs w:val="18"/>
          <w:color w:val="auto"/>
        </w:rPr>
      </w:pPr>
    </w:p>
    <w:p>
      <w:pPr>
        <w:ind w:left="660" w:right="520" w:hanging="328"/>
        <w:spacing w:after="0" w:line="281"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maintain strong relationships with other contractors, or the failure of contractors with which we have entered into a sub- or prime-contractor relationship to meet their obligations to us or our clients;</w:t>
      </w:r>
    </w:p>
    <w:p>
      <w:pPr>
        <w:spacing w:after="0" w:line="1" w:lineRule="exact"/>
        <w:rPr>
          <w:rFonts w:ascii="Times New Roman" w:cs="Times New Roman" w:eastAsia="Times New Roman" w:hAnsi="Times New Roman"/>
          <w:sz w:val="18"/>
          <w:szCs w:val="18"/>
          <w:color w:val="auto"/>
        </w:rPr>
      </w:pPr>
    </w:p>
    <w:p>
      <w:pPr>
        <w:ind w:left="660" w:right="520" w:hanging="328"/>
        <w:spacing w:after="0" w:line="266"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inherent uncertainties and potential adverse developments in legal or regulatory proceedings, including litigation, audits, reviews, and investigations, which may result in materially adverse judgments, settlements, withheld payments, penalties, or other unfavorable outcomes including debarment, as well as disputes over the availability of insurance or indemnification;</w:t>
      </w:r>
    </w:p>
    <w:p>
      <w:pPr>
        <w:spacing w:after="0" w:line="1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special U.S. government laws and regulations relating to our international operations;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increased competition, new relationships, clients, capabilities, and service offerings in our U.S. and international businesses;</w:t>
      </w:r>
    </w:p>
    <w:p>
      <w:pPr>
        <w:spacing w:after="0" w:line="63" w:lineRule="exact"/>
        <w:rPr>
          <w:rFonts w:ascii="Times New Roman" w:cs="Times New Roman" w:eastAsia="Times New Roman" w:hAnsi="Times New Roman"/>
          <w:sz w:val="18"/>
          <w:szCs w:val="18"/>
          <w:color w:val="auto"/>
        </w:rPr>
      </w:pPr>
    </w:p>
    <w:p>
      <w:pPr>
        <w:ind w:left="660" w:right="520" w:hanging="328"/>
        <w:spacing w:after="0" w:line="281"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changes to our operating structure, capabilities, or strategy intended to address client needs, grow our business or respond to market developments;</w:t>
      </w:r>
    </w:p>
    <w:p>
      <w:pPr>
        <w:spacing w:after="0" w:line="1" w:lineRule="exact"/>
        <w:rPr>
          <w:rFonts w:ascii="Times New Roman" w:cs="Times New Roman" w:eastAsia="Times New Roman" w:hAnsi="Times New Roman"/>
          <w:sz w:val="18"/>
          <w:szCs w:val="18"/>
          <w:color w:val="auto"/>
        </w:rPr>
      </w:pPr>
    </w:p>
    <w:p>
      <w:pPr>
        <w:ind w:left="660" w:right="380" w:hanging="328"/>
        <w:spacing w:after="0" w:line="281"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adoption by the U.S. government of new laws, rules, and regulations, such as those relating to organizational conflicts of interest issues or limits;</w:t>
      </w:r>
    </w:p>
    <w:p>
      <w:pPr>
        <w:spacing w:after="0" w:line="1" w:lineRule="exact"/>
        <w:rPr>
          <w:rFonts w:ascii="Times New Roman" w:cs="Times New Roman" w:eastAsia="Times New Roman" w:hAnsi="Times New Roman"/>
          <w:sz w:val="18"/>
          <w:szCs w:val="18"/>
          <w:color w:val="auto"/>
        </w:rPr>
      </w:pPr>
    </w:p>
    <w:p>
      <w:pPr>
        <w:ind w:left="660" w:right="80" w:hanging="328"/>
        <w:spacing w:after="0" w:line="266"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pending, completed and future acquisitions and dispositions, including the ability to satisfy specified closing conditions for pending transactions, such as those related to receipt of regulatory approval or lack of regulatory intervention, and to realize the expected benefits from completed acquisitions and dispositions;</w:t>
      </w:r>
    </w:p>
    <w:p>
      <w:pPr>
        <w:spacing w:after="0" w:line="1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of additional tax liabilities, including as a result of changes in tax laws or management judgments involving complex tax matters;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inherent in the government contracting environment;</w:t>
      </w:r>
    </w:p>
    <w:p>
      <w:pPr>
        <w:spacing w:after="0" w:line="63" w:lineRule="exact"/>
        <w:rPr>
          <w:rFonts w:ascii="Times New Roman" w:cs="Times New Roman" w:eastAsia="Times New Roman" w:hAnsi="Times New Roman"/>
          <w:sz w:val="18"/>
          <w:szCs w:val="18"/>
          <w:color w:val="auto"/>
        </w:rPr>
      </w:pPr>
    </w:p>
    <w:p>
      <w:pPr>
        <w:ind w:left="660" w:right="340" w:hanging="328"/>
        <w:spacing w:after="0" w:line="266"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efforts to change how the U.S. government reimburses compensation related costs and other expenses or otherwise limits such reimbursements and an increased risk of compensation being deemed unreasonable and unallowable or payments being withheld as a result of U.S. government audit, review, or investigation;</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60" w:right="660" w:hanging="328"/>
        <w:spacing w:after="0" w:line="281"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insourcing by various U.S. government agencies due to changes in the definition of “inherently governmental” work, including proposals to limit contractor access to sensitive or classified information and work assignments;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our addressable markets and the amount of U.S. government spending on private contractors;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indebtedness and credit facilities which contain financial and operating covenants;</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changes in accounting rules and regulations, or interpretations thereof, that may affect the way we recognize and report our financial results, including changes in accounting rules governing recognition of revenue;</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ESG-related risks and climate change generally on our and our clients' businesses and operations; and</w:t>
      </w:r>
    </w:p>
    <w:p>
      <w:pPr>
        <w:spacing w:after="0" w:line="63"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factors listed under “Item 1A. Risk Factors” and elsewhere in this Quarterly Report, as well as those listed under "Risk Factors" in our Annual Report on Form 10-K for the year ended March 31, 2022.</w:t>
      </w:r>
    </w:p>
    <w:p>
      <w:pPr>
        <w:spacing w:after="0" w:line="54" w:lineRule="exact"/>
        <w:rPr>
          <w:sz w:val="20"/>
          <w:szCs w:val="20"/>
          <w:color w:val="auto"/>
        </w:rPr>
      </w:pPr>
    </w:p>
    <w:p>
      <w:pPr>
        <w:ind w:right="80" w:firstLine="405"/>
        <w:spacing w:after="0" w:line="266" w:lineRule="auto"/>
        <w:rPr>
          <w:sz w:val="20"/>
          <w:szCs w:val="20"/>
          <w:color w:val="auto"/>
        </w:rPr>
      </w:pPr>
      <w:r>
        <w:rPr>
          <w:rFonts w:ascii="Times New Roman" w:cs="Times New Roman" w:eastAsia="Times New Roman" w:hAnsi="Times New Roman"/>
          <w:sz w:val="18"/>
          <w:szCs w:val="18"/>
          <w:color w:val="auto"/>
        </w:rPr>
        <w:t>In light of these risks, uncertainties and other factors, the forward-looking statements might not prove to be accurate and you should not place undue reliance upon them. All forward-looking statements speak only as of the date made and we undertake no obligation to update or revise publicly any forward-looking statements, whether as a result of new information, future events or otherwise.</w:t>
      </w:r>
    </w:p>
    <w:p>
      <w:pPr>
        <w:spacing w:after="0" w:line="6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121"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There have been no material changes during the period covered by this Quarterly Report on Form 10-Q to the information disclosed in the Quantitative and Qualitative Disclosures About Market Risk section in Part II, “Item 7. Management’s Discussion and Analysis of Financial Condition and Results of Operations” of our Annual Report on Form 10-K for the fiscal year ended March 31, 2022 filed with the Securities and Exchange Commission on May 20, 2022.</w:t>
      </w:r>
    </w:p>
    <w:p>
      <w:pPr>
        <w:spacing w:after="0" w:line="17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121"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Management, with the participation of our Chief Executive Officer and Chief Financial Officer, has evaluated the effectiveness of our disclosure controls and procedures, as defined in Rules 13a-15(e) and 15d-15(e) of the Securities Exchange Act of 1934, as amended, or Exchange Act, as of the end of the period covered by this Quarterly Report. Based on that evaluation, our Chief Executive Officer and Chief Financial Officer concluded that, as of the end of the period covered by this Quarterly Report, our disclosure controls and procedures were effective.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ind w:right="140" w:firstLine="405"/>
        <w:spacing w:after="0" w:line="266" w:lineRule="auto"/>
        <w:rPr>
          <w:sz w:val="20"/>
          <w:szCs w:val="20"/>
          <w:color w:val="auto"/>
        </w:rPr>
      </w:pPr>
      <w:r>
        <w:rPr>
          <w:rFonts w:ascii="Times New Roman" w:cs="Times New Roman" w:eastAsia="Times New Roman" w:hAnsi="Times New Roman"/>
          <w:sz w:val="18"/>
          <w:szCs w:val="18"/>
          <w:color w:val="auto"/>
        </w:rPr>
        <w:t>There have not been any changes in our internal control over financial reporting (as such term is defined in Rules 13a-15(f) and 15d-15(f) under the Exchange Act) during the last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3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7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21" w:lineRule="exact"/>
        <w:rPr>
          <w:sz w:val="20"/>
          <w:szCs w:val="20"/>
          <w:color w:val="auto"/>
        </w:rPr>
      </w:pPr>
    </w:p>
    <w:p>
      <w:pPr>
        <w:ind w:right="100" w:firstLine="405"/>
        <w:spacing w:after="0" w:line="253" w:lineRule="auto"/>
        <w:rPr>
          <w:sz w:val="20"/>
          <w:szCs w:val="20"/>
          <w:color w:val="auto"/>
        </w:rPr>
      </w:pPr>
      <w:r>
        <w:rPr>
          <w:rFonts w:ascii="Times New Roman" w:cs="Times New Roman" w:eastAsia="Times New Roman" w:hAnsi="Times New Roman"/>
          <w:sz w:val="18"/>
          <w:szCs w:val="18"/>
          <w:color w:val="auto"/>
        </w:rPr>
        <w:t>Our performance under U.S. government contracts and compliance with the terms of those contracts and applicable laws and regulations are subject to continuous audit, review, and investigation by the U.S. government which may include such investigative techniques as subpoenas or civil investigative demands. Given the nature of our business, these audits, reviews, and investigations may focus, among other areas, on various aspects of procurement integrity, labor time reporting, sensitive and/or classified information access and control, executive compensation, and post government employment restrictions. We are not always aware of our status in such matters, but we are currently aware of certain pending audits and investigations involving labor time reporting, procurement integrity, and classified information access. In addition, from time to time, we are also involved in legal proceedings and investigations arising in the ordinary course of business, including those relating to employment matters, relationships with clients and contractors, intellectual property disputes, and other business matters. These legal proceedings seek various remedies, including claims for monetary damages in varying amounts, none of which are considered material, or are unspecified as to amount. Although the outcome of any such matter is inherently uncertain and may be materially adverse, based on current information, we do not expect any of the currently ongoing audits, reviews, investigations, or litigation to have a material adverse effect on our financial condition and results of operations. As of June 30, 2022 and March 31, 2022, there were no material amounts accrued in the condensed consolidated financial statements related to these proceedings.</w:t>
      </w:r>
    </w:p>
    <w:p>
      <w:pPr>
        <w:spacing w:after="0" w:line="82" w:lineRule="exact"/>
        <w:rPr>
          <w:sz w:val="20"/>
          <w:szCs w:val="20"/>
          <w:color w:val="auto"/>
        </w:rPr>
      </w:pPr>
    </w:p>
    <w:p>
      <w:pPr>
        <w:ind w:firstLine="445"/>
        <w:spacing w:after="0" w:line="253" w:lineRule="auto"/>
        <w:rPr>
          <w:sz w:val="20"/>
          <w:szCs w:val="20"/>
          <w:color w:val="auto"/>
        </w:rPr>
      </w:pPr>
      <w:r>
        <w:rPr>
          <w:rFonts w:ascii="Times New Roman" w:cs="Times New Roman" w:eastAsia="Times New Roman" w:hAnsi="Times New Roman"/>
          <w:sz w:val="18"/>
          <w:szCs w:val="18"/>
          <w:color w:val="auto"/>
        </w:rPr>
        <w:t>On June 7, 2017, Booz Allen Hamilton was informed that the U.S. Department of Justice (DOJ) is conducting a civil and criminal investigation of the Company. In connection with the investigation, the DOJ has requested information from the Company relating to certain elements of the Company’s cost accounting and indirect cost charging practices with the U.S. government. Since learning of the investigation, the Company has engaged a law firm experienced in these matters to represent the Company in connection with this matter and respond to the government's requests. As is commonly the case with this type of matter, the Company has also been in contact with other regulatory agencies and bodies, including the SEC, which notified the Company that it is conducting an investigation that the Company believes relates to the matters that are also the subject of the DOJ's investigation. The Company may receive additional regulatory or governmental inquiries related to the matters that are the subject of the DOJ's investigation. In accordance with the Company's practice, the Company is cooperating with all relevant government parties. On May 12, 2021, the Company was informed that the DOJ has closed its criminal investigation. The total cost associated with these matters will depend on many factors, including the duration of these matters and any related findings. At this stage, the Company is not able to reasonably estimate the expected amount or range of cost or any loss associated with these matters.</w:t>
      </w:r>
    </w:p>
    <w:p>
      <w:pPr>
        <w:spacing w:after="0" w:line="84" w:lineRule="exact"/>
        <w:rPr>
          <w:sz w:val="20"/>
          <w:szCs w:val="20"/>
          <w:color w:val="auto"/>
        </w:rPr>
      </w:pPr>
    </w:p>
    <w:p>
      <w:pPr>
        <w:ind w:right="20" w:firstLine="445"/>
        <w:spacing w:after="0" w:line="271" w:lineRule="auto"/>
        <w:rPr>
          <w:sz w:val="20"/>
          <w:szCs w:val="20"/>
          <w:color w:val="auto"/>
        </w:rPr>
      </w:pPr>
      <w:r>
        <w:rPr>
          <w:rFonts w:ascii="Times New Roman" w:cs="Times New Roman" w:eastAsia="Times New Roman" w:hAnsi="Times New Roman"/>
          <w:sz w:val="17"/>
          <w:szCs w:val="17"/>
          <w:color w:val="auto"/>
        </w:rPr>
        <w:t>On June 19, 2017, a purported stockholder of the Company filed a putative class action lawsuit in the United States District Court for the Eastern District of Virginia styled Langley v. Booz Allen Hamilton Holding Corp., No. 17-cv-00696 naming the Company, its Chief Executive Officer, and its Chief Financial Officer as defendants purportedly on behalf of all purchasers of the Company’s securities from May 19, 2016 through June 15, 2017. On September 5, 2017, the court named two lead plaintiffs, and on October 20, 2017, the lead plaintiffs filed a consolidated amended complaint. The complaint asserts claims under Sections 10(b) and 20(a) of the Exchange Act and Rule 10b-5 promulgated thereunder, alleging misrepresentations or omissions by the Company purporting to relate to matters that are the subject of the DOJ investigation described above. The plaintiffs seek to recover from the Company and the individual defendants an unspecified amount of damages. The Company believes the suit lacks merit and intends to defend against the lawsuit. Motions to dismiss were argued on January 12, 2018, and on February 8, 2018, the court dismissed the amended complaint in its entirety without prejudice. At this stage of the lawsuit, the Company is not able to reasonably estimate the expected amount or range of cost or any loss associated with the lawsuit.</w:t>
      </w:r>
    </w:p>
    <w:p>
      <w:pPr>
        <w:spacing w:after="0" w:line="65" w:lineRule="exact"/>
        <w:rPr>
          <w:sz w:val="20"/>
          <w:szCs w:val="20"/>
          <w:color w:val="auto"/>
        </w:rPr>
      </w:pPr>
    </w:p>
    <w:p>
      <w:pPr>
        <w:ind w:right="60" w:firstLine="445"/>
        <w:spacing w:after="0" w:line="254" w:lineRule="auto"/>
        <w:rPr>
          <w:sz w:val="20"/>
          <w:szCs w:val="20"/>
          <w:color w:val="auto"/>
        </w:rPr>
      </w:pPr>
      <w:r>
        <w:rPr>
          <w:rFonts w:ascii="Times New Roman" w:cs="Times New Roman" w:eastAsia="Times New Roman" w:hAnsi="Times New Roman"/>
          <w:sz w:val="18"/>
          <w:szCs w:val="18"/>
          <w:color w:val="auto"/>
        </w:rPr>
        <w:t>On November 13, 2017, a Verified Shareholder Derivative Complaint was filed in the United States District Court for the District of Delaware styled Celine Thum v. Rozanski et al., C.A. No. 17-cv-01638, naming the Company as a nominal defendant and numerous current and former officers and directors as defendants. The complaint asserts claims for breach of fiduciary duties, unjust enrichment, waste of corporate assets, abuse of control, gross mismanagement, and violations of Sections 14(a), 10(b), and 20(a) of the Exchange Act, purportedly relating to matters that are the subject of the DOJ investigation described above. The parties have stipulated to a stay of the proceedings pending the outcome of the securities litigation (described above), which the court so ordered on January 24, 2018. On December 12, 2019, the court ordered that the stay remain in effect and ordered the parties to submit periodic status reports. On May 27, 2020, November 23, 2020, May 24, 2021, November 22, 2021, and May 23, 2022, the parties submitted status reports stating that plaintiff believes the stay should remain in effect and defendants do not object to the stay remaining in effect. At this stage of the lawsuit, the Company is not able to reasonably estimate the expected amount or range of cost or any loss associated with the lawsuit.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tab/>
        <w:t>Risk Factors</w:t>
      </w:r>
    </w:p>
    <w:p>
      <w:pPr>
        <w:spacing w:after="0" w:line="121"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during the period covered by this Quarterly Report on Form 10-Q to the risk factors disclosed in Part I, Item 1A, of our Annual Report on Form 10-K for the fiscal year ended March 31, 2022 filed with the Securities and Exchange Commission on May 20, 2022.</w:t>
      </w:r>
    </w:p>
    <w:p>
      <w:pPr>
        <w:spacing w:after="0" w:line="5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shows the share repurchase activity during the three months ended June 30, 2022:</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Total Number of Shares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80" w:type="dxa"/>
            <w:vAlign w:val="bottom"/>
          </w:tcPr>
          <w:p>
            <w:pPr>
              <w:jc w:val="right"/>
              <w:ind w:right="132"/>
              <w:spacing w:after="0"/>
              <w:rPr>
                <w:sz w:val="20"/>
                <w:szCs w:val="20"/>
                <w:color w:val="auto"/>
              </w:rPr>
            </w:pPr>
            <w:r>
              <w:rPr>
                <w:rFonts w:ascii="Times New Roman" w:cs="Times New Roman" w:eastAsia="Times New Roman" w:hAnsi="Times New Roman"/>
                <w:sz w:val="16"/>
                <w:szCs w:val="16"/>
                <w:b w:val="1"/>
                <w:bCs w:val="1"/>
                <w:color w:val="auto"/>
              </w:rPr>
              <w:t>Approximate Dollar</w:t>
            </w:r>
          </w:p>
        </w:tc>
        <w:tc>
          <w:tcPr>
            <w:tcW w:w="0" w:type="dxa"/>
            <w:vAlign w:val="bottom"/>
          </w:tcPr>
          <w:p>
            <w:pPr>
              <w:spacing w:after="0"/>
              <w:rPr>
                <w:sz w:val="1"/>
                <w:szCs w:val="1"/>
                <w:color w:val="auto"/>
              </w:rPr>
            </w:pPr>
          </w:p>
        </w:tc>
      </w:tr>
      <w:tr>
        <w:trPr>
          <w:trHeight w:val="162"/>
        </w:trPr>
        <w:tc>
          <w:tcPr>
            <w:tcW w:w="3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Total Number of Shares</w:t>
            </w:r>
          </w:p>
        </w:tc>
        <w:tc>
          <w:tcPr>
            <w:tcW w:w="100" w:type="dxa"/>
            <w:vAlign w:val="bottom"/>
          </w:tcPr>
          <w:p>
            <w:pPr>
              <w:spacing w:after="0"/>
              <w:rPr>
                <w:sz w:val="14"/>
                <w:szCs w:val="14"/>
                <w:color w:val="auto"/>
              </w:rPr>
            </w:pPr>
          </w:p>
        </w:tc>
        <w:tc>
          <w:tcPr>
            <w:tcW w:w="18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Average Price Paid per</w:t>
            </w:r>
          </w:p>
        </w:tc>
        <w:tc>
          <w:tcPr>
            <w:tcW w:w="18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Purchased as Part of</w:t>
            </w:r>
          </w:p>
        </w:tc>
        <w:tc>
          <w:tcPr>
            <w:tcW w:w="100" w:type="dxa"/>
            <w:vAlign w:val="bottom"/>
          </w:tcPr>
          <w:p>
            <w:pPr>
              <w:spacing w:after="0"/>
              <w:rPr>
                <w:sz w:val="14"/>
                <w:szCs w:val="14"/>
                <w:color w:val="auto"/>
              </w:rPr>
            </w:pPr>
          </w:p>
        </w:tc>
        <w:tc>
          <w:tcPr>
            <w:tcW w:w="184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6"/>
                <w:szCs w:val="16"/>
                <w:b w:val="1"/>
                <w:bCs w:val="1"/>
                <w:color w:val="auto"/>
              </w:rPr>
              <w:t>Value of Shares that May</w:t>
            </w:r>
          </w:p>
        </w:tc>
        <w:tc>
          <w:tcPr>
            <w:tcW w:w="0" w:type="dxa"/>
            <w:vAlign w:val="bottom"/>
          </w:tcPr>
          <w:p>
            <w:pPr>
              <w:spacing w:after="0"/>
              <w:rPr>
                <w:sz w:val="1"/>
                <w:szCs w:val="1"/>
                <w:color w:val="auto"/>
              </w:rPr>
            </w:pPr>
          </w:p>
        </w:tc>
      </w:tr>
      <w:tr>
        <w:trPr>
          <w:trHeight w:val="162"/>
        </w:trPr>
        <w:tc>
          <w:tcPr>
            <w:tcW w:w="3720" w:type="dxa"/>
            <w:vAlign w:val="bottom"/>
            <w:gridSpan w:val="2"/>
            <w:vMerge w:val="restart"/>
          </w:tcPr>
          <w:p>
            <w:pPr>
              <w:ind w:left="158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7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2"/>
            <w:vMerge w:val="continue"/>
          </w:tcPr>
          <w:p>
            <w:pPr>
              <w:spacing w:after="0"/>
              <w:rPr>
                <w:sz w:val="14"/>
                <w:szCs w:val="14"/>
                <w:color w:val="auto"/>
              </w:rPr>
            </w:pPr>
          </w:p>
        </w:tc>
        <w:tc>
          <w:tcPr>
            <w:tcW w:w="18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Publicly Announced</w:t>
            </w:r>
          </w:p>
        </w:tc>
        <w:tc>
          <w:tcPr>
            <w:tcW w:w="100" w:type="dxa"/>
            <w:vAlign w:val="bottom"/>
          </w:tcPr>
          <w:p>
            <w:pPr>
              <w:spacing w:after="0"/>
              <w:rPr>
                <w:sz w:val="14"/>
                <w:szCs w:val="14"/>
                <w:color w:val="auto"/>
              </w:rPr>
            </w:pPr>
          </w:p>
        </w:tc>
        <w:tc>
          <w:tcPr>
            <w:tcW w:w="184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6"/>
                <w:szCs w:val="16"/>
                <w:b w:val="1"/>
                <w:bCs w:val="1"/>
                <w:color w:val="auto"/>
              </w:rPr>
              <w:t>Yet Be Purchased Under</w:t>
            </w:r>
          </w:p>
        </w:tc>
        <w:tc>
          <w:tcPr>
            <w:tcW w:w="0" w:type="dxa"/>
            <w:vAlign w:val="bottom"/>
          </w:tcPr>
          <w:p>
            <w:pPr>
              <w:spacing w:after="0"/>
              <w:rPr>
                <w:sz w:val="1"/>
                <w:szCs w:val="1"/>
                <w:color w:val="auto"/>
              </w:rPr>
            </w:pPr>
          </w:p>
        </w:tc>
      </w:tr>
      <w:tr>
        <w:trPr>
          <w:trHeight w:val="214"/>
        </w:trPr>
        <w:tc>
          <w:tcPr>
            <w:tcW w:w="3720" w:type="dxa"/>
            <w:vAlign w:val="bottom"/>
            <w:gridSpan w:val="2"/>
            <w:vMerge w:val="continue"/>
          </w:tcPr>
          <w:p>
            <w:pPr>
              <w:spacing w:after="0"/>
              <w:rPr>
                <w:sz w:val="18"/>
                <w:szCs w:val="18"/>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Purchased</w:t>
            </w:r>
          </w:p>
        </w:tc>
        <w:tc>
          <w:tcPr>
            <w:tcW w:w="100" w:type="dxa"/>
            <w:vAlign w:val="bottom"/>
          </w:tcPr>
          <w:p>
            <w:pPr>
              <w:spacing w:after="0"/>
              <w:rPr>
                <w:sz w:val="18"/>
                <w:szCs w:val="18"/>
                <w:color w:val="auto"/>
              </w:rPr>
            </w:pPr>
          </w:p>
        </w:tc>
        <w:tc>
          <w:tcPr>
            <w:tcW w:w="18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Share</w:t>
            </w:r>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Plans or Programs</w:t>
            </w:r>
          </w:p>
        </w:tc>
        <w:tc>
          <w:tcPr>
            <w:tcW w:w="100" w:type="dxa"/>
            <w:vAlign w:val="bottom"/>
          </w:tcPr>
          <w:p>
            <w:pPr>
              <w:spacing w:after="0"/>
              <w:rPr>
                <w:sz w:val="18"/>
                <w:szCs w:val="18"/>
                <w:color w:val="auto"/>
              </w:rPr>
            </w:pPr>
          </w:p>
        </w:tc>
        <w:tc>
          <w:tcPr>
            <w:tcW w:w="18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the Plans or Programs (1)</w:t>
            </w:r>
          </w:p>
        </w:tc>
        <w:tc>
          <w:tcPr>
            <w:tcW w:w="0" w:type="dxa"/>
            <w:vAlign w:val="bottom"/>
          </w:tcPr>
          <w:p>
            <w:pPr>
              <w:spacing w:after="0"/>
              <w:rPr>
                <w:sz w:val="1"/>
                <w:szCs w:val="1"/>
                <w:color w:val="auto"/>
              </w:rPr>
            </w:pPr>
          </w:p>
        </w:tc>
      </w:tr>
      <w:tr>
        <w:trPr>
          <w:trHeight w:val="225"/>
        </w:trPr>
        <w:tc>
          <w:tcPr>
            <w:tcW w:w="3620" w:type="dxa"/>
            <w:vAlign w:val="bottom"/>
            <w:tcBorders>
              <w:top w:val="single" w:sz="8" w:color="auto"/>
            </w:tcBorders>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April 2022</w:t>
            </w:r>
          </w:p>
        </w:tc>
        <w:tc>
          <w:tcPr>
            <w:tcW w:w="100" w:type="dxa"/>
            <w:vAlign w:val="bottom"/>
            <w:tcBorders>
              <w:top w:val="single" w:sz="8" w:color="BFE4FF"/>
            </w:tcBorders>
            <w:shd w:val="clear" w:color="auto" w:fill="BFE4FF"/>
          </w:tcPr>
          <w:p>
            <w:pPr>
              <w:spacing w:after="0"/>
              <w:rPr>
                <w:sz w:val="19"/>
                <w:szCs w:val="19"/>
                <w:color w:val="auto"/>
              </w:rPr>
            </w:pPr>
          </w:p>
        </w:tc>
        <w:tc>
          <w:tcPr>
            <w:tcW w:w="1740" w:type="dxa"/>
            <w:vAlign w:val="bottom"/>
            <w:tcBorders>
              <w:top w:val="single" w:sz="8" w:color="auto"/>
            </w:tcBorders>
            <w:shd w:val="clear" w:color="auto" w:fill="BFE4FF"/>
          </w:tcPr>
          <w:p>
            <w:pPr>
              <w:jc w:val="center"/>
              <w:spacing w:after="0"/>
              <w:rPr>
                <w:sz w:val="20"/>
                <w:szCs w:val="20"/>
                <w:color w:val="auto"/>
              </w:rPr>
            </w:pPr>
            <w:r>
              <w:rPr>
                <w:rFonts w:ascii="Times New Roman" w:cs="Times New Roman" w:eastAsia="Times New Roman" w:hAnsi="Times New Roman"/>
                <w:sz w:val="18"/>
                <w:szCs w:val="18"/>
                <w:color w:val="auto"/>
                <w:w w:val="99"/>
              </w:rPr>
              <w:t>112,742</w:t>
            </w:r>
          </w:p>
        </w:tc>
        <w:tc>
          <w:tcPr>
            <w:tcW w:w="100" w:type="dxa"/>
            <w:vAlign w:val="bottom"/>
            <w:tcBorders>
              <w:top w:val="single" w:sz="8" w:color="BFE4FF"/>
            </w:tcBorders>
            <w:shd w:val="clear" w:color="auto" w:fill="BFE4FF"/>
          </w:tcPr>
          <w:p>
            <w:pPr>
              <w:spacing w:after="0"/>
              <w:rPr>
                <w:sz w:val="19"/>
                <w:szCs w:val="19"/>
                <w:color w:val="auto"/>
              </w:rPr>
            </w:pPr>
          </w:p>
        </w:tc>
        <w:tc>
          <w:tcPr>
            <w:tcW w:w="1780" w:type="dxa"/>
            <w:vAlign w:val="bottom"/>
            <w:tcBorders>
              <w:top w:val="single" w:sz="8" w:color="auto"/>
            </w:tcBorders>
            <w:shd w:val="clear" w:color="auto" w:fill="BFE4FF"/>
          </w:tcPr>
          <w:p>
            <w:pPr>
              <w:jc w:val="center"/>
              <w:spacing w:after="0"/>
              <w:rPr>
                <w:sz w:val="20"/>
                <w:szCs w:val="20"/>
                <w:color w:val="auto"/>
              </w:rPr>
            </w:pPr>
            <w:r>
              <w:rPr>
                <w:rFonts w:ascii="Times New Roman" w:cs="Times New Roman" w:eastAsia="Times New Roman" w:hAnsi="Times New Roman"/>
                <w:sz w:val="18"/>
                <w:szCs w:val="18"/>
                <w:color w:val="auto"/>
              </w:rPr>
              <w:t>$88.70</w:t>
            </w:r>
          </w:p>
        </w:tc>
        <w:tc>
          <w:tcPr>
            <w:tcW w:w="100" w:type="dxa"/>
            <w:vAlign w:val="bottom"/>
            <w:tcBorders>
              <w:top w:val="single" w:sz="8" w:color="BFE4FF"/>
            </w:tcBorders>
            <w:shd w:val="clear" w:color="auto" w:fill="BFE4FF"/>
          </w:tcPr>
          <w:p>
            <w:pPr>
              <w:spacing w:after="0"/>
              <w:rPr>
                <w:sz w:val="19"/>
                <w:szCs w:val="19"/>
                <w:color w:val="auto"/>
              </w:rPr>
            </w:pPr>
          </w:p>
        </w:tc>
        <w:tc>
          <w:tcPr>
            <w:tcW w:w="1820" w:type="dxa"/>
            <w:vAlign w:val="bottom"/>
            <w:tcBorders>
              <w:top w:val="single" w:sz="8" w:color="auto"/>
            </w:tcBorders>
            <w:shd w:val="clear" w:color="auto" w:fill="BFE4FF"/>
          </w:tcPr>
          <w:p>
            <w:pPr>
              <w:jc w:val="center"/>
              <w:spacing w:after="0"/>
              <w:rPr>
                <w:sz w:val="20"/>
                <w:szCs w:val="20"/>
                <w:color w:val="auto"/>
              </w:rPr>
            </w:pPr>
            <w:r>
              <w:rPr>
                <w:rFonts w:ascii="Times New Roman" w:cs="Times New Roman" w:eastAsia="Times New Roman" w:hAnsi="Times New Roman"/>
                <w:sz w:val="18"/>
                <w:szCs w:val="18"/>
                <w:color w:val="auto"/>
                <w:w w:val="99"/>
              </w:rPr>
              <w:t>112,742</w:t>
            </w:r>
          </w:p>
        </w:tc>
        <w:tc>
          <w:tcPr>
            <w:tcW w:w="100" w:type="dxa"/>
            <w:vAlign w:val="bottom"/>
            <w:tcBorders>
              <w:top w:val="single" w:sz="8" w:color="BFE4FF"/>
            </w:tcBorders>
            <w:shd w:val="clear" w:color="auto" w:fill="BFE4FF"/>
          </w:tcPr>
          <w:p>
            <w:pPr>
              <w:spacing w:after="0"/>
              <w:rPr>
                <w:sz w:val="19"/>
                <w:szCs w:val="19"/>
                <w:color w:val="auto"/>
              </w:rPr>
            </w:pPr>
          </w:p>
        </w:tc>
        <w:tc>
          <w:tcPr>
            <w:tcW w:w="160" w:type="dxa"/>
            <w:vAlign w:val="bottom"/>
            <w:tcBorders>
              <w:top w:val="single" w:sz="8" w:color="auto"/>
            </w:tcBorders>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top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641,627,936</w:t>
            </w:r>
          </w:p>
        </w:tc>
        <w:tc>
          <w:tcPr>
            <w:tcW w:w="0" w:type="dxa"/>
            <w:vAlign w:val="bottom"/>
          </w:tcPr>
          <w:p>
            <w:pPr>
              <w:spacing w:after="0"/>
              <w:rPr>
                <w:sz w:val="1"/>
                <w:szCs w:val="1"/>
                <w:color w:val="auto"/>
              </w:rPr>
            </w:pPr>
          </w:p>
        </w:tc>
      </w:tr>
      <w:tr>
        <w:trPr>
          <w:trHeight w:val="229"/>
        </w:trPr>
        <w:tc>
          <w:tcPr>
            <w:tcW w:w="3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May 2022</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308,526</w:t>
            </w:r>
          </w:p>
        </w:tc>
        <w:tc>
          <w:tcPr>
            <w:tcW w:w="18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$81.03</w:t>
            </w:r>
          </w:p>
        </w:tc>
        <w:tc>
          <w:tcPr>
            <w:tcW w:w="100" w:type="dxa"/>
            <w:vAlign w:val="bottom"/>
          </w:tcPr>
          <w:p>
            <w:pPr>
              <w:spacing w:after="0"/>
              <w:rPr>
                <w:sz w:val="19"/>
                <w:szCs w:val="19"/>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308,526</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616,627,918</w:t>
            </w:r>
          </w:p>
        </w:tc>
        <w:tc>
          <w:tcPr>
            <w:tcW w:w="0" w:type="dxa"/>
            <w:vAlign w:val="bottom"/>
          </w:tcPr>
          <w:p>
            <w:pPr>
              <w:spacing w:after="0"/>
              <w:rPr>
                <w:sz w:val="1"/>
                <w:szCs w:val="1"/>
                <w:color w:val="auto"/>
              </w:rPr>
            </w:pPr>
          </w:p>
        </w:tc>
      </w:tr>
      <w:tr>
        <w:trPr>
          <w:trHeight w:val="229"/>
        </w:trPr>
        <w:tc>
          <w:tcPr>
            <w:tcW w:w="3720" w:type="dxa"/>
            <w:vAlign w:val="bottom"/>
            <w:gridSpan w:val="2"/>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June 2022</w:t>
            </w:r>
          </w:p>
        </w:tc>
        <w:tc>
          <w:tcPr>
            <w:tcW w:w="1740" w:type="dxa"/>
            <w:vAlign w:val="bottom"/>
            <w:shd w:val="clear" w:color="auto" w:fill="BFE4FF"/>
          </w:tcPr>
          <w:p>
            <w:pPr>
              <w:jc w:val="center"/>
              <w:spacing w:after="0"/>
              <w:rPr>
                <w:sz w:val="20"/>
                <w:szCs w:val="20"/>
                <w:color w:val="auto"/>
              </w:rPr>
            </w:pPr>
            <w:r>
              <w:rPr>
                <w:rFonts w:ascii="Times New Roman" w:cs="Times New Roman" w:eastAsia="Times New Roman" w:hAnsi="Times New Roman"/>
                <w:sz w:val="18"/>
                <w:szCs w:val="18"/>
                <w:color w:val="auto"/>
                <w:w w:val="99"/>
              </w:rPr>
              <w:t>140,556</w:t>
            </w:r>
          </w:p>
        </w:tc>
        <w:tc>
          <w:tcPr>
            <w:tcW w:w="1880" w:type="dxa"/>
            <w:vAlign w:val="bottom"/>
            <w:gridSpan w:val="2"/>
            <w:shd w:val="clear" w:color="auto" w:fill="BFE4FF"/>
          </w:tcPr>
          <w:p>
            <w:pPr>
              <w:jc w:val="center"/>
              <w:ind w:left="10"/>
              <w:spacing w:after="0"/>
              <w:rPr>
                <w:sz w:val="20"/>
                <w:szCs w:val="20"/>
                <w:color w:val="auto"/>
              </w:rPr>
            </w:pPr>
            <w:r>
              <w:rPr>
                <w:rFonts w:ascii="Times New Roman" w:cs="Times New Roman" w:eastAsia="Times New Roman" w:hAnsi="Times New Roman"/>
                <w:sz w:val="18"/>
                <w:szCs w:val="18"/>
                <w:color w:val="auto"/>
              </w:rPr>
              <w:t>$84.82</w:t>
            </w:r>
          </w:p>
        </w:tc>
        <w:tc>
          <w:tcPr>
            <w:tcW w:w="100" w:type="dxa"/>
            <w:vAlign w:val="bottom"/>
            <w:shd w:val="clear" w:color="auto" w:fill="BFE4FF"/>
          </w:tcPr>
          <w:p>
            <w:pPr>
              <w:spacing w:after="0"/>
              <w:rPr>
                <w:sz w:val="19"/>
                <w:szCs w:val="19"/>
                <w:color w:val="auto"/>
              </w:rPr>
            </w:pPr>
          </w:p>
        </w:tc>
        <w:tc>
          <w:tcPr>
            <w:tcW w:w="1820" w:type="dxa"/>
            <w:vAlign w:val="bottom"/>
            <w:shd w:val="clear" w:color="auto" w:fill="BFE4FF"/>
          </w:tcPr>
          <w:p>
            <w:pPr>
              <w:jc w:val="center"/>
              <w:spacing w:after="0"/>
              <w:rPr>
                <w:sz w:val="20"/>
                <w:szCs w:val="20"/>
                <w:color w:val="auto"/>
              </w:rPr>
            </w:pPr>
            <w:r>
              <w:rPr>
                <w:rFonts w:ascii="Times New Roman" w:cs="Times New Roman" w:eastAsia="Times New Roman" w:hAnsi="Times New Roman"/>
                <w:sz w:val="18"/>
                <w:szCs w:val="18"/>
                <w:color w:val="auto"/>
                <w:w w:val="99"/>
              </w:rPr>
              <w:t>140,556</w:t>
            </w:r>
          </w:p>
        </w:tc>
        <w:tc>
          <w:tcPr>
            <w:tcW w:w="260" w:type="dxa"/>
            <w:vAlign w:val="bottom"/>
            <w:gridSpan w:val="2"/>
            <w:shd w:val="clear" w:color="auto" w:fill="BFE4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604,705,851</w:t>
            </w:r>
          </w:p>
        </w:tc>
        <w:tc>
          <w:tcPr>
            <w:tcW w:w="0" w:type="dxa"/>
            <w:vAlign w:val="bottom"/>
          </w:tcPr>
          <w:p>
            <w:pPr>
              <w:spacing w:after="0"/>
              <w:rPr>
                <w:sz w:val="1"/>
                <w:szCs w:val="1"/>
                <w:color w:val="auto"/>
              </w:rPr>
            </w:pPr>
          </w:p>
        </w:tc>
      </w:tr>
      <w:tr>
        <w:trPr>
          <w:trHeight w:val="223"/>
        </w:trPr>
        <w:tc>
          <w:tcPr>
            <w:tcW w:w="37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Total</w:t>
            </w:r>
          </w:p>
        </w:tc>
        <w:tc>
          <w:tcPr>
            <w:tcW w:w="17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561,824</w:t>
            </w:r>
          </w:p>
        </w:tc>
        <w:tc>
          <w:tcPr>
            <w:tcW w:w="100" w:type="dxa"/>
            <w:vAlign w:val="bottom"/>
          </w:tcPr>
          <w:p>
            <w:pPr>
              <w:spacing w:after="0"/>
              <w:rPr>
                <w:sz w:val="19"/>
                <w:szCs w:val="19"/>
                <w:color w:val="auto"/>
              </w:rPr>
            </w:pPr>
          </w:p>
        </w:tc>
        <w:tc>
          <w:tcPr>
            <w:tcW w:w="17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561,824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640" w:hanging="470"/>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12, 2011, the Board of Directors approved a share repurchase program, which was most recently increased by $400.0 million to</w:t>
      </w:r>
    </w:p>
    <w:p>
      <w:pPr>
        <w:spacing w:after="0" w:line="27" w:lineRule="exact"/>
        <w:rPr>
          <w:rFonts w:ascii="Times New Roman" w:cs="Times New Roman" w:eastAsia="Times New Roman" w:hAnsi="Times New Roman"/>
          <w:sz w:val="18"/>
          <w:szCs w:val="18"/>
          <w:color w:val="auto"/>
        </w:rPr>
      </w:pPr>
    </w:p>
    <w:p>
      <w:pPr>
        <w:ind w:left="660" w:right="12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$2,560.0 million on July 27, 2022. A special committee of the Board of Directors was appointed to evaluate market conditions and other relevant factors and initiate repurchases under the program from time to time. The share repurchase program may be suspended, modified or discontinued at any time at the Company’s discretion without prior notice. The above table does not factor in any increases to the share repurchase program subsequent to June 30, 2022.</w:t>
      </w:r>
    </w:p>
    <w:p>
      <w:pPr>
        <w:spacing w:after="0" w:line="7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Defaults Upon Senior Securities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tab/>
        <w:t>Other Information</w:t>
      </w:r>
    </w:p>
    <w:p>
      <w:pPr>
        <w:spacing w:after="0" w:line="121"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On July 26, 2022, Karen M. Dahut, Executive Vice President and President of the Global Defense Sector of the Company, informed the Company of her planned retirement from the Company. In connection with the foregoing, effective as of August 1, 2022, Judith Dotson, Executive Vice President and President of the National Security Sector of the Company, is assuming the role of President of the Global Defense Sector of the Company, and Thomas Pfeifer, Executive Vice President, is being promoted to President of the National Security Sector of the Company.</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36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0" w:type="dxa"/>
            <w:vAlign w:val="bottom"/>
          </w:tcPr>
          <w:p>
            <w:pPr>
              <w:spacing w:after="0"/>
              <w:rPr>
                <w:sz w:val="1"/>
                <w:szCs w:val="1"/>
                <w:color w:val="auto"/>
              </w:rPr>
            </w:pPr>
          </w:p>
        </w:tc>
      </w:tr>
      <w:tr>
        <w:trPr>
          <w:trHeight w:val="324"/>
        </w:trPr>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Exhibit</w:t>
            </w:r>
          </w:p>
        </w:tc>
        <w:tc>
          <w:tcPr>
            <w:tcW w:w="260" w:type="dxa"/>
            <w:vAlign w:val="bottom"/>
          </w:tcPr>
          <w:p>
            <w:pPr>
              <w:spacing w:after="0"/>
              <w:rPr>
                <w:sz w:val="24"/>
                <w:szCs w:val="24"/>
                <w:color w:val="auto"/>
              </w:rPr>
            </w:pPr>
          </w:p>
        </w:tc>
        <w:tc>
          <w:tcPr>
            <w:tcW w:w="10100" w:type="dxa"/>
            <w:vAlign w:val="bottom"/>
            <w:gridSpan w:val="7"/>
            <w:vMerge w:val="restart"/>
          </w:tcPr>
          <w:p>
            <w:pPr>
              <w:spacing w:after="0"/>
              <w:rPr>
                <w:sz w:val="20"/>
                <w:szCs w:val="20"/>
                <w:color w:val="auto"/>
              </w:rPr>
            </w:pPr>
            <w:r>
              <w:rPr>
                <w:rFonts w:ascii="Times New Roman" w:cs="Times New Roman" w:eastAsia="Times New Roman" w:hAnsi="Times New Roman"/>
                <w:sz w:val="18"/>
                <w:szCs w:val="18"/>
                <w:color w:val="auto"/>
              </w:rPr>
              <w:t>Description</w:t>
            </w:r>
          </w:p>
        </w:tc>
        <w:tc>
          <w:tcPr>
            <w:tcW w:w="0" w:type="dxa"/>
            <w:vAlign w:val="bottom"/>
          </w:tcPr>
          <w:p>
            <w:pPr>
              <w:spacing w:after="0"/>
              <w:rPr>
                <w:sz w:val="1"/>
                <w:szCs w:val="1"/>
                <w:color w:val="auto"/>
              </w:rPr>
            </w:pPr>
          </w:p>
        </w:tc>
      </w:tr>
      <w:tr>
        <w:trPr>
          <w:trHeight w:val="156"/>
        </w:trPr>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color w:val="auto"/>
                <w:w w:val="99"/>
              </w:rPr>
              <w:t>Number</w:t>
            </w:r>
          </w:p>
        </w:tc>
        <w:tc>
          <w:tcPr>
            <w:tcW w:w="260" w:type="dxa"/>
            <w:vAlign w:val="bottom"/>
          </w:tcPr>
          <w:p>
            <w:pPr>
              <w:spacing w:after="0"/>
              <w:rPr>
                <w:sz w:val="13"/>
                <w:szCs w:val="13"/>
                <w:color w:val="auto"/>
              </w:rPr>
            </w:pPr>
          </w:p>
        </w:tc>
        <w:tc>
          <w:tcPr>
            <w:tcW w:w="10100" w:type="dxa"/>
            <w:vAlign w:val="bottom"/>
            <w:gridSpan w:val="7"/>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720" w:type="dxa"/>
            <w:vAlign w:val="bottom"/>
            <w:tcBorders>
              <w:right w:val="single" w:sz="8" w:color="auto"/>
            </w:tcBorders>
            <w:gridSpan w:val="3"/>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9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40" w:type="dxa"/>
            <w:vAlign w:val="bottom"/>
          </w:tcPr>
          <w:p>
            <w:pPr>
              <w:spacing w:after="0"/>
              <w:rPr>
                <w:sz w:val="2"/>
                <w:szCs w:val="2"/>
                <w:color w:val="auto"/>
              </w:rPr>
            </w:pPr>
          </w:p>
        </w:tc>
        <w:tc>
          <w:tcPr>
            <w:tcW w:w="49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260" w:type="dxa"/>
            <w:vAlign w:val="bottom"/>
          </w:tcPr>
          <w:p>
            <w:pPr>
              <w:spacing w:after="0"/>
              <w:rPr>
                <w:sz w:val="23"/>
                <w:szCs w:val="23"/>
                <w:color w:val="auto"/>
              </w:rPr>
            </w:pPr>
          </w:p>
        </w:tc>
        <w:tc>
          <w:tcPr>
            <w:tcW w:w="101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Rule 13a-14(a)/15d-14(a) Certification of the Chief Executive Officer*</w:t>
            </w:r>
          </w:p>
        </w:tc>
        <w:tc>
          <w:tcPr>
            <w:tcW w:w="0" w:type="dxa"/>
            <w:vAlign w:val="bottom"/>
          </w:tcPr>
          <w:p>
            <w:pPr>
              <w:spacing w:after="0"/>
              <w:rPr>
                <w:sz w:val="1"/>
                <w:szCs w:val="1"/>
                <w:color w:val="auto"/>
              </w:rPr>
            </w:pPr>
          </w:p>
        </w:tc>
      </w:tr>
      <w:tr>
        <w:trPr>
          <w:trHeight w:val="264"/>
        </w:trPr>
        <w:tc>
          <w:tcPr>
            <w:tcW w:w="7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260" w:type="dxa"/>
            <w:vAlign w:val="bottom"/>
          </w:tcPr>
          <w:p>
            <w:pPr>
              <w:spacing w:after="0"/>
              <w:rPr>
                <w:sz w:val="22"/>
                <w:szCs w:val="22"/>
                <w:color w:val="auto"/>
              </w:rPr>
            </w:pPr>
          </w:p>
        </w:tc>
        <w:tc>
          <w:tcPr>
            <w:tcW w:w="508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Rule 13a-14(a)/15d-14(a) Certification of the Chief Financial Officer*</w:t>
            </w:r>
          </w:p>
        </w:tc>
        <w:tc>
          <w:tcPr>
            <w:tcW w:w="40" w:type="dxa"/>
            <w:vAlign w:val="bottom"/>
            <w:tcBorders>
              <w:top w:val="single" w:sz="8" w:color="0000FF"/>
            </w:tcBorders>
          </w:tcPr>
          <w:p>
            <w:pPr>
              <w:spacing w:after="0"/>
              <w:rPr>
                <w:sz w:val="22"/>
                <w:szCs w:val="22"/>
                <w:color w:val="auto"/>
              </w:rPr>
            </w:pPr>
          </w:p>
        </w:tc>
        <w:tc>
          <w:tcPr>
            <w:tcW w:w="4980" w:type="dxa"/>
            <w:vAlign w:val="bottom"/>
            <w:gridSpan w:val="3"/>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7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260" w:type="dxa"/>
            <w:vAlign w:val="bottom"/>
          </w:tcPr>
          <w:p>
            <w:pPr>
              <w:spacing w:after="0"/>
              <w:rPr>
                <w:sz w:val="22"/>
                <w:szCs w:val="22"/>
                <w:color w:val="auto"/>
              </w:rPr>
            </w:pPr>
          </w:p>
        </w:tc>
        <w:tc>
          <w:tcPr>
            <w:tcW w:w="101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9"/>
              </w:rPr>
              <w:t>Certification of the Chief Executive Officer required by Rule 13a-14(b) or Rule 15d-14(b) and Section 1350 of Chapter 63 of Title 18 of the</w:t>
            </w:r>
          </w:p>
        </w:tc>
        <w:tc>
          <w:tcPr>
            <w:tcW w:w="0" w:type="dxa"/>
            <w:vAlign w:val="bottom"/>
          </w:tcPr>
          <w:p>
            <w:pPr>
              <w:spacing w:after="0"/>
              <w:rPr>
                <w:sz w:val="1"/>
                <w:szCs w:val="1"/>
                <w:color w:val="auto"/>
              </w:rPr>
            </w:pPr>
          </w:p>
        </w:tc>
      </w:tr>
      <w:tr>
        <w:trPr>
          <w:trHeight w:val="155"/>
        </w:trPr>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80" w:type="dxa"/>
            <w:vAlign w:val="bottom"/>
            <w:tcBorders>
              <w:top w:val="single" w:sz="8" w:color="0000FF"/>
            </w:tcBorders>
            <w:gridSpan w:val="6"/>
          </w:tcPr>
          <w:p>
            <w:pPr>
              <w:spacing w:after="0" w:line="156" w:lineRule="exact"/>
              <w:rPr>
                <w:sz w:val="20"/>
                <w:szCs w:val="20"/>
                <w:color w:val="auto"/>
              </w:rPr>
            </w:pPr>
            <w:r>
              <w:rPr>
                <w:rFonts w:ascii="Times New Roman" w:cs="Times New Roman" w:eastAsia="Times New Roman" w:hAnsi="Times New Roman"/>
                <w:sz w:val="18"/>
                <w:szCs w:val="18"/>
                <w:color w:val="0000FF"/>
              </w:rPr>
              <w:t>United States Code (18 U.S.C. 1350)*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760" w:type="dxa"/>
            <w:vAlign w:val="bottom"/>
            <w:gridSpan w:val="2"/>
            <w:shd w:val="clear" w:color="auto" w:fill="0000FF"/>
          </w:tcPr>
          <w:p>
            <w:pPr>
              <w:spacing w:after="0" w:line="20" w:lineRule="exact"/>
              <w:rPr>
                <w:sz w:val="1"/>
                <w:szCs w:val="1"/>
                <w:color w:val="auto"/>
              </w:rPr>
            </w:pPr>
          </w:p>
        </w:tc>
        <w:tc>
          <w:tcPr>
            <w:tcW w:w="72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7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260" w:type="dxa"/>
            <w:vAlign w:val="bottom"/>
          </w:tcPr>
          <w:p>
            <w:pPr>
              <w:spacing w:after="0"/>
              <w:rPr>
                <w:sz w:val="24"/>
                <w:szCs w:val="24"/>
                <w:color w:val="auto"/>
              </w:rPr>
            </w:pPr>
          </w:p>
        </w:tc>
        <w:tc>
          <w:tcPr>
            <w:tcW w:w="101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of the Chief Financial Officer required by Rule 13a-14(b) or Rule 15d-14(b) and Section 1350 of Chapter 63 of Title 18 of the</w:t>
            </w:r>
          </w:p>
        </w:tc>
        <w:tc>
          <w:tcPr>
            <w:tcW w:w="0" w:type="dxa"/>
            <w:vAlign w:val="bottom"/>
          </w:tcPr>
          <w:p>
            <w:pPr>
              <w:spacing w:after="0"/>
              <w:rPr>
                <w:sz w:val="1"/>
                <w:szCs w:val="1"/>
                <w:color w:val="auto"/>
              </w:rPr>
            </w:pPr>
          </w:p>
        </w:tc>
      </w:tr>
      <w:tr>
        <w:trPr>
          <w:trHeight w:val="155"/>
        </w:trPr>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40" w:type="dxa"/>
            <w:vAlign w:val="bottom"/>
            <w:tcBorders>
              <w:top w:val="single" w:sz="8" w:color="0000FF"/>
            </w:tcBorders>
            <w:gridSpan w:val="5"/>
          </w:tcPr>
          <w:p>
            <w:pPr>
              <w:spacing w:after="0" w:line="156" w:lineRule="exact"/>
              <w:rPr>
                <w:sz w:val="20"/>
                <w:szCs w:val="20"/>
                <w:color w:val="auto"/>
              </w:rPr>
            </w:pPr>
            <w:r>
              <w:rPr>
                <w:rFonts w:ascii="Times New Roman" w:cs="Times New Roman" w:eastAsia="Times New Roman" w:hAnsi="Times New Roman"/>
                <w:sz w:val="18"/>
                <w:szCs w:val="18"/>
                <w:color w:val="0000FF"/>
              </w:rPr>
              <w:t>United States Code (18 U.S.C. 1350)*</w:t>
            </w:r>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980" w:hanging="954"/>
        <w:spacing w:after="0" w:line="220" w:lineRule="auto"/>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materials from Booz Allen Hamilton Holding Corporation’s Quarterly Report on Form 10-Q for the three months ended June 30, 2022 formatted in Inline XBRL (eXtensible Business Reporting Language): (i) Condensed Consolidated Balance Sheets at June 30, 2022 and March 31, 2022; (ii) Condensed Consolidated Statements of Operations for the three months ended June 30, 2022 and 2021; (iii) Condensed Consolidated Statements of Comprehensive Income for the three months ended June 30, 2022 and 2021; (iv) Condensed Consolidated Statements of Cash Flows for the three months ended June 30, 2022 and 2021; and (v) Notes to Condensed Consolidated Financial Statements.</w:t>
      </w:r>
    </w:p>
    <w:p>
      <w:pPr>
        <w:spacing w:after="0" w:line="50" w:lineRule="exact"/>
        <w:rPr>
          <w:sz w:val="20"/>
          <w:szCs w:val="20"/>
          <w:color w:val="auto"/>
        </w:rPr>
      </w:pPr>
    </w:p>
    <w:p>
      <w:pPr>
        <w:ind w:left="980" w:hanging="954"/>
        <w:spacing w:after="0"/>
        <w:tabs>
          <w:tab w:leader="none" w:pos="98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103"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___________________________________</w:t>
      </w:r>
    </w:p>
    <w:p>
      <w:pPr>
        <w:spacing w:after="0" w:line="11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electronically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94" w:lineRule="exact"/>
        <w:rPr>
          <w:sz w:val="20"/>
          <w:szCs w:val="20"/>
          <w:color w:val="auto"/>
        </w:rPr>
      </w:pPr>
    </w:p>
    <w:p>
      <w:pPr>
        <w:jc w:val="center"/>
        <w:ind w:left="5200"/>
        <w:spacing w:after="0"/>
        <w:rPr>
          <w:sz w:val="20"/>
          <w:szCs w:val="20"/>
          <w:color w:val="auto"/>
        </w:rPr>
      </w:pPr>
      <w:r>
        <w:rPr>
          <w:rFonts w:ascii="Times New Roman" w:cs="Times New Roman" w:eastAsia="Times New Roman" w:hAnsi="Times New Roman"/>
          <w:sz w:val="18"/>
          <w:szCs w:val="18"/>
          <w:u w:val="single" w:color="auto"/>
          <w:color w:val="auto"/>
        </w:rPr>
        <w:t>Booz Allen Hamilton Holding Corporation</w:t>
      </w:r>
    </w:p>
    <w:p>
      <w:pPr>
        <w:spacing w:after="0" w:line="27" w:lineRule="exact"/>
        <w:rPr>
          <w:sz w:val="20"/>
          <w:szCs w:val="20"/>
          <w:color w:val="auto"/>
        </w:rPr>
      </w:pPr>
    </w:p>
    <w:p>
      <w:pPr>
        <w:jc w:val="center"/>
        <w:ind w:left="5200"/>
        <w:spacing w:after="0"/>
        <w:rPr>
          <w:sz w:val="20"/>
          <w:szCs w:val="20"/>
          <w:color w:val="auto"/>
        </w:rPr>
      </w:pPr>
      <w:r>
        <w:rPr>
          <w:rFonts w:ascii="Times New Roman" w:cs="Times New Roman" w:eastAsia="Times New Roman" w:hAnsi="Times New Roman"/>
          <w:sz w:val="18"/>
          <w:szCs w:val="18"/>
          <w:color w:val="auto"/>
        </w:rPr>
        <w:t>Registrant</w:t>
      </w:r>
    </w:p>
    <w:p>
      <w:pPr>
        <w:spacing w:after="0" w:line="200" w:lineRule="exact"/>
        <w:rPr>
          <w:sz w:val="20"/>
          <w:szCs w:val="20"/>
          <w:color w:val="auto"/>
        </w:rPr>
      </w:pPr>
    </w:p>
    <w:p>
      <w:pPr>
        <w:spacing w:after="0" w:line="358" w:lineRule="exact"/>
        <w:rPr>
          <w:sz w:val="20"/>
          <w:szCs w:val="20"/>
          <w:color w:val="auto"/>
        </w:rPr>
      </w:pPr>
    </w:p>
    <w:p>
      <w:pPr>
        <w:ind w:left="20"/>
        <w:spacing w:after="0"/>
        <w:tabs>
          <w:tab w:leader="none" w:pos="4780" w:val="left"/>
          <w:tab w:leader="none" w:pos="5240" w:val="left"/>
        </w:tabs>
        <w:rPr>
          <w:sz w:val="20"/>
          <w:szCs w:val="20"/>
          <w:color w:val="auto"/>
        </w:rPr>
      </w:pPr>
      <w:r>
        <w:rPr>
          <w:rFonts w:ascii="Times New Roman" w:cs="Times New Roman" w:eastAsia="Times New Roman" w:hAnsi="Times New Roman"/>
          <w:sz w:val="18"/>
          <w:szCs w:val="18"/>
          <w:color w:val="auto"/>
        </w:rPr>
        <w:t>Date: July 29,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Lloyd W. Howell,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3331210</wp:posOffset>
            </wp:positionH>
            <wp:positionV relativeFrom="paragraph">
              <wp:posOffset>17145</wp:posOffset>
            </wp:positionV>
            <wp:extent cx="378904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789045" cy="8890"/>
                    </a:xfrm>
                    <a:prstGeom prst="rect">
                      <a:avLst/>
                    </a:prstGeom>
                    <a:noFill/>
                  </pic:spPr>
                </pic:pic>
              </a:graphicData>
            </a:graphic>
          </wp:anchor>
        </w:drawing>
      </w:r>
    </w:p>
    <w:p>
      <w:pPr>
        <w:spacing w:after="0" w:line="5"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Lloyd W. Howell, Jr.</w:t>
      </w:r>
    </w:p>
    <w:p>
      <w:pPr>
        <w:ind w:left="5260"/>
        <w:spacing w:after="0" w:line="219" w:lineRule="auto"/>
        <w:rPr>
          <w:sz w:val="20"/>
          <w:szCs w:val="20"/>
          <w:color w:val="auto"/>
        </w:rPr>
      </w:pPr>
      <w:r>
        <w:rPr>
          <w:rFonts w:ascii="Times New Roman" w:cs="Times New Roman" w:eastAsia="Times New Roman" w:hAnsi="Times New Roman"/>
          <w:sz w:val="18"/>
          <w:szCs w:val="18"/>
          <w:color w:val="auto"/>
        </w:rPr>
        <w:t>Executive Vice President and Chief Financial Officer</w:t>
      </w:r>
    </w:p>
    <w:p>
      <w:pPr>
        <w:ind w:left="526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0740"/>
          </w:cols>
          <w:pgMar w:left="320" w:top="121" w:right="8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 PURSUANT TO RULE 13A-14(A) OF THE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 AS AMENDED</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Horacio D. Rozanski, certify that:</w:t>
      </w:r>
    </w:p>
    <w:p>
      <w:pPr>
        <w:spacing w:after="0" w:line="171" w:lineRule="exact"/>
        <w:rPr>
          <w:sz w:val="20"/>
          <w:szCs w:val="20"/>
          <w:color w:val="auto"/>
        </w:rPr>
      </w:pPr>
    </w:p>
    <w:p>
      <w:pPr>
        <w:ind w:left="180" w:hanging="172"/>
        <w:spacing w:after="0"/>
        <w:tabs>
          <w:tab w:leader="none" w:pos="1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Booz Allen Hamilton Holding Corporation.</w:t>
      </w:r>
    </w:p>
    <w:p>
      <w:pPr>
        <w:spacing w:after="0" w:line="171" w:lineRule="exact"/>
        <w:rPr>
          <w:rFonts w:ascii="Times New Roman" w:cs="Times New Roman" w:eastAsia="Times New Roman" w:hAnsi="Times New Roman"/>
          <w:sz w:val="18"/>
          <w:szCs w:val="18"/>
          <w:color w:val="auto"/>
        </w:rPr>
      </w:pPr>
    </w:p>
    <w:p>
      <w:pPr>
        <w:ind w:right="260" w:firstLine="8"/>
        <w:spacing w:after="0" w:line="282" w:lineRule="auto"/>
        <w:tabs>
          <w:tab w:leader="none" w:pos="1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8"/>
          <w:szCs w:val="18"/>
          <w:color w:val="auto"/>
        </w:rPr>
      </w:pPr>
    </w:p>
    <w:p>
      <w:pPr>
        <w:ind w:right="540" w:firstLine="8"/>
        <w:spacing w:after="0" w:line="282" w:lineRule="auto"/>
        <w:tabs>
          <w:tab w:leader="none" w:pos="1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right="20" w:firstLine="8"/>
        <w:spacing w:after="0" w:line="266" w:lineRule="auto"/>
        <w:tabs>
          <w:tab w:leader="none" w:pos="1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sz w:val="20"/>
          <w:szCs w:val="20"/>
          <w:color w:val="auto"/>
        </w:rPr>
      </w:pPr>
    </w:p>
    <w:p>
      <w:pPr>
        <w:ind w:right="140" w:firstLine="8"/>
        <w:spacing w:after="0" w:line="266" w:lineRule="auto"/>
        <w:tabs>
          <w:tab w:leader="none" w:pos="24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right="60" w:firstLine="8"/>
        <w:spacing w:after="0" w:line="266" w:lineRule="auto"/>
        <w:tabs>
          <w:tab w:leader="none" w:pos="2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right="120" w:firstLine="8"/>
        <w:spacing w:after="0" w:line="282" w:lineRule="auto"/>
        <w:tabs>
          <w:tab w:leader="none" w:pos="24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right="360" w:firstLine="8"/>
        <w:spacing w:after="0" w:line="266" w:lineRule="auto"/>
        <w:tabs>
          <w:tab w:leader="none" w:pos="2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22" w:lineRule="exact"/>
        <w:rPr>
          <w:sz w:val="20"/>
          <w:szCs w:val="20"/>
          <w:color w:val="auto"/>
        </w:rPr>
      </w:pPr>
    </w:p>
    <w:p>
      <w:pPr>
        <w:ind w:right="500" w:firstLine="8"/>
        <w:spacing w:after="0" w:line="282" w:lineRule="auto"/>
        <w:tabs>
          <w:tab w:leader="none" w:pos="1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108" w:lineRule="exact"/>
        <w:rPr>
          <w:sz w:val="20"/>
          <w:szCs w:val="20"/>
          <w:color w:val="auto"/>
        </w:rPr>
      </w:pPr>
    </w:p>
    <w:p>
      <w:pPr>
        <w:ind w:right="40" w:firstLine="8"/>
        <w:spacing w:after="0" w:line="282" w:lineRule="auto"/>
        <w:tabs>
          <w:tab w:leader="none" w:pos="24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right="280" w:firstLine="8"/>
        <w:spacing w:after="0" w:line="282" w:lineRule="auto"/>
        <w:tabs>
          <w:tab w:leader="none" w:pos="2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70" w:lineRule="exact"/>
        <w:rPr>
          <w:sz w:val="20"/>
          <w:szCs w:val="20"/>
          <w:color w:val="auto"/>
        </w:rPr>
      </w:pPr>
    </w:p>
    <w:p>
      <w:pPr>
        <w:ind w:left="20"/>
        <w:spacing w:after="0"/>
        <w:tabs>
          <w:tab w:leader="none" w:pos="6960" w:val="left"/>
          <w:tab w:leader="none" w:pos="7420" w:val="left"/>
        </w:tabs>
        <w:rPr>
          <w:sz w:val="20"/>
          <w:szCs w:val="20"/>
          <w:color w:val="auto"/>
        </w:rPr>
      </w:pPr>
      <w:r>
        <w:rPr>
          <w:rFonts w:ascii="Times New Roman" w:cs="Times New Roman" w:eastAsia="Times New Roman" w:hAnsi="Times New Roman"/>
          <w:sz w:val="18"/>
          <w:szCs w:val="18"/>
          <w:color w:val="auto"/>
        </w:rPr>
        <w:t>Date: July 29,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Horacio D. Rozanski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4711065</wp:posOffset>
            </wp:positionH>
            <wp:positionV relativeFrom="paragraph">
              <wp:posOffset>17145</wp:posOffset>
            </wp:positionV>
            <wp:extent cx="240919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409190" cy="8255"/>
                    </a:xfrm>
                    <a:prstGeom prst="rect">
                      <a:avLst/>
                    </a:prstGeom>
                    <a:noFill/>
                  </pic:spPr>
                </pic:pic>
              </a:graphicData>
            </a:graphic>
          </wp:anchor>
        </w:drawing>
      </w:r>
    </w:p>
    <w:p>
      <w:pPr>
        <w:spacing w:after="0" w:line="5"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color w:val="auto"/>
        </w:rPr>
        <w:t>Horacio D. Rozanski</w:t>
      </w:r>
    </w:p>
    <w:p>
      <w:pPr>
        <w:ind w:left="7440"/>
        <w:spacing w:after="0" w:line="219" w:lineRule="auto"/>
        <w:rPr>
          <w:sz w:val="20"/>
          <w:szCs w:val="20"/>
          <w:color w:val="auto"/>
        </w:rPr>
      </w:pPr>
      <w:r>
        <w:rPr>
          <w:rFonts w:ascii="Times New Roman" w:cs="Times New Roman" w:eastAsia="Times New Roman" w:hAnsi="Times New Roman"/>
          <w:sz w:val="18"/>
          <w:szCs w:val="18"/>
          <w:color w:val="auto"/>
        </w:rPr>
        <w:t>President and Chief Executive Officer</w:t>
      </w:r>
    </w:p>
    <w:p>
      <w:pPr>
        <w:ind w:left="744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887"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FINANCIAL OFFICER PURSUANT TO RULE 13A-14(A) OF THE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 AS AMENDED</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Lloyd W. Howell, Jr., certify that:</w:t>
      </w:r>
    </w:p>
    <w:p>
      <w:pPr>
        <w:spacing w:after="0" w:line="171" w:lineRule="exact"/>
        <w:rPr>
          <w:sz w:val="20"/>
          <w:szCs w:val="20"/>
          <w:color w:val="auto"/>
        </w:rPr>
      </w:pPr>
    </w:p>
    <w:p>
      <w:pPr>
        <w:ind w:left="180" w:hanging="172"/>
        <w:spacing w:after="0"/>
        <w:tabs>
          <w:tab w:leader="none" w:pos="1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Booz Allen Hamilton Holding Corporation.</w:t>
      </w:r>
    </w:p>
    <w:p>
      <w:pPr>
        <w:spacing w:after="0" w:line="171" w:lineRule="exact"/>
        <w:rPr>
          <w:rFonts w:ascii="Times New Roman" w:cs="Times New Roman" w:eastAsia="Times New Roman" w:hAnsi="Times New Roman"/>
          <w:sz w:val="18"/>
          <w:szCs w:val="18"/>
          <w:color w:val="auto"/>
        </w:rPr>
      </w:pPr>
    </w:p>
    <w:p>
      <w:pPr>
        <w:ind w:right="260" w:firstLine="8"/>
        <w:spacing w:after="0" w:line="282" w:lineRule="auto"/>
        <w:tabs>
          <w:tab w:leader="none" w:pos="1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8"/>
          <w:szCs w:val="18"/>
          <w:color w:val="auto"/>
        </w:rPr>
      </w:pPr>
    </w:p>
    <w:p>
      <w:pPr>
        <w:ind w:right="540" w:firstLine="8"/>
        <w:spacing w:after="0" w:line="282" w:lineRule="auto"/>
        <w:tabs>
          <w:tab w:leader="none" w:pos="1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right="20" w:firstLine="8"/>
        <w:spacing w:after="0" w:line="266" w:lineRule="auto"/>
        <w:tabs>
          <w:tab w:leader="none" w:pos="1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sz w:val="20"/>
          <w:szCs w:val="20"/>
          <w:color w:val="auto"/>
        </w:rPr>
      </w:pPr>
    </w:p>
    <w:p>
      <w:pPr>
        <w:ind w:right="140" w:firstLine="8"/>
        <w:spacing w:after="0" w:line="266" w:lineRule="auto"/>
        <w:tabs>
          <w:tab w:leader="none" w:pos="24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right="60" w:firstLine="8"/>
        <w:spacing w:after="0" w:line="266" w:lineRule="auto"/>
        <w:tabs>
          <w:tab w:leader="none" w:pos="2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right="120" w:firstLine="8"/>
        <w:spacing w:after="0" w:line="282" w:lineRule="auto"/>
        <w:tabs>
          <w:tab w:leader="none" w:pos="24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right="360" w:firstLine="8"/>
        <w:spacing w:after="0" w:line="266" w:lineRule="auto"/>
        <w:tabs>
          <w:tab w:leader="none" w:pos="2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22" w:lineRule="exact"/>
        <w:rPr>
          <w:sz w:val="20"/>
          <w:szCs w:val="20"/>
          <w:color w:val="auto"/>
        </w:rPr>
      </w:pPr>
    </w:p>
    <w:p>
      <w:pPr>
        <w:ind w:right="500" w:firstLine="8"/>
        <w:spacing w:after="0" w:line="282" w:lineRule="auto"/>
        <w:tabs>
          <w:tab w:leader="none" w:pos="1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108" w:lineRule="exact"/>
        <w:rPr>
          <w:sz w:val="20"/>
          <w:szCs w:val="20"/>
          <w:color w:val="auto"/>
        </w:rPr>
      </w:pPr>
    </w:p>
    <w:p>
      <w:pPr>
        <w:ind w:right="40" w:firstLine="8"/>
        <w:spacing w:after="0" w:line="282" w:lineRule="auto"/>
        <w:tabs>
          <w:tab w:leader="none" w:pos="24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right="280" w:firstLine="8"/>
        <w:spacing w:after="0" w:line="282" w:lineRule="auto"/>
        <w:tabs>
          <w:tab w:leader="none" w:pos="2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70" w:lineRule="exact"/>
        <w:rPr>
          <w:sz w:val="20"/>
          <w:szCs w:val="20"/>
          <w:color w:val="auto"/>
        </w:rPr>
      </w:pPr>
    </w:p>
    <w:p>
      <w:pPr>
        <w:ind w:left="20"/>
        <w:spacing w:after="0"/>
        <w:tabs>
          <w:tab w:leader="none" w:pos="5600" w:val="left"/>
          <w:tab w:leader="none" w:pos="6060" w:val="left"/>
        </w:tabs>
        <w:rPr>
          <w:sz w:val="20"/>
          <w:szCs w:val="20"/>
          <w:color w:val="auto"/>
        </w:rPr>
      </w:pPr>
      <w:r>
        <w:rPr>
          <w:rFonts w:ascii="Times New Roman" w:cs="Times New Roman" w:eastAsia="Times New Roman" w:hAnsi="Times New Roman"/>
          <w:sz w:val="18"/>
          <w:szCs w:val="18"/>
          <w:color w:val="auto"/>
        </w:rPr>
        <w:t>Date: July 29,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Lloyd W. Howell,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17145</wp:posOffset>
            </wp:positionV>
            <wp:extent cx="326580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5"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Lloyd W. Howell, Jr.</w:t>
      </w:r>
    </w:p>
    <w:p>
      <w:pPr>
        <w:ind w:left="6080"/>
        <w:spacing w:after="0" w:line="219" w:lineRule="auto"/>
        <w:rPr>
          <w:sz w:val="20"/>
          <w:szCs w:val="20"/>
          <w:color w:val="auto"/>
        </w:rPr>
      </w:pPr>
      <w:r>
        <w:rPr>
          <w:rFonts w:ascii="Times New Roman" w:cs="Times New Roman" w:eastAsia="Times New Roman" w:hAnsi="Times New Roman"/>
          <w:sz w:val="18"/>
          <w:szCs w:val="18"/>
          <w:color w:val="auto"/>
        </w:rPr>
        <w:t>Executive Vice President and Chief Financial Officer (Principal</w:t>
      </w:r>
    </w:p>
    <w:p>
      <w:pPr>
        <w:ind w:left="6080"/>
        <w:spacing w:after="0"/>
        <w:rPr>
          <w:sz w:val="20"/>
          <w:szCs w:val="20"/>
          <w:color w:val="auto"/>
        </w:rPr>
      </w:pPr>
      <w:r>
        <w:rPr>
          <w:rFonts w:ascii="Times New Roman" w:cs="Times New Roman" w:eastAsia="Times New Roman" w:hAnsi="Times New Roman"/>
          <w:sz w:val="18"/>
          <w:szCs w:val="18"/>
          <w:color w:val="auto"/>
        </w:rPr>
        <w:t>Financial Officer)</w:t>
      </w:r>
    </w:p>
    <w:p>
      <w:pPr>
        <w:sectPr>
          <w:pgSz w:w="11900" w:h="16838" w:orient="portrait"/>
          <w:cols w:equalWidth="0" w:num="1">
            <w:col w:w="11240"/>
          </w:cols>
          <w:pgMar w:left="320" w:top="887"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153"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In connection with the report on Form 10-Q of Booz Allen Hamilton Holding Corporation (the “Company”) for the fiscal quarter ended June 30, 2022, as filed with the Securities and Exchange Commission on the date hereof (the “Report”), the undersigned President and Chief Executive Officer of the Company certifies, to the best of his knowledge and belief pursuant to 18 U.S.C. Section 1350, as adopted pursuant to Section 906 of the Sarbanes-Oxley Act of 2002, that:</w:t>
      </w:r>
    </w:p>
    <w:p>
      <w:pPr>
        <w:spacing w:after="0" w:line="126" w:lineRule="exact"/>
        <w:rPr>
          <w:sz w:val="20"/>
          <w:szCs w:val="20"/>
          <w:color w:val="auto"/>
        </w:rPr>
      </w:pPr>
    </w:p>
    <w:p>
      <w:pPr>
        <w:ind w:left="260" w:hanging="252"/>
        <w:spacing w:after="0"/>
        <w:tabs>
          <w:tab w:leader="none" w:pos="2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w:t>
      </w:r>
    </w:p>
    <w:p>
      <w:pPr>
        <w:spacing w:after="0" w:line="17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33" w:lineRule="exact"/>
        <w:rPr>
          <w:sz w:val="20"/>
          <w:szCs w:val="20"/>
          <w:color w:val="auto"/>
        </w:rPr>
      </w:pPr>
    </w:p>
    <w:p>
      <w:pPr>
        <w:ind w:left="20"/>
        <w:spacing w:after="0"/>
        <w:tabs>
          <w:tab w:leader="none" w:pos="6380" w:val="left"/>
        </w:tabs>
        <w:rPr>
          <w:sz w:val="20"/>
          <w:szCs w:val="20"/>
          <w:color w:val="auto"/>
        </w:rPr>
      </w:pPr>
      <w:r>
        <w:rPr>
          <w:rFonts w:ascii="Times New Roman" w:cs="Times New Roman" w:eastAsia="Times New Roman" w:hAnsi="Times New Roman"/>
          <w:sz w:val="18"/>
          <w:szCs w:val="18"/>
          <w:color w:val="auto"/>
        </w:rPr>
        <w:t>Date: July 29, 2022</w:t>
      </w:r>
      <w:r>
        <w:rPr>
          <w:sz w:val="20"/>
          <w:szCs w:val="20"/>
          <w:color w:val="auto"/>
        </w:rPr>
        <w:tab/>
      </w:r>
      <w:r>
        <w:rPr>
          <w:rFonts w:ascii="Times New Roman" w:cs="Times New Roman" w:eastAsia="Times New Roman" w:hAnsi="Times New Roman"/>
          <w:sz w:val="17"/>
          <w:szCs w:val="17"/>
          <w:color w:val="auto"/>
        </w:rPr>
        <w:t>By: /s/ Horacio D. Rozanski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4239895</wp:posOffset>
            </wp:positionH>
            <wp:positionV relativeFrom="paragraph">
              <wp:posOffset>17145</wp:posOffset>
            </wp:positionV>
            <wp:extent cx="288036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880360" cy="8255"/>
                    </a:xfrm>
                    <a:prstGeom prst="rect">
                      <a:avLst/>
                    </a:prstGeom>
                    <a:noFill/>
                  </pic:spPr>
                </pic:pic>
              </a:graphicData>
            </a:graphic>
          </wp:anchor>
        </w:drawing>
      </w:r>
    </w:p>
    <w:p>
      <w:pPr>
        <w:spacing w:after="0" w:line="5"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color w:val="auto"/>
        </w:rPr>
        <w:t>Horacio D. Rozanski</w:t>
      </w:r>
    </w:p>
    <w:p>
      <w:pPr>
        <w:ind w:left="6700"/>
        <w:spacing w:after="0" w:line="219" w:lineRule="auto"/>
        <w:rPr>
          <w:sz w:val="20"/>
          <w:szCs w:val="20"/>
          <w:color w:val="auto"/>
        </w:rPr>
      </w:pPr>
      <w:r>
        <w:rPr>
          <w:rFonts w:ascii="Times New Roman" w:cs="Times New Roman" w:eastAsia="Times New Roman" w:hAnsi="Times New Roman"/>
          <w:sz w:val="18"/>
          <w:szCs w:val="18"/>
          <w:color w:val="auto"/>
        </w:rPr>
        <w:t>President and Chief Executive Officer</w:t>
      </w:r>
    </w:p>
    <w:p>
      <w:pPr>
        <w:ind w:left="67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1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Booz Allen Hamilton Holding Corporation and will be retained by Booz Allen Hamilton Holding Corporation and furnished to the Securities and Exchange Commission or its staff upon request.</w:t>
      </w:r>
    </w:p>
    <w:p>
      <w:pPr>
        <w:sectPr>
          <w:pgSz w:w="11900" w:h="16838" w:orient="portrait"/>
          <w:cols w:equalWidth="0" w:num="1">
            <w:col w:w="11240"/>
          </w:cols>
          <w:pgMar w:left="320" w:top="887"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15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connection with the report on Form 10-Q of Booz Allen Hamilton Holding Corporation (the “Company”) for the fiscal quarter ended June 30, 2022, as filed with the Securities and Exchange Commission on the date hereof (the “Report”), the undersigned Executive Vice President and Chief Financial Officer certifies, to the best of his knowledge and belief pursuant to 18 U.S.C. Section 1350, as adopted pursuant to Section 906 of the Sarbanes-Oxley Act of 2002, that:</w:t>
      </w:r>
    </w:p>
    <w:p>
      <w:pPr>
        <w:spacing w:after="0" w:line="126" w:lineRule="exact"/>
        <w:rPr>
          <w:sz w:val="20"/>
          <w:szCs w:val="20"/>
          <w:color w:val="auto"/>
        </w:rPr>
      </w:pPr>
    </w:p>
    <w:p>
      <w:pPr>
        <w:ind w:left="260" w:hanging="252"/>
        <w:spacing w:after="0"/>
        <w:tabs>
          <w:tab w:leader="none" w:pos="2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w:t>
      </w:r>
    </w:p>
    <w:p>
      <w:pPr>
        <w:spacing w:after="0" w:line="17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33" w:lineRule="exact"/>
        <w:rPr>
          <w:sz w:val="20"/>
          <w:szCs w:val="20"/>
          <w:color w:val="auto"/>
        </w:rPr>
      </w:pPr>
    </w:p>
    <w:p>
      <w:pPr>
        <w:ind w:left="20"/>
        <w:spacing w:after="0"/>
        <w:tabs>
          <w:tab w:leader="none" w:pos="5560" w:val="left"/>
        </w:tabs>
        <w:rPr>
          <w:sz w:val="20"/>
          <w:szCs w:val="20"/>
          <w:color w:val="auto"/>
        </w:rPr>
      </w:pPr>
      <w:r>
        <w:rPr>
          <w:rFonts w:ascii="Times New Roman" w:cs="Times New Roman" w:eastAsia="Times New Roman" w:hAnsi="Times New Roman"/>
          <w:sz w:val="18"/>
          <w:szCs w:val="18"/>
          <w:color w:val="auto"/>
        </w:rPr>
        <w:t>Date: July 29, 2022</w:t>
      </w:r>
      <w:r>
        <w:rPr>
          <w:sz w:val="20"/>
          <w:szCs w:val="20"/>
          <w:color w:val="auto"/>
        </w:rPr>
        <w:tab/>
      </w:r>
      <w:r>
        <w:rPr>
          <w:rFonts w:ascii="Times New Roman" w:cs="Times New Roman" w:eastAsia="Times New Roman" w:hAnsi="Times New Roman"/>
          <w:sz w:val="17"/>
          <w:szCs w:val="17"/>
          <w:color w:val="auto"/>
        </w:rPr>
        <w:t>By: /s/ Lloyd W. Howell,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17145</wp:posOffset>
            </wp:positionV>
            <wp:extent cx="33858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85820" cy="8255"/>
                    </a:xfrm>
                    <a:prstGeom prst="rect">
                      <a:avLst/>
                    </a:prstGeom>
                    <a:noFill/>
                  </pic:spPr>
                </pic:pic>
              </a:graphicData>
            </a:graphic>
          </wp:anchor>
        </w:drawing>
      </w:r>
    </w:p>
    <w:p>
      <w:pPr>
        <w:spacing w:after="0" w:line="5"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Lloyd W. Howell, Jr.</w:t>
      </w:r>
    </w:p>
    <w:p>
      <w:pPr>
        <w:ind w:left="5880"/>
        <w:spacing w:after="0" w:line="219" w:lineRule="auto"/>
        <w:rPr>
          <w:sz w:val="20"/>
          <w:szCs w:val="20"/>
          <w:color w:val="auto"/>
        </w:rPr>
      </w:pPr>
      <w:r>
        <w:rPr>
          <w:rFonts w:ascii="Times New Roman" w:cs="Times New Roman" w:eastAsia="Times New Roman" w:hAnsi="Times New Roman"/>
          <w:sz w:val="18"/>
          <w:szCs w:val="18"/>
          <w:color w:val="auto"/>
        </w:rPr>
        <w:t>Executive Vice President and Chief Financial Officer (Principal</w:t>
      </w:r>
    </w:p>
    <w:p>
      <w:pPr>
        <w:ind w:left="5880"/>
        <w:spacing w:after="0"/>
        <w:rPr>
          <w:sz w:val="20"/>
          <w:szCs w:val="20"/>
          <w:color w:val="auto"/>
        </w:rPr>
      </w:pPr>
      <w:r>
        <w:rPr>
          <w:rFonts w:ascii="Times New Roman" w:cs="Times New Roman" w:eastAsia="Times New Roman" w:hAnsi="Times New Roman"/>
          <w:sz w:val="18"/>
          <w:szCs w:val="18"/>
          <w:color w:val="auto"/>
        </w:rPr>
        <w:t>Financial Officer)</w:t>
      </w:r>
    </w:p>
    <w:p>
      <w:pPr>
        <w:spacing w:after="0" w:line="1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Booz Allen Hamilton Holding Corporation and will be retained by Booz Allen Hamilton Holding Corporation and furnished to the Securities and Exchange Commission or its staff upon request.</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1)"/>
      <w:numFmt w:val="decimal"/>
      <w:start w:val="1"/>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1)"/>
      <w:numFmt w:val="decimal"/>
      <w:start w:val="1"/>
    </w:lvl>
  </w:abstractNum>
  <w:abstractNum w:abstractNumId="4">
    <w:nsid w:val="721DA317"/>
    <w:multiLevelType w:val="hybridMultilevel"/>
    <w:lvl w:ilvl="0">
      <w:lvlJc w:val="left"/>
      <w:lvlText w:val="(%1)"/>
      <w:numFmt w:val="decimal"/>
      <w:start w:val="1"/>
    </w:lvl>
  </w:abstractNum>
  <w:abstractNum w:abstractNumId="5">
    <w:nsid w:val="2443A858"/>
    <w:multiLevelType w:val="hybridMultilevel"/>
    <w:lvl w:ilvl="0">
      <w:lvlJc w:val="left"/>
      <w:lvlText w:val="%1."/>
      <w:numFmt w:val="decimal"/>
      <w:start w:val="6"/>
    </w:lvl>
  </w:abstractNum>
  <w:abstractNum w:abstractNumId="6">
    <w:nsid w:val="2D1D5AE9"/>
    <w:multiLevelType w:val="hybridMultilevel"/>
    <w:lvl w:ilvl="0">
      <w:lvlJc w:val="left"/>
      <w:lvlText w:val="(%1)"/>
      <w:numFmt w:val="lowerRoman"/>
      <w:start w:val="2"/>
    </w:lvl>
  </w:abstractNum>
  <w:abstractNum w:abstractNumId="7">
    <w:nsid w:val="6763845E"/>
    <w:multiLevelType w:val="hybridMultilevel"/>
    <w:lvl w:ilvl="0">
      <w:lvlJc w:val="left"/>
      <w:lvlText w:val="(%1)"/>
      <w:numFmt w:val="decimal"/>
      <w:start w:val="1"/>
    </w:lvl>
  </w:abstractNum>
  <w:abstractNum w:abstractNumId="8">
    <w:nsid w:val="75A2A8D4"/>
    <w:multiLevelType w:val="hybridMultilevel"/>
    <w:lvl w:ilvl="0">
      <w:lvlJc w:val="left"/>
      <w:lvlText w:val="(%1)"/>
      <w:numFmt w:val="decimal"/>
      <w:start w:val="1"/>
    </w:lvl>
  </w:abstractNum>
  <w:abstractNum w:abstractNumId="9">
    <w:nsid w:val="8EDBDAB"/>
    <w:multiLevelType w:val="hybridMultilevel"/>
    <w:lvl w:ilvl="0">
      <w:lvlJc w:val="left"/>
      <w:lvlText w:val="(%1)"/>
      <w:numFmt w:val="decimal"/>
      <w:start w:val="1"/>
    </w:lvl>
  </w:abstractNum>
  <w:abstractNum w:abstractNumId="10">
    <w:nsid w:val="79838CB2"/>
    <w:multiLevelType w:val="hybridMultilevel"/>
    <w:lvl w:ilvl="0">
      <w:lvlJc w:val="left"/>
      <w:lvlText w:val="(%1)"/>
      <w:numFmt w:val="decimal"/>
      <w:start w:val="2"/>
    </w:lvl>
  </w:abstractNum>
  <w:abstractNum w:abstractNumId="11">
    <w:nsid w:val="4353D0CD"/>
    <w:multiLevelType w:val="hybridMultilevel"/>
    <w:lvl w:ilvl="0">
      <w:lvlJc w:val="left"/>
      <w:lvlText w:val="(%1)"/>
      <w:numFmt w:val="decimal"/>
      <w:start w:val="1"/>
    </w:lvl>
  </w:abstractNum>
  <w:abstractNum w:abstractNumId="12">
    <w:nsid w:val="B03E0C6"/>
    <w:multiLevelType w:val="hybridMultilevel"/>
    <w:lvl w:ilvl="0">
      <w:lvlJc w:val="left"/>
      <w:lvlText w:val="•"/>
      <w:numFmt w:val="bullet"/>
      <w:start w:val="1"/>
    </w:lvl>
  </w:abstractNum>
  <w:abstractNum w:abstractNumId="13">
    <w:nsid w:val="189A769B"/>
    <w:multiLevelType w:val="hybridMultilevel"/>
    <w:lvl w:ilvl="0">
      <w:lvlJc w:val="left"/>
      <w:lvlText w:val="•"/>
      <w:numFmt w:val="bullet"/>
      <w:start w:val="1"/>
    </w:lvl>
  </w:abstractNum>
  <w:abstractNum w:abstractNumId="14">
    <w:nsid w:val="54E49EB4"/>
    <w:multiLevelType w:val="hybridMultilevel"/>
    <w:lvl w:ilvl="0">
      <w:lvlJc w:val="left"/>
      <w:lvlText w:val="(%1)"/>
      <w:numFmt w:val="lowerLetter"/>
      <w:start w:val="1"/>
    </w:lvl>
  </w:abstractNum>
  <w:abstractNum w:abstractNumId="15">
    <w:nsid w:val="71F32454"/>
    <w:multiLevelType w:val="hybridMultilevel"/>
    <w:lvl w:ilvl="0">
      <w:lvlJc w:val="left"/>
      <w:lvlText w:val="(%1)"/>
      <w:numFmt w:val="lowerLetter"/>
      <w:start w:val="4"/>
    </w:lvl>
  </w:abstractNum>
  <w:abstractNum w:abstractNumId="16">
    <w:nsid w:val="2CA88611"/>
    <w:multiLevelType w:val="hybridMultilevel"/>
    <w:lvl w:ilvl="0">
      <w:lvlJc w:val="left"/>
      <w:lvlText w:val="•"/>
      <w:numFmt w:val="bullet"/>
      <w:start w:val="1"/>
    </w:lvl>
  </w:abstractNum>
  <w:abstractNum w:abstractNumId="17">
    <w:nsid w:val="836C40E"/>
    <w:multiLevelType w:val="hybridMultilevel"/>
    <w:lvl w:ilvl="0">
      <w:lvlJc w:val="left"/>
      <w:lvlText w:val="•"/>
      <w:numFmt w:val="bullet"/>
      <w:start w:val="1"/>
    </w:lvl>
  </w:abstractNum>
  <w:abstractNum w:abstractNumId="18">
    <w:nsid w:val="2901D82"/>
    <w:multiLevelType w:val="hybridMultilevel"/>
    <w:lvl w:ilvl="0">
      <w:lvlJc w:val="left"/>
      <w:lvlText w:val="•"/>
      <w:numFmt w:val="bullet"/>
      <w:start w:val="1"/>
    </w:lvl>
  </w:abstractNum>
  <w:abstractNum w:abstractNumId="19">
    <w:nsid w:val="3A95F874"/>
    <w:multiLevelType w:val="hybridMultilevel"/>
    <w:lvl w:ilvl="0">
      <w:lvlJc w:val="left"/>
      <w:lvlText w:val="•"/>
      <w:numFmt w:val="bullet"/>
      <w:start w:val="1"/>
    </w:lvl>
  </w:abstractNum>
  <w:abstractNum w:abstractNumId="20">
    <w:nsid w:val="8138641"/>
    <w:multiLevelType w:val="hybridMultilevel"/>
    <w:lvl w:ilvl="0">
      <w:lvlJc w:val="left"/>
      <w:lvlText w:val="•"/>
      <w:numFmt w:val="bullet"/>
      <w:start w:val="1"/>
    </w:lvl>
  </w:abstractNum>
  <w:abstractNum w:abstractNumId="21">
    <w:nsid w:val="1E7FF521"/>
    <w:multiLevelType w:val="hybridMultilevel"/>
    <w:lvl w:ilvl="0">
      <w:lvlJc w:val="left"/>
      <w:lvlText w:val="•"/>
      <w:numFmt w:val="bullet"/>
      <w:start w:val="1"/>
    </w:lvl>
  </w:abstractNum>
  <w:abstractNum w:abstractNumId="22">
    <w:nsid w:val="7C3DBD3D"/>
    <w:multiLevelType w:val="hybridMultilevel"/>
    <w:lvl w:ilvl="0">
      <w:lvlJc w:val="left"/>
      <w:lvlText w:val="(%1)"/>
      <w:numFmt w:val="lowerRoman"/>
      <w:start w:val="2"/>
    </w:lvl>
  </w:abstractNum>
  <w:abstractNum w:abstractNumId="23">
    <w:nsid w:val="737B8DDC"/>
    <w:multiLevelType w:val="hybridMultilevel"/>
    <w:lvl w:ilvl="0">
      <w:lvlJc w:val="left"/>
      <w:lvlText w:val="•"/>
      <w:numFmt w:val="bullet"/>
      <w:start w:val="1"/>
    </w:lvl>
  </w:abstractNum>
  <w:abstractNum w:abstractNumId="24">
    <w:nsid w:val="6CEAF087"/>
    <w:multiLevelType w:val="hybridMultilevel"/>
    <w:lvl w:ilvl="0">
      <w:lvlJc w:val="left"/>
      <w:lvlText w:val="•"/>
      <w:numFmt w:val="bullet"/>
      <w:start w:val="1"/>
    </w:lvl>
  </w:abstractNum>
  <w:abstractNum w:abstractNumId="25">
    <w:nsid w:val="22221A70"/>
    <w:multiLevelType w:val="hybridMultilevel"/>
    <w:lvl w:ilvl="0">
      <w:lvlJc w:val="left"/>
      <w:lvlText w:val="•"/>
      <w:numFmt w:val="bullet"/>
      <w:start w:val="1"/>
    </w:lvl>
  </w:abstractNum>
  <w:abstractNum w:abstractNumId="26">
    <w:nsid w:val="4516DDE9"/>
    <w:multiLevelType w:val="hybridMultilevel"/>
    <w:lvl w:ilvl="0">
      <w:lvlJc w:val="left"/>
      <w:lvlText w:val="(%1)"/>
      <w:numFmt w:val="decimal"/>
      <w:start w:val="1"/>
    </w:lvl>
  </w:abstractNum>
  <w:abstractNum w:abstractNumId="27">
    <w:nsid w:val="3006C83E"/>
    <w:multiLevelType w:val="hybridMultilevel"/>
    <w:lvl w:ilvl="0">
      <w:lvlJc w:val="left"/>
      <w:lvlText w:val="%1"/>
      <w:numFmt w:val="decimal"/>
      <w:start w:val="101"/>
    </w:lvl>
  </w:abstractNum>
  <w:abstractNum w:abstractNumId="28">
    <w:nsid w:val="614FD4A1"/>
    <w:multiLevelType w:val="hybridMultilevel"/>
    <w:lvl w:ilvl="0">
      <w:lvlJc w:val="left"/>
      <w:lvlText w:val="*"/>
      <w:numFmt w:val="bullet"/>
      <w:start w:val="1"/>
    </w:lvl>
    <w:lvl w:ilvl="1">
      <w:lvlJc w:val="left"/>
      <w:lvlText w:val="%2"/>
      <w:numFmt w:val="decimal"/>
      <w:start w:val="104"/>
    </w:lvl>
  </w:abstractNum>
  <w:abstractNum w:abstractNumId="29">
    <w:nsid w:val="419AC241"/>
    <w:multiLevelType w:val="hybridMultilevel"/>
    <w:lvl w:ilvl="0">
      <w:lvlJc w:val="left"/>
      <w:lvlText w:val="%1."/>
      <w:numFmt w:val="decimal"/>
      <w:start w:val="1"/>
    </w:lvl>
  </w:abstractNum>
  <w:abstractNum w:abstractNumId="30">
    <w:nsid w:val="5577F8E1"/>
    <w:multiLevelType w:val="hybridMultilevel"/>
    <w:lvl w:ilvl="0">
      <w:lvlJc w:val="left"/>
      <w:lvlText w:val="(%1)"/>
      <w:numFmt w:val="lowerLetter"/>
      <w:start w:val="1"/>
    </w:lvl>
  </w:abstractNum>
  <w:abstractNum w:abstractNumId="31">
    <w:nsid w:val="440BADFC"/>
    <w:multiLevelType w:val="hybridMultilevel"/>
    <w:lvl w:ilvl="0">
      <w:lvlJc w:val="left"/>
      <w:lvlText w:val="%1."/>
      <w:numFmt w:val="decimal"/>
      <w:start w:val="5"/>
    </w:lvl>
  </w:abstractNum>
  <w:abstractNum w:abstractNumId="32">
    <w:nsid w:val="5072367"/>
    <w:multiLevelType w:val="hybridMultilevel"/>
    <w:lvl w:ilvl="0">
      <w:lvlJc w:val="left"/>
      <w:lvlText w:val="(%1)"/>
      <w:numFmt w:val="lowerLetter"/>
      <w:start w:val="1"/>
    </w:lvl>
  </w:abstractNum>
  <w:abstractNum w:abstractNumId="33">
    <w:nsid w:val="3804823E"/>
    <w:multiLevelType w:val="hybridMultilevel"/>
    <w:lvl w:ilvl="0">
      <w:lvlJc w:val="left"/>
      <w:lvlText w:val="%1."/>
      <w:numFmt w:val="decimal"/>
      <w:start w:val="1"/>
    </w:lvl>
  </w:abstractNum>
  <w:abstractNum w:abstractNumId="34">
    <w:nsid w:val="77465F01"/>
    <w:multiLevelType w:val="hybridMultilevel"/>
    <w:lvl w:ilvl="0">
      <w:lvlJc w:val="left"/>
      <w:lvlText w:val="(%1)"/>
      <w:numFmt w:val="lowerLetter"/>
      <w:start w:val="1"/>
    </w:lvl>
  </w:abstractNum>
  <w:abstractNum w:abstractNumId="35">
    <w:nsid w:val="7724C67E"/>
    <w:multiLevelType w:val="hybridMultilevel"/>
    <w:lvl w:ilvl="0">
      <w:lvlJc w:val="left"/>
      <w:lvlText w:val="%1."/>
      <w:numFmt w:val="decimal"/>
      <w:start w:val="5"/>
    </w:lvl>
  </w:abstractNum>
  <w:abstractNum w:abstractNumId="36">
    <w:nsid w:val="5C482A97"/>
    <w:multiLevelType w:val="hybridMultilevel"/>
    <w:lvl w:ilvl="0">
      <w:lvlJc w:val="left"/>
      <w:lvlText w:val="(%1)"/>
      <w:numFmt w:val="lowerLetter"/>
      <w:start w:val="1"/>
    </w:lvl>
  </w:abstractNum>
  <w:abstractNum w:abstractNumId="37">
    <w:nsid w:val="2463B9EA"/>
    <w:multiLevelType w:val="hybridMultilevel"/>
    <w:lvl w:ilvl="0">
      <w:lvlJc w:val="left"/>
      <w:lvlText w:val="(%1)"/>
      <w:numFmt w:val="decimal"/>
      <w:start w:val="1"/>
    </w:lvl>
  </w:abstractNum>
  <w:abstractNum w:abstractNumId="38">
    <w:nsid w:val="5E884A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2022-07-29T05:54:07Z</dcterms:created>
  <dcterms:modified xsi:type="dcterms:W3CDTF">2022-07-29T05:54:07Z</dcterms:modified>
</cp:coreProperties>
</file>